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spacing w:line="460" w:lineRule="exact" w:before="0"/>
        <w:ind w:left="3403" w:right="3403" w:firstLine="0"/>
        <w:jc w:val="center"/>
        <w:rPr>
          <w:rFonts w:ascii="宋体" w:hAnsi="宋体" w:cs="宋体" w:eastAsia="宋体" w:hint="default"/>
          <w:sz w:val="36"/>
          <w:szCs w:val="36"/>
        </w:rPr>
      </w:pPr>
      <w:r>
        <w:rPr>
          <w:rFonts w:ascii="宋体" w:hAnsi="宋体" w:cs="宋体" w:eastAsia="宋体" w:hint="default"/>
          <w:b/>
          <w:bCs/>
          <w:sz w:val="36"/>
          <w:szCs w:val="36"/>
        </w:rPr>
        <w:t>广东文化长城集团股份有限公司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3402" w:right="34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403"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6"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公司负责人蔡廷祥、主管会计工作负责人罗晨鹏及会计机构负责人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杨榕声明：保证年度报告中财务报告的真实、准确、完整。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spacing w:val="3"/>
          <w:sz w:val="28"/>
          <w:szCs w:val="28"/>
        </w:rPr>
      </w:r>
    </w:p>
    <w:p>
      <w:pPr>
        <w:spacing w:line="410" w:lineRule="auto" w:before="0"/>
        <w:ind w:left="1133" w:right="1142"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5"/>
          <w:w w:val="95"/>
          <w:sz w:val="28"/>
          <w:szCs w:val="28"/>
        </w:rPr>
        <w:t> </w:t>
      </w:r>
      <w:r>
        <w:rPr>
          <w:rFonts w:ascii="宋体" w:hAnsi="宋体" w:cs="宋体" w:eastAsia="宋体" w:hint="default"/>
          <w:b/>
          <w:bCs/>
          <w:spacing w:val="25"/>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446" w:lineRule="auto" w:before="159"/>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、并购重组整合风险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公司对于教育信息化及职业教育标的公司的收购整合风险主要集中于两个</w:t>
      </w:r>
      <w:r>
        <w:rPr>
          <w:rFonts w:ascii="宋体" w:hAnsi="宋体" w:cs="宋体" w:eastAsia="宋体" w:hint="default"/>
          <w:spacing w:val="3"/>
          <w:sz w:val="28"/>
          <w:szCs w:val="28"/>
        </w:rPr>
      </w:r>
    </w:p>
    <w:p>
      <w:pPr>
        <w:spacing w:line="408" w:lineRule="auto" w:before="16"/>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方面。首先，收购整合能否顺利实施以及整合效果能否达到并购预期仍存在一</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定的不确定性，甚至可能会对标的公司乃至上市公司原有业务的正常运营产生</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不利影响。其次，从上市公司整体角度来看，收购整合后，公司的资产规模和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业务范围都将扩大，盈利能力得到增强，上市公司与教育信息化及职业教育标</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的公司需在企业文化、经营管理、业务拓展等方面进行融合。</w:t>
      </w:r>
      <w:r>
        <w:rPr>
          <w:rFonts w:ascii="宋体" w:hAnsi="宋体" w:cs="宋体" w:eastAsia="宋体" w:hint="default"/>
          <w:sz w:val="28"/>
          <w:szCs w:val="28"/>
        </w:rPr>
      </w:r>
    </w:p>
    <w:p>
      <w:pPr>
        <w:spacing w:line="408" w:lineRule="auto" w:before="160"/>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为应对整合风险，上市公司建立了有效的公司治理机制，加强公司在业务</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经营、财务运作、对外投资、抵押担保、资产处置等方面对标的公司的管理与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控制，使上市公司与标的公司形成有机整体，提高整体决策水平和风险管控能</w:t>
      </w:r>
      <w:r>
        <w:rPr>
          <w:rFonts w:ascii="宋体" w:hAnsi="宋体" w:cs="宋体" w:eastAsia="宋体" w:hint="default"/>
          <w:spacing w:val="3"/>
          <w:sz w:val="28"/>
          <w:szCs w:val="28"/>
        </w:rPr>
      </w:r>
    </w:p>
    <w:p>
      <w:pPr>
        <w:spacing w:after="0" w:line="408" w:lineRule="auto"/>
        <w:jc w:val="both"/>
        <w:rPr>
          <w:rFonts w:ascii="宋体" w:hAnsi="宋体" w:cs="宋体" w:eastAsia="宋体" w:hint="default"/>
          <w:sz w:val="28"/>
          <w:szCs w:val="28"/>
        </w:rPr>
        <w:sectPr>
          <w:footerReference w:type="default" r:id="rId7"/>
          <w:pgSz w:w="11910" w:h="16840"/>
          <w:pgMar w:footer="1019" w:header="786" w:top="1100" w:bottom="1200" w:left="0" w:right="0"/>
          <w:pgNumType w:start="2"/>
        </w:sectPr>
      </w:pPr>
    </w:p>
    <w:p>
      <w:pPr>
        <w:spacing w:line="240" w:lineRule="auto" w:before="0"/>
        <w:rPr>
          <w:rFonts w:ascii="宋体" w:hAnsi="宋体" w:cs="宋体" w:eastAsia="宋体" w:hint="default"/>
          <w:b/>
          <w:bCs/>
          <w:sz w:val="20"/>
          <w:szCs w:val="20"/>
        </w:rPr>
      </w:pPr>
    </w:p>
    <w:p>
      <w:pPr>
        <w:spacing w:line="408" w:lineRule="auto" w:before="156"/>
        <w:ind w:left="113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力，提升整体经营管理水平和运营效率，以适应上市公司资产和业务规模的增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长。此外，上市公司将把标的公司的财务管理纳入统一的管理系统中，加强审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计监督和管理监督，保证上市公司对标的公司日常经营的知情权，提高经营管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理水平，防范财务风险。</w:t>
      </w:r>
      <w:r>
        <w:rPr>
          <w:rFonts w:ascii="宋体" w:hAnsi="宋体" w:cs="宋体" w:eastAsia="宋体" w:hint="default"/>
          <w:sz w:val="28"/>
          <w:szCs w:val="28"/>
        </w:rPr>
      </w:r>
    </w:p>
    <w:p>
      <w:pPr>
        <w:spacing w:line="448" w:lineRule="auto" w:before="161"/>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、国内市场竞争加剧的风险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当前，陶瓷行业面临着洗牌的阶段，原从事陶瓷出口的企业不断转向国内</w:t>
      </w:r>
      <w:r>
        <w:rPr>
          <w:rFonts w:ascii="宋体" w:hAnsi="宋体" w:cs="宋体" w:eastAsia="宋体" w:hint="default"/>
          <w:spacing w:val="3"/>
          <w:sz w:val="28"/>
          <w:szCs w:val="28"/>
        </w:rPr>
      </w:r>
    </w:p>
    <w:p>
      <w:pPr>
        <w:spacing w:line="410" w:lineRule="auto" w:before="14"/>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市场，这无疑将加大国内市场的竞争。供应链的上下游优质资源的争夺，将会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是竞争的重点。这对于公司建设国内分销网络将构成一定的压力。</w:t>
      </w:r>
      <w:r>
        <w:rPr>
          <w:rFonts w:ascii="宋体" w:hAnsi="宋体" w:cs="宋体" w:eastAsia="宋体" w:hint="default"/>
          <w:sz w:val="28"/>
          <w:szCs w:val="28"/>
        </w:rPr>
      </w:r>
    </w:p>
    <w:p>
      <w:pPr>
        <w:spacing w:line="408" w:lineRule="auto" w:before="157"/>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公司将立足艺术陶瓷国际贸易，积极开发适销对路的产品，并加大市场品</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牌推广的力度，抢占优质的渠道资源，并不断的强化理顺供应链体系，利用资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本优势，整合行业优势上下游资源，加强品牌的提升塑造，在激烈的竞争中脱</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颖而出，实现品牌业绩新突破。</w:t>
      </w:r>
      <w:r>
        <w:rPr>
          <w:rFonts w:ascii="宋体" w:hAnsi="宋体" w:cs="宋体" w:eastAsia="宋体" w:hint="default"/>
          <w:sz w:val="28"/>
          <w:szCs w:val="28"/>
        </w:rPr>
      </w:r>
    </w:p>
    <w:p>
      <w:pPr>
        <w:spacing w:line="448" w:lineRule="auto" w:before="161"/>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、商誉减值风险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由于公司的对外投资并购，在合并资产负债表中形成一定金额的商誉，如</w:t>
      </w:r>
      <w:r>
        <w:rPr>
          <w:rFonts w:ascii="宋体" w:hAnsi="宋体" w:cs="宋体" w:eastAsia="宋体" w:hint="default"/>
          <w:spacing w:val="3"/>
          <w:sz w:val="28"/>
          <w:szCs w:val="28"/>
        </w:rPr>
      </w:r>
    </w:p>
    <w:p>
      <w:pPr>
        <w:spacing w:line="408" w:lineRule="auto" w:before="14"/>
        <w:ind w:left="1133" w:right="113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未来通过并购吸收的有关子公司业绩达不到预期，可能出现计提商誉减值的风</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pacing w:val="3"/>
          <w:w w:val="95"/>
          <w:sz w:val="28"/>
          <w:szCs w:val="28"/>
        </w:rPr>
        <w:t>险。公司将加强子公司管理，实时跟踪并购子公司的经营状况及所在行业变化</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趋势，给予并购子公司必要资源共享，保障并购子公司稳健发展。</w:t>
      </w:r>
      <w:r>
        <w:rPr>
          <w:rFonts w:ascii="宋体" w:hAnsi="宋体" w:cs="宋体" w:eastAsia="宋体" w:hint="default"/>
          <w:sz w:val="28"/>
          <w:szCs w:val="28"/>
        </w:rPr>
      </w:r>
    </w:p>
    <w:p>
      <w:pPr>
        <w:spacing w:before="160"/>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434,800,140</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133"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0.00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8"/>
        <w:ind w:left="1133"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86"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spacing w:line="460" w:lineRule="exact" w:before="0"/>
        <w:ind w:left="3403" w:right="34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10773" w:val="right" w:leader="dot"/>
            </w:tabs>
            <w:spacing w:line="240" w:lineRule="auto" w:before="0"/>
            <w:ind w:right="0"/>
            <w:jc w:val="left"/>
            <w:rPr>
              <w:rFonts w:ascii="Times New Roman" w:hAnsi="Times New Roman" w:cs="Times New Roman" w:eastAsia="Times New Roman" w:hint="default"/>
            </w:rPr>
          </w:pP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10773"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6</w:t>
            </w:r>
          </w:hyperlink>
        </w:p>
        <w:p>
          <w:pPr>
            <w:pStyle w:val="TOC1"/>
            <w:tabs>
              <w:tab w:pos="10773"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10</w:t>
            </w:r>
          </w:hyperlink>
        </w:p>
        <w:p>
          <w:pPr>
            <w:pStyle w:val="TOC1"/>
            <w:tabs>
              <w:tab w:pos="10773"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13</w:t>
            </w:r>
          </w:hyperlink>
        </w:p>
        <w:p>
          <w:pPr>
            <w:pStyle w:val="TOC1"/>
            <w:tabs>
              <w:tab w:pos="10773" w:val="right" w:leader="dot"/>
            </w:tabs>
            <w:spacing w:line="240" w:lineRule="auto"/>
            <w:ind w:left="1134"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37</w:t>
            </w:r>
          </w:hyperlink>
        </w:p>
        <w:p>
          <w:pPr>
            <w:pStyle w:val="TOC1"/>
            <w:tabs>
              <w:tab w:pos="10773"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57</w:t>
            </w:r>
          </w:hyperlink>
        </w:p>
        <w:p>
          <w:pPr>
            <w:pStyle w:val="TOC1"/>
            <w:tabs>
              <w:tab w:pos="10773" w:val="right" w:leader="dot"/>
            </w:tabs>
            <w:spacing w:line="240" w:lineRule="auto"/>
            <w:ind w:left="1134"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63</w:t>
            </w:r>
          </w:hyperlink>
        </w:p>
        <w:p>
          <w:pPr>
            <w:pStyle w:val="TOC1"/>
            <w:tabs>
              <w:tab w:pos="10773"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64</w:t>
            </w:r>
          </w:hyperlink>
        </w:p>
        <w:p>
          <w:pPr>
            <w:pStyle w:val="TOC1"/>
            <w:tabs>
              <w:tab w:pos="10773"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70</w:t>
            </w:r>
          </w:hyperlink>
        </w:p>
        <w:p>
          <w:pPr>
            <w:pStyle w:val="TOC1"/>
            <w:tabs>
              <w:tab w:pos="10773"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76</w:t>
            </w:r>
          </w:hyperlink>
        </w:p>
        <w:p>
          <w:pPr>
            <w:pStyle w:val="TOC1"/>
            <w:tabs>
              <w:tab w:pos="10773"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77</w:t>
            </w:r>
          </w:hyperlink>
        </w:p>
        <w:p>
          <w:pPr>
            <w:pStyle w:val="TOC1"/>
            <w:tabs>
              <w:tab w:pos="10773" w:val="right" w:leader="dot"/>
            </w:tabs>
            <w:spacing w:line="240" w:lineRule="auto" w:before="103"/>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175</w:t>
            </w:r>
          </w:hyperlink>
        </w:p>
      </w:sdtContent>
    </w:sdt>
    <w:p>
      <w:pPr>
        <w:spacing w:after="0" w:line="240" w:lineRule="auto"/>
        <w:jc w:val="left"/>
        <w:rPr>
          <w:rFonts w:ascii="Times New Roman" w:hAnsi="Times New Roman" w:cs="Times New Roman" w:eastAsia="Times New Roman" w:hint="default"/>
        </w:rPr>
        <w:sectPr>
          <w:headerReference w:type="default" r:id="rId8"/>
          <w:pgSz w:w="11910" w:h="16840"/>
          <w:pgMar w:header="907" w:footer="1019" w:top="1100" w:bottom="1200" w:left="0" w:right="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27"/>
          <w:szCs w:val="27"/>
        </w:rPr>
      </w:pPr>
    </w:p>
    <w:p>
      <w:pPr>
        <w:spacing w:before="0"/>
        <w:ind w:left="3403" w:right="340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公司、本公司或文化长城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广发证券、保荐机构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联汛教育</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广东联汛教育科技有限公司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智游臻龙</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河南智游臻龙教育科技有限公司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教育基金、新余智趣</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新余智趣资产管理合伙企业（有限合伙）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商融投资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广州商融投资咨询有限公司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潮民投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潮州民营投资股份有限公司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翡翠教育</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北京翡翠教育科技集团有限公司</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84"/>
        <w:gridCol w:w="2954"/>
        <w:gridCol w:w="2157"/>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文化长城</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300089</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广东文化长城集团股份有限公司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文化长城</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The Great </w:t>
            </w:r>
            <w:r>
              <w:rPr>
                <w:rFonts w:ascii="Times New Roman" w:hAnsi="Times New Roman" w:cs="Times New Roman" w:eastAsia="Times New Roman" w:hint="default"/>
                <w:spacing w:val="-5"/>
                <w:sz w:val="18"/>
                <w:szCs w:val="18"/>
              </w:rPr>
              <w:t>Wall </w:t>
            </w:r>
            <w:r>
              <w:rPr>
                <w:rFonts w:ascii="Times New Roman" w:hAnsi="Times New Roman" w:cs="Times New Roman" w:eastAsia="Times New Roman" w:hint="default"/>
                <w:sz w:val="18"/>
                <w:szCs w:val="18"/>
              </w:rPr>
              <w:t>Of Culture Group Holding 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Guangdong</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pacing w:val="-5"/>
                <w:sz w:val="18"/>
              </w:rPr>
              <w:t>GREAT WALL</w:t>
            </w:r>
            <w:r>
              <w:rPr>
                <w:rFonts w:ascii="Times New Roman"/>
                <w:spacing w:val="-2"/>
                <w:sz w:val="18"/>
              </w:rPr>
              <w:t> </w:t>
            </w:r>
            <w:r>
              <w:rPr>
                <w:rFonts w:ascii="Times New Roman"/>
                <w:spacing w:val="-3"/>
                <w:sz w:val="18"/>
              </w:rPr>
              <w:t>CULTURE</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521031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521031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9">
              <w:r>
                <w:rPr>
                  <w:rFonts w:ascii="Times New Roman"/>
                  <w:sz w:val="18"/>
                </w:rPr>
                <w:t>www.thegreatwall-china.com</w:t>
              </w:r>
            </w:hyperlink>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zqb@thegreatwall-china.com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郑舜玲</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0768-2931898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0768-2931898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0768-2931162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0768-2931162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0">
              <w:r>
                <w:rPr>
                  <w:rFonts w:ascii="Times New Roman"/>
                  <w:sz w:val="18"/>
                </w:rPr>
                <w:t>zqb@thegreatwall-china.com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0">
              <w:r>
                <w:rPr>
                  <w:rFonts w:ascii="Times New Roman"/>
                  <w:sz w:val="18"/>
                </w:rPr>
                <w:t>zqb@thegreatwall-china.com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文化长城证券事务部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公司聘请的会计师事务所</w:t>
      </w:r>
    </w:p>
    <w:p>
      <w:pPr>
        <w:spacing w:after="0" w:line="240" w:lineRule="auto"/>
        <w:jc w:val="lef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广州市东风东路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号粤海集团大厦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tabs>
                <w:tab w:pos="913" w:val="left" w:leader="none"/>
              </w:tabs>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杨文蔚</w:t>
              <w:tab/>
              <w:t>刘琪</w:t>
            </w:r>
          </w:p>
        </w:tc>
      </w:tr>
    </w:tbl>
    <w:p>
      <w:pPr>
        <w:pStyle w:val="BodyText"/>
        <w:spacing w:line="240" w:lineRule="auto" w:before="51"/>
        <w:ind w:right="0"/>
        <w:jc w:val="left"/>
      </w:pPr>
      <w:r>
        <w:rPr/>
        <w:t>公司聘请的报告期内履行持续督导职责的保荐机构</w:t>
      </w:r>
    </w:p>
    <w:p>
      <w:pPr>
        <w:pStyle w:val="BodyText"/>
        <w:spacing w:line="357" w:lineRule="auto" w:before="117"/>
        <w:ind w:right="6792"/>
        <w:jc w:val="left"/>
      </w:pPr>
      <w:r>
        <w:rPr/>
        <w:t>□ 适用 √ 不适用 公司聘请的报告期内履行持续督导职责的财务顾问</w:t>
      </w:r>
    </w:p>
    <w:p>
      <w:pPr>
        <w:pStyle w:val="BodyText"/>
        <w:spacing w:line="240" w:lineRule="auto" w:before="29"/>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广州市天河区天河北路</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183-187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号大都会广场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4301-4316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武鑫、沈杰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公司是否需追溯调整或重述以前年度会计数据</w:t>
      </w:r>
    </w:p>
    <w:p>
      <w:pPr>
        <w:pStyle w:val="BodyText"/>
        <w:spacing w:line="240" w:lineRule="auto" w:before="117"/>
        <w:ind w:left="1133" w:right="0"/>
        <w:jc w:val="left"/>
      </w:pPr>
      <w:r>
        <w:rPr/>
        <w:t>□ 是 √ 否</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540,117,836.79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452,394,179.59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444,932,650.11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73,461,776.76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136,797,245.91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12,390,096.67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69,848,237.67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41,053,756.69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7,818,984.69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121,821,979.90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152,848,583.06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62,285,920.03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3" w:right="142" w:hanging="63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2,720,247,996.39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2,454,855,734.17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1,189,152,502.99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1,821,129,235.47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1,758,537,458.49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799,260,025.50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108,509,173.79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4" w:right="0"/>
              <w:jc w:val="left"/>
              <w:rPr>
                <w:rFonts w:ascii="Times New Roman" w:hAnsi="Times New Roman" w:cs="Times New Roman" w:eastAsia="Times New Roman" w:hint="default"/>
                <w:sz w:val="18"/>
                <w:szCs w:val="18"/>
              </w:rPr>
            </w:pPr>
            <w:r>
              <w:rPr>
                <w:rFonts w:ascii="Times New Roman"/>
                <w:sz w:val="18"/>
              </w:rPr>
              <w:t>114,811,350.69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1" w:right="0"/>
              <w:jc w:val="left"/>
              <w:rPr>
                <w:rFonts w:ascii="Times New Roman" w:hAnsi="Times New Roman" w:cs="Times New Roman" w:eastAsia="Times New Roman" w:hint="default"/>
                <w:sz w:val="18"/>
                <w:szCs w:val="18"/>
              </w:rPr>
            </w:pPr>
            <w:r>
              <w:rPr>
                <w:rFonts w:ascii="Times New Roman"/>
                <w:sz w:val="18"/>
              </w:rPr>
              <w:t>147,698,472.34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169,098,839.97</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3"/>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7,312,637.64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10,640,190.50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31,983,330.29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23,525,618.33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6,554,039.66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8,027,718.36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31,692,852.09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23,573,627.56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3"/>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-61,771,804.21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64,812,298.05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-866,529.08</w:t>
            </w:r>
            <w:r>
              <w:rPr>
                <w:rFonts w:ascii="Times New Roman"/>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119,648,015.10</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left="1133" w:right="0"/>
        <w:jc w:val="left"/>
      </w:pPr>
      <w:r>
        <w:rPr/>
        <w:t>□ 是 √ 否</w:t>
      </w:r>
    </w:p>
    <w:p>
      <w:pPr>
        <w:spacing w:line="240" w:lineRule="auto" w:before="13"/>
        <w:rPr>
          <w:rFonts w:ascii="宋体" w:hAnsi="宋体" w:cs="宋体" w:eastAsia="宋体" w:hint="default"/>
          <w:sz w:val="24"/>
          <w:szCs w:val="24"/>
        </w:rPr>
      </w:pPr>
    </w:p>
    <w:p>
      <w:pPr>
        <w:pStyle w:val="Heading2"/>
        <w:spacing w:line="240" w:lineRule="auto"/>
        <w:ind w:left="1133"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3" w:right="1394"/>
        <w:jc w:val="left"/>
      </w:pPr>
      <w:r>
        <w:rPr/>
        <w:t>□ 适用 √ 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0"/>
          <w:szCs w:val="20"/>
        </w:rPr>
      </w:pPr>
    </w:p>
    <w:p>
      <w:pPr>
        <w:pStyle w:val="Heading3"/>
        <w:spacing w:line="240" w:lineRule="auto"/>
        <w:ind w:left="1133"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652"/>
        <w:jc w:val="left"/>
      </w:pPr>
      <w:r>
        <w:rPr/>
        <w:t>□ 适用 √ 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8"/>
          <w:szCs w:val="18"/>
        </w:rPr>
      </w:pPr>
    </w:p>
    <w:p>
      <w:pPr>
        <w:pStyle w:val="Heading2"/>
        <w:spacing w:line="240" w:lineRule="auto"/>
        <w:ind w:left="1133"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3"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-8,631.45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-56,944.86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-204,879.00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303"/>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 还、减免</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4,132,013.63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4,048,380.00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7,672,122.00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 的投资成本小于取得投资时应享有被投 资单位可辨认净资产公允价值产生的收 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94,028,483.43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2,212,842.78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68,445.25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 提的各项资产减值准备</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合费用等</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 允价值部分的损益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 至合并日的当期净损益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 生的损益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 转回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 性房地产公允价值变动产生的损益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根据税收、会计等法律、法规的要求对 当期损益进行一次性调整对当期损益的 影响</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-1,893,970.65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-2,035,416.70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-2,120,512.31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828,715.22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309,457.90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775,618.71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3,613,539.09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95,743,489.22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4,571,111.98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70"/>
        <w:ind w:right="0"/>
        <w:jc w:val="left"/>
      </w:pPr>
      <w:r>
        <w:rPr/>
        <w:t>□ 适用 √ 不适用</w:t>
      </w:r>
    </w:p>
    <w:p>
      <w:pPr>
        <w:pStyle w:val="BodyText"/>
        <w:spacing w:line="302" w:lineRule="auto" w:before="115"/>
        <w:ind w:left="1133"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2"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3"/>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6" w:lineRule="auto" w:before="25"/>
        <w:ind w:right="1032" w:firstLine="270"/>
        <w:jc w:val="left"/>
      </w:pPr>
      <w:r>
        <w:rPr/>
        <w:t>文化长城成立于</w:t>
      </w:r>
      <w:r>
        <w:rPr>
          <w:rFonts w:ascii="宋体" w:hAnsi="宋体" w:cs="宋体" w:eastAsia="宋体" w:hint="default"/>
        </w:rPr>
        <w:t>1996</w:t>
      </w:r>
      <w:r>
        <w:rPr/>
        <w:t>年，自成立以来始终秉承“文化创意、科技创新”的理念，致力于创意艺术陶瓷的研发设计、生产 和销售。近年来，受宏观经济以及陶瓷产业增长乏力等因素的影响，陶瓷产业增长速度持续放缓，规模扩张势头显著减弱。 </w:t>
      </w:r>
      <w:r>
        <w:rPr>
          <w:spacing w:val="-2"/>
        </w:rPr>
        <w:t>公司原有艺术陶瓷业务的利润规模总体也呈下滑态势。</w:t>
      </w:r>
      <w:r>
        <w:rPr>
          <w:rFonts w:ascii="宋体" w:hAnsi="宋体" w:cs="宋体" w:eastAsia="宋体" w:hint="default"/>
          <w:spacing w:val="-2"/>
        </w:rPr>
        <w:t>2017</w:t>
      </w:r>
      <w:r>
        <w:rPr>
          <w:spacing w:val="-2"/>
        </w:rPr>
        <w:t>年，公司一方面巩固原有陶瓷寄教育产业业务的稳定发展，一方</w:t>
      </w:r>
      <w:r>
        <w:rPr>
          <w:spacing w:val="-61"/>
        </w:rPr>
        <w:t> </w:t>
      </w:r>
      <w:r>
        <w:rPr>
          <w:spacing w:val="-61"/>
        </w:rPr>
      </w:r>
      <w:r>
        <w:rPr/>
        <w:t>面积极谋求新的外延式发展机会，增加利润增长点，努力实现下一阶段的快速发展。</w:t>
      </w:r>
    </w:p>
    <w:p>
      <w:pPr>
        <w:pStyle w:val="BodyText"/>
        <w:spacing w:line="316" w:lineRule="auto" w:before="19"/>
        <w:ind w:right="1032" w:firstLine="360"/>
        <w:jc w:val="left"/>
      </w:pPr>
      <w:r>
        <w:rPr>
          <w:spacing w:val="-2"/>
        </w:rPr>
        <w:t>在陶瓷业务方面，公司在发挥全资子公司深圳长城世家商贸有限公司、广州长城世家投资有限公司经营管理的瓷艺体验</w:t>
      </w:r>
      <w:r>
        <w:rPr/>
        <w:t> 馆与长城瓷艺专卖连锁体系的作用的基础上，进一步发挥全资子公司潮州市长城世家瓷业有限公司在陶瓷定制业务上的作</w:t>
      </w:r>
      <w:r>
        <w:rPr>
          <w:spacing w:val="-9"/>
        </w:rPr>
        <w:t> </w:t>
      </w:r>
      <w:r>
        <w:rPr>
          <w:spacing w:val="-9"/>
        </w:rPr>
      </w:r>
      <w:r>
        <w:rPr>
          <w:spacing w:val="-2"/>
        </w:rPr>
        <w:t>用。其中潮州市长城世家瓷业有限公司一方面利用其营销管理团队对酒水行业比较熟悉的特点，深挖酒瓶为代表的包装器皿</w:t>
      </w:r>
      <w:r>
        <w:rPr>
          <w:spacing w:val="-64"/>
        </w:rPr>
        <w:t> </w:t>
      </w:r>
      <w:r>
        <w:rPr>
          <w:spacing w:val="-64"/>
        </w:rPr>
      </w:r>
      <w:r>
        <w:rPr/>
        <w:t>类业务，按照既定规划积极拓展市场，使得酒瓶合作的酒业企业已经有效增加，增加设计公司与包装材料配套对接的联盟， </w:t>
      </w:r>
      <w:r>
        <w:rPr>
          <w:spacing w:val="-4"/>
        </w:rPr>
        <w:t>使得客户对接可以批量化进行；另一方面通过陶瓷领域的珠宝瓷和瓷珠宝创新，在国内陶瓷业跨界创新发展上开启了新元年。</w:t>
      </w:r>
      <w:r>
        <w:rPr>
          <w:spacing w:val="-44"/>
        </w:rPr>
        <w:t> </w:t>
      </w:r>
      <w:r>
        <w:rPr>
          <w:spacing w:val="-44"/>
        </w:rPr>
      </w:r>
      <w:r>
        <w:rPr/>
        <w:t>家瓷和礼瓷的全国通路运作，顺利进入全国多家连锁渠道，使得国内品牌战略得以落地实施。</w:t>
      </w:r>
    </w:p>
    <w:p>
      <w:pPr>
        <w:pStyle w:val="BodyText"/>
        <w:spacing w:line="316" w:lineRule="auto" w:before="19"/>
        <w:ind w:right="1032" w:firstLine="360"/>
        <w:jc w:val="left"/>
      </w:pPr>
      <w:r>
        <w:rPr>
          <w:spacing w:val="-2"/>
        </w:rPr>
        <w:t>在教育产业方面，联汛教育是综合性教育信息服务提供商，以云计算、物联网和移动互联网为核心技术打造智慧教育云</w:t>
      </w:r>
      <w:r>
        <w:rPr/>
        <w:t> </w:t>
      </w:r>
      <w:r>
        <w:rPr>
          <w:spacing w:val="-2"/>
        </w:rPr>
        <w:t>一体化解决方案，为中小学提供教育资源公共服务、教育管理公共服务和平安校园管理服务，同时也为职业教育实训室提供</w:t>
      </w:r>
      <w:r>
        <w:rPr>
          <w:spacing w:val="-66"/>
        </w:rPr>
        <w:t> </w:t>
      </w:r>
      <w:r>
        <w:rPr>
          <w:spacing w:val="-66"/>
        </w:rPr>
      </w:r>
      <w:r>
        <w:rPr>
          <w:spacing w:val="-2"/>
        </w:rPr>
        <w:t>综合解决方案，在全国教育系统大力建设“三通两平台”的大环境下，联讯教育加强团队管理，加紧全国市场开拓，超额完</w:t>
      </w:r>
      <w:r>
        <w:rPr>
          <w:spacing w:val="-68"/>
        </w:rPr>
        <w:t> </w:t>
      </w:r>
      <w:r>
        <w:rPr>
          <w:spacing w:val="-68"/>
        </w:rPr>
      </w:r>
      <w:r>
        <w:rPr>
          <w:spacing w:val="-2"/>
        </w:rPr>
        <w:t>成业绩承诺。智游教育在</w:t>
      </w:r>
      <w:r>
        <w:rPr>
          <w:rFonts w:ascii="宋体" w:hAnsi="宋体" w:cs="宋体" w:eastAsia="宋体" w:hint="default"/>
          <w:spacing w:val="-2"/>
        </w:rPr>
        <w:t>2017</w:t>
      </w:r>
      <w:r>
        <w:rPr>
          <w:spacing w:val="-2"/>
        </w:rPr>
        <w:t>年借助文化长城平台优势不断布局和提高内部管理，凭借优秀的教学质量和就业结果，在市场</w:t>
      </w:r>
      <w:r>
        <w:rPr>
          <w:spacing w:val="-62"/>
        </w:rPr>
        <w:t> </w:t>
      </w:r>
      <w:r>
        <w:rPr>
          <w:spacing w:val="-62"/>
        </w:rPr>
      </w:r>
      <w:r>
        <w:rPr/>
        <w:t>环境并不理想的情况下，超额完成业绩承诺，并且完成了分校布局、招生模式创新、教学模式创新、渠道拓展等重要事宜， 为以后几年的发展奠定了基础，打开了盈利空间。</w:t>
      </w:r>
    </w:p>
    <w:p>
      <w:pPr>
        <w:pStyle w:val="BodyText"/>
        <w:spacing w:line="316" w:lineRule="auto" w:before="59"/>
        <w:ind w:left="1133" w:right="1130" w:firstLine="360"/>
        <w:jc w:val="both"/>
      </w:pPr>
      <w:r>
        <w:rPr>
          <w:spacing w:val="-2"/>
        </w:rPr>
        <w:t>在寻求外延式增长方面，通过进行对教育相关领域的实质性探索，结合公司自身文化建设，公司明确了涉足教育相关领</w:t>
      </w:r>
      <w:r>
        <w:rPr/>
        <w:t> </w:t>
      </w:r>
      <w:r>
        <w:rPr>
          <w:spacing w:val="-2"/>
        </w:rPr>
        <w:t>域的发展目标，实现由单一的艺术陶瓷业务向艺术陶瓷与教育产业并存的战略规划。</w:t>
      </w:r>
      <w:r>
        <w:rPr>
          <w:rFonts w:ascii="宋体" w:hAnsi="宋体" w:cs="宋体" w:eastAsia="宋体" w:hint="default"/>
          <w:spacing w:val="-2"/>
        </w:rPr>
        <w:t>2017</w:t>
      </w:r>
      <w:r>
        <w:rPr>
          <w:spacing w:val="-2"/>
        </w:rPr>
        <w:t>年，公司第三届董事会第二十五次</w:t>
      </w:r>
      <w:r>
        <w:rPr>
          <w:spacing w:val="-62"/>
        </w:rPr>
        <w:t> </w:t>
      </w:r>
      <w:r>
        <w:rPr>
          <w:spacing w:val="-62"/>
        </w:rPr>
      </w:r>
      <w:r>
        <w:rPr>
          <w:spacing w:val="-2"/>
        </w:rPr>
        <w:t>会议审议通过了《关于公司拟追加认购新余智趣资产管理合伙企业（有限合伙）基金份额的议案》，通过追加认购教育基金</w:t>
      </w:r>
      <w:r>
        <w:rPr>
          <w:spacing w:val="-64"/>
        </w:rPr>
        <w:t> </w:t>
      </w:r>
      <w:r>
        <w:rPr>
          <w:spacing w:val="-64"/>
        </w:rPr>
      </w:r>
      <w:r>
        <w:rPr>
          <w:spacing w:val="-2"/>
        </w:rPr>
        <w:t>新增基金份额来加强与专业的教育产业基金的合作；公司第三届董事会第二十六次会议审议通过了《关于参与发起设立潮州</w:t>
      </w:r>
      <w:r>
        <w:rPr>
          <w:spacing w:val="-64"/>
        </w:rPr>
        <w:t> </w:t>
      </w:r>
      <w:r>
        <w:rPr>
          <w:spacing w:val="-64"/>
        </w:rPr>
      </w:r>
      <w:r>
        <w:rPr>
          <w:spacing w:val="-2"/>
        </w:rPr>
        <w:t>民营投资股份有限公司的议案》，潮民投是潮州市政府为落实中央和省关于促进民营经济与民间投资健康发展的战略部署而</w:t>
      </w:r>
      <w:r>
        <w:rPr>
          <w:spacing w:val="-65"/>
        </w:rPr>
        <w:t> </w:t>
      </w:r>
      <w:r>
        <w:rPr>
          <w:spacing w:val="-65"/>
        </w:rPr>
      </w:r>
      <w:r>
        <w:rPr>
          <w:spacing w:val="-2"/>
        </w:rPr>
        <w:t>引导、推动下创立的，潮民投未来在参与潮州市主导产业包括陶瓷及文化产业的转型升级、资源整合等方面，获得潮州市政</w:t>
      </w:r>
      <w:r>
        <w:rPr>
          <w:spacing w:val="-66"/>
        </w:rPr>
        <w:t> </w:t>
      </w:r>
      <w:r>
        <w:rPr>
          <w:spacing w:val="-66"/>
        </w:rPr>
      </w:r>
      <w:r>
        <w:rPr>
          <w:spacing w:val="-2"/>
        </w:rPr>
        <w:t>府的大力支持。因此，参与发起创立潮民投，将有利于文化长城把握相关产业的战略性机会。</w:t>
      </w:r>
      <w:r>
        <w:rPr>
          <w:rFonts w:ascii="宋体" w:hAnsi="宋体" w:cs="宋体" w:eastAsia="宋体" w:hint="default"/>
          <w:spacing w:val="-2"/>
        </w:rPr>
        <w:t>2017</w:t>
      </w:r>
      <w:r>
        <w:rPr>
          <w:spacing w:val="-2"/>
        </w:rPr>
        <w:t>年，公司再次进行重大资</w:t>
      </w:r>
      <w:r>
        <w:rPr>
          <w:spacing w:val="-62"/>
        </w:rPr>
        <w:t> </w:t>
      </w:r>
      <w:r>
        <w:rPr>
          <w:spacing w:val="-62"/>
        </w:rPr>
      </w:r>
      <w:r>
        <w:rPr>
          <w:spacing w:val="-2"/>
        </w:rPr>
        <w:t>产重组，第三届董事会第三十二次会议及</w:t>
      </w:r>
      <w:r>
        <w:rPr>
          <w:rFonts w:ascii="宋体" w:hAnsi="宋体" w:cs="宋体" w:eastAsia="宋体" w:hint="default"/>
          <w:spacing w:val="-2"/>
        </w:rPr>
        <w:t>2017</w:t>
      </w:r>
      <w:r>
        <w:rPr>
          <w:spacing w:val="-2"/>
        </w:rPr>
        <w:t>年第二次临时股东大会审议通过与本次重组相关的议案，拟收购翡翠教育</w:t>
      </w:r>
      <w:r>
        <w:rPr>
          <w:rFonts w:ascii="宋体" w:hAnsi="宋体" w:cs="宋体" w:eastAsia="宋体" w:hint="default"/>
          <w:spacing w:val="-2"/>
        </w:rPr>
        <w:t>100%</w:t>
      </w:r>
      <w:r>
        <w:rPr>
          <w:rFonts w:ascii="宋体" w:hAnsi="宋体" w:cs="宋体" w:eastAsia="宋体" w:hint="default"/>
          <w:spacing w:val="-56"/>
        </w:rPr>
        <w:t> </w:t>
      </w:r>
      <w:r>
        <w:rPr>
          <w:spacing w:val="-2"/>
        </w:rPr>
        <w:t>股权，进一步实现文化长城教育产业生态圈的构建。截止本报告披露日，该重大资产重组事项已经中国证监会核准，现处于</w:t>
      </w:r>
      <w:r>
        <w:rPr>
          <w:spacing w:val="-66"/>
        </w:rPr>
        <w:t> </w:t>
      </w:r>
      <w:r>
        <w:rPr>
          <w:spacing w:val="-66"/>
        </w:rPr>
      </w:r>
      <w:r>
        <w:rPr/>
        <w:t>实施阶段。</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1" w:right="101"/>
              <w:jc w:val="left"/>
              <w:rPr>
                <w:rFonts w:ascii="宋体" w:hAnsi="宋体" w:cs="宋体" w:eastAsia="宋体" w:hint="default"/>
                <w:sz w:val="18"/>
                <w:szCs w:val="18"/>
              </w:rPr>
            </w:pPr>
            <w:r>
              <w:rPr>
                <w:rFonts w:ascii="宋体" w:hAnsi="宋体" w:cs="宋体" w:eastAsia="宋体" w:hint="default"/>
                <w:spacing w:val="-2"/>
                <w:sz w:val="18"/>
                <w:szCs w:val="18"/>
              </w:rPr>
              <w:t>增加对新余智趣资产管理合伙企业（有限合伙）</w:t>
            </w:r>
            <w:r>
              <w:rPr>
                <w:rFonts w:ascii="Times New Roman" w:hAnsi="Times New Roman" w:cs="Times New Roman" w:eastAsia="Times New Roman" w:hint="default"/>
                <w:spacing w:val="-2"/>
                <w:sz w:val="18"/>
                <w:szCs w:val="18"/>
              </w:rPr>
              <w:t>5000</w:t>
            </w:r>
            <w:r>
              <w:rPr>
                <w:rFonts w:ascii="Times New Roman" w:hAnsi="Times New Roman" w:cs="Times New Roman" w:eastAsia="Times New Roman" w:hint="default"/>
                <w:spacing w:val="21"/>
                <w:sz w:val="18"/>
                <w:szCs w:val="18"/>
              </w:rPr>
              <w:t> </w:t>
            </w:r>
            <w:r>
              <w:rPr>
                <w:rFonts w:ascii="宋体" w:hAnsi="宋体" w:cs="宋体" w:eastAsia="宋体" w:hint="default"/>
                <w:spacing w:val="-2"/>
                <w:sz w:val="18"/>
                <w:szCs w:val="18"/>
              </w:rPr>
              <w:t>万投资额、增加对潮州民营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投资股份有限公司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万股权投资</w:t>
            </w:r>
          </w:p>
        </w:tc>
      </w:tr>
    </w:tbl>
    <w:p>
      <w:pPr>
        <w:spacing w:after="0" w:line="302"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b/>
          <w:bCs/>
          <w:sz w:val="21"/>
          <w:szCs w:val="21"/>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3" w:right="7693"/>
        <w:jc w:val="left"/>
      </w:pPr>
      <w:r>
        <w:rPr/>
        <w:t>公司是否需要遵守特殊行业的披露要求 否</w:t>
      </w:r>
    </w:p>
    <w:p>
      <w:pPr>
        <w:pStyle w:val="BodyText"/>
        <w:spacing w:line="316" w:lineRule="auto" w:before="28"/>
        <w:ind w:left="1133" w:right="1130" w:firstLine="360"/>
        <w:jc w:val="both"/>
      </w:pPr>
      <w:r>
        <w:rPr>
          <w:spacing w:val="-2"/>
        </w:rPr>
        <w:t>一、公司在传承陶瓷文化的基础上，以“文化创意、科技创新”为理念，通过文化创意提高产品附加值，通过科技创新</w:t>
      </w:r>
      <w:r>
        <w:rPr/>
        <w:t> </w:t>
      </w:r>
      <w:r>
        <w:rPr>
          <w:spacing w:val="-2"/>
        </w:rPr>
        <w:t>提高产品品质、降低生产成本，在创意设计、自主品牌、营销渠道、资源整合等方面逐步形成了强有力的竞争优势，具体如</w:t>
      </w:r>
      <w:r>
        <w:rPr>
          <w:spacing w:val="-67"/>
        </w:rPr>
        <w:t> </w:t>
      </w:r>
      <w:r>
        <w:rPr>
          <w:spacing w:val="-67"/>
        </w:rPr>
      </w:r>
      <w:r>
        <w:rPr/>
        <w:t>下所述：</w:t>
      </w:r>
    </w:p>
    <w:p>
      <w:pPr>
        <w:pStyle w:val="BodyText"/>
        <w:spacing w:line="316" w:lineRule="auto" w:before="19"/>
        <w:ind w:left="1494" w:right="0"/>
        <w:jc w:val="left"/>
      </w:pPr>
      <w:r>
        <w:rPr/>
        <w:t>（一）创意设计优势 </w:t>
      </w:r>
      <w:r>
        <w:rPr>
          <w:spacing w:val="-2"/>
        </w:rPr>
        <w:t>公司在传承陶瓷文化的基础上，以“文化创意、科技创新”为理念，在艺术陶瓷创意设计方面逐步形成了独特的竞争优</w:t>
      </w:r>
    </w:p>
    <w:p>
      <w:pPr>
        <w:pStyle w:val="BodyText"/>
        <w:spacing w:line="316" w:lineRule="auto" w:before="19"/>
        <w:ind w:left="1493" w:right="1126" w:hanging="360"/>
        <w:jc w:val="left"/>
        <w:rPr>
          <w:rFonts w:ascii="宋体" w:hAnsi="宋体" w:cs="宋体" w:eastAsia="宋体" w:hint="default"/>
        </w:rPr>
      </w:pPr>
      <w:r>
        <w:rPr/>
        <w:t>势，具体表现如下： </w:t>
      </w:r>
      <w:r>
        <w:rPr>
          <w:rFonts w:ascii="宋体" w:hAnsi="宋体" w:cs="宋体" w:eastAsia="宋体" w:hint="default"/>
          <w:spacing w:val="-3"/>
        </w:rPr>
        <w:t>1</w:t>
      </w:r>
      <w:r>
        <w:rPr>
          <w:spacing w:val="-3"/>
        </w:rPr>
        <w:t>、公司拥有面积约</w:t>
      </w:r>
      <w:r>
        <w:rPr>
          <w:rFonts w:ascii="宋体" w:hAnsi="宋体" w:cs="宋体" w:eastAsia="宋体" w:hint="default"/>
          <w:spacing w:val="-3"/>
        </w:rPr>
        <w:t>7,000</w:t>
      </w:r>
      <w:r>
        <w:rPr>
          <w:spacing w:val="-3"/>
        </w:rPr>
        <w:t>平方米的艺术陶瓷展厅和</w:t>
      </w:r>
      <w:r>
        <w:rPr>
          <w:rFonts w:ascii="宋体" w:hAnsi="宋体" w:cs="宋体" w:eastAsia="宋体" w:hint="default"/>
          <w:spacing w:val="-3"/>
        </w:rPr>
        <w:t>1,500</w:t>
      </w:r>
      <w:r>
        <w:rPr>
          <w:spacing w:val="-3"/>
        </w:rPr>
        <w:t>多平方米的创意产品设计中心，艺术陶瓷种类已累积超过</w:t>
      </w:r>
      <w:r>
        <w:rPr>
          <w:rFonts w:ascii="宋体" w:hAnsi="宋体" w:cs="宋体" w:eastAsia="宋体" w:hint="default"/>
          <w:spacing w:val="-3"/>
        </w:rPr>
        <w:t>70,000</w:t>
      </w:r>
    </w:p>
    <w:p>
      <w:pPr>
        <w:pStyle w:val="BodyText"/>
        <w:spacing w:line="316" w:lineRule="auto" w:before="19"/>
        <w:ind w:right="0"/>
        <w:jc w:val="left"/>
      </w:pPr>
      <w:r>
        <w:rPr>
          <w:spacing w:val="-5"/>
        </w:rPr>
        <w:t>件，其中包含了</w:t>
      </w:r>
      <w:r>
        <w:rPr>
          <w:rFonts w:ascii="宋体" w:hAnsi="宋体" w:cs="宋体" w:eastAsia="宋体" w:hint="default"/>
          <w:spacing w:val="-5"/>
        </w:rPr>
        <w:t>68</w:t>
      </w:r>
      <w:r>
        <w:rPr>
          <w:spacing w:val="-5"/>
        </w:rPr>
        <w:t>个国家和地区的设计风格与文化理念，公司将其按属性和地区分类后加以信息化管理，形成业内领先的“创</w:t>
      </w:r>
      <w:r>
        <w:rPr>
          <w:spacing w:val="-76"/>
        </w:rPr>
        <w:t> </w:t>
      </w:r>
      <w:r>
        <w:rPr>
          <w:spacing w:val="-76"/>
        </w:rPr>
      </w:r>
      <w:r>
        <w:rPr>
          <w:spacing w:val="-3"/>
        </w:rPr>
        <w:t>意研发数据库”，通过该数据库可以极大提升公司快速设计能力、大幅缩短公司产品的设计周期。</w:t>
      </w:r>
    </w:p>
    <w:p>
      <w:pPr>
        <w:pStyle w:val="BodyText"/>
        <w:spacing w:line="316" w:lineRule="auto" w:before="19"/>
        <w:ind w:right="1041" w:firstLine="360"/>
        <w:jc w:val="both"/>
      </w:pPr>
      <w:r>
        <w:rPr>
          <w:rFonts w:ascii="宋体" w:hAnsi="宋体" w:cs="宋体" w:eastAsia="宋体" w:hint="default"/>
          <w:spacing w:val="-4"/>
        </w:rPr>
        <w:t>2</w:t>
      </w:r>
      <w:r>
        <w:rPr>
          <w:spacing w:val="-4"/>
        </w:rPr>
        <w:t>、公司自主研发的</w:t>
      </w:r>
      <w:r>
        <w:rPr>
          <w:spacing w:val="-11"/>
        </w:rPr>
        <w:t> </w:t>
      </w:r>
      <w:r>
        <w:rPr>
          <w:spacing w:val="-3"/>
        </w:rPr>
        <w:t>“宫廷式特种工艺陶瓷系列产品”和“镶嵌式抗菌陶瓷编织工艺制品”等产品在国内处于领先地位，</w:t>
      </w:r>
      <w:r>
        <w:rPr/>
        <w:t> 并获得广东省“优秀新产品”和“重点新产品”等称号。</w:t>
      </w:r>
    </w:p>
    <w:p>
      <w:pPr>
        <w:pStyle w:val="BodyText"/>
        <w:spacing w:line="316" w:lineRule="auto" w:before="19"/>
        <w:ind w:left="1494" w:right="0"/>
        <w:jc w:val="left"/>
      </w:pPr>
      <w:r>
        <w:rPr/>
        <w:t>（二）营销渠道和自主品牌优势 </w:t>
      </w:r>
      <w:r>
        <w:rPr>
          <w:spacing w:val="-2"/>
        </w:rPr>
        <w:t>公司致力于创建民族艺术陶瓷领军品牌，并不断加强营销渠道的建设，在自主品牌和营销渠道方面具备明显优势，其具</w:t>
      </w:r>
    </w:p>
    <w:p>
      <w:pPr>
        <w:pStyle w:val="BodyText"/>
        <w:spacing w:line="240" w:lineRule="auto" w:before="19"/>
        <w:ind w:right="0"/>
        <w:jc w:val="left"/>
      </w:pPr>
      <w:r>
        <w:rPr/>
        <w:t>体表现如下：</w:t>
      </w:r>
    </w:p>
    <w:p>
      <w:pPr>
        <w:pStyle w:val="BodyText"/>
        <w:spacing w:line="316" w:lineRule="auto" w:before="77"/>
        <w:ind w:left="1133" w:right="1139" w:firstLine="360"/>
        <w:jc w:val="both"/>
      </w:pPr>
      <w:r>
        <w:rPr>
          <w:rFonts w:ascii="宋体" w:hAnsi="宋体" w:cs="宋体" w:eastAsia="宋体" w:hint="default"/>
        </w:rPr>
        <w:t>1</w:t>
      </w:r>
      <w:r>
        <w:rPr/>
        <w:t>、经过多年积累，公司已拥有覆盖</w:t>
      </w:r>
      <w:r>
        <w:rPr>
          <w:rFonts w:ascii="宋体" w:hAnsi="宋体" w:cs="宋体" w:eastAsia="宋体" w:hint="default"/>
        </w:rPr>
        <w:t>68</w:t>
      </w:r>
      <w:r>
        <w:rPr/>
        <w:t>个国家和地区的</w:t>
      </w:r>
      <w:r>
        <w:rPr>
          <w:rFonts w:ascii="宋体" w:hAnsi="宋体" w:cs="宋体" w:eastAsia="宋体" w:hint="default"/>
        </w:rPr>
        <w:t>400</w:t>
      </w:r>
      <w:r>
        <w:rPr/>
        <w:t>多个客户，其中业务来往较频繁的客户达</w:t>
      </w:r>
      <w:r>
        <w:rPr>
          <w:rFonts w:ascii="宋体" w:hAnsi="宋体" w:cs="宋体" w:eastAsia="宋体" w:hint="default"/>
        </w:rPr>
        <w:t>120</w:t>
      </w:r>
      <w:r>
        <w:rPr/>
        <w:t>多个，并与国外 多个知名经销商建立了长期稳定的供销合作关系。</w:t>
      </w:r>
    </w:p>
    <w:p>
      <w:pPr>
        <w:pStyle w:val="BodyText"/>
        <w:spacing w:line="316" w:lineRule="auto" w:before="19"/>
        <w:ind w:left="1133" w:right="1139" w:firstLine="360"/>
        <w:jc w:val="both"/>
      </w:pPr>
      <w:r>
        <w:rPr>
          <w:rFonts w:ascii="宋体" w:hAnsi="宋体" w:cs="宋体" w:eastAsia="宋体" w:hint="default"/>
        </w:rPr>
        <w:t>2</w:t>
      </w:r>
      <w:r>
        <w:rPr/>
        <w:t>、公司产品在国内外市场具有较高的市场知名度和良好口碑。公司品牌先后获得“中国驰名商标</w:t>
      </w:r>
      <w:r>
        <w:rPr>
          <w:spacing w:val="-90"/>
        </w:rPr>
        <w:t>”、</w:t>
      </w:r>
      <w:r>
        <w:rPr/>
        <w:t>“中国名牌</w:t>
      </w:r>
      <w:r>
        <w:rPr>
          <w:spacing w:val="-90"/>
        </w:rPr>
        <w:t>”、</w:t>
      </w:r>
      <w:r>
        <w:rPr/>
        <w:t>“国</w:t>
      </w:r>
      <w:r>
        <w:rPr/>
        <w:t> 家免检</w:t>
      </w:r>
      <w:r>
        <w:rPr>
          <w:spacing w:val="-90"/>
        </w:rPr>
        <w:t>”、</w:t>
      </w:r>
      <w:r>
        <w:rPr/>
        <w:t>“出口免验</w:t>
      </w:r>
      <w:r>
        <w:rPr>
          <w:spacing w:val="-90"/>
        </w:rPr>
        <w:t>”、</w:t>
      </w:r>
      <w:r>
        <w:rPr/>
        <w:t>“出口名牌”等荣誉称号。</w:t>
      </w:r>
    </w:p>
    <w:p>
      <w:pPr>
        <w:pStyle w:val="BodyText"/>
        <w:spacing w:line="316" w:lineRule="auto" w:before="19"/>
        <w:ind w:left="1494" w:right="0"/>
        <w:jc w:val="left"/>
      </w:pPr>
      <w:r>
        <w:rPr/>
        <w:t>（三）资源整合能力优势 </w:t>
      </w:r>
      <w:r>
        <w:rPr>
          <w:spacing w:val="-2"/>
        </w:rPr>
        <w:t>公司在打造自身内在优势的同时，充分挖掘、整合外部稀缺资源，使内部和外部的资源相互配合与协调。公司整合内外</w:t>
      </w:r>
    </w:p>
    <w:p>
      <w:pPr>
        <w:pStyle w:val="BodyText"/>
        <w:spacing w:line="316" w:lineRule="auto" w:before="19"/>
        <w:ind w:left="1494" w:right="1122" w:hanging="360"/>
        <w:jc w:val="left"/>
      </w:pPr>
      <w:r>
        <w:rPr/>
        <w:t>部资源的具体表现如下： </w:t>
      </w:r>
      <w:r>
        <w:rPr>
          <w:rFonts w:ascii="宋体" w:hAnsi="宋体" w:cs="宋体" w:eastAsia="宋体" w:hint="default"/>
        </w:rPr>
        <w:t>1</w:t>
      </w:r>
      <w:r>
        <w:rPr/>
        <w:t>、公司地处“中国瓷都”潮州市，潮州是目前国内陶瓷主要产区之一。公司充分挖掘利用潮州质地优良的瓷土矿资源</w:t>
      </w:r>
    </w:p>
    <w:p>
      <w:pPr>
        <w:pStyle w:val="BodyText"/>
        <w:spacing w:line="316" w:lineRule="auto" w:before="19"/>
        <w:ind w:right="0"/>
        <w:jc w:val="left"/>
      </w:pPr>
      <w:r>
        <w:rPr>
          <w:spacing w:val="-2"/>
        </w:rPr>
        <w:t>和成熟完整的陶瓷产业配套等产业区位优势，将有限的资源重点用于研发设计和市场营销，将部分简单生产环节外协给其他</w:t>
      </w:r>
      <w:r>
        <w:rPr>
          <w:spacing w:val="-64"/>
        </w:rPr>
        <w:t> </w:t>
      </w:r>
      <w:r>
        <w:rPr>
          <w:spacing w:val="-64"/>
        </w:rPr>
      </w:r>
      <w:r>
        <w:rPr/>
        <w:t>企业生产，大幅提高公司的盈利能力以及市场反应能力。</w:t>
      </w:r>
    </w:p>
    <w:p>
      <w:pPr>
        <w:pStyle w:val="BodyText"/>
        <w:spacing w:line="316" w:lineRule="auto" w:before="19"/>
        <w:ind w:left="1133" w:right="1139" w:firstLine="360"/>
        <w:jc w:val="both"/>
      </w:pPr>
      <w:r>
        <w:rPr>
          <w:rFonts w:ascii="宋体" w:hAnsi="宋体" w:cs="宋体" w:eastAsia="宋体" w:hint="default"/>
        </w:rPr>
        <w:t>2</w:t>
      </w:r>
      <w:r>
        <w:rPr/>
        <w:t>、公司长期与国内知名工艺美术大师、国际知名陶瓷工作室等展开合作，共同开发适销产品，对“艺术产业化”进行 了有益探索，取得了良好的品牌效应和经济效益。</w:t>
      </w:r>
    </w:p>
    <w:p>
      <w:pPr>
        <w:pStyle w:val="BodyText"/>
        <w:spacing w:line="316" w:lineRule="auto" w:before="19"/>
        <w:ind w:right="1139" w:firstLine="360"/>
        <w:jc w:val="both"/>
      </w:pPr>
      <w:r>
        <w:rPr>
          <w:rFonts w:ascii="宋体" w:hAnsi="宋体" w:cs="宋体" w:eastAsia="宋体" w:hint="default"/>
        </w:rPr>
        <w:t>3</w:t>
      </w:r>
      <w:r>
        <w:rPr/>
        <w:t>、公司在传承传统陶瓷文化的基础上，将大量自主创新运用到现代艺术陶瓷的烧制当中，使其兼具悠久的历史文化底 蕴和现代艺术美感。</w:t>
      </w:r>
    </w:p>
    <w:p>
      <w:pPr>
        <w:pStyle w:val="BodyText"/>
        <w:spacing w:line="316" w:lineRule="auto" w:before="19"/>
        <w:ind w:left="1133" w:right="1132" w:firstLine="360"/>
        <w:jc w:val="both"/>
      </w:pPr>
      <w:r>
        <w:rPr>
          <w:rFonts w:ascii="宋体" w:hAnsi="宋体" w:cs="宋体" w:eastAsia="宋体" w:hint="default"/>
        </w:rPr>
        <w:t>4</w:t>
      </w:r>
      <w:r>
        <w:rPr/>
        <w:t>、公司还充分利用奥运会等体育盛事的商业资源对产品进行宣传，不仅极大的提升了产品感召力，也延展了产品的应 </w:t>
      </w:r>
      <w:r>
        <w:rPr>
          <w:spacing w:val="-5"/>
        </w:rPr>
        <w:t>用触角。譬如公司成功开发的“奥运国娃”、“茅台水立方酒瓶”等具有艺术价值的陶瓷产品，为公司带来了较为长久的品牌</w:t>
      </w:r>
      <w:r>
        <w:rPr>
          <w:spacing w:val="-81"/>
        </w:rPr>
        <w:t> </w:t>
      </w:r>
      <w:r>
        <w:rPr>
          <w:spacing w:val="-81"/>
        </w:rPr>
      </w:r>
      <w:r>
        <w:rPr/>
        <w:t>效应和经济效益。</w:t>
      </w:r>
    </w:p>
    <w:p>
      <w:pPr>
        <w:pStyle w:val="BodyText"/>
        <w:spacing w:line="319" w:lineRule="auto" w:before="19"/>
        <w:ind w:left="1493" w:right="0"/>
        <w:jc w:val="left"/>
      </w:pPr>
      <w:r>
        <w:rPr/>
        <w:t>（四）工艺技术优势 </w:t>
      </w:r>
      <w:r>
        <w:rPr>
          <w:spacing w:val="-2"/>
        </w:rPr>
        <w:t>公司将传统陶瓷文化与现代工艺技术相结合，在工艺技术等方面不断创新，从而降低生产成本，提高产品科技含量。公</w:t>
      </w:r>
    </w:p>
    <w:p>
      <w:pPr>
        <w:pStyle w:val="BodyText"/>
        <w:spacing w:line="240" w:lineRule="auto" w:before="17"/>
        <w:ind w:left="1133" w:right="0"/>
        <w:jc w:val="left"/>
      </w:pPr>
      <w:r>
        <w:rPr/>
        <w:t>司工艺技术优势具体表现如下：</w:t>
      </w:r>
    </w:p>
    <w:p>
      <w:pPr>
        <w:pStyle w:val="BodyText"/>
        <w:spacing w:line="316" w:lineRule="auto" w:before="76"/>
        <w:ind w:left="1133" w:right="1132" w:firstLine="360"/>
        <w:jc w:val="both"/>
      </w:pPr>
      <w:r>
        <w:rPr>
          <w:rFonts w:ascii="宋体" w:hAnsi="宋体" w:cs="宋体" w:eastAsia="宋体" w:hint="default"/>
          <w:spacing w:val="-2"/>
        </w:rPr>
        <w:t>1</w:t>
      </w:r>
      <w:r>
        <w:rPr>
          <w:spacing w:val="-2"/>
        </w:rPr>
        <w:t>、公司拥有占地</w:t>
      </w:r>
      <w:r>
        <w:rPr>
          <w:rFonts w:ascii="宋体" w:hAnsi="宋体" w:cs="宋体" w:eastAsia="宋体" w:hint="default"/>
          <w:spacing w:val="-2"/>
        </w:rPr>
        <w:t>6,000</w:t>
      </w:r>
      <w:r>
        <w:rPr>
          <w:rFonts w:ascii="宋体" w:hAnsi="宋体" w:cs="宋体" w:eastAsia="宋体" w:hint="default"/>
          <w:spacing w:val="16"/>
        </w:rPr>
        <w:t> </w:t>
      </w:r>
      <w:r>
        <w:rPr>
          <w:spacing w:val="-4"/>
        </w:rPr>
        <w:t>多平方米的“广东省陶瓷装饰材料工程技术研究开发中心”和“省级企业技术中心”。研发中心</w:t>
      </w:r>
      <w:r>
        <w:rPr/>
        <w:t> 拥有大量先进生产设备和仪器，可开展陶瓷行业相关的理化检测项目，能承担国家、省、市各级科研开发项目。</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1130" w:firstLine="360"/>
        <w:jc w:val="both"/>
      </w:pPr>
      <w:r>
        <w:rPr>
          <w:rFonts w:ascii="宋体" w:hAnsi="宋体" w:cs="宋体" w:eastAsia="宋体" w:hint="default"/>
          <w:spacing w:val="-2"/>
        </w:rPr>
        <w:t>2</w:t>
      </w:r>
      <w:r>
        <w:rPr>
          <w:spacing w:val="-2"/>
        </w:rPr>
        <w:t>、公司善于将新技术新设备引入到艺术陶瓷领域。例如公司在陶瓷行业最早订制“精雕</w:t>
      </w:r>
      <w:r>
        <w:rPr>
          <w:rFonts w:ascii="宋体" w:hAnsi="宋体" w:cs="宋体" w:eastAsia="宋体" w:hint="default"/>
          <w:spacing w:val="-2"/>
        </w:rPr>
        <w:t>CNC</w:t>
      </w:r>
      <w:r>
        <w:rPr>
          <w:rFonts w:ascii="宋体" w:hAnsi="宋体" w:cs="宋体" w:eastAsia="宋体" w:hint="default"/>
          <w:spacing w:val="27"/>
        </w:rPr>
        <w:t> </w:t>
      </w:r>
      <w:r>
        <w:rPr>
          <w:spacing w:val="-10"/>
        </w:rPr>
        <w:t>数控雕刻机”，使得模具从</w:t>
      </w:r>
      <w:r>
        <w:rPr/>
        <w:t> 设计到成型制作均能实现信息化和机械化，缩短产品的设计周期、有效降低成本。</w:t>
      </w:r>
    </w:p>
    <w:p>
      <w:pPr>
        <w:pStyle w:val="BodyText"/>
        <w:spacing w:line="357" w:lineRule="auto" w:before="59"/>
        <w:ind w:left="1493" w:right="1033"/>
        <w:jc w:val="left"/>
      </w:pPr>
      <w:r>
        <w:rPr/>
        <w:t>（五）发展战略转型优势 报告期内，通过追加认购教育基金新增基金份额来加强与专业的教育产业基金的合作，有利于文化长城孵化优质资产，</w:t>
      </w:r>
    </w:p>
    <w:p>
      <w:pPr>
        <w:pStyle w:val="BodyText"/>
        <w:spacing w:line="224" w:lineRule="exact"/>
        <w:ind w:left="1133" w:right="0"/>
        <w:jc w:val="left"/>
      </w:pPr>
      <w:r>
        <w:rPr/>
        <w:t>提升文化长城在教育领域的资本运作能力，实现教育产业布局。通过推进收购北京翡翠教育科技集团有限公司股权工作进一</w:t>
      </w:r>
    </w:p>
    <w:p>
      <w:pPr>
        <w:pStyle w:val="BodyText"/>
        <w:spacing w:line="316" w:lineRule="auto" w:before="76"/>
        <w:ind w:left="1133" w:right="0"/>
        <w:jc w:val="left"/>
      </w:pPr>
      <w:r>
        <w:rPr>
          <w:spacing w:val="-2"/>
        </w:rPr>
        <w:t>步拓宽公司在教育领域的发展路线。公司明确了涉足教育相关领域的发展目标，实现由单一的艺术陶瓷业务向艺术陶瓷与教</w:t>
      </w:r>
      <w:r>
        <w:rPr>
          <w:spacing w:val="-64"/>
        </w:rPr>
        <w:t> </w:t>
      </w:r>
      <w:r>
        <w:rPr>
          <w:spacing w:val="-64"/>
        </w:rPr>
      </w:r>
      <w:r>
        <w:rPr/>
        <w:t>育产业并存的战略规划。</w:t>
      </w:r>
    </w:p>
    <w:p>
      <w:pPr>
        <w:spacing w:line="240" w:lineRule="auto" w:before="4"/>
        <w:rPr>
          <w:rFonts w:ascii="宋体" w:hAnsi="宋体" w:cs="宋体" w:eastAsia="宋体" w:hint="default"/>
          <w:sz w:val="25"/>
          <w:szCs w:val="25"/>
        </w:rPr>
      </w:pPr>
    </w:p>
    <w:p>
      <w:pPr>
        <w:pStyle w:val="BodyText"/>
        <w:spacing w:line="240" w:lineRule="auto"/>
        <w:ind w:left="1493" w:right="0"/>
        <w:jc w:val="left"/>
      </w:pPr>
      <w:r>
        <w:rPr/>
        <w:t>二、公司的全资子公司联汛教育是一家专业的教育信息化服务提供商，其核心竞争力有以下几点：</w:t>
      </w:r>
    </w:p>
    <w:p>
      <w:pPr>
        <w:pStyle w:val="BodyText"/>
        <w:spacing w:line="316" w:lineRule="auto" w:before="76"/>
        <w:ind w:left="1514" w:right="0"/>
        <w:jc w:val="left"/>
      </w:pPr>
      <w:r>
        <w:rPr/>
        <w:t>（一）技术优势 教育运营服务方面，联汛教育通过综合利用移动通信、物联网、互联网等新技术，自主研发出</w:t>
      </w:r>
      <w:r>
        <w:rPr>
          <w:rFonts w:ascii="宋体" w:hAnsi="宋体" w:cs="宋体" w:eastAsia="宋体" w:hint="default"/>
        </w:rPr>
        <w:t>C/S</w:t>
      </w:r>
      <w:r>
        <w:rPr/>
        <w:t>＋</w:t>
      </w:r>
      <w:r>
        <w:rPr>
          <w:rFonts w:ascii="宋体" w:hAnsi="宋体" w:cs="宋体" w:eastAsia="宋体" w:hint="default"/>
        </w:rPr>
        <w:t>B/S</w:t>
      </w:r>
      <w:r>
        <w:rPr/>
        <w:t>架构相融合的</w:t>
      </w:r>
    </w:p>
    <w:p>
      <w:pPr>
        <w:pStyle w:val="BodyText"/>
        <w:spacing w:line="240" w:lineRule="auto" w:before="19"/>
        <w:ind w:left="1133" w:right="0"/>
        <w:jc w:val="left"/>
      </w:pPr>
      <w:r>
        <w:rPr/>
        <w:t>信息化服务平台。联汛教育通过信息化服务平台，提升校园管理的效率，实现教学管理的全面信息化。</w:t>
      </w:r>
    </w:p>
    <w:p>
      <w:pPr>
        <w:pStyle w:val="BodyText"/>
        <w:spacing w:line="316" w:lineRule="auto" w:before="76"/>
        <w:ind w:left="1494" w:right="0"/>
        <w:jc w:val="left"/>
      </w:pPr>
      <w:r>
        <w:rPr/>
        <w:t>（二）技术团队优势 </w:t>
      </w:r>
      <w:r>
        <w:rPr>
          <w:spacing w:val="-2"/>
        </w:rPr>
        <w:t>通过多年的业务发展，联汛教育已打造了一支以技术和教育专业人员为核心、结构合理、素质优良的队伍。联汛教育研</w:t>
      </w:r>
    </w:p>
    <w:p>
      <w:pPr>
        <w:pStyle w:val="BodyText"/>
        <w:spacing w:line="316" w:lineRule="auto" w:before="19"/>
        <w:ind w:right="1133"/>
        <w:jc w:val="both"/>
      </w:pPr>
      <w:r>
        <w:rPr>
          <w:spacing w:val="-2"/>
        </w:rPr>
        <w:t>发团队专注于教育信息化领域，不断创新。同时，联汛教育与各行业协会以及广东省职业技能鉴定指导中心建立长期合作交</w:t>
      </w:r>
      <w:r>
        <w:rPr>
          <w:spacing w:val="-66"/>
        </w:rPr>
        <w:t> </w:t>
      </w:r>
      <w:r>
        <w:rPr>
          <w:spacing w:val="-66"/>
        </w:rPr>
      </w:r>
      <w:r>
        <w:rPr>
          <w:spacing w:val="-2"/>
        </w:rPr>
        <w:t>流，经过长期的人力资源开发不断吸纳、充实和优化团队结构，提升其创新能力。经过近年来的技术积累，联汛教育已在客</w:t>
      </w:r>
      <w:r>
        <w:rPr>
          <w:spacing w:val="-66"/>
        </w:rPr>
        <w:t> </w:t>
      </w:r>
      <w:r>
        <w:rPr>
          <w:spacing w:val="-66"/>
        </w:rPr>
      </w:r>
      <w:r>
        <w:rPr/>
        <w:t>户端、服务器、系统平台架构、产品迭代开发等方面形成多项核心技术。</w:t>
      </w:r>
    </w:p>
    <w:p>
      <w:pPr>
        <w:pStyle w:val="BodyText"/>
        <w:spacing w:line="316" w:lineRule="auto" w:before="19"/>
        <w:ind w:left="1493" w:right="1123"/>
        <w:jc w:val="left"/>
      </w:pPr>
      <w:r>
        <w:rPr/>
        <w:t>（三）产品优势 教育信息化服务应用产品主要优势包括：</w:t>
      </w:r>
      <w:r>
        <w:rPr>
          <w:rFonts w:ascii="宋体" w:hAnsi="宋体" w:cs="宋体" w:eastAsia="宋体" w:hint="default"/>
        </w:rPr>
        <w:t>1</w:t>
      </w:r>
      <w:r>
        <w:rPr/>
        <w:t>）可覆盖各类终端系统，包括</w:t>
      </w:r>
      <w:r>
        <w:rPr>
          <w:rFonts w:ascii="宋体" w:hAnsi="宋体" w:cs="宋体" w:eastAsia="宋体" w:hint="default"/>
        </w:rPr>
        <w:t>PC</w:t>
      </w:r>
      <w:r>
        <w:rPr/>
        <w:t>端、</w:t>
      </w:r>
      <w:r>
        <w:rPr>
          <w:rFonts w:ascii="宋体" w:hAnsi="宋体" w:cs="宋体" w:eastAsia="宋体" w:hint="default"/>
        </w:rPr>
        <w:t>IOS</w:t>
      </w:r>
      <w:r>
        <w:rPr/>
        <w:t>和</w:t>
      </w:r>
      <w:r>
        <w:rPr>
          <w:rFonts w:ascii="宋体" w:hAnsi="宋体" w:cs="宋体" w:eastAsia="宋体" w:hint="default"/>
        </w:rPr>
        <w:t>Android</w:t>
      </w:r>
      <w:r>
        <w:rPr/>
        <w:t>手机应用客户端、普通手</w:t>
      </w:r>
    </w:p>
    <w:p>
      <w:pPr>
        <w:pStyle w:val="BodyText"/>
        <w:spacing w:line="316" w:lineRule="auto" w:before="19"/>
        <w:ind w:left="1133" w:right="1033"/>
        <w:jc w:val="left"/>
      </w:pPr>
      <w:r>
        <w:rPr/>
        <w:t>机等；</w:t>
      </w:r>
      <w:r>
        <w:rPr>
          <w:rFonts w:ascii="宋体" w:hAnsi="宋体" w:cs="宋体" w:eastAsia="宋体" w:hint="default"/>
        </w:rPr>
        <w:t>2</w:t>
      </w:r>
      <w:r>
        <w:rPr/>
        <w:t>）沟通方式多样，包括短信、语音、图片、视频等各种形式；</w:t>
      </w:r>
      <w:r>
        <w:rPr>
          <w:rFonts w:ascii="宋体" w:hAnsi="宋体" w:cs="宋体" w:eastAsia="宋体" w:hint="default"/>
        </w:rPr>
        <w:t>3</w:t>
      </w:r>
      <w:r>
        <w:rPr/>
        <w:t>）软硬件相结合，联汛教育在进行软件开发的同时， </w:t>
      </w:r>
      <w:r>
        <w:rPr>
          <w:spacing w:val="-2"/>
        </w:rPr>
        <w:t>引入了相关的硬件产品研发，并将软硬件进行结合，为学校提供系统性信息化平台，拓展了校园管理服务种类，提高了管理</w:t>
      </w:r>
      <w:r>
        <w:rPr>
          <w:spacing w:val="-66"/>
        </w:rPr>
        <w:t> </w:t>
      </w:r>
      <w:r>
        <w:rPr>
          <w:spacing w:val="-66"/>
        </w:rPr>
      </w:r>
      <w:r>
        <w:rPr/>
        <w:t>效率。</w:t>
      </w:r>
    </w:p>
    <w:p>
      <w:pPr>
        <w:pStyle w:val="BodyText"/>
        <w:spacing w:line="316" w:lineRule="auto" w:before="19"/>
        <w:ind w:left="1133" w:right="1133" w:firstLine="380"/>
        <w:jc w:val="both"/>
      </w:pPr>
      <w:r>
        <w:rPr/>
        <w:t>同时，联汛教育的教育信息化服务不仅面向中小学校，还通过提供职业教育综合解决方案，进入职业教育领域。相对 </w:t>
      </w:r>
      <w:r>
        <w:rPr>
          <w:spacing w:val="-2"/>
        </w:rPr>
        <w:t>于传统家校互动业务学生高中毕业后丢失用户的问题，联汛教育开创了职业教育信息服务疏导分流毕业生，为初、高中毕业</w:t>
      </w:r>
      <w:r>
        <w:rPr>
          <w:spacing w:val="-66"/>
        </w:rPr>
        <w:t> </w:t>
      </w:r>
      <w:r>
        <w:rPr>
          <w:spacing w:val="-66"/>
        </w:rPr>
      </w:r>
      <w:r>
        <w:rPr/>
        <w:t>生提供职业教育信息服务，长期、持续保持用户的黏性。</w:t>
      </w:r>
    </w:p>
    <w:p>
      <w:pPr>
        <w:pStyle w:val="BodyText"/>
        <w:spacing w:line="316" w:lineRule="auto" w:before="19"/>
        <w:ind w:left="1514" w:right="0"/>
        <w:jc w:val="left"/>
      </w:pPr>
      <w:r>
        <w:rPr/>
        <w:t>（四）业务模式优势 联汛教育根据行业发展的特性，选择了主要与基础运营商和社会渠道商深入合作共同推动业务发展的业务模式，借助</w:t>
      </w:r>
    </w:p>
    <w:p>
      <w:pPr>
        <w:pStyle w:val="BodyText"/>
        <w:spacing w:line="316" w:lineRule="auto" w:before="19"/>
        <w:ind w:right="0"/>
        <w:jc w:val="left"/>
      </w:pPr>
      <w:r>
        <w:rPr>
          <w:spacing w:val="-4"/>
        </w:rPr>
        <w:t>其在品牌影响力和属地关系等方面的优势，充分发挥了合作双方优势，形成了互惠共赢的快速发展局面。该业务模式的采用，</w:t>
      </w:r>
      <w:r>
        <w:rPr>
          <w:spacing w:val="-44"/>
        </w:rPr>
        <w:t> </w:t>
      </w:r>
      <w:r>
        <w:rPr>
          <w:spacing w:val="-44"/>
        </w:rPr>
      </w:r>
      <w:r>
        <w:rPr>
          <w:spacing w:val="-2"/>
        </w:rPr>
        <w:t>使联汛教育得以专注于业务创新、服务产品研发、市场开拓、用户服务、满足用户需求等核心运营工作，强化了在产业链中</w:t>
      </w:r>
      <w:r>
        <w:rPr>
          <w:spacing w:val="-66"/>
        </w:rPr>
        <w:t> </w:t>
      </w:r>
      <w:r>
        <w:rPr>
          <w:spacing w:val="-66"/>
        </w:rPr>
      </w:r>
      <w:r>
        <w:rPr/>
        <w:t>的专业运营能力。</w:t>
      </w:r>
    </w:p>
    <w:p>
      <w:pPr>
        <w:spacing w:line="240" w:lineRule="auto" w:before="4"/>
        <w:rPr>
          <w:rFonts w:ascii="宋体" w:hAnsi="宋体" w:cs="宋体" w:eastAsia="宋体" w:hint="default"/>
          <w:sz w:val="25"/>
          <w:szCs w:val="25"/>
        </w:rPr>
      </w:pPr>
    </w:p>
    <w:p>
      <w:pPr>
        <w:pStyle w:val="BodyText"/>
        <w:spacing w:line="316" w:lineRule="auto"/>
        <w:ind w:left="1133" w:right="1131" w:firstLine="380"/>
        <w:jc w:val="both"/>
      </w:pPr>
      <w:r>
        <w:rPr/>
        <w:t>三、公司的全资子公司智游臻龙是一家专注于为社会和企业培养优秀就业人才的优秀公司，其在互联网领域，尤其是 </w:t>
      </w:r>
      <w:r>
        <w:rPr>
          <w:spacing w:val="-2"/>
        </w:rPr>
        <w:t>专业等细分领域的培训质量在全国范围内多年来名列前茅。其具备拥有丰富的职业技能培训经验和实力，同时拥有完善的课</w:t>
      </w:r>
      <w:r>
        <w:rPr>
          <w:spacing w:val="-64"/>
        </w:rPr>
        <w:t> </w:t>
      </w:r>
      <w:r>
        <w:rPr>
          <w:spacing w:val="-64"/>
        </w:rPr>
      </w:r>
      <w:r>
        <w:rPr/>
        <w:t>程体系和丰富的教学管理经验，是一家能够脚踏实地、</w:t>
      </w:r>
      <w:r>
        <w:rPr>
          <w:spacing w:val="-47"/>
        </w:rPr>
        <w:t> </w:t>
      </w:r>
      <w:r>
        <w:rPr/>
        <w:t>积极进取</w:t>
      </w:r>
      <w:r>
        <w:rPr>
          <w:spacing w:val="-34"/>
        </w:rPr>
        <w:t> </w:t>
      </w:r>
      <w:r>
        <w:rPr/>
        <w:t>、努力耕耘，并有自己核心体系和技术的优质职业技能培</w:t>
      </w:r>
      <w:r>
        <w:rPr/>
        <w:t> 训机构。</w:t>
      </w:r>
    </w:p>
    <w:p>
      <w:pPr>
        <w:spacing w:after="0" w:line="316" w:lineRule="auto"/>
        <w:jc w:val="both"/>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6"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70" w:firstLine="420"/>
        <w:jc w:val="both"/>
      </w:pPr>
      <w:r>
        <w:rPr/>
        <w:t>报告期内，公司董事会带领管理层和全体员工积极主动顺应市场发展趋势，持续调整发展战略，推进产业布局，并通 过内部整顿、协调团队，整合各方优势资源，进一步提升公司整体综合实力。</w:t>
      </w:r>
    </w:p>
    <w:p>
      <w:pPr>
        <w:pStyle w:val="BodyText"/>
        <w:spacing w:line="316" w:lineRule="auto" w:before="19"/>
        <w:ind w:left="1554" w:right="0"/>
        <w:jc w:val="left"/>
      </w:pPr>
      <w:r>
        <w:rPr/>
        <w:t>报告期内，公司主要做了以下几项重点工作： </w:t>
      </w:r>
      <w:r>
        <w:rPr>
          <w:rFonts w:ascii="宋体" w:hAnsi="宋体" w:cs="宋体" w:eastAsia="宋体" w:hint="default"/>
          <w:spacing w:val="-2"/>
        </w:rPr>
        <w:t>1</w:t>
      </w:r>
      <w:r>
        <w:rPr>
          <w:spacing w:val="-2"/>
        </w:rPr>
        <w:t>、在陶瓷业务方面，公司积极参加国内外各类展会，在巩固外销客户的基础上，加强国内市场客户的开拓；公司动员</w:t>
      </w:r>
    </w:p>
    <w:p>
      <w:pPr>
        <w:pStyle w:val="BodyText"/>
        <w:spacing w:line="316" w:lineRule="auto" w:before="19"/>
        <w:ind w:left="1133" w:right="0"/>
        <w:jc w:val="left"/>
      </w:pPr>
      <w:r>
        <w:rPr>
          <w:spacing w:val="-2"/>
        </w:rPr>
        <w:t>全员响应节能降耗的号召，减少不必要的支出；精简人员，提高个人效率；狠抓产品质量；在适应市场的情况下不断提升创</w:t>
      </w:r>
      <w:r>
        <w:rPr>
          <w:spacing w:val="-66"/>
        </w:rPr>
        <w:t> </w:t>
      </w:r>
      <w:r>
        <w:rPr>
          <w:spacing w:val="-66"/>
        </w:rPr>
      </w:r>
      <w:r>
        <w:rPr/>
        <w:t>新能力，及时落实知识产权保护。</w:t>
      </w:r>
    </w:p>
    <w:p>
      <w:pPr>
        <w:pStyle w:val="BodyText"/>
        <w:spacing w:line="316" w:lineRule="auto" w:before="19"/>
        <w:ind w:right="1129" w:firstLine="420"/>
        <w:jc w:val="both"/>
      </w:pPr>
      <w:r>
        <w:rPr>
          <w:rFonts w:ascii="宋体" w:hAnsi="宋体" w:cs="宋体" w:eastAsia="宋体" w:hint="default"/>
          <w:spacing w:val="-2"/>
        </w:rPr>
        <w:t>2</w:t>
      </w:r>
      <w:r>
        <w:rPr>
          <w:spacing w:val="-2"/>
        </w:rPr>
        <w:t>、在教育产业方面，联汛教育是综合性教育信息服务提供商，以云计算、物联网和移动互联网为核心技术打造智慧教</w:t>
      </w:r>
      <w:r>
        <w:rPr/>
        <w:t> </w:t>
      </w:r>
      <w:r>
        <w:rPr>
          <w:spacing w:val="-2"/>
        </w:rPr>
        <w:t>育云一体化解决方案，为中小学提供教育资源公共服务、教育管理公共服务和平安校园管理服务，同时也为职业教育实训室</w:t>
      </w:r>
      <w:r>
        <w:rPr>
          <w:spacing w:val="-66"/>
        </w:rPr>
        <w:t> </w:t>
      </w:r>
      <w:r>
        <w:rPr>
          <w:spacing w:val="-66"/>
        </w:rPr>
      </w:r>
      <w:r>
        <w:rPr>
          <w:spacing w:val="-2"/>
        </w:rPr>
        <w:t>提供综合解决方案，在全国教育系统大力建设“三通两平台”的大环境下，联讯教育加强团队管理，加紧全国市场开拓，超</w:t>
      </w:r>
      <w:r>
        <w:rPr>
          <w:spacing w:val="-67"/>
        </w:rPr>
        <w:t> </w:t>
      </w:r>
      <w:r>
        <w:rPr>
          <w:spacing w:val="-67"/>
        </w:rPr>
      </w:r>
      <w:r>
        <w:rPr>
          <w:spacing w:val="-2"/>
        </w:rPr>
        <w:t>额完成业绩承诺。智游教育在</w:t>
      </w:r>
      <w:r>
        <w:rPr>
          <w:rFonts w:ascii="宋体" w:hAnsi="宋体" w:cs="宋体" w:eastAsia="宋体" w:hint="default"/>
          <w:spacing w:val="-2"/>
        </w:rPr>
        <w:t>2017</w:t>
      </w:r>
      <w:r>
        <w:rPr>
          <w:spacing w:val="-2"/>
        </w:rPr>
        <w:t>年借助文化长城平台优势不断布局和提高内部管理，凭借优秀的教学质量和就业结果，在</w:t>
      </w:r>
      <w:r>
        <w:rPr>
          <w:spacing w:val="-62"/>
        </w:rPr>
        <w:t> </w:t>
      </w:r>
      <w:r>
        <w:rPr>
          <w:spacing w:val="-62"/>
        </w:rPr>
      </w:r>
      <w:r>
        <w:rPr>
          <w:spacing w:val="-2"/>
        </w:rPr>
        <w:t>市场环境并不理想的情况下，超额完成业绩承诺，并且完成了分校布局、招生模式创新、教学模式创新、渠道拓展等重要事</w:t>
      </w:r>
      <w:r>
        <w:rPr>
          <w:spacing w:val="-66"/>
        </w:rPr>
        <w:t> </w:t>
      </w:r>
      <w:r>
        <w:rPr>
          <w:spacing w:val="-66"/>
        </w:rPr>
      </w:r>
      <w:r>
        <w:rPr/>
        <w:t>宜，为以后几年的发展奠定了基础，打开了盈利空间。</w:t>
      </w:r>
    </w:p>
    <w:p>
      <w:pPr>
        <w:pStyle w:val="BodyText"/>
        <w:spacing w:line="316" w:lineRule="auto" w:before="19"/>
        <w:ind w:right="1132" w:firstLine="420"/>
        <w:jc w:val="both"/>
      </w:pPr>
      <w:r>
        <w:rPr>
          <w:rFonts w:ascii="宋体" w:hAnsi="宋体" w:cs="宋体" w:eastAsia="宋体" w:hint="default"/>
          <w:spacing w:val="-2"/>
        </w:rPr>
        <w:t>3</w:t>
      </w:r>
      <w:r>
        <w:rPr>
          <w:spacing w:val="-2"/>
        </w:rPr>
        <w:t>、进一步优化平台化控股集团管理模式。报告期内，公司建立了有效的公司治理机制，加强公司在业务经营、财务运</w:t>
      </w:r>
      <w:r>
        <w:rPr/>
        <w:t> </w:t>
      </w:r>
      <w:r>
        <w:rPr>
          <w:spacing w:val="-2"/>
        </w:rPr>
        <w:t>作、对外投资、抵押担保、资产处置等方面对新收购公司的管理与控制，使上市公司与新收购公司形成有机整体，提高整体</w:t>
      </w:r>
      <w:r>
        <w:rPr>
          <w:spacing w:val="-66"/>
        </w:rPr>
        <w:t> </w:t>
      </w:r>
      <w:r>
        <w:rPr>
          <w:spacing w:val="-66"/>
        </w:rPr>
      </w:r>
      <w:r>
        <w:rPr/>
        <w:t>决策水平和风险管控能力，提升整体经营管理水平和运营效率，以适应上市公司资产和业务规模的增长。</w:t>
      </w:r>
    </w:p>
    <w:p>
      <w:pPr>
        <w:pStyle w:val="BodyText"/>
        <w:spacing w:line="319" w:lineRule="auto" w:before="19"/>
        <w:ind w:left="1133" w:right="1132" w:firstLine="420"/>
        <w:jc w:val="both"/>
      </w:pPr>
      <w:r>
        <w:rPr>
          <w:rFonts w:ascii="宋体" w:hAnsi="宋体" w:cs="宋体" w:eastAsia="宋体" w:hint="default"/>
          <w:spacing w:val="-2"/>
        </w:rPr>
        <w:t>4</w:t>
      </w:r>
      <w:r>
        <w:rPr>
          <w:spacing w:val="-2"/>
        </w:rPr>
        <w:t>、充分利用资本市场平台，全面推动并购工作。报告期内，公司积极探索多渠道融资，在继续发挥以商业银行为主要</w:t>
      </w:r>
      <w:r>
        <w:rPr/>
        <w:t> 融资渠道的同时，利用资本市场的优势，积极拓展其它融资渠道；加快教育相关领域资产的收购兼并进程。</w:t>
      </w:r>
    </w:p>
    <w:p>
      <w:pPr>
        <w:pStyle w:val="BodyText"/>
        <w:spacing w:line="240" w:lineRule="auto" w:before="17"/>
        <w:ind w:left="1493" w:right="0"/>
        <w:jc w:val="left"/>
      </w:pPr>
      <w:r>
        <w:rPr>
          <w:rFonts w:ascii="宋体" w:hAnsi="宋体" w:cs="宋体" w:eastAsia="宋体" w:hint="default"/>
        </w:rPr>
        <w:t>2017</w:t>
      </w:r>
      <w:r>
        <w:rPr>
          <w:rFonts w:ascii="宋体" w:hAnsi="宋体" w:cs="宋体" w:eastAsia="宋体" w:hint="default"/>
          <w:spacing w:val="-70"/>
        </w:rPr>
        <w:t> </w:t>
      </w:r>
      <w:r>
        <w:rPr>
          <w:spacing w:val="12"/>
        </w:rPr>
        <w:t>年度，</w:t>
      </w:r>
      <w:r>
        <w:rPr>
          <w:spacing w:val="-72"/>
        </w:rPr>
        <w:t> </w:t>
      </w:r>
      <w:r>
        <w:rPr>
          <w:spacing w:val="16"/>
        </w:rPr>
        <w:t>公司实现合并营业收入</w:t>
      </w:r>
      <w:r>
        <w:rPr>
          <w:spacing w:val="-69"/>
        </w:rPr>
        <w:t> </w:t>
      </w:r>
      <w:r>
        <w:rPr>
          <w:rFonts w:ascii="宋体" w:hAnsi="宋体" w:cs="宋体" w:eastAsia="宋体" w:hint="default"/>
        </w:rPr>
        <w:t>540,117,836.79</w:t>
      </w:r>
      <w:r>
        <w:rPr>
          <w:rFonts w:ascii="宋体" w:hAnsi="宋体" w:cs="宋体" w:eastAsia="宋体" w:hint="default"/>
          <w:spacing w:val="-70"/>
        </w:rPr>
        <w:t> </w:t>
      </w:r>
      <w:r>
        <w:rPr>
          <w:spacing w:val="9"/>
        </w:rPr>
        <w:t>元，</w:t>
      </w:r>
      <w:r>
        <w:rPr>
          <w:spacing w:val="-72"/>
        </w:rPr>
        <w:t> </w:t>
      </w:r>
      <w:r>
        <w:rPr>
          <w:spacing w:val="12"/>
        </w:rPr>
        <w:t>其中，</w:t>
      </w:r>
      <w:r>
        <w:rPr>
          <w:spacing w:val="-70"/>
        </w:rPr>
        <w:t> </w:t>
      </w:r>
      <w:r>
        <w:rPr>
          <w:spacing w:val="15"/>
        </w:rPr>
        <w:t>主营业务收入</w:t>
      </w:r>
      <w:r>
        <w:rPr>
          <w:spacing w:val="-69"/>
        </w:rPr>
        <w:t> </w:t>
      </w:r>
      <w:r>
        <w:rPr>
          <w:rFonts w:ascii="宋体" w:hAnsi="宋体" w:cs="宋体" w:eastAsia="宋体" w:hint="default"/>
        </w:rPr>
        <w:t>535,614,241.43</w:t>
      </w:r>
      <w:r>
        <w:rPr>
          <w:rFonts w:ascii="宋体" w:hAnsi="宋体" w:cs="宋体" w:eastAsia="宋体" w:hint="default"/>
          <w:spacing w:val="-70"/>
        </w:rPr>
        <w:t> </w:t>
      </w:r>
      <w:r>
        <w:rPr>
          <w:spacing w:val="9"/>
        </w:rPr>
        <w:t>元；</w:t>
      </w:r>
      <w:r>
        <w:rPr>
          <w:spacing w:val="-72"/>
        </w:rPr>
        <w:t> </w:t>
      </w:r>
      <w:r>
        <w:rPr>
          <w:spacing w:val="15"/>
        </w:rPr>
        <w:t>国内销售收入</w:t>
      </w:r>
    </w:p>
    <w:p>
      <w:pPr>
        <w:pStyle w:val="BodyText"/>
        <w:spacing w:line="240" w:lineRule="auto" w:before="76"/>
        <w:ind w:right="0"/>
        <w:jc w:val="left"/>
      </w:pPr>
      <w:r>
        <w:rPr>
          <w:rFonts w:ascii="宋体" w:hAnsi="宋体" w:cs="宋体" w:eastAsia="宋体" w:hint="default"/>
          <w:spacing w:val="5"/>
        </w:rPr>
        <w:t>276,047,764.81</w:t>
      </w:r>
      <w:r>
        <w:rPr>
          <w:spacing w:val="5"/>
        </w:rPr>
        <w:t>元，占主营业务收入的</w:t>
      </w:r>
      <w:r>
        <w:rPr>
          <w:rFonts w:ascii="宋体" w:hAnsi="宋体" w:cs="宋体" w:eastAsia="宋体" w:hint="default"/>
          <w:spacing w:val="5"/>
        </w:rPr>
        <w:t>51.54%</w:t>
      </w:r>
      <w:r>
        <w:rPr>
          <w:spacing w:val="5"/>
        </w:rPr>
        <w:t>，境外销售</w:t>
      </w:r>
      <w:r>
        <w:rPr>
          <w:rFonts w:ascii="宋体" w:hAnsi="宋体" w:cs="宋体" w:eastAsia="宋体" w:hint="default"/>
          <w:spacing w:val="5"/>
        </w:rPr>
        <w:t>259,566,476.62</w:t>
      </w:r>
      <w:r>
        <w:rPr>
          <w:spacing w:val="5"/>
        </w:rPr>
        <w:t>元，占主营业务收入的</w:t>
      </w:r>
      <w:r>
        <w:rPr>
          <w:spacing w:val="-26"/>
        </w:rPr>
        <w:t> </w:t>
      </w:r>
      <w:r>
        <w:rPr>
          <w:rFonts w:ascii="宋体" w:hAnsi="宋体" w:cs="宋体" w:eastAsia="宋体" w:hint="default"/>
          <w:spacing w:val="6"/>
        </w:rPr>
        <w:t>48.46%</w:t>
      </w:r>
      <w:r>
        <w:rPr>
          <w:spacing w:val="6"/>
        </w:rPr>
        <w:t>；实现净利润</w:t>
      </w:r>
    </w:p>
    <w:p>
      <w:pPr>
        <w:pStyle w:val="BodyText"/>
        <w:spacing w:line="240" w:lineRule="auto" w:before="76"/>
        <w:ind w:right="0"/>
        <w:jc w:val="left"/>
      </w:pPr>
      <w:r>
        <w:rPr>
          <w:rFonts w:ascii="宋体" w:hAnsi="宋体" w:cs="宋体" w:eastAsia="宋体" w:hint="default"/>
        </w:rPr>
        <w:t>73,373,245.08</w:t>
      </w:r>
      <w:r>
        <w:rPr/>
        <w:t>元。</w:t>
      </w:r>
    </w:p>
    <w:p>
      <w:pPr>
        <w:pStyle w:val="BodyText"/>
        <w:spacing w:line="240" w:lineRule="auto" w:before="76"/>
        <w:ind w:left="1493" w:right="0"/>
        <w:jc w:val="left"/>
      </w:pPr>
      <w:r>
        <w:rPr>
          <w:rFonts w:ascii="宋体" w:hAnsi="宋体" w:cs="宋体" w:eastAsia="宋体" w:hint="default"/>
          <w:spacing w:val="3"/>
        </w:rPr>
        <w:t>2017</w:t>
      </w:r>
      <w:r>
        <w:rPr>
          <w:spacing w:val="3"/>
        </w:rPr>
        <w:t>年度，销售费用</w:t>
      </w:r>
      <w:r>
        <w:rPr>
          <w:rFonts w:ascii="宋体" w:hAnsi="宋体" w:cs="宋体" w:eastAsia="宋体" w:hint="default"/>
          <w:spacing w:val="3"/>
        </w:rPr>
        <w:t>46,745,855.08</w:t>
      </w:r>
      <w:r>
        <w:rPr>
          <w:spacing w:val="3"/>
        </w:rPr>
        <w:t>元，增幅为</w:t>
      </w:r>
      <w:r>
        <w:rPr>
          <w:rFonts w:ascii="宋体" w:hAnsi="宋体" w:cs="宋体" w:eastAsia="宋体" w:hint="default"/>
          <w:spacing w:val="3"/>
        </w:rPr>
        <w:t>19.39%</w:t>
      </w:r>
      <w:r>
        <w:rPr>
          <w:spacing w:val="3"/>
        </w:rPr>
        <w:t>；管理费用</w:t>
      </w:r>
      <w:r>
        <w:rPr>
          <w:rFonts w:ascii="宋体" w:hAnsi="宋体" w:cs="宋体" w:eastAsia="宋体" w:hint="default"/>
          <w:spacing w:val="3"/>
        </w:rPr>
        <w:t>75,991,246.91</w:t>
      </w:r>
      <w:r>
        <w:rPr>
          <w:spacing w:val="3"/>
        </w:rPr>
        <w:t>元，比去年上升</w:t>
      </w:r>
      <w:r>
        <w:rPr>
          <w:rFonts w:ascii="宋体" w:hAnsi="宋体" w:cs="宋体" w:eastAsia="宋体" w:hint="default"/>
          <w:spacing w:val="3"/>
        </w:rPr>
        <w:t>23.90%</w:t>
      </w:r>
      <w:r>
        <w:rPr>
          <w:spacing w:val="3"/>
        </w:rPr>
        <w:t>；财务费用</w:t>
      </w:r>
      <w:r>
        <w:rPr/>
      </w:r>
    </w:p>
    <w:p>
      <w:pPr>
        <w:pStyle w:val="BodyText"/>
        <w:spacing w:line="240" w:lineRule="auto" w:before="76"/>
        <w:ind w:left="1133" w:right="0"/>
        <w:jc w:val="left"/>
      </w:pPr>
      <w:r>
        <w:rPr>
          <w:rFonts w:ascii="宋体" w:hAnsi="宋体" w:cs="宋体" w:eastAsia="宋体" w:hint="default"/>
        </w:rPr>
        <w:t>53,051,054.75</w:t>
      </w:r>
      <w:r>
        <w:rPr/>
        <w:t>元</w:t>
      </w:r>
      <w:r>
        <w:rPr>
          <w:rFonts w:ascii="宋体" w:hAnsi="宋体" w:cs="宋体" w:eastAsia="宋体" w:hint="default"/>
        </w:rPr>
        <w:t>,</w:t>
      </w:r>
      <w:r>
        <w:rPr/>
        <w:t>增幅为</w:t>
      </w:r>
      <w:r>
        <w:rPr>
          <w:rFonts w:ascii="宋体" w:hAnsi="宋体" w:cs="宋体" w:eastAsia="宋体" w:hint="default"/>
        </w:rPr>
        <w:t>2929.78%</w:t>
      </w:r>
      <w:r>
        <w:rPr/>
        <w:t>，主要是</w:t>
      </w:r>
      <w:r>
        <w:rPr>
          <w:rFonts w:ascii="宋体" w:hAnsi="宋体" w:cs="宋体" w:eastAsia="宋体" w:hint="default"/>
        </w:rPr>
        <w:t>2017</w:t>
      </w:r>
      <w:r>
        <w:rPr/>
        <w:t>年汇率浮动大致汇兑损益变化大，以及贷款利息支出增多所致。</w:t>
      </w:r>
    </w:p>
    <w:p>
      <w:pPr>
        <w:pStyle w:val="BodyText"/>
        <w:spacing w:line="316" w:lineRule="auto" w:before="76"/>
        <w:ind w:left="1133" w:right="1114" w:firstLine="360"/>
        <w:jc w:val="both"/>
      </w:pPr>
      <w:r>
        <w:rPr>
          <w:rFonts w:ascii="宋体" w:hAnsi="宋体" w:cs="宋体" w:eastAsia="宋体" w:hint="default"/>
        </w:rPr>
        <w:t>2017</w:t>
      </w:r>
      <w:r>
        <w:rPr/>
        <w:t>年度，经营活动产生的现金净流量 </w:t>
      </w:r>
      <w:r>
        <w:rPr>
          <w:rFonts w:ascii="宋体" w:hAnsi="宋体" w:cs="宋体" w:eastAsia="宋体" w:hint="default"/>
        </w:rPr>
        <w:t>121,821,979.90</w:t>
      </w:r>
      <w:r>
        <w:rPr>
          <w:rFonts w:ascii="宋体" w:hAnsi="宋体" w:cs="宋体" w:eastAsia="宋体" w:hint="default"/>
          <w:spacing w:val="5"/>
        </w:rPr>
        <w:t> </w:t>
      </w:r>
      <w:r>
        <w:rPr/>
        <w:t>元，比去年减少</w:t>
      </w:r>
      <w:r>
        <w:rPr>
          <w:rFonts w:ascii="宋体" w:hAnsi="宋体" w:cs="宋体" w:eastAsia="宋体" w:hint="default"/>
        </w:rPr>
        <w:t>20.3%</w:t>
      </w:r>
      <w:r>
        <w:rPr/>
        <w:t>，主要是经营现金流出增加所致；投资 </w:t>
      </w:r>
      <w:r>
        <w:rPr>
          <w:spacing w:val="13"/>
        </w:rPr>
        <w:t>活动产生的现金净量 </w:t>
      </w:r>
      <w:r>
        <w:rPr>
          <w:rFonts w:ascii="宋体" w:hAnsi="宋体" w:cs="宋体" w:eastAsia="宋体" w:hint="default"/>
        </w:rPr>
        <w:t>-289,871,510.98</w:t>
      </w:r>
      <w:r>
        <w:rPr>
          <w:rFonts w:ascii="宋体" w:hAnsi="宋体" w:cs="宋体" w:eastAsia="宋体" w:hint="default"/>
          <w:spacing w:val="44"/>
        </w:rPr>
        <w:t> </w:t>
      </w:r>
      <w:r>
        <w:rPr>
          <w:spacing w:val="13"/>
        </w:rPr>
        <w:t>元，比去年增加</w:t>
      </w:r>
      <w:r>
        <w:rPr>
          <w:rFonts w:ascii="宋体" w:hAnsi="宋体" w:cs="宋体" w:eastAsia="宋体" w:hint="default"/>
          <w:spacing w:val="13"/>
        </w:rPr>
        <w:t>33.7%</w:t>
      </w:r>
      <w:r>
        <w:rPr>
          <w:spacing w:val="13"/>
        </w:rPr>
        <w:t>，主要是增加投资所致；筹资活动生产的现金净流量</w:t>
      </w:r>
      <w:r>
        <w:rPr>
          <w:spacing w:val="15"/>
        </w:rPr>
        <w:t> </w:t>
      </w:r>
      <w:r>
        <w:rPr>
          <w:rFonts w:ascii="宋体" w:hAnsi="宋体" w:cs="宋体" w:eastAsia="宋体" w:hint="default"/>
        </w:rPr>
        <w:t>184,336,153.20</w:t>
      </w:r>
      <w:r>
        <w:rPr/>
        <w:t>元，比去年减少</w:t>
      </w:r>
      <w:r>
        <w:rPr>
          <w:rFonts w:ascii="宋体" w:hAnsi="宋体" w:cs="宋体" w:eastAsia="宋体" w:hint="default"/>
        </w:rPr>
        <w:t>65.22%</w:t>
      </w:r>
      <w:r>
        <w:rPr/>
        <w:t>，主要是吸收投资减少所致；汇率变动对现金的影响额为</w:t>
      </w:r>
      <w:r>
        <w:rPr>
          <w:rFonts w:ascii="宋体" w:hAnsi="宋体" w:cs="宋体" w:eastAsia="宋体" w:hint="default"/>
        </w:rPr>
        <w:t>-1,404,950.41</w:t>
      </w:r>
      <w:r>
        <w:rPr/>
        <w:t>元，比去年</w:t>
      </w:r>
      <w:r>
        <w:rPr>
          <w:spacing w:val="-84"/>
        </w:rPr>
        <w:t> </w:t>
      </w:r>
      <w:r>
        <w:rPr>
          <w:spacing w:val="-2"/>
        </w:rPr>
        <w:t>减少</w:t>
      </w:r>
      <w:r>
        <w:rPr>
          <w:rFonts w:ascii="宋体" w:hAnsi="宋体" w:cs="宋体" w:eastAsia="宋体" w:hint="default"/>
          <w:spacing w:val="-2"/>
        </w:rPr>
        <w:t>183.77%</w:t>
      </w:r>
      <w:r>
        <w:rPr>
          <w:spacing w:val="-2"/>
        </w:rPr>
        <w:t>，主要是</w:t>
      </w:r>
      <w:r>
        <w:rPr>
          <w:rFonts w:ascii="宋体" w:hAnsi="宋体" w:cs="宋体" w:eastAsia="宋体" w:hint="default"/>
          <w:spacing w:val="-2"/>
        </w:rPr>
        <w:t>2017</w:t>
      </w:r>
      <w:r>
        <w:rPr>
          <w:spacing w:val="-2"/>
        </w:rPr>
        <w:t>年汇率浮动大，以致汇兑损益变化大所致。现金及现金等价物的净增加额</w:t>
      </w:r>
      <w:r>
        <w:rPr>
          <w:rFonts w:ascii="宋体" w:hAnsi="宋体" w:cs="宋体" w:eastAsia="宋体" w:hint="default"/>
          <w:spacing w:val="-2"/>
        </w:rPr>
        <w:t>14,881,671.71</w:t>
      </w:r>
      <w:r>
        <w:rPr>
          <w:spacing w:val="-2"/>
        </w:rPr>
        <w:t>元。期初</w:t>
      </w:r>
      <w:r>
        <w:rPr>
          <w:spacing w:val="-43"/>
        </w:rPr>
        <w:t> </w:t>
      </w:r>
      <w:r>
        <w:rPr>
          <w:spacing w:val="-43"/>
        </w:rPr>
      </w:r>
      <w:r>
        <w:rPr/>
        <w:t>现金及现金等价物余额</w:t>
      </w:r>
      <w:r>
        <w:rPr>
          <w:rFonts w:ascii="宋体" w:hAnsi="宋体" w:cs="宋体" w:eastAsia="宋体" w:hint="default"/>
        </w:rPr>
        <w:t>533,051,546.12</w:t>
      </w:r>
      <w:r>
        <w:rPr/>
        <w:t>元，期末现金及现金等价物余额</w:t>
      </w:r>
      <w:r>
        <w:rPr>
          <w:rFonts w:ascii="宋体" w:hAnsi="宋体" w:cs="宋体" w:eastAsia="宋体" w:hint="default"/>
        </w:rPr>
        <w:t>547,933,217.83</w:t>
      </w:r>
      <w:r>
        <w:rPr/>
        <w:t>元。</w:t>
      </w:r>
    </w:p>
    <w:p>
      <w:pPr>
        <w:spacing w:line="240" w:lineRule="auto" w:before="10"/>
        <w:rPr>
          <w:rFonts w:ascii="宋体" w:hAnsi="宋体" w:cs="宋体" w:eastAsia="宋体" w:hint="default"/>
          <w:sz w:val="20"/>
          <w:szCs w:val="20"/>
        </w:rPr>
      </w:pPr>
    </w:p>
    <w:p>
      <w:pPr>
        <w:pStyle w:val="Heading2"/>
        <w:spacing w:line="240" w:lineRule="auto"/>
        <w:ind w:left="1133"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参见“经营情况讨论与分析”中的“一、概述”相关内容。</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972"/>
        <w:jc w:val="left"/>
      </w:pPr>
      <w:r>
        <w:rPr/>
        <w:t>公司是否需要遵守光伏产业链相关业的披露要求 否</w:t>
      </w:r>
    </w:p>
    <w:p>
      <w:pPr>
        <w:pStyle w:val="BodyText"/>
        <w:spacing w:line="338" w:lineRule="auto" w:before="29"/>
        <w:ind w:left="1133" w:right="139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号——上市公司从事广播电影电视业务》的披露要求： 否</w:t>
      </w:r>
    </w:p>
    <w:p>
      <w:pPr>
        <w:pStyle w:val="BodyText"/>
        <w:spacing w:line="340" w:lineRule="auto" w:before="42"/>
        <w:ind w:left="1133"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 否</w:t>
      </w:r>
    </w:p>
    <w:p>
      <w:pPr>
        <w:pStyle w:val="BodyText"/>
        <w:spacing w:line="338" w:lineRule="auto" w:before="40"/>
        <w:ind w:left="1133"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3"/>
        <w:ind w:left="1133"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号——上市公司从事医疗器械业务》的披露要求： 否</w:t>
      </w:r>
    </w:p>
    <w:p>
      <w:pPr>
        <w:pStyle w:val="BodyText"/>
        <w:spacing w:line="240" w:lineRule="auto" w:before="42"/>
        <w:ind w:right="0"/>
        <w:jc w:val="left"/>
      </w:pPr>
      <w:r>
        <w:rPr/>
        <w:t>营业收入整体情况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540,117,836.79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452,394,179.59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19.39%</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陶瓷行业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294,259,255.88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352,492,194.82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-16.52%</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教育系统集成及 运营业务行业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113,848,778.11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68,748,922.49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65.60%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教育培训行业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62,694,492.84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4,375,884.44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1,332.73%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软件开发和技术 服务行业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38,941,349.15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5,110,334.61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662.01%</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电子产品销售行 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25,870,365.45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20,038,635.03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29.10%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4,503,595.36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1,628,208.20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176.60%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陶瓷类产品业务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294,259,255.88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352,492,194.82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-16.52%</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教育系统集成及 运营业务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113,848,778.11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68,748,922.49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65.60%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教育培训业务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62,694,492.84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4,375,884.44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1,332.73%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软件开发和技术 服务业务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38,941,349.15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5,110,334.61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662.01%</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电子产品销售业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25,870,365.45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20,038,635.03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29.10%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4,503,595.36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1,628,208.20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176.60%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中国内地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280,551,360.17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161,283,603.45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73.95%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境外（含香港）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259,566,476.62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291,110,576.14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360" w:lineRule="auto" w:before="44"/>
        <w:ind w:right="-20"/>
        <w:jc w:val="left"/>
      </w:pPr>
      <w:r>
        <w:rPr/>
        <w:t>√ 适用 □ 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100" w:bottom="1200" w:left="0" w:right="0"/>
          <w:cols w:num="2" w:equalWidth="0">
            <w:col w:w="4195" w:space="47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陶瓷行业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294,259,255.88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203,330,981.60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2.68%</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教育系统集成 及运营业务行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113,848,778.11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22,621,204.66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教育培训行业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62,694,492.84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14,844,456.16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1,332.73%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956.96%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陶瓷类产品业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294,259,255.88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203,330,981.60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教育系统集成 及运营业务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113,848,778.11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22,621,204.66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教育培训业务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62,694,492.84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14,844,456.16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1,332.73%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956.96%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中国内地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280,551,360.17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80,643,292.10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15.85%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境外（含香港）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259,566,476.62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190,920,471.65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13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03" w:right="221"/>
              <w:jc w:val="left"/>
              <w:rPr>
                <w:rFonts w:ascii="宋体" w:hAnsi="宋体" w:cs="宋体" w:eastAsia="宋体" w:hint="default"/>
                <w:sz w:val="18"/>
                <w:szCs w:val="18"/>
              </w:rPr>
            </w:pPr>
            <w:r>
              <w:rPr>
                <w:rFonts w:ascii="宋体" w:hAnsi="宋体" w:cs="宋体" w:eastAsia="宋体" w:hint="default"/>
                <w:sz w:val="18"/>
                <w:szCs w:val="18"/>
              </w:rPr>
              <w:t>陶瓷制品业（万 只）</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2,633.16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-5.70%</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2,164.04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2,340.98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-7.56%</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238.74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left="1133"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360" w:lineRule="auto" w:before="44"/>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100" w:bottom="1200" w:left="0" w:right="0"/>
          <w:cols w:num="2" w:equalWidth="0">
            <w:col w:w="1855" w:space="7065"/>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4"/>
              <w:jc w:val="left"/>
              <w:rPr>
                <w:rFonts w:ascii="宋体" w:hAnsi="宋体" w:cs="宋体" w:eastAsia="宋体" w:hint="default"/>
                <w:sz w:val="18"/>
                <w:szCs w:val="18"/>
              </w:rPr>
            </w:pPr>
            <w:r>
              <w:rPr>
                <w:rFonts w:ascii="宋体" w:hAnsi="宋体" w:cs="宋体" w:eastAsia="宋体" w:hint="default"/>
                <w:sz w:val="18"/>
                <w:szCs w:val="18"/>
              </w:rPr>
              <w:t>陶瓷类产品业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陶瓷类产品业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203,330,981.60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253,017,630.67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-19.64%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4"/>
              <w:jc w:val="left"/>
              <w:rPr>
                <w:rFonts w:ascii="宋体" w:hAnsi="宋体" w:cs="宋体" w:eastAsia="宋体" w:hint="default"/>
                <w:sz w:val="18"/>
                <w:szCs w:val="18"/>
              </w:rPr>
            </w:pPr>
            <w:r>
              <w:rPr>
                <w:rFonts w:ascii="宋体" w:hAnsi="宋体" w:cs="宋体" w:eastAsia="宋体" w:hint="default"/>
                <w:sz w:val="18"/>
                <w:szCs w:val="18"/>
              </w:rPr>
              <w:t>教育系统集成 及运营业务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教育系统集成 及运营业务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22,621,204.66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15,710,953.29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43.98%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教育培训业务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教育培训业务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14,844,456.16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1,404,453.25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956.96%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74"/>
              <w:jc w:val="left"/>
              <w:rPr>
                <w:rFonts w:ascii="宋体" w:hAnsi="宋体" w:cs="宋体" w:eastAsia="宋体" w:hint="default"/>
                <w:sz w:val="18"/>
                <w:szCs w:val="18"/>
              </w:rPr>
            </w:pPr>
            <w:r>
              <w:rPr>
                <w:rFonts w:ascii="宋体" w:hAnsi="宋体" w:cs="宋体" w:eastAsia="宋体" w:hint="default"/>
                <w:sz w:val="18"/>
                <w:szCs w:val="18"/>
              </w:rPr>
              <w:t>软件开发和技 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73"/>
              <w:jc w:val="left"/>
              <w:rPr>
                <w:rFonts w:ascii="宋体" w:hAnsi="宋体" w:cs="宋体" w:eastAsia="宋体" w:hint="default"/>
                <w:sz w:val="18"/>
                <w:szCs w:val="18"/>
              </w:rPr>
            </w:pPr>
            <w:r>
              <w:rPr>
                <w:rFonts w:ascii="宋体" w:hAnsi="宋体" w:cs="宋体" w:eastAsia="宋体" w:hint="default"/>
                <w:sz w:val="18"/>
                <w:szCs w:val="18"/>
              </w:rPr>
              <w:t>软件开发和技 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5,108,666.88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797,586.78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540.52%</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4"/>
              <w:jc w:val="left"/>
              <w:rPr>
                <w:rFonts w:ascii="宋体" w:hAnsi="宋体" w:cs="宋体" w:eastAsia="宋体" w:hint="default"/>
                <w:sz w:val="18"/>
                <w:szCs w:val="18"/>
              </w:rPr>
            </w:pPr>
            <w:r>
              <w:rPr>
                <w:rFonts w:ascii="宋体" w:hAnsi="宋体" w:cs="宋体" w:eastAsia="宋体" w:hint="default"/>
                <w:sz w:val="18"/>
                <w:szCs w:val="18"/>
              </w:rPr>
              <w:t>电子产品销售 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电子产品销售 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23,399,201.73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18,307,184.22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27.81%</w:t>
            </w:r>
          </w:p>
        </w:tc>
      </w:tr>
    </w:tbl>
    <w:p>
      <w:pPr>
        <w:pStyle w:val="BodyText"/>
        <w:spacing w:line="240" w:lineRule="auto" w:before="51"/>
        <w:ind w:right="0"/>
        <w:jc w:val="left"/>
      </w:pPr>
      <w:r>
        <w:rPr/>
        <w:t>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109,260,705.68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20.23%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02"/>
        <w:gridCol w:w="3302"/>
        <w:gridCol w:w="2322"/>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阳江市慧阳教育科技有限公司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50,303,411.96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9.31%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潮州市银河陶瓷有限公司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27,966,195.15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H&amp;M</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12,307,294.76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LOWES </w:t>
            </w:r>
            <w:r>
              <w:rPr>
                <w:rFonts w:ascii="宋体" w:hAnsi="宋体" w:cs="宋体" w:eastAsia="宋体" w:hint="default"/>
                <w:sz w:val="18"/>
                <w:szCs w:val="18"/>
              </w:rPr>
              <w:t>公司</w:t>
            </w:r>
            <w:r>
              <w:rPr>
                <w:rFonts w:ascii="Times New Roman" w:hAnsi="Times New Roman" w:cs="Times New Roman" w:eastAsia="Times New Roman" w:hint="default"/>
                <w:sz w:val="18"/>
                <w:szCs w:val="18"/>
              </w:rPr>
              <w:t>(LG)</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9,662,184.66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意大利 </w:t>
            </w:r>
            <w:r>
              <w:rPr>
                <w:rFonts w:ascii="Times New Roman" w:hAnsi="Times New Roman" w:cs="Times New Roman" w:eastAsia="Times New Roman" w:hint="default"/>
                <w:sz w:val="18"/>
                <w:szCs w:val="18"/>
              </w:rPr>
              <w:t>CLUB HOUSE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S.R.L</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9,021,619.15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109,260,705.68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20.23%</w:t>
            </w:r>
          </w:p>
        </w:tc>
      </w:tr>
    </w:tbl>
    <w:p>
      <w:pPr>
        <w:pStyle w:val="BodyText"/>
        <w:spacing w:line="240" w:lineRule="auto" w:before="51"/>
        <w:ind w:right="0"/>
        <w:jc w:val="left"/>
      </w:pPr>
      <w:r>
        <w:rPr/>
        <w:t>主要客户其他情况说明</w:t>
      </w:r>
    </w:p>
    <w:p>
      <w:pPr>
        <w:pStyle w:val="BodyText"/>
        <w:spacing w:line="360" w:lineRule="auto" w:before="116"/>
        <w:ind w:right="9132"/>
        <w:jc w:val="left"/>
      </w:pPr>
      <w:r>
        <w:rPr/>
        <w:t>□ 适用 √ 不适用 公司主要供应商情况</w:t>
      </w: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207,095,659.60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45.10%</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5"/>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潮州威龙燃气有限公司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28,446,103.57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13.74%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上海秀派电子科技股份有限公司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21,102,842.30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10.19%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广东万汇科技有限公司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15,086,337.61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深圳市吉隆德科技有限公司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15,015,961.72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广东中石油昆仑液化气有限公司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13,747,828.66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207,095,659.60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45.10%</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9" w:right="0"/>
              <w:jc w:val="left"/>
              <w:rPr>
                <w:rFonts w:ascii="Times New Roman" w:hAnsi="Times New Roman" w:cs="Times New Roman" w:eastAsia="Times New Roman" w:hint="default"/>
                <w:sz w:val="18"/>
                <w:szCs w:val="18"/>
              </w:rPr>
            </w:pPr>
            <w:r>
              <w:rPr>
                <w:rFonts w:ascii="Times New Roman"/>
                <w:sz w:val="18"/>
              </w:rPr>
              <w:t>46,745,855.08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39,155,194.45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19.39%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9" w:right="0"/>
              <w:jc w:val="left"/>
              <w:rPr>
                <w:rFonts w:ascii="Times New Roman" w:hAnsi="Times New Roman" w:cs="Times New Roman" w:eastAsia="Times New Roman" w:hint="default"/>
                <w:sz w:val="18"/>
                <w:szCs w:val="18"/>
              </w:rPr>
            </w:pPr>
            <w:r>
              <w:rPr>
                <w:rFonts w:ascii="Times New Roman"/>
                <w:sz w:val="18"/>
              </w:rPr>
              <w:t>75,991,246.91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61,331,650.01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23.90%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53,051,054.75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1,750,985.60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2,929.78%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02"/>
              <w:jc w:val="left"/>
              <w:rPr>
                <w:rFonts w:ascii="宋体" w:hAnsi="宋体" w:cs="宋体" w:eastAsia="宋体" w:hint="default"/>
                <w:sz w:val="18"/>
                <w:szCs w:val="18"/>
              </w:rPr>
            </w:pPr>
            <w:r>
              <w:rPr>
                <w:rFonts w:ascii="宋体" w:hAnsi="宋体" w:cs="宋体" w:eastAsia="宋体" w:hint="default"/>
                <w:sz w:val="18"/>
                <w:szCs w:val="18"/>
              </w:rPr>
              <w:t>贷款利息支出增多，以及汇兑利率 浮动大以致汇兑损益变化</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9042"/>
        <w:jc w:val="left"/>
      </w:pPr>
      <w:r>
        <w:rPr/>
        <w:t>√ 适用 □ 不适用 </w:t>
      </w:r>
      <w:r>
        <w:rPr>
          <w:rFonts w:ascii="宋体" w:hAnsi="宋体" w:cs="宋体" w:eastAsia="宋体" w:hint="default"/>
        </w:rPr>
        <w:t>1</w:t>
      </w:r>
      <w:r>
        <w:rPr/>
        <w:t>、陶瓷窑炉节能改造</w:t>
      </w:r>
    </w:p>
    <w:p>
      <w:pPr>
        <w:pStyle w:val="BodyText"/>
        <w:spacing w:line="224" w:lineRule="exact"/>
        <w:ind w:right="0"/>
        <w:jc w:val="left"/>
      </w:pPr>
      <w:r>
        <w:rPr/>
        <w:t>陶瓷产品成本构成中，燃料成本占总成本的</w:t>
      </w:r>
      <w:r>
        <w:rPr>
          <w:rFonts w:ascii="宋体" w:hAnsi="宋体" w:cs="宋体" w:eastAsia="宋体" w:hint="default"/>
        </w:rPr>
        <w:t>30%-35%</w:t>
      </w:r>
      <w:r>
        <w:rPr/>
        <w:t>。目前公司用于陶瓷烧结窑炉中采用传统的硅板和硅柱作为辅助窑具，</w:t>
      </w:r>
    </w:p>
    <w:p>
      <w:pPr>
        <w:pStyle w:val="BodyText"/>
        <w:spacing w:line="316" w:lineRule="auto" w:before="76"/>
        <w:ind w:left="1133" w:right="1130"/>
        <w:jc w:val="both"/>
      </w:pPr>
      <w:r>
        <w:rPr/>
        <w:t>数量多、重量大，烧成过程中超过</w:t>
      </w:r>
      <w:r>
        <w:rPr>
          <w:rFonts w:ascii="宋体" w:hAnsi="宋体" w:cs="宋体" w:eastAsia="宋体" w:hint="default"/>
        </w:rPr>
        <w:t>50%</w:t>
      </w:r>
      <w:r>
        <w:rPr/>
        <w:t>的燃料耗用在这些窑具上，造成燃料成本高。经过反复研究和对比，拟采用“反应烧 </w:t>
      </w:r>
      <w:r>
        <w:rPr>
          <w:spacing w:val="-2"/>
        </w:rPr>
        <w:t>结碳化硅”材料制成的窑具来取替现有的硅板和硅柱。“反应烧结碳化硅”材料制成的窑具重量较轻，同比传统窑具减少约</w:t>
      </w:r>
      <w:r>
        <w:rPr>
          <w:spacing w:val="-72"/>
        </w:rPr>
        <w:t> </w:t>
      </w:r>
      <w:r>
        <w:rPr>
          <w:spacing w:val="-72"/>
        </w:rPr>
      </w:r>
      <w:r>
        <w:rPr>
          <w:rFonts w:ascii="宋体" w:hAnsi="宋体" w:cs="宋体" w:eastAsia="宋体" w:hint="default"/>
          <w:spacing w:val="-2"/>
        </w:rPr>
        <w:t>30</w:t>
      </w:r>
      <w:r>
        <w:rPr>
          <w:spacing w:val="-2"/>
        </w:rPr>
        <w:t>％的重量。同时，新型窑具为组装式设计，相比传统窑具，可不受层高限制，可根据产品自由设定层高，因此每窑的装窑</w:t>
      </w:r>
      <w:r>
        <w:rPr>
          <w:spacing w:val="-66"/>
        </w:rPr>
        <w:t> </w:t>
      </w:r>
      <w:r>
        <w:rPr>
          <w:spacing w:val="-66"/>
        </w:rPr>
      </w:r>
      <w:r>
        <w:rPr/>
        <w:t>数量相比使用传统窑具可增加约</w:t>
      </w:r>
      <w:r>
        <w:rPr>
          <w:rFonts w:ascii="宋体" w:hAnsi="宋体" w:cs="宋体" w:eastAsia="宋体" w:hint="default"/>
        </w:rPr>
        <w:t>15</w:t>
      </w:r>
      <w:r>
        <w:rPr/>
        <w:t>％的数量，节能效果明显。报告期内已完成该项目的技术开发工作。</w:t>
      </w:r>
    </w:p>
    <w:p>
      <w:pPr>
        <w:pStyle w:val="BodyText"/>
        <w:spacing w:line="240" w:lineRule="auto" w:before="59"/>
        <w:ind w:left="1133" w:right="0"/>
        <w:jc w:val="left"/>
      </w:pPr>
      <w:r>
        <w:rPr>
          <w:rFonts w:ascii="宋体" w:hAnsi="宋体" w:cs="宋体" w:eastAsia="宋体" w:hint="default"/>
        </w:rPr>
        <w:t>2</w:t>
      </w:r>
      <w:r>
        <w:rPr/>
        <w:t>、等静压干粉成型技术项目</w:t>
      </w:r>
    </w:p>
    <w:p>
      <w:pPr>
        <w:pStyle w:val="BodyText"/>
        <w:spacing w:line="307" w:lineRule="auto" w:before="116"/>
        <w:ind w:left="1133" w:right="1032"/>
        <w:jc w:val="left"/>
      </w:pPr>
      <w:r>
        <w:rPr/>
        <w:t>等静压干粉成型方法在陶瓷科技界早已引起普遍关注</w:t>
      </w:r>
      <w:r>
        <w:rPr>
          <w:rFonts w:ascii="Times New Roman" w:hAnsi="Times New Roman" w:cs="Times New Roman" w:eastAsia="Times New Roman" w:hint="default"/>
        </w:rPr>
        <w:t>,</w:t>
      </w:r>
      <w:r>
        <w:rPr/>
        <w:t>因为它完全摒弃了传统的可塑性泥料机压成型的方式，不用消耗石管</w:t>
      </w:r>
      <w:r>
        <w:rPr>
          <w:spacing w:val="-42"/>
        </w:rPr>
        <w:t> </w:t>
      </w:r>
      <w:r>
        <w:rPr>
          <w:spacing w:val="-42"/>
        </w:rPr>
      </w:r>
      <w:r>
        <w:rPr/>
        <w:t>模，半成品不必经过干燥工序而可以直接上釉烧成</w:t>
      </w:r>
      <w:r>
        <w:rPr>
          <w:rFonts w:ascii="Times New Roman" w:hAnsi="Times New Roman" w:cs="Times New Roman" w:eastAsia="Times New Roman" w:hint="default"/>
        </w:rPr>
        <w:t>,</w:t>
      </w:r>
      <w:r>
        <w:rPr/>
        <w:t>从而简化了生产工序</w:t>
      </w:r>
      <w:r>
        <w:rPr>
          <w:rFonts w:ascii="Times New Roman" w:hAnsi="Times New Roman" w:cs="Times New Roman" w:eastAsia="Times New Roman" w:hint="default"/>
        </w:rPr>
        <w:t>,</w:t>
      </w:r>
      <w:r>
        <w:rPr/>
        <w:t>提高了产品质量。目前在盘类产品的生产中已显示</w:t>
      </w:r>
      <w:r>
        <w:rPr>
          <w:spacing w:val="-84"/>
        </w:rPr>
        <w:t> </w:t>
      </w:r>
      <w:r>
        <w:rPr>
          <w:spacing w:val="-84"/>
        </w:rPr>
      </w:r>
      <w:r>
        <w:rPr>
          <w:spacing w:val="-2"/>
        </w:rPr>
        <w:t>了卓越的优点。项目根据帕斯卡关于液体传递压强的原理把粉料置于一个有弹性的软模中，然后通入液压油，当对液压油施</w:t>
      </w:r>
      <w:r>
        <w:rPr>
          <w:spacing w:val="-66"/>
        </w:rPr>
        <w:t> </w:t>
      </w:r>
      <w:r>
        <w:rPr>
          <w:spacing w:val="-66"/>
        </w:rPr>
      </w:r>
      <w:r>
        <w:rPr>
          <w:spacing w:val="-4"/>
        </w:rPr>
        <w:t>加一定压力时，这个压力将均衡地作用于模型的各个面上，粉料在压力的作用下被压实成坯体。作为一种新型粉体成型工艺，</w:t>
      </w:r>
      <w:r>
        <w:rPr>
          <w:spacing w:val="-44"/>
        </w:rPr>
        <w:t> </w:t>
      </w:r>
      <w:r>
        <w:rPr>
          <w:spacing w:val="-44"/>
        </w:rPr>
      </w:r>
      <w:r>
        <w:rPr>
          <w:spacing w:val="-2"/>
        </w:rPr>
        <w:t>等静压技术具有以下特点：</w:t>
      </w:r>
      <w:r>
        <w:rPr>
          <w:rFonts w:ascii="Times New Roman" w:hAnsi="Times New Roman" w:cs="Times New Roman" w:eastAsia="Times New Roman" w:hint="default"/>
          <w:spacing w:val="-2"/>
        </w:rPr>
        <w:t>1</w:t>
      </w:r>
      <w:r>
        <w:rPr>
          <w:spacing w:val="-2"/>
        </w:rPr>
        <w:t>、坯体密度高；</w:t>
      </w:r>
      <w:r>
        <w:rPr>
          <w:rFonts w:ascii="Times New Roman" w:hAnsi="Times New Roman" w:cs="Times New Roman" w:eastAsia="Times New Roman" w:hint="default"/>
          <w:spacing w:val="-2"/>
        </w:rPr>
        <w:t>2</w:t>
      </w:r>
      <w:r>
        <w:rPr>
          <w:spacing w:val="-2"/>
        </w:rPr>
        <w:t>、坯体密度均匀一致；</w:t>
      </w:r>
      <w:r>
        <w:rPr>
          <w:rFonts w:ascii="Times New Roman" w:hAnsi="Times New Roman" w:cs="Times New Roman" w:eastAsia="Times New Roman" w:hint="default"/>
          <w:spacing w:val="-2"/>
        </w:rPr>
        <w:t>3</w:t>
      </w:r>
      <w:r>
        <w:rPr>
          <w:spacing w:val="-2"/>
        </w:rPr>
        <w:t>、可制备长宽比较大的产品；</w:t>
      </w:r>
      <w:r>
        <w:rPr>
          <w:rFonts w:ascii="Times New Roman" w:hAnsi="Times New Roman" w:cs="Times New Roman" w:eastAsia="Times New Roman" w:hint="default"/>
          <w:spacing w:val="-2"/>
        </w:rPr>
        <w:t>4</w:t>
      </w:r>
      <w:r>
        <w:rPr>
          <w:spacing w:val="-2"/>
        </w:rPr>
        <w:t>、批量产品尺寸、重量</w:t>
      </w:r>
      <w:r>
        <w:rPr>
          <w:spacing w:val="-65"/>
        </w:rPr>
        <w:t> </w:t>
      </w:r>
      <w:r>
        <w:rPr>
          <w:spacing w:val="-65"/>
        </w:rPr>
      </w:r>
      <w:r>
        <w:rPr>
          <w:spacing w:val="-2"/>
        </w:rPr>
        <w:t>误差小，规整度高；</w:t>
      </w:r>
      <w:r>
        <w:rPr>
          <w:rFonts w:ascii="Times New Roman" w:hAnsi="Times New Roman" w:cs="Times New Roman" w:eastAsia="Times New Roman" w:hint="default"/>
          <w:spacing w:val="-2"/>
        </w:rPr>
        <w:t>5</w:t>
      </w:r>
      <w:r>
        <w:rPr>
          <w:spacing w:val="-2"/>
        </w:rPr>
        <w:t>、减少产品污染；</w:t>
      </w:r>
      <w:r>
        <w:rPr>
          <w:rFonts w:ascii="Times New Roman" w:hAnsi="Times New Roman" w:cs="Times New Roman" w:eastAsia="Times New Roman" w:hint="default"/>
          <w:spacing w:val="-2"/>
        </w:rPr>
        <w:t>6</w:t>
      </w:r>
      <w:r>
        <w:rPr>
          <w:spacing w:val="-2"/>
        </w:rPr>
        <w:t>、自动化程度高，生产线可完成上釉前的所有工作。报告期内已完成该项目的技术</w:t>
      </w:r>
      <w:r>
        <w:rPr>
          <w:spacing w:val="-67"/>
        </w:rPr>
        <w:t> </w:t>
      </w:r>
      <w:r>
        <w:rPr>
          <w:spacing w:val="-67"/>
        </w:rPr>
      </w:r>
      <w:r>
        <w:rPr/>
        <w:t>开发工作。</w:t>
      </w:r>
    </w:p>
    <w:p>
      <w:pPr>
        <w:pStyle w:val="BodyText"/>
        <w:spacing w:line="314" w:lineRule="auto" w:before="26"/>
        <w:ind w:left="1133" w:right="1118"/>
        <w:jc w:val="left"/>
        <w:rPr>
          <w:sz w:val="21"/>
          <w:szCs w:val="21"/>
        </w:rPr>
      </w:pPr>
      <w:r>
        <w:rPr>
          <w:rFonts w:ascii="宋体" w:hAnsi="宋体" w:cs="宋体" w:eastAsia="宋体" w:hint="default"/>
        </w:rPr>
        <w:t>3</w:t>
      </w:r>
      <w:r>
        <w:rPr/>
        <w:t>、陶瓷智能自动注浆生产线改造 </w:t>
      </w:r>
      <w:r>
        <w:rPr>
          <w:spacing w:val="-2"/>
        </w:rPr>
        <w:t>陶瓷注浆成型工艺是陶瓷制作中一个重要手段，是一种适应性广、生产效率高的成型方法。在日用、工艺陶瓷工业中，注浆</w:t>
      </w:r>
      <w:r>
        <w:rPr>
          <w:spacing w:val="-66"/>
        </w:rPr>
        <w:t> </w:t>
      </w:r>
      <w:r>
        <w:rPr>
          <w:spacing w:val="-66"/>
        </w:rPr>
      </w:r>
      <w:r>
        <w:rPr>
          <w:spacing w:val="-2"/>
        </w:rPr>
        <w:t>成型主要以手工完成。设备方面一般利用通用或专用的流体机械、管路元件、输送机械等来实现注浆成型的目的。所用注浆</w:t>
      </w:r>
      <w:r>
        <w:rPr>
          <w:spacing w:val="-66"/>
        </w:rPr>
        <w:t> </w:t>
      </w:r>
      <w:r>
        <w:rPr>
          <w:spacing w:val="-66"/>
        </w:rPr>
      </w:r>
      <w:r>
        <w:rPr>
          <w:spacing w:val="-2"/>
        </w:rPr>
        <w:t>成型设备主要有高位压力管道注浆成型机械、气体压力管道注浆成型机械和离心注浆机。其共同缺陷是自动化程度不高，手</w:t>
      </w:r>
      <w:r>
        <w:rPr>
          <w:spacing w:val="-66"/>
        </w:rPr>
        <w:t> </w:t>
      </w:r>
      <w:r>
        <w:rPr>
          <w:spacing w:val="-66"/>
        </w:rPr>
      </w:r>
      <w:r>
        <w:rPr>
          <w:spacing w:val="-2"/>
        </w:rPr>
        <w:t>工操作较多，整个生产过程，完全依靠经验操作，倒桨时间的长短，倒浆的手法，都会导致产品厚薄不同，重量不均，导致</w:t>
      </w:r>
      <w:r>
        <w:rPr>
          <w:spacing w:val="-71"/>
        </w:rPr>
        <w:t> </w:t>
      </w:r>
      <w:r>
        <w:rPr>
          <w:spacing w:val="-71"/>
        </w:rPr>
      </w:r>
      <w:r>
        <w:rPr>
          <w:spacing w:val="-2"/>
        </w:rPr>
        <w:t>后期烧成的成品率不高，生产效率较低，产品质量难以提高。该项目主要是把传统手工操作的注浆生产线改造为全自动机械</w:t>
      </w:r>
      <w:r>
        <w:rPr>
          <w:spacing w:val="-66"/>
        </w:rPr>
        <w:t> </w:t>
      </w:r>
      <w:r>
        <w:rPr>
          <w:spacing w:val="-66"/>
        </w:rPr>
      </w:r>
      <w:r>
        <w:rPr/>
        <w:t>注浆生产线，</w:t>
      </w:r>
      <w:r>
        <w:rPr>
          <w:spacing w:val="-13"/>
        </w:rPr>
        <w:t> </w:t>
      </w:r>
      <w:r>
        <w:rPr/>
        <w:t>并配套链式烘干机加快瓷坯干燥，经改造后，将形成一条新的自动化生产线，有助于提高企业生产自动化程</w:t>
      </w:r>
      <w:r>
        <w:rPr>
          <w:spacing w:val="-78"/>
        </w:rPr>
        <w:t> </w:t>
      </w:r>
      <w:r>
        <w:rPr>
          <w:spacing w:val="-78"/>
        </w:rPr>
      </w:r>
      <w:r>
        <w:rPr/>
        <w:t>度、生产效率，改善产品质量，降低工人劳动强度，减少人工成本，具有显著经济效益和社会效益。</w:t>
      </w:r>
      <w:r>
        <w:rPr>
          <w:sz w:val="21"/>
          <w:szCs w:val="21"/>
        </w:rPr>
        <w:t>技术开发工作顺利</w:t>
      </w:r>
    </w:p>
    <w:p>
      <w:pPr>
        <w:pStyle w:val="Heading4"/>
        <w:spacing w:line="247" w:lineRule="exact"/>
        <w:ind w:right="0"/>
        <w:jc w:val="left"/>
      </w:pPr>
      <w:r>
        <w:rPr/>
        <w:t>进展中。</w:t>
      </w:r>
    </w:p>
    <w:p>
      <w:pPr>
        <w:pStyle w:val="BodyText"/>
        <w:spacing w:line="316" w:lineRule="auto" w:before="62"/>
        <w:ind w:left="1133" w:right="0"/>
        <w:jc w:val="left"/>
      </w:pPr>
      <w:r>
        <w:rPr>
          <w:rFonts w:ascii="宋体" w:hAnsi="宋体" w:cs="宋体" w:eastAsia="宋体" w:hint="default"/>
        </w:rPr>
        <w:t>4</w:t>
      </w:r>
      <w:r>
        <w:rPr/>
        <w:t>、</w:t>
      </w:r>
      <w:r>
        <w:rPr>
          <w:spacing w:val="-45"/>
        </w:rPr>
        <w:t> </w:t>
      </w:r>
      <w:r>
        <w:rPr/>
        <w:t>用于日用陶瓷窑变釉的制作技术研究</w:t>
      </w:r>
      <w:r>
        <w:rPr/>
        <w:t> </w:t>
      </w:r>
      <w:r>
        <w:rPr>
          <w:spacing w:val="-2"/>
        </w:rPr>
        <w:t>本项目研究一种可用于日用陶瓷的窑变釉的生产制作方法。以往的窑变釉一般用于陈设艺术陶瓷，并已取得满意的成果，但</w:t>
      </w:r>
      <w:r>
        <w:rPr>
          <w:spacing w:val="-66"/>
        </w:rPr>
        <w:t> </w:t>
      </w:r>
      <w:r>
        <w:rPr>
          <w:spacing w:val="-66"/>
        </w:rPr>
      </w:r>
      <w:r>
        <w:rPr>
          <w:spacing w:val="-2"/>
        </w:rPr>
        <w:t>艺术陶瓷与日用陶瓷有所区别，不会受与食物接触容器卫生标准等规范的限制。现在要将该技术用于日用陶瓷，则需要在保</w:t>
      </w:r>
      <w:r>
        <w:rPr>
          <w:spacing w:val="-66"/>
        </w:rPr>
        <w:t> </w:t>
      </w:r>
      <w:r>
        <w:rPr>
          <w:spacing w:val="-66"/>
        </w:rPr>
      </w:r>
      <w:r>
        <w:rPr>
          <w:spacing w:val="-2"/>
        </w:rPr>
        <w:t>持外观效果的基础上加入考虑铅、镉溶出量等是否符合日用瓷卫生标准，因此需要在原材料上进行研究。目前已完成前期研</w:t>
      </w:r>
      <w:r>
        <w:rPr>
          <w:spacing w:val="-66"/>
        </w:rPr>
        <w:t> </w:t>
      </w:r>
      <w:r>
        <w:rPr>
          <w:spacing w:val="-66"/>
        </w:rPr>
      </w:r>
      <w:r>
        <w:rPr/>
        <w:t>究工作并取得满意效果，已进入小批量试产。</w:t>
      </w:r>
    </w:p>
    <w:p>
      <w:pPr>
        <w:pStyle w:val="BodyText"/>
        <w:spacing w:line="316" w:lineRule="auto" w:before="19"/>
        <w:ind w:right="0"/>
        <w:jc w:val="left"/>
      </w:pPr>
      <w:r>
        <w:rPr>
          <w:rFonts w:ascii="宋体" w:hAnsi="宋体" w:cs="宋体" w:eastAsia="宋体" w:hint="default"/>
        </w:rPr>
        <w:t>5</w:t>
      </w:r>
      <w:r>
        <w:rPr/>
        <w:t>、陶瓷自动印花技术研究 </w:t>
      </w:r>
      <w:r>
        <w:rPr>
          <w:spacing w:val="-2"/>
        </w:rPr>
        <w:t>贴花陶瓷是陶瓷的一种装饰手法，因其规整度高、可批量化生产而广泛用于陶瓷生产上。但以往的陶瓷贴花工序全部是由人</w:t>
      </w:r>
      <w:r>
        <w:rPr>
          <w:spacing w:val="-66"/>
        </w:rPr>
        <w:t> </w:t>
      </w:r>
      <w:r>
        <w:rPr>
          <w:spacing w:val="-66"/>
        </w:rPr>
      </w:r>
      <w:r>
        <w:rPr>
          <w:spacing w:val="-2"/>
        </w:rPr>
        <w:t>工完成，生产效率较低，而且经常会出现较明显的接缝，特别是几何图案型的画面。采用自动印花技术代替人工贴花纸，将</w:t>
      </w:r>
      <w:r>
        <w:rPr>
          <w:spacing w:val="-66"/>
        </w:rPr>
        <w:t> </w:t>
      </w:r>
      <w:r>
        <w:rPr>
          <w:spacing w:val="-66"/>
        </w:rPr>
      </w:r>
      <w:r>
        <w:rPr>
          <w:spacing w:val="-2"/>
        </w:rPr>
        <w:t>极大提高生产效率，同时避免人工贴花纸出现接缝问题，并有效减少花纸的损耗，降低成本。目前该项技术已研发成功，可</w:t>
      </w:r>
      <w:r>
        <w:rPr>
          <w:spacing w:val="-66"/>
        </w:rPr>
        <w:t> </w:t>
      </w:r>
      <w:r>
        <w:rPr>
          <w:spacing w:val="-66"/>
        </w:rPr>
      </w:r>
      <w:r>
        <w:rPr>
          <w:spacing w:val="-2"/>
        </w:rPr>
        <w:t>用于盘、碗、杯等瓷器的内表面较平整部位的印花需要，并将继续研发用于瓷器外表面有弧度部位的印花，并逐步完善至投</w:t>
      </w:r>
      <w:r>
        <w:rPr>
          <w:spacing w:val="-66"/>
        </w:rPr>
        <w:t> </w:t>
      </w:r>
      <w:r>
        <w:rPr>
          <w:spacing w:val="-66"/>
        </w:rPr>
      </w:r>
      <w:r>
        <w:rPr/>
        <w:t>入大批量生产。</w:t>
      </w:r>
    </w:p>
    <w:p>
      <w:pPr>
        <w:pStyle w:val="BodyText"/>
        <w:spacing w:line="316" w:lineRule="auto" w:before="19"/>
        <w:ind w:right="0"/>
        <w:jc w:val="left"/>
      </w:pPr>
      <w:r>
        <w:rPr>
          <w:rFonts w:ascii="宋体" w:hAnsi="宋体" w:cs="宋体" w:eastAsia="宋体" w:hint="default"/>
        </w:rPr>
        <w:t>6</w:t>
      </w:r>
      <w:r>
        <w:rPr/>
        <w:t>、瓷板画立体雕刻技术研究 </w:t>
      </w:r>
      <w:r>
        <w:rPr>
          <w:spacing w:val="-2"/>
        </w:rPr>
        <w:t>瓷板画作为陶瓷品种的一个陈设艺术种类，广泛被用于制作成相框、屏风等摆件挂件，后来更开始有用于建筑装修装饰。以</w:t>
      </w:r>
      <w:r>
        <w:rPr>
          <w:spacing w:val="-66"/>
        </w:rPr>
        <w:t> </w:t>
      </w:r>
      <w:r>
        <w:rPr>
          <w:spacing w:val="-66"/>
        </w:rPr>
      </w:r>
      <w:r>
        <w:rPr>
          <w:spacing w:val="-2"/>
        </w:rPr>
        <w:t>往的瓷板画一般都是采用贴花纸或由人工直接在瓷板上彩绘完成，缺乏凹凸立体感。而人工彩绘可以采用堆料的方式增加浮</w:t>
      </w:r>
      <w:r>
        <w:rPr>
          <w:spacing w:val="-64"/>
        </w:rPr>
        <w:t> </w:t>
      </w:r>
      <w:r>
        <w:rPr>
          <w:spacing w:val="-64"/>
        </w:rPr>
      </w:r>
      <w:r>
        <w:rPr>
          <w:spacing w:val="-2"/>
        </w:rPr>
        <w:t>雕效果，但只能在小面积的图案上显现（例如花蕊、树枝），立体效果并不明显。现采用瓷板立体雕刻技术，可将任意设计</w:t>
      </w:r>
      <w:r>
        <w:rPr>
          <w:spacing w:val="-64"/>
        </w:rPr>
        <w:t> </w:t>
      </w:r>
      <w:r>
        <w:rPr>
          <w:spacing w:val="-64"/>
        </w:rPr>
      </w:r>
      <w:r>
        <w:rPr>
          <w:spacing w:val="-2"/>
        </w:rPr>
        <w:t>好的图案在瓷板上雕刻出来，浮雕深浅自由调控，立体感明显。雕刻好的瓷板再配以彩绘，能使画面栩栩如生，具有更高的</w:t>
      </w:r>
      <w:r>
        <w:rPr>
          <w:spacing w:val="-66"/>
        </w:rPr>
        <w:t> </w:t>
      </w:r>
      <w:r>
        <w:rPr>
          <w:spacing w:val="-66"/>
        </w:rPr>
      </w:r>
      <w:r>
        <w:rPr/>
        <w:t>艺术性和欣赏性。目前已完成前期技术研究，并开始试产。</w:t>
      </w:r>
    </w:p>
    <w:p>
      <w:pPr>
        <w:pStyle w:val="BodyText"/>
        <w:spacing w:line="240" w:lineRule="auto" w:before="19"/>
        <w:ind w:right="0"/>
        <w:jc w:val="left"/>
      </w:pPr>
      <w:r>
        <w:rPr>
          <w:rFonts w:ascii="宋体" w:hAnsi="宋体" w:cs="宋体" w:eastAsia="宋体" w:hint="default"/>
        </w:rPr>
        <w:t>7</w:t>
      </w:r>
      <w:r>
        <w:rPr/>
        <w:t>、瓷板画彩色自动喷印技术研究</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1032"/>
        <w:jc w:val="left"/>
      </w:pPr>
      <w:r>
        <w:rPr>
          <w:spacing w:val="-2"/>
        </w:rPr>
        <w:t>瓷板画作为陶瓷品种的一个陈设艺术种类，广泛被用于制作成相框、屏风等摆件挂件，后来更开始有用于建筑装修装饰。以</w:t>
      </w:r>
      <w:r>
        <w:rPr>
          <w:spacing w:val="-66"/>
        </w:rPr>
        <w:t> </w:t>
      </w:r>
      <w:r>
        <w:rPr>
          <w:spacing w:val="-66"/>
        </w:rPr>
      </w:r>
      <w:r>
        <w:rPr>
          <w:spacing w:val="-4"/>
        </w:rPr>
        <w:t>往的瓷板画一般都是采用贴花纸或由人工直接在瓷板上彩绘完成，贴花纸或彩绘后需要再经过经过一次煅烧，且生产效率慢，</w:t>
      </w:r>
      <w:r>
        <w:rPr>
          <w:spacing w:val="-44"/>
        </w:rPr>
        <w:t> </w:t>
      </w:r>
      <w:r>
        <w:rPr>
          <w:spacing w:val="-44"/>
        </w:rPr>
      </w:r>
      <w:r>
        <w:rPr>
          <w:spacing w:val="-2"/>
        </w:rPr>
        <w:t>色彩也鲜艳程度、饱和度、立体感等都不是很强烈。现采用电脑辅助设计，并与大型瓷板彩色打印设备连接，可解决上述问</w:t>
      </w:r>
      <w:r>
        <w:rPr>
          <w:spacing w:val="-66"/>
        </w:rPr>
        <w:t> </w:t>
      </w:r>
      <w:r>
        <w:rPr>
          <w:spacing w:val="-66"/>
        </w:rPr>
      </w:r>
      <w:r>
        <w:rPr/>
        <w:t>题，配以瓷板立体雕刻技术，更能使瓷板画具有更高的艺术性和欣赏性。项目目前还在试运行阶段。 </w:t>
      </w:r>
      <w:r>
        <w:rPr>
          <w:rFonts w:ascii="Times New Roman" w:hAnsi="Times New Roman" w:cs="Times New Roman" w:eastAsia="Times New Roman" w:hint="default"/>
        </w:rPr>
        <w:t>8</w:t>
      </w:r>
      <w:r>
        <w:rPr/>
        <w:t>、陶瓷综合信息服务云平台技术研究 </w:t>
      </w:r>
      <w:r>
        <w:rPr>
          <w:spacing w:val="-2"/>
        </w:rPr>
        <w:t>采用无线网络通讯技术，开发无线远程数据采集系统，建立数据服务云平台，在此平台上开发了具有数据分析和故障诊断功</w:t>
      </w:r>
      <w:r>
        <w:rPr>
          <w:spacing w:val="-66"/>
        </w:rPr>
        <w:t> </w:t>
      </w:r>
      <w:r>
        <w:rPr>
          <w:spacing w:val="-66"/>
        </w:rPr>
      </w:r>
      <w:r>
        <w:rPr>
          <w:spacing w:val="-2"/>
        </w:rPr>
        <w:t>能的生产智能管理系统，利用该系统可以提供能源管理、碳排放管理、温室气体排放管理、大气污染物在线监测、设备实时</w:t>
      </w:r>
      <w:r>
        <w:rPr>
          <w:spacing w:val="-66"/>
        </w:rPr>
        <w:t> </w:t>
      </w:r>
      <w:r>
        <w:rPr>
          <w:spacing w:val="-66"/>
        </w:rPr>
      </w:r>
      <w:r>
        <w:rPr>
          <w:spacing w:val="-2"/>
        </w:rPr>
        <w:t>监控等全方位多样化的服务，为实施节能考核、能耗统计、能效评估、绩效考核等提供准确、可靠的数据，使企业准确合理</w:t>
      </w:r>
      <w:r>
        <w:rPr>
          <w:spacing w:val="-68"/>
        </w:rPr>
        <w:t> </w:t>
      </w:r>
      <w:r>
        <w:rPr>
          <w:spacing w:val="-68"/>
        </w:rPr>
      </w:r>
      <w:r>
        <w:rPr>
          <w:spacing w:val="-2"/>
        </w:rPr>
        <w:t>地分析、评价自身的能源利用状况和各项指标，从而降低单位产品的能源消耗、提高能源的利用效率，降低生产成本，提高</w:t>
      </w:r>
      <w:r>
        <w:rPr>
          <w:spacing w:val="-66"/>
        </w:rPr>
        <w:t> </w:t>
      </w:r>
      <w:r>
        <w:rPr>
          <w:spacing w:val="-66"/>
        </w:rPr>
      </w:r>
      <w:r>
        <w:rPr/>
        <w:t>经济效益。</w:t>
      </w:r>
    </w:p>
    <w:p>
      <w:pPr>
        <w:pStyle w:val="BodyText"/>
        <w:spacing w:line="240" w:lineRule="auto" w:before="19"/>
        <w:ind w:right="0"/>
        <w:jc w:val="left"/>
      </w:pPr>
      <w:r>
        <w:rPr>
          <w:rFonts w:ascii="宋体" w:hAnsi="宋体" w:cs="宋体" w:eastAsia="宋体" w:hint="default"/>
        </w:rPr>
        <w:t>9</w:t>
      </w:r>
      <w:r>
        <w:rPr/>
        <w:t>、透水陶瓷板及其制备方法及产业化</w:t>
      </w:r>
    </w:p>
    <w:p>
      <w:pPr>
        <w:pStyle w:val="BodyText"/>
        <w:spacing w:line="316" w:lineRule="auto" w:before="76"/>
        <w:ind w:left="1133" w:right="0"/>
        <w:jc w:val="left"/>
      </w:pPr>
      <w:r>
        <w:rPr/>
        <w:t>陶瓷行业是一个资源消耗大户。以潮州为例，每年待处理的废陶瓷碎片不少于</w:t>
      </w:r>
      <w:r>
        <w:rPr>
          <w:spacing w:val="-12"/>
        </w:rPr>
        <w:t> </w:t>
      </w:r>
      <w:r>
        <w:rPr>
          <w:rFonts w:ascii="宋体" w:hAnsi="宋体" w:cs="宋体" w:eastAsia="宋体" w:hint="default"/>
          <w:spacing w:val="-3"/>
        </w:rPr>
        <w:t>3</w:t>
      </w:r>
      <w:r>
        <w:rPr>
          <w:spacing w:val="-3"/>
        </w:rPr>
        <w:t>万吨。如果能把这些都充分利用起来，对社</w:t>
      </w:r>
      <w:r>
        <w:rPr/>
        <w:t> </w:t>
      </w:r>
      <w:r>
        <w:rPr>
          <w:spacing w:val="-2"/>
        </w:rPr>
        <w:t>会经济的发展将起到积极的作用。因此提供一种适用于城市广场路面和行人便道的环保型绿色建筑材料，对建筑垃圾的利用</w:t>
      </w:r>
      <w:r>
        <w:rPr>
          <w:spacing w:val="-64"/>
        </w:rPr>
        <w:t> </w:t>
      </w:r>
      <w:r>
        <w:rPr>
          <w:spacing w:val="-64"/>
        </w:rPr>
      </w:r>
      <w:r>
        <w:rPr>
          <w:spacing w:val="-2"/>
        </w:rPr>
        <w:t>和地下水位的保持有重大意义。陶瓷透水砖作为兼有节水和治理污染双重功能的新型建筑装饰材料而备受关注。项目主要是</w:t>
      </w:r>
      <w:r>
        <w:rPr>
          <w:spacing w:val="-64"/>
        </w:rPr>
        <w:t> </w:t>
      </w:r>
      <w:r>
        <w:rPr>
          <w:spacing w:val="-64"/>
        </w:rPr>
      </w:r>
      <w:r>
        <w:rPr/>
        <w:t>提供一种透水陶瓷板及其制备方法，该透水陶瓷板，其特征在于，按质量百分比计，包括如下物质：废瓷</w:t>
      </w:r>
      <w:r>
        <w:rPr>
          <w:rFonts w:ascii="宋体" w:hAnsi="宋体" w:cs="宋体" w:eastAsia="宋体" w:hint="default"/>
        </w:rPr>
        <w:t>A</w:t>
      </w:r>
      <w:r>
        <w:rPr>
          <w:rFonts w:ascii="宋体" w:hAnsi="宋体" w:cs="宋体" w:eastAsia="宋体" w:hint="default"/>
          <w:spacing w:val="-57"/>
        </w:rPr>
        <w:t> </w:t>
      </w:r>
      <w:r>
        <w:rPr>
          <w:rFonts w:ascii="宋体" w:hAnsi="宋体" w:cs="宋体" w:eastAsia="宋体" w:hint="default"/>
        </w:rPr>
        <w:t>45%~52%</w:t>
      </w:r>
      <w:r>
        <w:rPr/>
        <w:t>；废瓷</w:t>
      </w:r>
      <w:r>
        <w:rPr>
          <w:rFonts w:ascii="宋体" w:hAnsi="宋体" w:cs="宋体" w:eastAsia="宋体" w:hint="default"/>
        </w:rPr>
        <w:t>B 30%~40%</w:t>
      </w:r>
      <w:r>
        <w:rPr/>
        <w:t>；高温粘结剂</w:t>
      </w:r>
      <w:r>
        <w:rPr>
          <w:rFonts w:ascii="宋体" w:hAnsi="宋体" w:cs="宋体" w:eastAsia="宋体" w:hint="default"/>
        </w:rPr>
        <w:t>6%~8%</w:t>
      </w:r>
      <w:r>
        <w:rPr/>
        <w:t>；</w:t>
      </w:r>
      <w:r>
        <w:rPr>
          <w:rFonts w:ascii="宋体" w:hAnsi="宋体" w:cs="宋体" w:eastAsia="宋体" w:hint="default"/>
        </w:rPr>
        <w:t>CMC</w:t>
      </w:r>
      <w:r>
        <w:rPr>
          <w:rFonts w:ascii="宋体" w:hAnsi="宋体" w:cs="宋体" w:eastAsia="宋体" w:hint="default"/>
          <w:spacing w:val="-50"/>
        </w:rPr>
        <w:t> </w:t>
      </w:r>
      <w:r>
        <w:rPr>
          <w:rFonts w:ascii="宋体" w:hAnsi="宋体" w:cs="宋体" w:eastAsia="宋体" w:hint="default"/>
        </w:rPr>
        <w:t>3%~4%</w:t>
      </w:r>
      <w:r>
        <w:rPr/>
        <w:t>；稻谷壳</w:t>
      </w:r>
      <w:r>
        <w:rPr>
          <w:spacing w:val="-9"/>
        </w:rPr>
        <w:t> </w:t>
      </w:r>
      <w:r>
        <w:rPr>
          <w:rFonts w:ascii="宋体" w:hAnsi="宋体" w:cs="宋体" w:eastAsia="宋体" w:hint="default"/>
        </w:rPr>
        <w:t>5%~6%</w:t>
      </w:r>
      <w:r>
        <w:rPr/>
        <w:t>；米粉</w:t>
      </w:r>
      <w:r>
        <w:rPr>
          <w:spacing w:val="-10"/>
        </w:rPr>
        <w:t> </w:t>
      </w:r>
      <w:r>
        <w:rPr>
          <w:rFonts w:ascii="宋体" w:hAnsi="宋体" w:cs="宋体" w:eastAsia="宋体" w:hint="default"/>
        </w:rPr>
        <w:t>3%~4%</w:t>
      </w:r>
      <w:r>
        <w:rPr/>
        <w:t>。所得产品可起到补充地下水</w:t>
      </w:r>
      <w:r>
        <w:rPr>
          <w:rFonts w:ascii="宋体" w:hAnsi="宋体" w:cs="宋体" w:eastAsia="宋体" w:hint="default"/>
        </w:rPr>
        <w:t>,</w:t>
      </w:r>
      <w:r>
        <w:rPr>
          <w:rFonts w:ascii="宋体" w:hAnsi="宋体" w:cs="宋体" w:eastAsia="宋体" w:hint="default"/>
          <w:spacing w:val="-9"/>
        </w:rPr>
        <w:t> </w:t>
      </w:r>
      <w:r>
        <w:rPr/>
        <w:t>调节空气湿度、温度</w:t>
      </w:r>
      <w:r>
        <w:rPr>
          <w:rFonts w:ascii="宋体" w:hAnsi="宋体" w:cs="宋体" w:eastAsia="宋体" w:hint="default"/>
        </w:rPr>
        <w:t>, </w:t>
      </w:r>
      <w:r>
        <w:rPr/>
        <w:t>吸收城市噪音污染</w:t>
      </w:r>
      <w:r>
        <w:rPr>
          <w:rFonts w:ascii="宋体" w:hAnsi="宋体" w:cs="宋体" w:eastAsia="宋体" w:hint="default"/>
        </w:rPr>
        <w:t>,</w:t>
      </w:r>
      <w:r>
        <w:rPr>
          <w:rFonts w:ascii="宋体" w:hAnsi="宋体" w:cs="宋体" w:eastAsia="宋体" w:hint="default"/>
          <w:spacing w:val="3"/>
        </w:rPr>
        <w:t> </w:t>
      </w:r>
      <w:r>
        <w:rPr/>
        <w:t>方便行人特别是雨季行走等多种功能</w:t>
      </w:r>
      <w:r>
        <w:rPr>
          <w:rFonts w:ascii="宋体" w:hAnsi="宋体" w:cs="宋体" w:eastAsia="宋体" w:hint="default"/>
        </w:rPr>
        <w:t>,</w:t>
      </w:r>
      <w:r>
        <w:rPr>
          <w:rFonts w:ascii="宋体" w:hAnsi="宋体" w:cs="宋体" w:eastAsia="宋体" w:hint="default"/>
          <w:spacing w:val="3"/>
        </w:rPr>
        <w:t> </w:t>
      </w:r>
      <w:r>
        <w:rPr/>
        <w:t>还能改善人们的居住环境</w:t>
      </w:r>
      <w:r>
        <w:rPr>
          <w:rFonts w:ascii="宋体" w:hAnsi="宋体" w:cs="宋体" w:eastAsia="宋体" w:hint="default"/>
        </w:rPr>
        <w:t>,</w:t>
      </w:r>
      <w:r>
        <w:rPr>
          <w:rFonts w:ascii="宋体" w:hAnsi="宋体" w:cs="宋体" w:eastAsia="宋体" w:hint="default"/>
          <w:spacing w:val="3"/>
        </w:rPr>
        <w:t> </w:t>
      </w:r>
      <w:r>
        <w:rPr>
          <w:spacing w:val="-6"/>
        </w:rPr>
        <w:t>提高生活质量。同时所得陶瓷透水砖</w:t>
      </w:r>
      <w:r>
        <w:rPr>
          <w:spacing w:val="-87"/>
        </w:rPr>
        <w:t> </w:t>
      </w:r>
      <w:r>
        <w:rPr>
          <w:spacing w:val="-87"/>
        </w:rPr>
      </w:r>
      <w:r>
        <w:rPr/>
        <w:t>以废瓷为主要原料</w:t>
      </w:r>
      <w:r>
        <w:rPr>
          <w:rFonts w:ascii="宋体" w:hAnsi="宋体" w:cs="宋体" w:eastAsia="宋体" w:hint="default"/>
        </w:rPr>
        <w:t>, </w:t>
      </w:r>
      <w:r>
        <w:rPr/>
        <w:t>减少了废瓷堆放对环境的影响</w:t>
      </w:r>
      <w:r>
        <w:rPr>
          <w:rFonts w:ascii="宋体" w:hAnsi="宋体" w:cs="宋体" w:eastAsia="宋体" w:hint="default"/>
        </w:rPr>
        <w:t>, </w:t>
      </w:r>
      <w:r>
        <w:rPr/>
        <w:t>使资源得以再利用</w:t>
      </w:r>
      <w:r>
        <w:rPr>
          <w:rFonts w:ascii="宋体" w:hAnsi="宋体" w:cs="宋体" w:eastAsia="宋体" w:hint="default"/>
        </w:rPr>
        <w:t>, </w:t>
      </w:r>
      <w:r>
        <w:rPr/>
        <w:t>节约了资源。该项目研发工作正在顺利进行中。 </w:t>
      </w:r>
      <w:r>
        <w:rPr>
          <w:rFonts w:ascii="宋体" w:hAnsi="宋体" w:cs="宋体" w:eastAsia="宋体" w:hint="default"/>
        </w:rPr>
        <w:t>10</w:t>
      </w:r>
      <w:r>
        <w:rPr/>
        <w:t>、基于云计算的智能</w:t>
      </w:r>
      <w:r>
        <w:rPr>
          <w:rFonts w:ascii="宋体" w:hAnsi="宋体" w:cs="宋体" w:eastAsia="宋体" w:hint="default"/>
        </w:rPr>
        <w:t>PAD</w:t>
      </w:r>
      <w:r>
        <w:rPr/>
        <w:t>终端及其应用关键技术研究 </w:t>
      </w:r>
      <w:r>
        <w:rPr>
          <w:spacing w:val="-2"/>
        </w:rPr>
        <w:t>在教育信息化管理的终端设备中，考勤管理有考勤机，留言管理有留言提取机，打电话有校园公用电话机等等一些专用的设</w:t>
      </w:r>
      <w:r>
        <w:rPr>
          <w:spacing w:val="-66"/>
        </w:rPr>
        <w:t> </w:t>
      </w:r>
      <w:r>
        <w:rPr>
          <w:spacing w:val="-66"/>
        </w:rPr>
      </w:r>
      <w:r>
        <w:rPr>
          <w:spacing w:val="-2"/>
        </w:rPr>
        <w:t>备，这些设备兼容性和拓展性不强，且会增大校园信息化建设成本。项目研究开发的基于云计算的智能</w:t>
      </w:r>
      <w:r>
        <w:rPr>
          <w:rFonts w:ascii="宋体" w:hAnsi="宋体" w:cs="宋体" w:eastAsia="宋体" w:hint="default"/>
          <w:spacing w:val="-2"/>
        </w:rPr>
        <w:t>PAD</w:t>
      </w:r>
      <w:r>
        <w:rPr>
          <w:spacing w:val="-2"/>
        </w:rPr>
        <w:t>终端集校园考勤、</w:t>
      </w:r>
      <w:r>
        <w:rPr>
          <w:spacing w:val="-61"/>
        </w:rPr>
        <w:t> </w:t>
      </w:r>
      <w:r>
        <w:rPr>
          <w:spacing w:val="-4"/>
        </w:rPr>
        <w:t>留言提取和校园电话于一体，且后续功能拓展方便快捷。项目对优化校园信息化系统结构和节省建设成本都具有积极的意义，</w:t>
      </w:r>
      <w:r>
        <w:rPr>
          <w:spacing w:val="-44"/>
        </w:rPr>
        <w:t> </w:t>
      </w:r>
      <w:r>
        <w:rPr>
          <w:spacing w:val="-44"/>
        </w:rPr>
      </w:r>
      <w:r>
        <w:rPr/>
        <w:t>应用范围广泛。报告期内已经完成该项目的技术开发工作。</w:t>
      </w:r>
    </w:p>
    <w:p>
      <w:pPr>
        <w:pStyle w:val="BodyText"/>
        <w:spacing w:line="338" w:lineRule="auto" w:before="19"/>
        <w:ind w:right="0"/>
        <w:jc w:val="left"/>
      </w:pPr>
      <w:r>
        <w:rPr>
          <w:rFonts w:ascii="宋体" w:hAnsi="宋体" w:cs="宋体" w:eastAsia="宋体" w:hint="default"/>
        </w:rPr>
        <w:t>11</w:t>
      </w:r>
      <w:r>
        <w:rPr/>
        <w:t>、基于云计算的平安校园平台关键技术研究 </w:t>
      </w:r>
      <w:r>
        <w:rPr>
          <w:spacing w:val="-4"/>
        </w:rPr>
        <w:t>传统的平安校园建设解决方案，基本上实现了人防、物防、技防的结合，但存在硬件投资巨大，布线复杂、维护困难等问题，</w:t>
      </w:r>
      <w:r>
        <w:rPr>
          <w:spacing w:val="-43"/>
        </w:rPr>
        <w:t> </w:t>
      </w:r>
      <w:r>
        <w:rPr>
          <w:spacing w:val="-43"/>
        </w:rPr>
      </w:r>
      <w:r>
        <w:rPr>
          <w:spacing w:val="-2"/>
        </w:rPr>
        <w:t>并且没有真正实现教育主管部门、学校、老师和家长的分级管理和互动，校园管理信息系统和数据资源类型各异，来源也不</w:t>
      </w:r>
    </w:p>
    <w:p>
      <w:pPr>
        <w:pStyle w:val="BodyText"/>
        <w:spacing w:line="319" w:lineRule="auto" w:before="2"/>
        <w:ind w:right="1130"/>
        <w:jc w:val="both"/>
      </w:pPr>
      <w:r>
        <w:rPr>
          <w:spacing w:val="-2"/>
        </w:rPr>
        <w:t>统一，最终导致了本可共享的数据无法实现统一使用，也造成了学校管理和维护安防系统成本的提高。本项目以互联网、移</w:t>
      </w:r>
      <w:r>
        <w:rPr>
          <w:spacing w:val="-66"/>
        </w:rPr>
        <w:t> </w:t>
      </w:r>
      <w:r>
        <w:rPr>
          <w:spacing w:val="-66"/>
        </w:rPr>
      </w:r>
      <w:r>
        <w:rPr>
          <w:spacing w:val="-2"/>
        </w:rPr>
        <w:t>动互联网、物联网、云计算、大数据和智能终端为核心基础，初步建成完整统一、技术先进，覆盖全面、应用深入，高效稳</w:t>
      </w:r>
      <w:r>
        <w:rPr>
          <w:spacing w:val="-67"/>
        </w:rPr>
        <w:t> </w:t>
      </w:r>
      <w:r>
        <w:rPr>
          <w:spacing w:val="-67"/>
        </w:rPr>
      </w:r>
      <w:r>
        <w:rPr/>
        <w:t>定、安全可靠的“互联网</w:t>
      </w:r>
      <w:r>
        <w:rPr>
          <w:rFonts w:ascii="宋体" w:hAnsi="宋体" w:cs="宋体" w:eastAsia="宋体" w:hint="default"/>
        </w:rPr>
        <w:t>+</w:t>
      </w:r>
      <w:r>
        <w:rPr/>
        <w:t>物联网</w:t>
      </w:r>
      <w:r>
        <w:rPr>
          <w:rFonts w:ascii="宋体" w:hAnsi="宋体" w:cs="宋体" w:eastAsia="宋体" w:hint="default"/>
        </w:rPr>
        <w:t>+</w:t>
      </w:r>
      <w:r>
        <w:rPr/>
        <w:t>智能终端</w:t>
      </w:r>
      <w:r>
        <w:rPr>
          <w:rFonts w:ascii="宋体" w:hAnsi="宋体" w:cs="宋体" w:eastAsia="宋体" w:hint="default"/>
        </w:rPr>
        <w:t>+</w:t>
      </w:r>
      <w:r>
        <w:rPr/>
        <w:t>信息（内容）平台”的数字化校园，消除了信息孤岛和应用孤岛，建立了教育</w:t>
      </w:r>
      <w:r>
        <w:rPr>
          <w:spacing w:val="-85"/>
        </w:rPr>
        <w:t> </w:t>
      </w:r>
      <w:r>
        <w:rPr>
          <w:spacing w:val="-85"/>
        </w:rPr>
      </w:r>
      <w:r>
        <w:rPr>
          <w:spacing w:val="-2"/>
        </w:rPr>
        <w:t>部门、学校、老师和家长四级管理的教育云平台。项目总体水平达到国内一流，应用广泛。报告期内已经完成该项目的技术</w:t>
      </w:r>
      <w:r>
        <w:rPr>
          <w:spacing w:val="-66"/>
        </w:rPr>
        <w:t> </w:t>
      </w:r>
      <w:r>
        <w:rPr>
          <w:spacing w:val="-66"/>
        </w:rPr>
      </w:r>
      <w:r>
        <w:rPr/>
        <w:t>开发工作。</w:t>
      </w:r>
    </w:p>
    <w:p>
      <w:pPr>
        <w:pStyle w:val="BodyText"/>
        <w:spacing w:line="338" w:lineRule="auto" w:before="58"/>
        <w:ind w:right="0"/>
        <w:jc w:val="left"/>
      </w:pPr>
      <w:r>
        <w:rPr>
          <w:rFonts w:ascii="宋体" w:hAnsi="宋体" w:cs="宋体" w:eastAsia="宋体" w:hint="default"/>
        </w:rPr>
        <w:t>12</w:t>
      </w:r>
      <w:r>
        <w:rPr/>
        <w:t>、基于云计算的新型智能消费机及其应用研究 </w:t>
      </w:r>
      <w:r>
        <w:rPr>
          <w:spacing w:val="-2"/>
        </w:rPr>
        <w:t>目前学生消费盲目，容易跟风，喜欢模仿；消费结构不合理，注重生活物质，却忽视精神文化；理财观念淡薄，消费方式不</w:t>
      </w:r>
      <w:r>
        <w:rPr>
          <w:spacing w:val="-72"/>
        </w:rPr>
        <w:t> </w:t>
      </w:r>
      <w:r>
        <w:rPr>
          <w:spacing w:val="-72"/>
        </w:rPr>
      </w:r>
      <w:r>
        <w:rPr>
          <w:spacing w:val="-2"/>
        </w:rPr>
        <w:t>健康等消费误区。造成这些现象的原因是家长缺少对孩子合理消费的正确引导，学校教育中消费理财教育的缺失，整个社会</w:t>
      </w:r>
    </w:p>
    <w:p>
      <w:pPr>
        <w:pStyle w:val="BodyText"/>
        <w:spacing w:line="319" w:lineRule="auto" w:before="2"/>
        <w:ind w:left="1133" w:right="1131"/>
        <w:jc w:val="both"/>
      </w:pPr>
      <w:r>
        <w:rPr>
          <w:spacing w:val="-2"/>
        </w:rPr>
        <w:t>大环境下不良消费风气的影响。因此如何能正确引导学生确立理性的消费观，合理的运用手中的零花钱，养成节约理性消费</w:t>
      </w:r>
      <w:r>
        <w:rPr>
          <w:spacing w:val="-66"/>
        </w:rPr>
        <w:t> </w:t>
      </w:r>
      <w:r>
        <w:rPr>
          <w:spacing w:val="-66"/>
        </w:rPr>
      </w:r>
      <w:r>
        <w:rPr>
          <w:spacing w:val="-2"/>
        </w:rPr>
        <w:t>的好习惯，成为了社会各界广泛关注的一个问题。本项目研究开发的新型智能消费机及其应用是基于互联网、移动互联、云</w:t>
      </w:r>
      <w:r>
        <w:rPr>
          <w:spacing w:val="-66"/>
        </w:rPr>
        <w:t> </w:t>
      </w:r>
      <w:r>
        <w:rPr>
          <w:spacing w:val="-66"/>
        </w:rPr>
      </w:r>
      <w:r>
        <w:rPr>
          <w:spacing w:val="-2"/>
        </w:rPr>
        <w:t>计算、大数据的教育云平安校园管理平台系统上实现无缝对接一套可靠的云计算消费系统，学生可以通过电子学生证进行校</w:t>
      </w:r>
      <w:r>
        <w:rPr>
          <w:spacing w:val="-64"/>
        </w:rPr>
        <w:t> </w:t>
      </w:r>
      <w:r>
        <w:rPr>
          <w:spacing w:val="-64"/>
        </w:rPr>
      </w:r>
      <w:r>
        <w:rPr>
          <w:spacing w:val="-2"/>
        </w:rPr>
        <w:t>内消费，家长可以通过微信支付帮助孩子充值，实时到账，避免学生带现金充值引起相关风险，家长还可以查看孩子在校的</w:t>
      </w:r>
      <w:r>
        <w:rPr>
          <w:spacing w:val="-66"/>
        </w:rPr>
        <w:t> </w:t>
      </w:r>
      <w:r>
        <w:rPr>
          <w:spacing w:val="-66"/>
        </w:rPr>
      </w:r>
      <w:r>
        <w:rPr/>
        <w:t>消费明细，引导学生确立理性的消费观。报告期内已经完成该项目的技术开发工作。</w:t>
      </w:r>
    </w:p>
    <w:p>
      <w:pPr>
        <w:pStyle w:val="BodyText"/>
        <w:spacing w:line="338" w:lineRule="auto" w:before="56"/>
        <w:ind w:left="1133" w:right="0"/>
        <w:jc w:val="left"/>
      </w:pPr>
      <w:r>
        <w:rPr>
          <w:rFonts w:ascii="宋体" w:hAnsi="宋体" w:cs="宋体" w:eastAsia="宋体" w:hint="default"/>
        </w:rPr>
        <w:t>13</w:t>
      </w:r>
      <w:r>
        <w:rPr/>
        <w:t>、智游</w:t>
      </w:r>
      <w:r>
        <w:rPr>
          <w:rFonts w:ascii="宋体" w:hAnsi="宋体" w:cs="宋体" w:eastAsia="宋体" w:hint="default"/>
        </w:rPr>
        <w:t>Java</w:t>
      </w:r>
      <w:r>
        <w:rPr/>
        <w:t>企业级开发课程培训管理系统</w:t>
      </w:r>
      <w:r>
        <w:rPr>
          <w:rFonts w:ascii="宋体" w:hAnsi="宋体" w:cs="宋体" w:eastAsia="宋体" w:hint="default"/>
        </w:rPr>
        <w:t>V1.0 </w:t>
      </w:r>
      <w:r>
        <w:rPr>
          <w:spacing w:val="-2"/>
        </w:rPr>
        <w:t>智游</w:t>
      </w:r>
      <w:r>
        <w:rPr>
          <w:rFonts w:ascii="宋体" w:hAnsi="宋体" w:cs="宋体" w:eastAsia="宋体" w:hint="default"/>
          <w:spacing w:val="-2"/>
        </w:rPr>
        <w:t>Java</w:t>
      </w:r>
      <w:r>
        <w:rPr>
          <w:spacing w:val="-2"/>
        </w:rPr>
        <w:t>企业级开发课程培训管理系统该系统分为两大体系：学生信息管理体系和课程信息管理体系，登录时点击及登录出</w:t>
      </w:r>
      <w:r>
        <w:rPr>
          <w:spacing w:val="-60"/>
        </w:rPr>
        <w:t> </w:t>
      </w:r>
      <w:r>
        <w:rPr>
          <w:spacing w:val="-60"/>
        </w:rPr>
      </w:r>
      <w:r>
        <w:rPr>
          <w:spacing w:val="-2"/>
        </w:rPr>
        <w:t>现体系选择页面，可以选择进入学生信息管理体系或课程信息管理体系。学生信息管理模块包括学生基本信息管理、学生宿</w:t>
      </w:r>
    </w:p>
    <w:p>
      <w:pPr>
        <w:pStyle w:val="BodyText"/>
        <w:spacing w:line="316" w:lineRule="auto" w:before="2"/>
        <w:ind w:left="1133" w:right="1123"/>
        <w:jc w:val="left"/>
      </w:pPr>
      <w:r>
        <w:rPr/>
        <w:t>舍信息管理</w:t>
      </w:r>
      <w:r>
        <w:rPr>
          <w:rFonts w:ascii="宋体" w:hAnsi="宋体" w:cs="宋体" w:eastAsia="宋体" w:hint="default"/>
        </w:rPr>
        <w:t>2</w:t>
      </w:r>
      <w:r>
        <w:rPr/>
        <w:t>个功能模块。学生基本信息管理和学生宿舍信息管理是学生档案管理的重中之重，录入完整、有效的新生信息</w:t>
      </w:r>
      <w:r>
        <w:rPr>
          <w:spacing w:val="-83"/>
        </w:rPr>
        <w:t> </w:t>
      </w:r>
      <w:r>
        <w:rPr>
          <w:spacing w:val="-83"/>
        </w:rPr>
      </w:r>
      <w:r>
        <w:rPr>
          <w:spacing w:val="-2"/>
        </w:rPr>
        <w:t>是学生课程信息管理、学生成绩管理的基础。报告期内已经完成该项目的技术开发工作并进行了软件著作权登记，登记号为</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rFonts w:ascii="宋体" w:hAnsi="宋体" w:cs="宋体" w:eastAsia="宋体" w:hint="default"/>
        </w:rPr>
        <w:t>2017SR640947</w:t>
      </w:r>
      <w:r>
        <w:rPr/>
        <w:t>。</w:t>
      </w:r>
    </w:p>
    <w:p>
      <w:pPr>
        <w:pStyle w:val="BodyText"/>
        <w:spacing w:line="240" w:lineRule="auto" w:before="76"/>
        <w:ind w:left="1133" w:right="0"/>
        <w:jc w:val="left"/>
      </w:pPr>
      <w:r>
        <w:rPr>
          <w:rFonts w:ascii="宋体" w:hAnsi="宋体" w:cs="宋体" w:eastAsia="宋体" w:hint="default"/>
        </w:rPr>
        <w:t>14</w:t>
      </w:r>
      <w:r>
        <w:rPr/>
        <w:t>、智游</w:t>
      </w:r>
      <w:r>
        <w:rPr>
          <w:rFonts w:ascii="Times New Roman" w:hAnsi="Times New Roman" w:cs="Times New Roman" w:eastAsia="Times New Roman" w:hint="default"/>
        </w:rPr>
        <w:t>Nodejs</w:t>
      </w:r>
      <w:r>
        <w:rPr/>
        <w:t>企业级开发课程培训管理系统</w:t>
      </w:r>
    </w:p>
    <w:p>
      <w:pPr>
        <w:pStyle w:val="BodyText"/>
        <w:spacing w:line="319" w:lineRule="auto" w:before="63"/>
        <w:ind w:left="1133" w:right="1031"/>
        <w:jc w:val="left"/>
      </w:pPr>
      <w:r>
        <w:rPr/>
        <w:t>智游</w:t>
      </w:r>
      <w:r>
        <w:rPr>
          <w:rFonts w:ascii="宋体" w:hAnsi="宋体" w:cs="宋体" w:eastAsia="宋体" w:hint="default"/>
        </w:rPr>
        <w:t>Nodejs</w:t>
      </w:r>
      <w:r>
        <w:rPr/>
        <w:t>企业级开发课程培训管理系统</w:t>
      </w:r>
      <w:r>
        <w:rPr>
          <w:spacing w:val="1"/>
        </w:rPr>
        <w:t> </w:t>
      </w:r>
      <w:r>
        <w:rPr/>
        <w:t>主要功能和技术特点</w:t>
      </w:r>
      <w:r>
        <w:rPr>
          <w:spacing w:val="1"/>
        </w:rPr>
        <w:t> </w:t>
      </w:r>
      <w:r>
        <w:rPr>
          <w:rFonts w:ascii="宋体" w:hAnsi="宋体" w:cs="宋体" w:eastAsia="宋体" w:hint="default"/>
        </w:rPr>
        <w:t>1.</w:t>
      </w:r>
      <w:r>
        <w:rPr/>
        <w:t>商城采用前后端分离的开发方式；</w:t>
      </w:r>
      <w:r>
        <w:rPr>
          <w:rFonts w:ascii="宋体" w:hAnsi="宋体" w:cs="宋体" w:eastAsia="宋体" w:hint="default"/>
        </w:rPr>
        <w:t>2.VUE</w:t>
      </w:r>
      <w:r>
        <w:rPr>
          <w:rFonts w:ascii="宋体" w:hAnsi="宋体" w:cs="宋体" w:eastAsia="宋体" w:hint="default"/>
          <w:spacing w:val="-45"/>
        </w:rPr>
        <w:t> </w:t>
      </w:r>
      <w:r>
        <w:rPr>
          <w:rFonts w:ascii="宋体" w:hAnsi="宋体" w:cs="宋体" w:eastAsia="宋体" w:hint="default"/>
        </w:rPr>
        <w:t>+</w:t>
      </w:r>
      <w:r>
        <w:rPr>
          <w:rFonts w:ascii="宋体" w:hAnsi="宋体" w:cs="宋体" w:eastAsia="宋体" w:hint="default"/>
          <w:spacing w:val="-45"/>
        </w:rPr>
        <w:t> </w:t>
      </w:r>
      <w:r>
        <w:rPr>
          <w:rFonts w:ascii="宋体" w:hAnsi="宋体" w:cs="宋体" w:eastAsia="宋体" w:hint="default"/>
        </w:rPr>
        <w:t>ES6</w:t>
      </w:r>
      <w:r>
        <w:rPr/>
        <w:t>前端框架， </w:t>
      </w:r>
      <w:r>
        <w:rPr>
          <w:rFonts w:ascii="宋体" w:hAnsi="宋体" w:cs="宋体" w:eastAsia="宋体" w:hint="default"/>
        </w:rPr>
        <w:t>Node.js</w:t>
      </w:r>
      <w:r>
        <w:rPr/>
        <w:t>提供后台接口，</w:t>
      </w:r>
      <w:r>
        <w:rPr>
          <w:rFonts w:ascii="宋体" w:hAnsi="宋体" w:cs="宋体" w:eastAsia="宋体" w:hint="default"/>
        </w:rPr>
        <w:t>MongDB</w:t>
      </w:r>
      <w:r>
        <w:rPr/>
        <w:t>作为数据库</w:t>
      </w:r>
      <w:r>
        <w:rPr>
          <w:spacing w:val="-1"/>
        </w:rPr>
        <w:t> </w:t>
      </w:r>
      <w:r>
        <w:rPr/>
        <w:t>；</w:t>
      </w:r>
      <w:r>
        <w:rPr>
          <w:rFonts w:ascii="宋体" w:hAnsi="宋体" w:cs="宋体" w:eastAsia="宋体" w:hint="default"/>
        </w:rPr>
        <w:t>3.VUE</w:t>
      </w:r>
      <w:r>
        <w:rPr>
          <w:rFonts w:ascii="宋体" w:hAnsi="宋体" w:cs="宋体" w:eastAsia="宋体" w:hint="default"/>
          <w:spacing w:val="-15"/>
        </w:rPr>
        <w:t> </w:t>
      </w:r>
      <w:r>
        <w:rPr>
          <w:rFonts w:ascii="宋体" w:hAnsi="宋体" w:cs="宋体" w:eastAsia="宋体" w:hint="default"/>
        </w:rPr>
        <w:t>Router</w:t>
      </w:r>
      <w:r>
        <w:rPr>
          <w:rFonts w:ascii="宋体" w:hAnsi="宋体" w:cs="宋体" w:eastAsia="宋体" w:hint="default"/>
          <w:spacing w:val="-15"/>
        </w:rPr>
        <w:t> </w:t>
      </w:r>
      <w:r>
        <w:rPr>
          <w:rFonts w:ascii="宋体" w:hAnsi="宋体" w:cs="宋体" w:eastAsia="宋体" w:hint="default"/>
        </w:rPr>
        <w:t>+</w:t>
      </w:r>
      <w:r>
        <w:rPr>
          <w:rFonts w:ascii="宋体" w:hAnsi="宋体" w:cs="宋体" w:eastAsia="宋体" w:hint="default"/>
          <w:spacing w:val="-15"/>
        </w:rPr>
        <w:t> </w:t>
      </w:r>
      <w:r>
        <w:rPr>
          <w:rFonts w:ascii="宋体" w:hAnsi="宋体" w:cs="宋体" w:eastAsia="宋体" w:hint="default"/>
        </w:rPr>
        <w:t>Vue</w:t>
      </w:r>
      <w:r>
        <w:rPr>
          <w:rFonts w:ascii="宋体" w:hAnsi="宋体" w:cs="宋体" w:eastAsia="宋体" w:hint="default"/>
          <w:spacing w:val="-15"/>
        </w:rPr>
        <w:t> </w:t>
      </w:r>
      <w:r>
        <w:rPr>
          <w:rFonts w:ascii="宋体" w:hAnsi="宋体" w:cs="宋体" w:eastAsia="宋体" w:hint="default"/>
        </w:rPr>
        <w:t>Resource/axios</w:t>
      </w:r>
      <w:r>
        <w:rPr>
          <w:rFonts w:ascii="宋体" w:hAnsi="宋体" w:cs="宋体" w:eastAsia="宋体" w:hint="default"/>
          <w:spacing w:val="-15"/>
        </w:rPr>
        <w:t> </w:t>
      </w:r>
      <w:r>
        <w:rPr>
          <w:rFonts w:ascii="宋体" w:hAnsi="宋体" w:cs="宋体" w:eastAsia="宋体" w:hint="default"/>
        </w:rPr>
        <w:t>+</w:t>
      </w:r>
      <w:r>
        <w:rPr>
          <w:rFonts w:ascii="宋体" w:hAnsi="宋体" w:cs="宋体" w:eastAsia="宋体" w:hint="default"/>
          <w:spacing w:val="-15"/>
        </w:rPr>
        <w:t> </w:t>
      </w:r>
      <w:r>
        <w:rPr>
          <w:rFonts w:ascii="宋体" w:hAnsi="宋体" w:cs="宋体" w:eastAsia="宋体" w:hint="default"/>
        </w:rPr>
        <w:t>Vuex</w:t>
      </w:r>
      <w:r>
        <w:rPr/>
        <w:t>；</w:t>
      </w:r>
      <w:r>
        <w:rPr>
          <w:spacing w:val="-1"/>
        </w:rPr>
        <w:t> </w:t>
      </w:r>
      <w:r>
        <w:rPr>
          <w:rFonts w:ascii="宋体" w:hAnsi="宋体" w:cs="宋体" w:eastAsia="宋体" w:hint="default"/>
        </w:rPr>
        <w:t>4.RestFul</w:t>
      </w:r>
      <w:r>
        <w:rPr/>
        <w:t>接口设计，前端所 有请求通过</w:t>
      </w:r>
      <w:r>
        <w:rPr>
          <w:rFonts w:ascii="宋体" w:hAnsi="宋体" w:cs="宋体" w:eastAsia="宋体" w:hint="default"/>
        </w:rPr>
        <w:t>axios</w:t>
      </w:r>
      <w:r>
        <w:rPr/>
        <w:t>来实现数据接收和页面渲染；</w:t>
      </w:r>
      <w:r>
        <w:rPr>
          <w:rFonts w:ascii="宋体" w:hAnsi="宋体" w:cs="宋体" w:eastAsia="宋体" w:hint="default"/>
        </w:rPr>
        <w:t>5. Vuex</w:t>
      </w:r>
      <w:r>
        <w:rPr/>
        <w:t>来集中管理项目状态和登录用户权限。 报告期内已经完成该项目的技术开发工作并进行了软件著作权登记，登记号为</w:t>
      </w:r>
      <w:r>
        <w:rPr>
          <w:rFonts w:ascii="宋体" w:hAnsi="宋体" w:cs="宋体" w:eastAsia="宋体" w:hint="default"/>
        </w:rPr>
        <w:t>2017SR640956</w:t>
      </w:r>
      <w:r>
        <w:rPr/>
        <w:t>。</w:t>
      </w:r>
    </w:p>
    <w:p>
      <w:pPr>
        <w:pStyle w:val="BodyText"/>
        <w:spacing w:line="338" w:lineRule="auto" w:before="58"/>
        <w:ind w:left="1133" w:right="0"/>
        <w:jc w:val="left"/>
      </w:pPr>
      <w:r>
        <w:rPr>
          <w:rFonts w:ascii="宋体" w:hAnsi="宋体" w:cs="宋体" w:eastAsia="宋体" w:hint="default"/>
        </w:rPr>
        <w:t>15</w:t>
      </w:r>
      <w:r>
        <w:rPr/>
        <w:t>、智游</w:t>
      </w:r>
      <w:r>
        <w:rPr>
          <w:rFonts w:ascii="宋体" w:hAnsi="宋体" w:cs="宋体" w:eastAsia="宋体" w:hint="default"/>
        </w:rPr>
        <w:t>UI</w:t>
      </w:r>
      <w:r>
        <w:rPr/>
        <w:t>设计和产品经理课程培训管理系统</w:t>
      </w:r>
      <w:r>
        <w:rPr>
          <w:rFonts w:ascii="宋体" w:hAnsi="宋体" w:cs="宋体" w:eastAsia="宋体" w:hint="default"/>
        </w:rPr>
        <w:t>V1.0 </w:t>
      </w:r>
      <w:r>
        <w:rPr/>
        <w:t>智游</w:t>
      </w:r>
      <w:r>
        <w:rPr>
          <w:rFonts w:ascii="宋体" w:hAnsi="宋体" w:cs="宋体" w:eastAsia="宋体" w:hint="default"/>
        </w:rPr>
        <w:t>UI</w:t>
      </w:r>
      <w:r>
        <w:rPr/>
        <w:t>设计和产品经理课程培训管理系统学生信息管理系统模块内主要包括学生信息管理、学生成绩管理和密码管理。</w:t>
      </w:r>
      <w:r>
        <w:rPr>
          <w:rFonts w:ascii="宋体" w:hAnsi="宋体" w:cs="宋体" w:eastAsia="宋体" w:hint="default"/>
        </w:rPr>
        <w:t>a.</w:t>
      </w:r>
      <w:r>
        <w:rPr>
          <w:rFonts w:ascii="宋体" w:hAnsi="宋体" w:cs="宋体" w:eastAsia="宋体" w:hint="default"/>
          <w:spacing w:val="1"/>
        </w:rPr>
        <w:t> </w:t>
      </w:r>
      <w:r>
        <w:rPr>
          <w:spacing w:val="-4"/>
        </w:rPr>
        <w:t>学生信息管理界面包含有各信息精确查询和关键字、词模糊查询功能；所在班级信息；个人信息：姓名、性别、学号、电话、</w:t>
      </w:r>
    </w:p>
    <w:p>
      <w:pPr>
        <w:pStyle w:val="BodyText"/>
        <w:spacing w:line="316" w:lineRule="auto" w:before="2"/>
        <w:ind w:left="1133" w:right="1130"/>
        <w:jc w:val="both"/>
      </w:pPr>
      <w:r>
        <w:rPr>
          <w:spacing w:val="-2"/>
        </w:rPr>
        <w:t>出生日期、原院系、现学专业和学习状态；宿舍信息：宿舍地址、房间号、床位号；录入新信息：包含个人信息和宿舍信息</w:t>
      </w:r>
      <w:r>
        <w:rPr>
          <w:spacing w:val="-67"/>
        </w:rPr>
        <w:t> </w:t>
      </w:r>
      <w:r>
        <w:rPr>
          <w:spacing w:val="-67"/>
        </w:rPr>
      </w:r>
      <w:r>
        <w:rPr/>
        <w:t>所有项。</w:t>
      </w:r>
      <w:r>
        <w:rPr>
          <w:spacing w:val="7"/>
        </w:rPr>
        <w:t> </w:t>
      </w:r>
      <w:r>
        <w:rPr>
          <w:rFonts w:ascii="宋体" w:hAnsi="宋体" w:cs="宋体" w:eastAsia="宋体" w:hint="default"/>
        </w:rPr>
        <w:t>b.</w:t>
      </w:r>
      <w:r>
        <w:rPr/>
        <w:t>学生成绩管理界面包含有各信息精确查询和关键字、词模糊查询功能；所在班级信息；学生成绩信息：性名、 </w:t>
      </w:r>
      <w:r>
        <w:rPr>
          <w:spacing w:val="-2"/>
        </w:rPr>
        <w:t>学号、周测（笔试、上机操作）成绩、大阶段测试（笔试、上机操作）成绩、专科测试成绩；学成成绩的录入和删除、个人</w:t>
      </w:r>
      <w:r>
        <w:rPr>
          <w:spacing w:val="-72"/>
        </w:rPr>
        <w:t> </w:t>
      </w:r>
      <w:r>
        <w:rPr>
          <w:spacing w:val="-72"/>
        </w:rPr>
      </w:r>
      <w:r>
        <w:rPr>
          <w:spacing w:val="-2"/>
        </w:rPr>
        <w:t>成绩的编辑和删除。</w:t>
      </w:r>
      <w:r>
        <w:rPr>
          <w:rFonts w:ascii="宋体" w:hAnsi="宋体" w:cs="宋体" w:eastAsia="宋体" w:hint="default"/>
          <w:spacing w:val="-2"/>
        </w:rPr>
        <w:t>2.</w:t>
      </w:r>
      <w:r>
        <w:rPr>
          <w:spacing w:val="-2"/>
        </w:rPr>
        <w:t>学生课程信息管理系统；学生课程信息管理系统模块主要包括学生课程管理、学生项目管理、学生论</w:t>
      </w:r>
      <w:r>
        <w:rPr>
          <w:spacing w:val="-63"/>
        </w:rPr>
        <w:t> </w:t>
      </w:r>
      <w:r>
        <w:rPr>
          <w:spacing w:val="-63"/>
        </w:rPr>
      </w:r>
      <w:r>
        <w:rPr>
          <w:spacing w:val="4"/>
        </w:rPr>
        <w:t>坛管理、学生通知管理、学生作业管理。报告期内已经完成该项目的技术开发工作并进行了软件著作权登记，登记号为</w:t>
      </w:r>
      <w:r>
        <w:rPr>
          <w:spacing w:val="-66"/>
        </w:rPr>
        <w:t> </w:t>
      </w:r>
      <w:r>
        <w:rPr>
          <w:spacing w:val="-66"/>
        </w:rPr>
      </w:r>
      <w:r>
        <w:rPr>
          <w:rFonts w:ascii="宋体" w:hAnsi="宋体" w:cs="宋体" w:eastAsia="宋体" w:hint="default"/>
        </w:rPr>
        <w:t>2017SR640828</w:t>
      </w:r>
      <w:r>
        <w:rPr/>
        <w:t>。</w:t>
      </w:r>
    </w:p>
    <w:p>
      <w:pPr>
        <w:pStyle w:val="BodyText"/>
        <w:spacing w:line="240" w:lineRule="auto" w:before="19"/>
        <w:ind w:left="1133" w:right="0"/>
        <w:jc w:val="left"/>
      </w:pPr>
      <w:r>
        <w:rPr>
          <w:rFonts w:ascii="宋体" w:hAnsi="宋体" w:cs="宋体" w:eastAsia="宋体" w:hint="default"/>
        </w:rPr>
        <w:t>16</w:t>
      </w:r>
      <w:r>
        <w:rPr/>
        <w:t>、智游</w:t>
      </w:r>
      <w:r>
        <w:rPr>
          <w:rFonts w:ascii="宋体" w:hAnsi="宋体" w:cs="宋体" w:eastAsia="宋体" w:hint="default"/>
        </w:rPr>
        <w:t>VR</w:t>
      </w:r>
      <w:r>
        <w:rPr/>
        <w:t>及</w:t>
      </w:r>
      <w:r>
        <w:rPr>
          <w:rFonts w:ascii="宋体" w:hAnsi="宋体" w:cs="宋体" w:eastAsia="宋体" w:hint="default"/>
        </w:rPr>
        <w:t>Unity3D</w:t>
      </w:r>
      <w:r>
        <w:rPr/>
        <w:t>开发课程培训管理系统</w:t>
      </w:r>
    </w:p>
    <w:p>
      <w:pPr>
        <w:pStyle w:val="BodyText"/>
        <w:spacing w:line="316" w:lineRule="auto" w:before="76"/>
        <w:ind w:left="1133" w:right="1132"/>
        <w:jc w:val="both"/>
      </w:pPr>
      <w:r>
        <w:rPr/>
        <w:t>智游</w:t>
      </w:r>
      <w:r>
        <w:rPr>
          <w:rFonts w:ascii="宋体" w:hAnsi="宋体" w:cs="宋体" w:eastAsia="宋体" w:hint="default"/>
        </w:rPr>
        <w:t>VR</w:t>
      </w:r>
      <w:r>
        <w:rPr/>
        <w:t>及</w:t>
      </w:r>
      <w:r>
        <w:rPr>
          <w:rFonts w:ascii="宋体" w:hAnsi="宋体" w:cs="宋体" w:eastAsia="宋体" w:hint="default"/>
        </w:rPr>
        <w:t>Unity3D</w:t>
      </w:r>
      <w:r>
        <w:rPr/>
        <w:t>开发课程培训管理系统</w:t>
      </w:r>
      <w:r>
        <w:rPr>
          <w:rFonts w:ascii="宋体" w:hAnsi="宋体" w:cs="宋体" w:eastAsia="宋体" w:hint="default"/>
        </w:rPr>
        <w:t>1.</w:t>
      </w:r>
      <w:r>
        <w:rPr/>
        <w:t>后台管理密码；</w:t>
      </w:r>
      <w:r>
        <w:rPr>
          <w:spacing w:val="-43"/>
        </w:rPr>
        <w:t> </w:t>
      </w:r>
      <w:r>
        <w:rPr>
          <w:rFonts w:ascii="宋体" w:hAnsi="宋体" w:cs="宋体" w:eastAsia="宋体" w:hint="default"/>
        </w:rPr>
        <w:t>2.</w:t>
      </w:r>
      <w:r>
        <w:rPr/>
        <w:t>后台管理短信验证；</w:t>
      </w:r>
      <w:r>
        <w:rPr>
          <w:spacing w:val="-44"/>
        </w:rPr>
        <w:t> </w:t>
      </w:r>
      <w:r>
        <w:rPr>
          <w:rFonts w:ascii="宋体" w:hAnsi="宋体" w:cs="宋体" w:eastAsia="宋体" w:hint="default"/>
        </w:rPr>
        <w:t>3.</w:t>
      </w:r>
      <w:r>
        <w:rPr/>
        <w:t>后台管理网上评教；</w:t>
      </w:r>
      <w:r>
        <w:rPr>
          <w:spacing w:val="-43"/>
        </w:rPr>
        <w:t> </w:t>
      </w:r>
      <w:r>
        <w:rPr>
          <w:rFonts w:ascii="宋体" w:hAnsi="宋体" w:cs="宋体" w:eastAsia="宋体" w:hint="default"/>
        </w:rPr>
        <w:t>4.</w:t>
      </w:r>
      <w:r>
        <w:rPr/>
        <w:t>成绩管理；</w:t>
      </w:r>
      <w:r>
        <w:rPr>
          <w:spacing w:val="-44"/>
        </w:rPr>
        <w:t> </w:t>
      </w:r>
      <w:r>
        <w:rPr>
          <w:rFonts w:ascii="宋体" w:hAnsi="宋体" w:cs="宋体" w:eastAsia="宋体" w:hint="default"/>
        </w:rPr>
        <w:t>5. </w:t>
      </w:r>
      <w:r>
        <w:rPr/>
        <w:t>就业管理； </w:t>
      </w:r>
      <w:r>
        <w:rPr>
          <w:rFonts w:ascii="宋体" w:hAnsi="宋体" w:cs="宋体" w:eastAsia="宋体" w:hint="default"/>
        </w:rPr>
        <w:t>6.</w:t>
      </w:r>
      <w:r>
        <w:rPr/>
        <w:t>信息管理； </w:t>
      </w:r>
      <w:r>
        <w:rPr>
          <w:rFonts w:ascii="宋体" w:hAnsi="宋体" w:cs="宋体" w:eastAsia="宋体" w:hint="default"/>
        </w:rPr>
        <w:t>7.</w:t>
      </w:r>
      <w:r>
        <w:rPr/>
        <w:t>课程安排；</w:t>
      </w:r>
      <w:r>
        <w:rPr>
          <w:spacing w:val="7"/>
        </w:rPr>
        <w:t> </w:t>
      </w:r>
      <w:r>
        <w:rPr>
          <w:rFonts w:ascii="宋体" w:hAnsi="宋体" w:cs="宋体" w:eastAsia="宋体" w:hint="default"/>
        </w:rPr>
        <w:t>8.</w:t>
      </w:r>
      <w:r>
        <w:rPr/>
        <w:t>作业管理；它的内容对于学校的决策者和管理者来说都是至关重要的，也方便 </w:t>
      </w:r>
      <w:r>
        <w:rPr>
          <w:spacing w:val="-2"/>
        </w:rPr>
        <w:t>了学生群体参与教学。随着学生的规模不断扩大，学生数量急剧增加，有关学生的各种信息量也成倍增长。报告期内已经完</w:t>
      </w:r>
      <w:r>
        <w:rPr>
          <w:spacing w:val="-66"/>
        </w:rPr>
        <w:t> </w:t>
      </w:r>
      <w:r>
        <w:rPr>
          <w:spacing w:val="-66"/>
        </w:rPr>
      </w:r>
      <w:r>
        <w:rPr/>
        <w:t>成该项目的技术开发工作并进行了软件著作权登记，登记号为</w:t>
      </w:r>
      <w:r>
        <w:rPr>
          <w:rFonts w:ascii="宋体" w:hAnsi="宋体" w:cs="宋体" w:eastAsia="宋体" w:hint="default"/>
        </w:rPr>
        <w:t>2017SR645655</w:t>
      </w:r>
      <w:r>
        <w:rPr/>
        <w:t>。</w:t>
      </w:r>
    </w:p>
    <w:p>
      <w:pPr>
        <w:pStyle w:val="BodyText"/>
        <w:spacing w:line="240" w:lineRule="auto" w:before="19"/>
        <w:ind w:left="1133" w:right="0"/>
        <w:jc w:val="left"/>
        <w:rPr>
          <w:rFonts w:ascii="Times New Roman" w:hAnsi="Times New Roman" w:cs="Times New Roman" w:eastAsia="Times New Roman" w:hint="default"/>
        </w:rPr>
      </w:pPr>
      <w:r>
        <w:rPr>
          <w:rFonts w:ascii="Times New Roman" w:hAnsi="Times New Roman" w:cs="Times New Roman" w:eastAsia="Times New Roman" w:hint="default"/>
        </w:rPr>
        <w:t>17</w:t>
      </w:r>
      <w:r>
        <w:rPr/>
        <w:t>、智游大数据开发课程培训管理系统</w:t>
      </w:r>
      <w:r>
        <w:rPr>
          <w:rFonts w:ascii="Times New Roman" w:hAnsi="Times New Roman" w:cs="Times New Roman" w:eastAsia="Times New Roman" w:hint="default"/>
        </w:rPr>
        <w:t>V1.1</w:t>
      </w:r>
    </w:p>
    <w:p>
      <w:pPr>
        <w:pStyle w:val="BodyText"/>
        <w:spacing w:line="240" w:lineRule="auto" w:before="63"/>
        <w:ind w:right="0"/>
        <w:jc w:val="left"/>
      </w:pPr>
      <w:r>
        <w:rPr/>
        <w:t>智游大数据开发课程培训管理系统</w:t>
      </w:r>
      <w:r>
        <w:rPr>
          <w:rFonts w:ascii="宋体" w:hAnsi="宋体" w:cs="宋体" w:eastAsia="宋体" w:hint="default"/>
        </w:rPr>
        <w:t>1. </w:t>
      </w:r>
      <w:r>
        <w:rPr/>
        <w:t>学生信息管理体系；</w:t>
      </w:r>
      <w:r>
        <w:rPr>
          <w:spacing w:val="-20"/>
        </w:rPr>
        <w:t> </w:t>
      </w:r>
      <w:r>
        <w:rPr>
          <w:rFonts w:ascii="宋体" w:hAnsi="宋体" w:cs="宋体" w:eastAsia="宋体" w:hint="default"/>
        </w:rPr>
        <w:t>2. </w:t>
      </w:r>
      <w:r>
        <w:rPr/>
        <w:t>课程信息管理体系；</w:t>
      </w:r>
      <w:r>
        <w:rPr>
          <w:spacing w:val="-21"/>
        </w:rPr>
        <w:t> </w:t>
      </w:r>
      <w:r>
        <w:rPr>
          <w:rFonts w:ascii="宋体" w:hAnsi="宋体" w:cs="宋体" w:eastAsia="宋体" w:hint="default"/>
        </w:rPr>
        <w:t>3. </w:t>
      </w:r>
      <w:r>
        <w:rPr/>
        <w:t>系统设置；</w:t>
      </w:r>
      <w:r>
        <w:rPr>
          <w:spacing w:val="-20"/>
        </w:rPr>
        <w:t> </w:t>
      </w:r>
      <w:r>
        <w:rPr>
          <w:rFonts w:ascii="宋体" w:hAnsi="宋体" w:cs="宋体" w:eastAsia="宋体" w:hint="default"/>
        </w:rPr>
        <w:t>4. </w:t>
      </w:r>
      <w:r>
        <w:rPr>
          <w:spacing w:val="-3"/>
        </w:rPr>
        <w:t>论坛管理；</w:t>
      </w:r>
      <w:r>
        <w:rPr>
          <w:rFonts w:ascii="宋体" w:hAnsi="宋体" w:cs="宋体" w:eastAsia="宋体" w:hint="default"/>
          <w:spacing w:val="-3"/>
        </w:rPr>
        <w:t>5.</w:t>
      </w:r>
      <w:r>
        <w:rPr>
          <w:rFonts w:ascii="宋体" w:hAnsi="宋体" w:cs="宋体" w:eastAsia="宋体" w:hint="default"/>
        </w:rPr>
        <w:t> </w:t>
      </w:r>
      <w:r>
        <w:rPr/>
        <w:t>考试</w:t>
      </w:r>
    </w:p>
    <w:p>
      <w:pPr>
        <w:pStyle w:val="BodyText"/>
        <w:spacing w:line="316" w:lineRule="auto" w:before="77"/>
        <w:ind w:right="1129"/>
        <w:jc w:val="both"/>
      </w:pPr>
      <w:r>
        <w:rPr/>
        <w:t>系统；</w:t>
      </w:r>
      <w:r>
        <w:rPr>
          <w:spacing w:val="-44"/>
        </w:rPr>
        <w:t> </w:t>
      </w:r>
      <w:r>
        <w:rPr>
          <w:rFonts w:ascii="宋体" w:hAnsi="宋体" w:cs="宋体" w:eastAsia="宋体" w:hint="default"/>
        </w:rPr>
        <w:t>6.</w:t>
      </w:r>
      <w:r>
        <w:rPr>
          <w:rFonts w:ascii="宋体" w:hAnsi="宋体" w:cs="宋体" w:eastAsia="宋体" w:hint="default"/>
          <w:spacing w:val="-37"/>
        </w:rPr>
        <w:t> </w:t>
      </w:r>
      <w:r>
        <w:rPr/>
        <w:t>项目管理；通过这样的系统，必须做到信息的规范管理、科学统计和快速的查询，从而方便老师及时、全面地掌 </w:t>
      </w:r>
      <w:r>
        <w:rPr>
          <w:spacing w:val="-2"/>
        </w:rPr>
        <w:t>握学生情况，减少工作量，规范用户管理学生，实现无纸办公。方便学生了解课程进展，班级学习情况，项目协作分工等情</w:t>
      </w:r>
      <w:r>
        <w:rPr>
          <w:spacing w:val="-68"/>
        </w:rPr>
        <w:t> </w:t>
      </w:r>
      <w:r>
        <w:rPr>
          <w:spacing w:val="-68"/>
        </w:rPr>
      </w:r>
      <w:r>
        <w:rPr>
          <w:spacing w:val="11"/>
        </w:rPr>
        <w:t>况，实现从学生到职场的华丽转变。报告期内已经完成该项目的技术开发工作并进行了软件著作权登记，登记号为</w:t>
      </w:r>
      <w:r>
        <w:rPr>
          <w:spacing w:val="-61"/>
        </w:rPr>
        <w:t> </w:t>
      </w:r>
      <w:r>
        <w:rPr>
          <w:spacing w:val="-61"/>
        </w:rPr>
      </w:r>
      <w:r>
        <w:rPr>
          <w:rFonts w:ascii="宋体" w:hAnsi="宋体" w:cs="宋体" w:eastAsia="宋体" w:hint="default"/>
        </w:rPr>
        <w:t>2017SR646175</w:t>
      </w:r>
      <w:r>
        <w:rPr/>
        <w:t>。</w:t>
      </w:r>
    </w:p>
    <w:p>
      <w:pPr>
        <w:pStyle w:val="BodyText"/>
        <w:spacing w:line="312" w:lineRule="auto" w:before="19"/>
        <w:ind w:right="0"/>
        <w:jc w:val="left"/>
      </w:pPr>
      <w:r>
        <w:rPr>
          <w:rFonts w:ascii="Times New Roman" w:hAnsi="Times New Roman" w:cs="Times New Roman" w:eastAsia="Times New Roman" w:hint="default"/>
        </w:rPr>
        <w:t>18</w:t>
      </w:r>
      <w:r>
        <w:rPr/>
        <w:t>、智游客户关系管理系统</w:t>
      </w:r>
      <w:r>
        <w:rPr>
          <w:rFonts w:ascii="Times New Roman" w:hAnsi="Times New Roman" w:cs="Times New Roman" w:eastAsia="Times New Roman" w:hint="default"/>
        </w:rPr>
        <w:t>V1.0 </w:t>
      </w:r>
      <w:r>
        <w:rPr>
          <w:spacing w:val="-2"/>
        </w:rPr>
        <w:t>智游客户关系管理系统主要包括客户管理、内部信息、站内邮件、管理员信息等几个功能模块。内部信息管理主要包括通知</w:t>
      </w:r>
      <w:r>
        <w:rPr>
          <w:spacing w:val="-66"/>
        </w:rPr>
        <w:t> </w:t>
      </w:r>
      <w:r>
        <w:rPr>
          <w:spacing w:val="-66"/>
        </w:rPr>
      </w:r>
      <w:r>
        <w:rPr>
          <w:spacing w:val="-2"/>
        </w:rPr>
        <w:t>公告管理、员工信息管理、部门信息管理模块。管理员模块主要包括公告管理、部门管理、角色管理、用户管理功能。报告</w:t>
      </w:r>
      <w:r>
        <w:rPr>
          <w:spacing w:val="-72"/>
        </w:rPr>
        <w:t> </w:t>
      </w:r>
      <w:r>
        <w:rPr>
          <w:spacing w:val="-72"/>
        </w:rPr>
      </w:r>
      <w:r>
        <w:rPr/>
        <w:t>期内已经完成该项目的技术开发工作并进行了软件著作权登记，登记号为</w:t>
      </w:r>
      <w:r>
        <w:rPr>
          <w:rFonts w:ascii="宋体" w:hAnsi="宋体" w:cs="宋体" w:eastAsia="宋体" w:hint="default"/>
        </w:rPr>
        <w:t>2017SR603610</w:t>
      </w:r>
      <w:r>
        <w:rPr/>
        <w:t>。</w:t>
      </w:r>
    </w:p>
    <w:p>
      <w:pPr>
        <w:pStyle w:val="BodyText"/>
        <w:spacing w:line="240" w:lineRule="auto" w:before="22"/>
        <w:ind w:left="1133" w:right="0"/>
        <w:jc w:val="left"/>
        <w:rPr>
          <w:rFonts w:ascii="Times New Roman" w:hAnsi="Times New Roman" w:cs="Times New Roman" w:eastAsia="Times New Roman" w:hint="default"/>
        </w:rPr>
      </w:pPr>
      <w:r>
        <w:rPr>
          <w:rFonts w:ascii="Times New Roman" w:hAnsi="Times New Roman" w:cs="Times New Roman" w:eastAsia="Times New Roman" w:hint="default"/>
        </w:rPr>
        <w:t>19</w:t>
      </w:r>
      <w:r>
        <w:rPr/>
        <w:t>、智游新闻管理系统</w:t>
      </w:r>
      <w:r>
        <w:rPr>
          <w:rFonts w:ascii="Times New Roman" w:hAnsi="Times New Roman" w:cs="Times New Roman" w:eastAsia="Times New Roman" w:hint="default"/>
        </w:rPr>
        <w:t>V1.0</w:t>
      </w:r>
    </w:p>
    <w:p>
      <w:pPr>
        <w:pStyle w:val="BodyText"/>
        <w:spacing w:line="316" w:lineRule="auto" w:before="63"/>
        <w:ind w:left="1133" w:right="1027"/>
        <w:jc w:val="left"/>
        <w:rPr>
          <w:rFonts w:ascii="Times New Roman" w:hAnsi="Times New Roman" w:cs="Times New Roman" w:eastAsia="Times New Roman" w:hint="default"/>
        </w:rPr>
      </w:pPr>
      <w:r>
        <w:rPr/>
        <w:t>智游新闻管理系统</w:t>
      </w:r>
      <w:r>
        <w:rPr>
          <w:rFonts w:ascii="宋体" w:hAnsi="宋体" w:cs="宋体" w:eastAsia="宋体" w:hint="default"/>
        </w:rPr>
        <w:t>1.</w:t>
      </w:r>
      <w:r>
        <w:rPr/>
        <w:t>主要功能和技术特点系统后台登陆功能；</w:t>
      </w:r>
      <w:r>
        <w:rPr>
          <w:spacing w:val="-28"/>
        </w:rPr>
        <w:t> </w:t>
      </w:r>
      <w:r>
        <w:rPr>
          <w:rFonts w:ascii="宋体" w:hAnsi="宋体" w:cs="宋体" w:eastAsia="宋体" w:hint="default"/>
        </w:rPr>
        <w:t>2.</w:t>
      </w:r>
      <w:r>
        <w:rPr/>
        <w:t>后台用户管理；</w:t>
      </w:r>
      <w:r>
        <w:rPr>
          <w:spacing w:val="-28"/>
        </w:rPr>
        <w:t> </w:t>
      </w:r>
      <w:r>
        <w:rPr>
          <w:rFonts w:ascii="宋体" w:hAnsi="宋体" w:cs="宋体" w:eastAsia="宋体" w:hint="default"/>
        </w:rPr>
        <w:t>3.</w:t>
      </w:r>
      <w:r>
        <w:rPr/>
        <w:t>新闻分类管理；</w:t>
      </w:r>
      <w:r>
        <w:rPr>
          <w:spacing w:val="-28"/>
        </w:rPr>
        <w:t> </w:t>
      </w:r>
      <w:r>
        <w:rPr>
          <w:rFonts w:ascii="宋体" w:hAnsi="宋体" w:cs="宋体" w:eastAsia="宋体" w:hint="default"/>
        </w:rPr>
        <w:t>4.</w:t>
      </w:r>
      <w:r>
        <w:rPr/>
        <w:t>前台新闻显示功能； </w:t>
      </w:r>
      <w:r>
        <w:rPr>
          <w:rFonts w:ascii="宋体" w:hAnsi="宋体" w:cs="宋体" w:eastAsia="宋体" w:hint="default"/>
        </w:rPr>
        <w:t>5.</w:t>
      </w:r>
      <w:r>
        <w:rPr/>
        <w:t>前台自定义模板功能。报告期内已经完成该项目的技术开发工作并进行了软件著作权登记，登记号为</w:t>
      </w:r>
      <w:r>
        <w:rPr>
          <w:rFonts w:ascii="宋体" w:hAnsi="宋体" w:cs="宋体" w:eastAsia="宋体" w:hint="default"/>
        </w:rPr>
        <w:t>2017SR604143</w:t>
      </w:r>
      <w:r>
        <w:rPr/>
        <w:t>。 </w:t>
      </w:r>
      <w:r>
        <w:rPr>
          <w:rFonts w:ascii="Times New Roman" w:hAnsi="Times New Roman" w:cs="Times New Roman" w:eastAsia="Times New Roman" w:hint="default"/>
        </w:rPr>
        <w:t>20</w:t>
      </w:r>
      <w:r>
        <w:rPr/>
        <w:t>、智游</w:t>
      </w:r>
      <w:r>
        <w:rPr>
          <w:rFonts w:ascii="Times New Roman" w:hAnsi="Times New Roman" w:cs="Times New Roman" w:eastAsia="Times New Roman" w:hint="default"/>
        </w:rPr>
        <w:t>nodejs</w:t>
      </w:r>
      <w:r>
        <w:rPr/>
        <w:t>社区系统</w:t>
      </w:r>
      <w:r>
        <w:rPr>
          <w:rFonts w:ascii="Times New Roman" w:hAnsi="Times New Roman" w:cs="Times New Roman" w:eastAsia="Times New Roman" w:hint="default"/>
        </w:rPr>
        <w:t>V1.1</w:t>
      </w:r>
    </w:p>
    <w:p>
      <w:pPr>
        <w:pStyle w:val="BodyText"/>
        <w:spacing w:line="316" w:lineRule="auto"/>
        <w:ind w:left="1133" w:right="1129"/>
        <w:jc w:val="both"/>
      </w:pPr>
      <w:r>
        <w:rPr/>
        <w:t>智游</w:t>
      </w:r>
      <w:r>
        <w:rPr>
          <w:rFonts w:ascii="宋体" w:hAnsi="宋体" w:cs="宋体" w:eastAsia="宋体" w:hint="default"/>
        </w:rPr>
        <w:t>nodejs</w:t>
      </w:r>
      <w:r>
        <w:rPr/>
        <w:t>社区系统具有招聘栏目、问答栏目、发问列表等功能，主要功能和技术特点</w:t>
      </w:r>
      <w:r>
        <w:rPr>
          <w:spacing w:val="30"/>
        </w:rPr>
        <w:t> </w:t>
      </w:r>
      <w:r>
        <w:rPr>
          <w:rFonts w:ascii="宋体" w:hAnsi="宋体" w:cs="宋体" w:eastAsia="宋体" w:hint="default"/>
        </w:rPr>
        <w:t>1.</w:t>
      </w:r>
      <w:r>
        <w:rPr/>
        <w:t>数据库</w:t>
      </w:r>
      <w:r>
        <w:rPr>
          <w:rFonts w:ascii="宋体" w:hAnsi="宋体" w:cs="宋体" w:eastAsia="宋体" w:hint="default"/>
        </w:rPr>
        <w:t>mongodb</w:t>
      </w:r>
      <w:r>
        <w:rPr>
          <w:rFonts w:ascii="宋体" w:hAnsi="宋体" w:cs="宋体" w:eastAsia="宋体" w:hint="default"/>
          <w:spacing w:val="18"/>
        </w:rPr>
        <w:t> </w:t>
      </w:r>
      <w:r>
        <w:rPr>
          <w:rFonts w:ascii="宋体" w:hAnsi="宋体" w:cs="宋体" w:eastAsia="宋体" w:hint="default"/>
        </w:rPr>
        <w:t>+</w:t>
      </w:r>
      <w:r>
        <w:rPr>
          <w:rFonts w:ascii="宋体" w:hAnsi="宋体" w:cs="宋体" w:eastAsia="宋体" w:hint="default"/>
          <w:spacing w:val="18"/>
        </w:rPr>
        <w:t> </w:t>
      </w:r>
      <w:r>
        <w:rPr/>
        <w:t>缓存</w:t>
      </w:r>
      <w:r>
        <w:rPr>
          <w:rFonts w:ascii="宋体" w:hAnsi="宋体" w:cs="宋体" w:eastAsia="宋体" w:hint="default"/>
        </w:rPr>
        <w:t>redis</w:t>
      </w:r>
      <w:r>
        <w:rPr>
          <w:rFonts w:ascii="宋体" w:hAnsi="宋体" w:cs="宋体" w:eastAsia="宋体" w:hint="default"/>
          <w:spacing w:val="18"/>
        </w:rPr>
        <w:t> </w:t>
      </w:r>
      <w:r>
        <w:rPr>
          <w:rFonts w:ascii="宋体" w:hAnsi="宋体" w:cs="宋体" w:eastAsia="宋体" w:hint="default"/>
        </w:rPr>
        <w:t>+</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rPr>
        <w:t>nginx</w:t>
      </w:r>
      <w:r>
        <w:rPr/>
        <w:t>代理；</w:t>
      </w:r>
      <w:r>
        <w:rPr>
          <w:spacing w:val="-1"/>
        </w:rPr>
        <w:t> </w:t>
      </w:r>
      <w:r>
        <w:rPr>
          <w:rFonts w:ascii="宋体" w:hAnsi="宋体" w:cs="宋体" w:eastAsia="宋体" w:hint="default"/>
        </w:rPr>
        <w:t>2.Node.js</w:t>
      </w:r>
      <w:r>
        <w:rPr>
          <w:rFonts w:ascii="宋体" w:hAnsi="宋体" w:cs="宋体" w:eastAsia="宋体" w:hint="default"/>
          <w:spacing w:val="-15"/>
        </w:rPr>
        <w:t> </w:t>
      </w:r>
      <w:r>
        <w:rPr>
          <w:rFonts w:ascii="宋体" w:hAnsi="宋体" w:cs="宋体" w:eastAsia="宋体" w:hint="default"/>
        </w:rPr>
        <w:t>+</w:t>
      </w:r>
      <w:r>
        <w:rPr>
          <w:rFonts w:ascii="宋体" w:hAnsi="宋体" w:cs="宋体" w:eastAsia="宋体" w:hint="default"/>
          <w:spacing w:val="-15"/>
        </w:rPr>
        <w:t> </w:t>
      </w:r>
      <w:r>
        <w:rPr>
          <w:rFonts w:ascii="宋体" w:hAnsi="宋体" w:cs="宋体" w:eastAsia="宋体" w:hint="default"/>
        </w:rPr>
        <w:t>express</w:t>
      </w:r>
      <w:r>
        <w:rPr>
          <w:rFonts w:ascii="宋体" w:hAnsi="宋体" w:cs="宋体" w:eastAsia="宋体" w:hint="default"/>
          <w:spacing w:val="-15"/>
        </w:rPr>
        <w:t> </w:t>
      </w:r>
      <w:r>
        <w:rPr>
          <w:rFonts w:ascii="宋体" w:hAnsi="宋体" w:cs="宋体" w:eastAsia="宋体" w:hint="default"/>
        </w:rPr>
        <w:t>+</w:t>
      </w:r>
      <w:r>
        <w:rPr>
          <w:rFonts w:ascii="宋体" w:hAnsi="宋体" w:cs="宋体" w:eastAsia="宋体" w:hint="default"/>
          <w:spacing w:val="-15"/>
        </w:rPr>
        <w:t> </w:t>
      </w:r>
      <w:r>
        <w:rPr>
          <w:rFonts w:ascii="宋体" w:hAnsi="宋体" w:cs="宋体" w:eastAsia="宋体" w:hint="default"/>
        </w:rPr>
        <w:t>angularJS</w:t>
      </w:r>
      <w:r>
        <w:rPr>
          <w:rFonts w:ascii="宋体" w:hAnsi="宋体" w:cs="宋体" w:eastAsia="宋体" w:hint="default"/>
          <w:spacing w:val="-15"/>
        </w:rPr>
        <w:t> </w:t>
      </w:r>
      <w:r>
        <w:rPr>
          <w:rFonts w:ascii="宋体" w:hAnsi="宋体" w:cs="宋体" w:eastAsia="宋体" w:hint="default"/>
        </w:rPr>
        <w:t>+</w:t>
      </w:r>
      <w:r>
        <w:rPr>
          <w:rFonts w:ascii="宋体" w:hAnsi="宋体" w:cs="宋体" w:eastAsia="宋体" w:hint="default"/>
          <w:spacing w:val="-15"/>
        </w:rPr>
        <w:t> </w:t>
      </w:r>
      <w:r>
        <w:rPr>
          <w:rFonts w:ascii="宋体" w:hAnsi="宋体" w:cs="宋体" w:eastAsia="宋体" w:hint="default"/>
        </w:rPr>
        <w:t>bootstrap</w:t>
      </w:r>
      <w:r>
        <w:rPr/>
        <w:t>框架；</w:t>
      </w:r>
      <w:r>
        <w:rPr>
          <w:spacing w:val="-1"/>
        </w:rPr>
        <w:t> </w:t>
      </w:r>
      <w:r>
        <w:rPr>
          <w:rFonts w:ascii="宋体" w:hAnsi="宋体" w:cs="宋体" w:eastAsia="宋体" w:hint="default"/>
        </w:rPr>
        <w:t>3.</w:t>
      </w:r>
      <w:r>
        <w:rPr/>
        <w:t>代码结构采用</w:t>
      </w:r>
      <w:r>
        <w:rPr>
          <w:rFonts w:ascii="宋体" w:hAnsi="宋体" w:cs="宋体" w:eastAsia="宋体" w:hint="default"/>
        </w:rPr>
        <w:t>ES6</w:t>
      </w:r>
      <w:r>
        <w:rPr/>
        <w:t>写法，</w:t>
      </w:r>
      <w:r>
        <w:rPr>
          <w:rFonts w:ascii="宋体" w:hAnsi="宋体" w:cs="宋体" w:eastAsia="宋体" w:hint="default"/>
        </w:rPr>
        <w:t>promise/async</w:t>
      </w:r>
      <w:r>
        <w:rPr/>
        <w:t>组织异步操 作；</w:t>
      </w:r>
      <w:r>
        <w:rPr>
          <w:spacing w:val="-41"/>
        </w:rPr>
        <w:t> </w:t>
      </w:r>
      <w:r>
        <w:rPr>
          <w:rFonts w:ascii="宋体" w:hAnsi="宋体" w:cs="宋体" w:eastAsia="宋体" w:hint="default"/>
        </w:rPr>
        <w:t>4.</w:t>
      </w:r>
      <w:r>
        <w:rPr/>
        <w:t>使用</w:t>
      </w:r>
      <w:r>
        <w:rPr>
          <w:rFonts w:ascii="宋体" w:hAnsi="宋体" w:cs="宋体" w:eastAsia="宋体" w:hint="default"/>
        </w:rPr>
        <w:t>webpack</w:t>
      </w:r>
      <w:r>
        <w:rPr/>
        <w:t>打包工具，</w:t>
      </w:r>
      <w:r>
        <w:rPr>
          <w:rFonts w:ascii="宋体" w:hAnsi="宋体" w:cs="宋体" w:eastAsia="宋体" w:hint="default"/>
        </w:rPr>
        <w:t>pm2</w:t>
      </w:r>
      <w:r>
        <w:rPr/>
        <w:t>进程管理管理；</w:t>
      </w:r>
      <w:r>
        <w:rPr>
          <w:spacing w:val="-41"/>
        </w:rPr>
        <w:t> </w:t>
      </w:r>
      <w:r>
        <w:rPr>
          <w:rFonts w:ascii="宋体" w:hAnsi="宋体" w:cs="宋体" w:eastAsia="宋体" w:hint="default"/>
        </w:rPr>
        <w:t>5.markdown</w:t>
      </w:r>
      <w:r>
        <w:rPr/>
        <w:t>语法支持，支持多平台开发。报告期内已经完成该项目的技 术开发工作并进行了软件著作权登记，登记号为</w:t>
      </w:r>
      <w:r>
        <w:rPr>
          <w:rFonts w:ascii="宋体" w:hAnsi="宋体" w:cs="宋体" w:eastAsia="宋体" w:hint="default"/>
        </w:rPr>
        <w:t>2017SR603830</w:t>
      </w:r>
      <w:r>
        <w:rPr/>
        <w:t>。</w:t>
      </w:r>
    </w:p>
    <w:p>
      <w:pPr>
        <w:pStyle w:val="BodyText"/>
        <w:spacing w:line="240" w:lineRule="auto" w:before="19"/>
        <w:ind w:right="0"/>
        <w:jc w:val="left"/>
        <w:rPr>
          <w:rFonts w:ascii="Times New Roman" w:hAnsi="Times New Roman" w:cs="Times New Roman" w:eastAsia="Times New Roman" w:hint="default"/>
        </w:rPr>
      </w:pPr>
      <w:r>
        <w:rPr>
          <w:rFonts w:ascii="Times New Roman" w:hAnsi="Times New Roman" w:cs="Times New Roman" w:eastAsia="Times New Roman" w:hint="default"/>
        </w:rPr>
        <w:t>21</w:t>
      </w:r>
      <w:r>
        <w:rPr/>
        <w:t>、学生管理系统</w:t>
      </w:r>
      <w:r>
        <w:rPr>
          <w:rFonts w:ascii="Times New Roman" w:hAnsi="Times New Roman" w:cs="Times New Roman" w:eastAsia="Times New Roman" w:hint="default"/>
        </w:rPr>
        <w:t>V1.1</w:t>
      </w:r>
    </w:p>
    <w:p>
      <w:pPr>
        <w:pStyle w:val="BodyText"/>
        <w:spacing w:line="319" w:lineRule="auto" w:before="63"/>
        <w:ind w:left="1133" w:right="1117"/>
        <w:jc w:val="left"/>
        <w:rPr>
          <w:rFonts w:ascii="Times New Roman" w:hAnsi="Times New Roman" w:cs="Times New Roman" w:eastAsia="Times New Roman" w:hint="default"/>
        </w:rPr>
      </w:pPr>
      <w:r>
        <w:rPr/>
        <w:t>学生管理系统</w:t>
      </w:r>
      <w:r>
        <w:rPr>
          <w:rFonts w:ascii="宋体" w:hAnsi="宋体" w:cs="宋体" w:eastAsia="宋体" w:hint="default"/>
        </w:rPr>
        <w:t>1.</w:t>
      </w:r>
      <w:r>
        <w:rPr/>
        <w:t>主要功能和技术特点主要包含课程管理； </w:t>
      </w:r>
      <w:r>
        <w:rPr>
          <w:rFonts w:ascii="宋体" w:hAnsi="宋体" w:cs="宋体" w:eastAsia="宋体" w:hint="default"/>
        </w:rPr>
        <w:t>2.</w:t>
      </w:r>
      <w:r>
        <w:rPr/>
        <w:t>招生工作管理； </w:t>
      </w:r>
      <w:r>
        <w:rPr>
          <w:rFonts w:ascii="宋体" w:hAnsi="宋体" w:cs="宋体" w:eastAsia="宋体" w:hint="default"/>
        </w:rPr>
        <w:t>3.</w:t>
      </w:r>
      <w:r>
        <w:rPr/>
        <w:t>部门管理； </w:t>
      </w:r>
      <w:r>
        <w:rPr>
          <w:rFonts w:ascii="宋体" w:hAnsi="宋体" w:cs="宋体" w:eastAsia="宋体" w:hint="default"/>
        </w:rPr>
        <w:t>4.</w:t>
      </w:r>
      <w:r>
        <w:rPr/>
        <w:t>用户管理；</w:t>
      </w:r>
      <w:r>
        <w:rPr>
          <w:spacing w:val="6"/>
        </w:rPr>
        <w:t> </w:t>
      </w:r>
      <w:r>
        <w:rPr>
          <w:rFonts w:ascii="宋体" w:hAnsi="宋体" w:cs="宋体" w:eastAsia="宋体" w:hint="default"/>
        </w:rPr>
        <w:t>5</w:t>
      </w:r>
      <w:r>
        <w:rPr/>
        <w:t>、通知管理。 报告期内已经完成该项目的技术开发工作并进行了软件著作权登记，登记号为</w:t>
      </w:r>
      <w:r>
        <w:rPr>
          <w:rFonts w:ascii="宋体" w:hAnsi="宋体" w:cs="宋体" w:eastAsia="宋体" w:hint="default"/>
        </w:rPr>
        <w:t>2017SR603825</w:t>
      </w:r>
      <w:r>
        <w:rPr/>
        <w:t>。 </w:t>
      </w:r>
      <w:r>
        <w:rPr>
          <w:rFonts w:ascii="Times New Roman" w:hAnsi="Times New Roman" w:cs="Times New Roman" w:eastAsia="Times New Roman" w:hint="default"/>
        </w:rPr>
        <w:t>22</w:t>
      </w:r>
      <w:r>
        <w:rPr/>
        <w:t>、精灵世界游戏软件（简称精灵世界）</w:t>
      </w:r>
      <w:r>
        <w:rPr>
          <w:rFonts w:ascii="Times New Roman" w:hAnsi="Times New Roman" w:cs="Times New Roman" w:eastAsia="Times New Roman" w:hint="default"/>
        </w:rPr>
        <w:t>V1.0</w:t>
      </w:r>
    </w:p>
    <w:p>
      <w:pPr>
        <w:pStyle w:val="BodyText"/>
        <w:spacing w:line="316" w:lineRule="auto"/>
        <w:ind w:left="1133" w:right="1118"/>
        <w:jc w:val="left"/>
      </w:pPr>
      <w:r>
        <w:rPr/>
        <w:t>精灵世界游戏软件主要功能和技术特点 </w:t>
      </w:r>
      <w:r>
        <w:rPr>
          <w:rFonts w:ascii="宋体" w:hAnsi="宋体" w:cs="宋体" w:eastAsia="宋体" w:hint="default"/>
        </w:rPr>
        <w:t>1.</w:t>
      </w:r>
      <w:r>
        <w:rPr/>
        <w:t>登陆注册功能；</w:t>
      </w:r>
      <w:r>
        <w:rPr>
          <w:spacing w:val="-53"/>
        </w:rPr>
        <w:t> </w:t>
      </w:r>
      <w:r>
        <w:rPr>
          <w:rFonts w:ascii="宋体" w:hAnsi="宋体" w:cs="宋体" w:eastAsia="宋体" w:hint="default"/>
        </w:rPr>
        <w:t>2.</w:t>
      </w:r>
      <w:r>
        <w:rPr/>
        <w:t>创建角色功能；</w:t>
      </w:r>
      <w:r>
        <w:rPr>
          <w:spacing w:val="-53"/>
        </w:rPr>
        <w:t> </w:t>
      </w:r>
      <w:r>
        <w:rPr>
          <w:rFonts w:ascii="宋体" w:hAnsi="宋体" w:cs="宋体" w:eastAsia="宋体" w:hint="default"/>
        </w:rPr>
        <w:t>3.</w:t>
      </w:r>
      <w:r>
        <w:rPr/>
        <w:t>主城界面；</w:t>
      </w:r>
      <w:r>
        <w:rPr>
          <w:spacing w:val="-53"/>
        </w:rPr>
        <w:t> </w:t>
      </w:r>
      <w:r>
        <w:rPr>
          <w:rFonts w:ascii="宋体" w:hAnsi="宋体" w:cs="宋体" w:eastAsia="宋体" w:hint="default"/>
        </w:rPr>
        <w:t>4.</w:t>
      </w:r>
      <w:r>
        <w:rPr/>
        <w:t>背包功能；</w:t>
      </w:r>
      <w:r>
        <w:rPr>
          <w:spacing w:val="-53"/>
        </w:rPr>
        <w:t> </w:t>
      </w:r>
      <w:r>
        <w:rPr>
          <w:rFonts w:ascii="宋体" w:hAnsi="宋体" w:cs="宋体" w:eastAsia="宋体" w:hint="default"/>
        </w:rPr>
        <w:t>5.</w:t>
      </w:r>
      <w:r>
        <w:rPr/>
        <w:t>任务功能；</w:t>
      </w:r>
      <w:r>
        <w:rPr>
          <w:spacing w:val="-53"/>
        </w:rPr>
        <w:t> </w:t>
      </w:r>
      <w:r>
        <w:rPr>
          <w:rFonts w:ascii="宋体" w:hAnsi="宋体" w:cs="宋体" w:eastAsia="宋体" w:hint="default"/>
        </w:rPr>
        <w:t>6.</w:t>
      </w:r>
      <w:r>
        <w:rPr>
          <w:rFonts w:ascii="宋体" w:hAnsi="宋体" w:cs="宋体" w:eastAsia="宋体" w:hint="default"/>
          <w:spacing w:val="1"/>
        </w:rPr>
        <w:t> </w:t>
      </w:r>
      <w:r>
        <w:rPr>
          <w:spacing w:val="3"/>
        </w:rPr>
        <w:t>战斗功能； </w:t>
      </w:r>
      <w:r>
        <w:rPr>
          <w:rFonts w:ascii="宋体" w:hAnsi="宋体" w:cs="宋体" w:eastAsia="宋体" w:hint="default"/>
          <w:spacing w:val="3"/>
        </w:rPr>
        <w:t>7.</w:t>
      </w:r>
      <w:r>
        <w:rPr>
          <w:spacing w:val="3"/>
        </w:rPr>
        <w:t>技能功能；</w:t>
      </w:r>
      <w:r>
        <w:rPr>
          <w:spacing w:val="32"/>
        </w:rPr>
        <w:t> </w:t>
      </w:r>
      <w:r>
        <w:rPr>
          <w:rFonts w:ascii="宋体" w:hAnsi="宋体" w:cs="宋体" w:eastAsia="宋体" w:hint="default"/>
          <w:spacing w:val="4"/>
        </w:rPr>
        <w:t>8.</w:t>
      </w:r>
      <w:r>
        <w:rPr>
          <w:spacing w:val="4"/>
        </w:rPr>
        <w:t>关卡功能。报告期内已经完成该项目的技术开发工作并进行了软件著作权登记，登记号为</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rFonts w:ascii="宋体" w:hAnsi="宋体" w:cs="宋体" w:eastAsia="宋体" w:hint="default"/>
        </w:rPr>
        <w:t>2017SR614379</w:t>
      </w:r>
      <w:r>
        <w:rPr/>
        <w:t>。</w:t>
      </w:r>
    </w:p>
    <w:p>
      <w:pPr>
        <w:pStyle w:val="BodyText"/>
        <w:spacing w:line="240" w:lineRule="auto" w:before="76"/>
        <w:ind w:left="1133" w:right="0"/>
        <w:jc w:val="left"/>
      </w:pPr>
      <w:r>
        <w:rPr>
          <w:rFonts w:ascii="Times New Roman" w:hAnsi="Times New Roman" w:cs="Times New Roman" w:eastAsia="Times New Roman" w:hint="default"/>
        </w:rPr>
        <w:t>23</w:t>
      </w:r>
      <w:r>
        <w:rPr/>
        <w:t>、移动办公系统</w:t>
      </w:r>
    </w:p>
    <w:p>
      <w:pPr>
        <w:pStyle w:val="BodyText"/>
        <w:spacing w:line="319" w:lineRule="auto" w:before="63"/>
        <w:ind w:right="0"/>
        <w:jc w:val="left"/>
      </w:pPr>
      <w:r>
        <w:rPr/>
        <w:t>移动办公系统</w:t>
      </w:r>
      <w:r>
        <w:rPr>
          <w:rFonts w:ascii="宋体" w:hAnsi="宋体" w:cs="宋体" w:eastAsia="宋体" w:hint="default"/>
        </w:rPr>
        <w:t>1.</w:t>
      </w:r>
      <w:r>
        <w:rPr/>
        <w:t>主要功能和技术特点登陆注册功能；</w:t>
      </w:r>
      <w:r>
        <w:rPr>
          <w:rFonts w:ascii="宋体" w:hAnsi="宋体" w:cs="宋体" w:eastAsia="宋体" w:hint="default"/>
        </w:rPr>
        <w:t>2.</w:t>
      </w:r>
      <w:r>
        <w:rPr/>
        <w:t>请假；</w:t>
      </w:r>
      <w:r>
        <w:rPr>
          <w:rFonts w:ascii="宋体" w:hAnsi="宋体" w:cs="宋体" w:eastAsia="宋体" w:hint="default"/>
        </w:rPr>
        <w:t>3.</w:t>
      </w:r>
      <w:r>
        <w:rPr/>
        <w:t>报销；</w:t>
      </w:r>
      <w:r>
        <w:rPr>
          <w:rFonts w:ascii="宋体" w:hAnsi="宋体" w:cs="宋体" w:eastAsia="宋体" w:hint="default"/>
        </w:rPr>
        <w:t>4.</w:t>
      </w:r>
      <w:r>
        <w:rPr/>
        <w:t>采购； </w:t>
      </w:r>
      <w:r>
        <w:rPr>
          <w:rFonts w:ascii="宋体" w:hAnsi="宋体" w:cs="宋体" w:eastAsia="宋体" w:hint="default"/>
        </w:rPr>
        <w:t>5.</w:t>
      </w:r>
      <w:r>
        <w:rPr/>
        <w:t>沟通交流；可以在线提交请假申请，在</w:t>
      </w:r>
      <w:r>
        <w:rPr>
          <w:spacing w:val="-83"/>
        </w:rPr>
        <w:t> </w:t>
      </w:r>
      <w:r>
        <w:rPr>
          <w:spacing w:val="-83"/>
        </w:rPr>
      </w:r>
      <w:r>
        <w:rPr>
          <w:spacing w:val="-4"/>
        </w:rPr>
        <w:t>线和群组内人员进行沟通交流，进行移动在线公文流转。报告期内已经完成该项目的技术开发工作并进行了软件著作权登记，</w:t>
      </w:r>
      <w:r>
        <w:rPr>
          <w:spacing w:val="-44"/>
        </w:rPr>
        <w:t> </w:t>
      </w:r>
      <w:r>
        <w:rPr>
          <w:spacing w:val="-44"/>
        </w:rPr>
      </w:r>
      <w:r>
        <w:rPr/>
        <w:t>登记号为</w:t>
      </w:r>
      <w:r>
        <w:rPr>
          <w:rFonts w:ascii="宋体" w:hAnsi="宋体" w:cs="宋体" w:eastAsia="宋体" w:hint="default"/>
        </w:rPr>
        <w:t>2017SR603571</w:t>
      </w:r>
      <w:r>
        <w:rPr/>
        <w:t>。</w:t>
      </w:r>
    </w:p>
    <w:p>
      <w:pPr>
        <w:pStyle w:val="BodyText"/>
        <w:spacing w:line="316" w:lineRule="auto" w:before="17"/>
        <w:ind w:left="1133" w:right="1033"/>
        <w:jc w:val="left"/>
      </w:pPr>
      <w:r>
        <w:rPr>
          <w:rFonts w:ascii="Times New Roman" w:hAnsi="Times New Roman" w:cs="Times New Roman" w:eastAsia="Times New Roman" w:hint="default"/>
        </w:rPr>
        <w:t>24</w:t>
      </w:r>
      <w:r>
        <w:rPr/>
        <w:t>、速捷购物商城平台（简称速捷购物商城） </w:t>
      </w:r>
      <w:r>
        <w:rPr>
          <w:spacing w:val="-2"/>
        </w:rPr>
        <w:t>速捷购物商城平台由平台运营管理员通过后台发布商城商品信息、审核商户入驻信息、查询处理订单、查询统计分析表、维</w:t>
      </w:r>
      <w:r>
        <w:rPr>
          <w:spacing w:val="-66"/>
        </w:rPr>
        <w:t> </w:t>
      </w:r>
      <w:r>
        <w:rPr>
          <w:spacing w:val="-66"/>
        </w:rPr>
      </w:r>
      <w:r>
        <w:rPr/>
        <w:t>护护商城基础配置信息等。由入驻商户管理配送订单</w:t>
      </w:r>
      <w:r>
        <w:rPr>
          <w:rFonts w:ascii="宋体" w:hAnsi="宋体" w:cs="宋体" w:eastAsia="宋体" w:hint="default"/>
        </w:rPr>
        <w:t>,</w:t>
      </w:r>
      <w:r>
        <w:rPr/>
        <w:t>维护产品销售范围等。提供统一的数据接口</w:t>
      </w:r>
      <w:r>
        <w:rPr>
          <w:rFonts w:ascii="宋体" w:hAnsi="宋体" w:cs="宋体" w:eastAsia="宋体" w:hint="default"/>
        </w:rPr>
        <w:t>,</w:t>
      </w:r>
      <w:r>
        <w:rPr/>
        <w:t>实现</w:t>
      </w:r>
      <w:r>
        <w:rPr>
          <w:rFonts w:ascii="宋体" w:hAnsi="宋体" w:cs="宋体" w:eastAsia="宋体" w:hint="default"/>
        </w:rPr>
        <w:t>ios</w:t>
      </w:r>
      <w:r>
        <w:rPr/>
        <w:t>或其他第三方平</w:t>
      </w:r>
      <w:r>
        <w:rPr>
          <w:spacing w:val="-82"/>
        </w:rPr>
        <w:t> </w:t>
      </w:r>
      <w:r>
        <w:rPr>
          <w:spacing w:val="-82"/>
        </w:rPr>
      </w:r>
      <w:r>
        <w:rPr/>
        <w:t>台调取数据。报告期内已经完成该项目的技术开发工作并进行了软件著作权登记，登记号为</w:t>
      </w:r>
      <w:r>
        <w:rPr>
          <w:rFonts w:ascii="宋体" w:hAnsi="宋体" w:cs="宋体" w:eastAsia="宋体" w:hint="default"/>
        </w:rPr>
        <w:t>2017SR33286</w:t>
      </w:r>
      <w:r>
        <w:rPr/>
        <w:t>。</w:t>
      </w:r>
      <w:r>
        <w:rPr>
          <w:rFonts w:ascii="宋体" w:hAnsi="宋体" w:cs="宋体" w:eastAsia="宋体" w:hint="default"/>
        </w:rPr>
        <w:t>25</w:t>
      </w:r>
      <w:r>
        <w:rPr/>
        <w:t>、有货商城平</w:t>
      </w:r>
      <w:r>
        <w:rPr>
          <w:spacing w:val="-84"/>
        </w:rPr>
        <w:t> </w:t>
      </w:r>
      <w:r>
        <w:rPr>
          <w:spacing w:val="-84"/>
        </w:rPr>
      </w:r>
      <w:r>
        <w:rPr/>
        <w:t>台（简称有货商城）</w:t>
      </w:r>
      <w:r>
        <w:rPr>
          <w:rFonts w:ascii="宋体" w:hAnsi="宋体" w:cs="宋体" w:eastAsia="宋体" w:hint="default"/>
        </w:rPr>
        <w:t>V1.0 </w:t>
      </w:r>
      <w:r>
        <w:rPr/>
        <w:t>有货商城平台为销售平台提供蔬果生鲜展示购买信息，以及在线下单等商城支付和购买流程。包含拼团活动，寻味与来源， 甄选优活，购物与分享功能。用户结构包含普通用户、会员用户、甄选师用户，不同角色拥有不同的使用权限和优惠策略。 </w:t>
      </w:r>
      <w:r>
        <w:rPr>
          <w:spacing w:val="-2"/>
        </w:rPr>
        <w:t>各级用户拥有充值权限，享受充值优惠政策。甄选师具有独特的提现收益优惠。提现来自于商品推荐产生的订单，并受到以</w:t>
      </w:r>
      <w:r>
        <w:rPr>
          <w:spacing w:val="-66"/>
        </w:rPr>
        <w:t> </w:t>
      </w:r>
      <w:r>
        <w:rPr>
          <w:spacing w:val="-66"/>
        </w:rPr>
      </w:r>
      <w:r>
        <w:rPr>
          <w:spacing w:val="15"/>
        </w:rPr>
        <w:t>自然月为周期的订单销量额影响。</w:t>
      </w:r>
      <w:r>
        <w:rPr>
          <w:spacing w:val="-72"/>
        </w:rPr>
        <w:t> </w:t>
      </w:r>
      <w:r>
        <w:rPr>
          <w:spacing w:val="15"/>
        </w:rPr>
        <w:t>报告期内已经完成该项目的技术开发工作并进行了软件著作权登记，</w:t>
      </w:r>
      <w:r>
        <w:rPr>
          <w:spacing w:val="-72"/>
        </w:rPr>
        <w:t> </w:t>
      </w:r>
      <w:r>
        <w:rPr>
          <w:spacing w:val="12"/>
        </w:rPr>
        <w:t>登记号为</w:t>
      </w:r>
      <w:r>
        <w:rPr>
          <w:spacing w:val="-72"/>
        </w:rPr>
        <w:t> </w:t>
      </w:r>
      <w:r>
        <w:rPr>
          <w:spacing w:val="-72"/>
        </w:rPr>
      </w:r>
      <w:r>
        <w:rPr>
          <w:rFonts w:ascii="宋体" w:hAnsi="宋体" w:cs="宋体" w:eastAsia="宋体" w:hint="default"/>
        </w:rPr>
        <w:t>2017SR609510</w:t>
      </w:r>
      <w:r>
        <w:rPr/>
        <w:t>。</w:t>
      </w:r>
    </w:p>
    <w:p>
      <w:pPr>
        <w:pStyle w:val="BodyText"/>
        <w:spacing w:line="240" w:lineRule="auto" w:before="19"/>
        <w:ind w:left="1133" w:right="0"/>
        <w:jc w:val="left"/>
        <w:rPr>
          <w:rFonts w:ascii="宋体" w:hAnsi="宋体" w:cs="宋体" w:eastAsia="宋体" w:hint="default"/>
        </w:rPr>
      </w:pPr>
      <w:r>
        <w:rPr>
          <w:rFonts w:ascii="宋体" w:hAnsi="宋体" w:cs="宋体" w:eastAsia="宋体" w:hint="default"/>
        </w:rPr>
        <w:t>26</w:t>
      </w:r>
      <w:r>
        <w:rPr/>
        <w:t>、</w:t>
      </w:r>
      <w:r>
        <w:rPr>
          <w:rFonts w:ascii="宋体" w:hAnsi="宋体" w:cs="宋体" w:eastAsia="宋体" w:hint="default"/>
        </w:rPr>
        <w:t>YUE17+</w:t>
      </w:r>
      <w:r>
        <w:rPr/>
        <w:t>软件（简称约</w:t>
      </w:r>
      <w:r>
        <w:rPr>
          <w:rFonts w:ascii="宋体" w:hAnsi="宋体" w:cs="宋体" w:eastAsia="宋体" w:hint="default"/>
        </w:rPr>
        <w:t>17</w:t>
      </w:r>
      <w:r>
        <w:rPr/>
        <w:t>）</w:t>
      </w:r>
      <w:r>
        <w:rPr>
          <w:rFonts w:ascii="宋体" w:hAnsi="宋体" w:cs="宋体" w:eastAsia="宋体" w:hint="default"/>
        </w:rPr>
        <w:t>V1.0</w:t>
      </w:r>
    </w:p>
    <w:p>
      <w:pPr>
        <w:pStyle w:val="BodyText"/>
        <w:spacing w:line="316" w:lineRule="auto" w:before="76"/>
        <w:ind w:left="1133" w:right="1130"/>
        <w:jc w:val="both"/>
      </w:pPr>
      <w:r>
        <w:rPr>
          <w:rFonts w:ascii="宋体" w:hAnsi="宋体" w:cs="宋体" w:eastAsia="宋体" w:hint="default"/>
          <w:spacing w:val="-2"/>
        </w:rPr>
        <w:t>1.YUE17+</w:t>
      </w:r>
      <w:r>
        <w:rPr>
          <w:spacing w:val="-2"/>
        </w:rPr>
        <w:t>软件是一款大型在线交友平台</w:t>
      </w:r>
      <w:r>
        <w:rPr>
          <w:rFonts w:ascii="宋体" w:hAnsi="宋体" w:cs="宋体" w:eastAsia="宋体" w:hint="default"/>
          <w:spacing w:val="-2"/>
        </w:rPr>
        <w:t>,</w:t>
      </w:r>
      <w:r>
        <w:rPr>
          <w:spacing w:val="-2"/>
        </w:rPr>
        <w:t>用户通过本平台可以和其他人随时随地聊天交友。</w:t>
      </w:r>
      <w:r>
        <w:rPr>
          <w:rFonts w:ascii="宋体" w:hAnsi="宋体" w:cs="宋体" w:eastAsia="宋体" w:hint="default"/>
          <w:spacing w:val="-2"/>
        </w:rPr>
        <w:t>2.YUE17+</w:t>
      </w:r>
      <w:r>
        <w:rPr>
          <w:spacing w:val="-2"/>
        </w:rPr>
        <w:t>提供文字</w:t>
      </w:r>
      <w:r>
        <w:rPr>
          <w:rFonts w:ascii="宋体" w:hAnsi="宋体" w:cs="宋体" w:eastAsia="宋体" w:hint="default"/>
          <w:spacing w:val="-2"/>
        </w:rPr>
        <w:t>,</w:t>
      </w:r>
      <w:r>
        <w:rPr>
          <w:spacing w:val="-2"/>
        </w:rPr>
        <w:t>图片</w:t>
      </w:r>
      <w:r>
        <w:rPr>
          <w:rFonts w:ascii="宋体" w:hAnsi="宋体" w:cs="宋体" w:eastAsia="宋体" w:hint="default"/>
          <w:spacing w:val="-2"/>
        </w:rPr>
        <w:t>,</w:t>
      </w:r>
      <w:r>
        <w:rPr>
          <w:spacing w:val="-2"/>
        </w:rPr>
        <w:t>小视频</w:t>
      </w:r>
      <w:r>
        <w:rPr>
          <w:rFonts w:ascii="宋体" w:hAnsi="宋体" w:cs="宋体" w:eastAsia="宋体" w:hint="default"/>
          <w:spacing w:val="-2"/>
        </w:rPr>
        <w:t>,</w:t>
      </w:r>
      <w:r>
        <w:rPr>
          <w:rFonts w:ascii="宋体" w:hAnsi="宋体" w:cs="宋体" w:eastAsia="宋体" w:hint="default"/>
          <w:spacing w:val="-43"/>
        </w:rPr>
        <w:t> </w:t>
      </w:r>
      <w:r>
        <w:rPr/>
        <w:t>表情情包等功能交流</w:t>
      </w:r>
      <w:r>
        <w:rPr>
          <w:rFonts w:ascii="宋体" w:hAnsi="宋体" w:cs="宋体" w:eastAsia="宋体" w:hint="default"/>
        </w:rPr>
        <w:t>,</w:t>
      </w:r>
      <w:r>
        <w:rPr/>
        <w:t>并提供新鲜事功能</w:t>
      </w:r>
      <w:r>
        <w:rPr>
          <w:rFonts w:ascii="宋体" w:hAnsi="宋体" w:cs="宋体" w:eastAsia="宋体" w:hint="default"/>
        </w:rPr>
        <w:t>,</w:t>
      </w:r>
      <w:r>
        <w:rPr/>
        <w:t>让整个平台用户知道你发布的新鲜事。</w:t>
      </w:r>
      <w:r>
        <w:rPr>
          <w:rFonts w:ascii="宋体" w:hAnsi="宋体" w:cs="宋体" w:eastAsia="宋体" w:hint="default"/>
        </w:rPr>
        <w:t>3.YUE17+</w:t>
      </w:r>
      <w:r>
        <w:rPr/>
        <w:t>提供会员功能</w:t>
      </w:r>
      <w:r>
        <w:rPr>
          <w:rFonts w:ascii="宋体" w:hAnsi="宋体" w:cs="宋体" w:eastAsia="宋体" w:hint="default"/>
        </w:rPr>
        <w:t>,</w:t>
      </w:r>
      <w:r>
        <w:rPr/>
        <w:t>可以展示自己的经</w:t>
      </w:r>
      <w:r>
        <w:rPr>
          <w:spacing w:val="-84"/>
        </w:rPr>
        <w:t> </w:t>
      </w:r>
      <w:r>
        <w:rPr>
          <w:spacing w:val="-84"/>
        </w:rPr>
      </w:r>
      <w:r>
        <w:rPr/>
        <w:t>济实力</w:t>
      </w:r>
      <w:r>
        <w:rPr>
          <w:rFonts w:ascii="宋体" w:hAnsi="宋体" w:cs="宋体" w:eastAsia="宋体" w:hint="default"/>
        </w:rPr>
        <w:t>,</w:t>
      </w:r>
      <w:r>
        <w:rPr/>
        <w:t>更能享受更多的服务功能</w:t>
      </w:r>
      <w:r>
        <w:rPr>
          <w:rFonts w:ascii="宋体" w:hAnsi="宋体" w:cs="宋体" w:eastAsia="宋体" w:hint="default"/>
        </w:rPr>
        <w:t>,</w:t>
      </w:r>
      <w:r>
        <w:rPr/>
        <w:t>如免费表情包</w:t>
      </w:r>
      <w:r>
        <w:rPr>
          <w:rFonts w:ascii="宋体" w:hAnsi="宋体" w:cs="宋体" w:eastAsia="宋体" w:hint="default"/>
        </w:rPr>
        <w:t>,</w:t>
      </w:r>
      <w:r>
        <w:rPr/>
        <w:t>上首页达人榜等等。报告期内已经完成该项目的技术开发工作并进行了软</w:t>
      </w:r>
      <w:r>
        <w:rPr>
          <w:spacing w:val="-83"/>
        </w:rPr>
        <w:t> </w:t>
      </w:r>
      <w:r>
        <w:rPr>
          <w:spacing w:val="-83"/>
        </w:rPr>
      </w:r>
      <w:r>
        <w:rPr/>
        <w:t>件著作权登记，登记号为</w:t>
      </w:r>
      <w:r>
        <w:rPr>
          <w:rFonts w:ascii="宋体" w:hAnsi="宋体" w:cs="宋体" w:eastAsia="宋体" w:hint="default"/>
        </w:rPr>
        <w:t>2017SR609599</w:t>
      </w:r>
      <w:r>
        <w:rPr/>
        <w:t>。</w:t>
      </w:r>
    </w:p>
    <w:p>
      <w:pPr>
        <w:pStyle w:val="BodyText"/>
        <w:spacing w:line="316" w:lineRule="auto" w:before="19"/>
        <w:ind w:left="1133" w:right="1123"/>
        <w:jc w:val="left"/>
      </w:pPr>
      <w:r>
        <w:rPr>
          <w:rFonts w:ascii="宋体" w:hAnsi="宋体" w:cs="宋体" w:eastAsia="宋体" w:hint="default"/>
        </w:rPr>
        <w:t>27</w:t>
      </w:r>
      <w:r>
        <w:rPr/>
        <w:t>、爱拍拍软件（简称爱拍拍）</w:t>
      </w:r>
      <w:r>
        <w:rPr>
          <w:rFonts w:ascii="宋体" w:hAnsi="宋体" w:cs="宋体" w:eastAsia="宋体" w:hint="default"/>
        </w:rPr>
        <w:t>V1.0 </w:t>
      </w:r>
      <w:r>
        <w:rPr/>
        <w:t>爱拍拍软件使用</w:t>
      </w:r>
      <w:r>
        <w:rPr>
          <w:rFonts w:ascii="宋体" w:hAnsi="宋体" w:cs="宋体" w:eastAsia="宋体" w:hint="default"/>
        </w:rPr>
        <w:t>APP</w:t>
      </w:r>
      <w:r>
        <w:rPr/>
        <w:t>浏览、购买商品</w:t>
      </w:r>
      <w:r>
        <w:rPr>
          <w:rFonts w:ascii="宋体" w:hAnsi="宋体" w:cs="宋体" w:eastAsia="宋体" w:hint="default"/>
        </w:rPr>
        <w:t>,</w:t>
      </w:r>
      <w:r>
        <w:rPr/>
        <w:t>充值等消角色</w:t>
      </w:r>
      <w:r>
        <w:rPr>
          <w:rFonts w:ascii="宋体" w:hAnsi="宋体" w:cs="宋体" w:eastAsia="宋体" w:hint="default"/>
        </w:rPr>
        <w:t>,</w:t>
      </w:r>
      <w:r>
        <w:rPr/>
        <w:t>使用</w:t>
      </w:r>
      <w:r>
        <w:rPr>
          <w:rFonts w:ascii="宋体" w:hAnsi="宋体" w:cs="宋体" w:eastAsia="宋体" w:hint="default"/>
        </w:rPr>
        <w:t>AP</w:t>
      </w:r>
      <w:r>
        <w:rPr/>
        <w:t>充值一定金额的普通用户</w:t>
      </w:r>
      <w:r>
        <w:rPr>
          <w:rFonts w:ascii="宋体" w:hAnsi="宋体" w:cs="宋体" w:eastAsia="宋体" w:hint="default"/>
        </w:rPr>
        <w:t>,</w:t>
      </w:r>
      <w:r>
        <w:rPr/>
        <w:t>额外享受购买优惠。后台管理角色</w:t>
      </w:r>
      <w:r>
        <w:rPr>
          <w:rFonts w:ascii="宋体" w:hAnsi="宋体" w:cs="宋体" w:eastAsia="宋体" w:hint="default"/>
        </w:rPr>
        <w:t>,</w:t>
      </w:r>
      <w:r>
        <w:rPr/>
        <w:t>拥</w:t>
      </w:r>
      <w:r>
        <w:rPr>
          <w:spacing w:val="-83"/>
        </w:rPr>
        <w:t> </w:t>
      </w:r>
      <w:r>
        <w:rPr/>
        <w:t>有所有后台使用权限。报告期内已经完成该项目的技术开发工作并进行了软件著作权登记，登记号为</w:t>
      </w:r>
      <w:r>
        <w:rPr>
          <w:rFonts w:ascii="宋体" w:hAnsi="宋体" w:cs="宋体" w:eastAsia="宋体" w:hint="default"/>
        </w:rPr>
        <w:t>2017SR609230</w:t>
      </w:r>
      <w:r>
        <w:rPr/>
        <w:t>。 </w:t>
      </w:r>
      <w:r>
        <w:rPr>
          <w:rFonts w:ascii="宋体" w:hAnsi="宋体" w:cs="宋体" w:eastAsia="宋体" w:hint="default"/>
        </w:rPr>
        <w:t>28</w:t>
      </w:r>
      <w:r>
        <w:rPr/>
        <w:t>、坚果直播软件（简称坚果直播）</w:t>
      </w:r>
      <w:r>
        <w:rPr>
          <w:rFonts w:ascii="宋体" w:hAnsi="宋体" w:cs="宋体" w:eastAsia="宋体" w:hint="default"/>
        </w:rPr>
        <w:t>V1.0 </w:t>
      </w:r>
      <w:r>
        <w:rPr/>
        <w:t>支持截屏支持看客录小视屏</w:t>
      </w:r>
      <w:r>
        <w:rPr>
          <w:rFonts w:ascii="宋体" w:hAnsi="宋体" w:cs="宋体" w:eastAsia="宋体" w:hint="default"/>
        </w:rPr>
        <w:t>2.</w:t>
      </w:r>
      <w:r>
        <w:rPr/>
        <w:t>发红包”功功能</w:t>
      </w:r>
      <w:r>
        <w:rPr>
          <w:rFonts w:ascii="宋体" w:hAnsi="宋体" w:cs="宋体" w:eastAsia="宋体" w:hint="default"/>
        </w:rPr>
        <w:t>,</w:t>
      </w:r>
      <w:r>
        <w:rPr/>
        <w:t>借鉴微信、支イ付宝的红包模式</w:t>
      </w:r>
      <w:r>
        <w:rPr>
          <w:rFonts w:ascii="宋体" w:hAnsi="宋体" w:cs="宋体" w:eastAsia="宋体" w:hint="default"/>
        </w:rPr>
        <w:t>,</w:t>
      </w:r>
      <w:r>
        <w:rPr/>
        <w:t>由主播发起多人红包</w:t>
      </w:r>
      <w:r>
        <w:rPr>
          <w:rFonts w:ascii="宋体" w:hAnsi="宋体" w:cs="宋体" w:eastAsia="宋体" w:hint="default"/>
        </w:rPr>
        <w:t>3.</w:t>
      </w:r>
      <w:r>
        <w:rPr/>
        <w:t>动动态贴纸功能</w:t>
      </w:r>
      <w:r>
        <w:rPr>
          <w:rFonts w:ascii="宋体" w:hAnsi="宋体" w:cs="宋体" w:eastAsia="宋体" w:hint="default"/>
        </w:rPr>
        <w:t>,</w:t>
      </w:r>
      <w:r>
        <w:rPr/>
        <w:t>各</w:t>
      </w:r>
      <w:r>
        <w:rPr>
          <w:spacing w:val="-83"/>
        </w:rPr>
        <w:t> </w:t>
      </w:r>
      <w:r>
        <w:rPr/>
        <w:t>种激萌特效左右滑动切换主播可以自己发动态</w:t>
      </w:r>
      <w:r>
        <w:rPr>
          <w:rFonts w:ascii="宋体" w:hAnsi="宋体" w:cs="宋体" w:eastAsia="宋体" w:hint="default"/>
        </w:rPr>
        <w:t>4.</w:t>
      </w:r>
      <w:r>
        <w:rPr/>
        <w:t>直播变脸</w:t>
      </w:r>
      <w:r>
        <w:rPr>
          <w:rFonts w:ascii="宋体" w:hAnsi="宋体" w:cs="宋体" w:eastAsia="宋体" w:hint="default"/>
        </w:rPr>
        <w:t>,</w:t>
      </w:r>
      <w:r>
        <w:rPr/>
        <w:t>玩法多样</w:t>
      </w:r>
      <w:r>
        <w:rPr>
          <w:rFonts w:ascii="宋体" w:hAnsi="宋体" w:cs="宋体" w:eastAsia="宋体" w:hint="default"/>
        </w:rPr>
        <w:t>,</w:t>
      </w:r>
      <w:r>
        <w:rPr/>
        <w:t>有个大小图切换隐藏功能</w:t>
      </w:r>
      <w:r>
        <w:rPr>
          <w:rFonts w:ascii="宋体" w:hAnsi="宋体" w:cs="宋体" w:eastAsia="宋体" w:hint="default"/>
        </w:rPr>
        <w:t>5.</w:t>
      </w:r>
      <w:r>
        <w:rPr/>
        <w:t>在一期基础上</w:t>
      </w:r>
      <w:r>
        <w:rPr>
          <w:rFonts w:ascii="宋体" w:hAnsi="宋体" w:cs="宋体" w:eastAsia="宋体" w:hint="default"/>
        </w:rPr>
        <w:t>,</w:t>
      </w:r>
      <w:r>
        <w:rPr/>
        <w:t>增加商品列</w:t>
      </w:r>
      <w:r>
        <w:rPr>
          <w:spacing w:val="-83"/>
        </w:rPr>
        <w:t> </w:t>
      </w:r>
      <w:r>
        <w:rPr/>
        <w:t>表优化展示。</w:t>
      </w:r>
      <w:r>
        <w:rPr>
          <w:rFonts w:ascii="宋体" w:hAnsi="宋体" w:cs="宋体" w:eastAsia="宋体" w:hint="default"/>
        </w:rPr>
        <w:t>6.</w:t>
      </w:r>
      <w:r>
        <w:rPr/>
        <w:t>优化商品购买流程</w:t>
      </w:r>
      <w:r>
        <w:rPr>
          <w:rFonts w:ascii="宋体" w:hAnsi="宋体" w:cs="宋体" w:eastAsia="宋体" w:hint="default"/>
        </w:rPr>
        <w:t>,</w:t>
      </w:r>
      <w:r>
        <w:rPr/>
        <w:t>增加阶梯价格。报告期内已经完成该项目的技术开发工作并进行了软件著作权登记，登</w:t>
      </w:r>
      <w:r>
        <w:rPr>
          <w:spacing w:val="-83"/>
        </w:rPr>
        <w:t> </w:t>
      </w:r>
      <w:r>
        <w:rPr>
          <w:spacing w:val="-83"/>
        </w:rPr>
      </w:r>
      <w:r>
        <w:rPr/>
        <w:t>记号为</w:t>
      </w:r>
      <w:r>
        <w:rPr>
          <w:rFonts w:ascii="宋体" w:hAnsi="宋体" w:cs="宋体" w:eastAsia="宋体" w:hint="default"/>
        </w:rPr>
        <w:t>2017SR633291</w:t>
      </w:r>
      <w:r>
        <w:rPr/>
        <w:t>。</w:t>
      </w:r>
    </w:p>
    <w:p>
      <w:pPr>
        <w:pStyle w:val="BodyText"/>
        <w:spacing w:line="240" w:lineRule="auto" w:before="19"/>
        <w:ind w:right="0"/>
        <w:jc w:val="left"/>
        <w:rPr>
          <w:rFonts w:ascii="宋体" w:hAnsi="宋体" w:cs="宋体" w:eastAsia="宋体" w:hint="default"/>
        </w:rPr>
      </w:pPr>
      <w:r>
        <w:rPr>
          <w:rFonts w:ascii="宋体" w:hAnsi="宋体" w:cs="宋体" w:eastAsia="宋体" w:hint="default"/>
        </w:rPr>
        <w:t>29</w:t>
      </w:r>
      <w:r>
        <w:rPr/>
        <w:t>、打零工平台（简称：打零工）</w:t>
      </w:r>
      <w:r>
        <w:rPr>
          <w:rFonts w:ascii="宋体" w:hAnsi="宋体" w:cs="宋体" w:eastAsia="宋体" w:hint="default"/>
        </w:rPr>
        <w:t>V1.0</w:t>
      </w:r>
    </w:p>
    <w:p>
      <w:pPr>
        <w:pStyle w:val="BodyText"/>
        <w:spacing w:line="316" w:lineRule="auto" w:before="76"/>
        <w:ind w:left="1133" w:right="1129"/>
        <w:jc w:val="both"/>
      </w:pPr>
      <w:r>
        <w:rPr>
          <w:rFonts w:ascii="宋体" w:hAnsi="宋体" w:cs="宋体" w:eastAsia="宋体" w:hint="default"/>
        </w:rPr>
        <w:t>1.</w:t>
      </w:r>
      <w:r>
        <w:rPr/>
        <w:t>打零工平台是一款招工信息平台</w:t>
      </w:r>
      <w:r>
        <w:rPr>
          <w:rFonts w:ascii="宋体" w:hAnsi="宋体" w:cs="宋体" w:eastAsia="宋体" w:hint="default"/>
        </w:rPr>
        <w:t>,</w:t>
      </w:r>
      <w:r>
        <w:rPr/>
        <w:t>用户和用工单位通过本平台接单打零工</w:t>
      </w:r>
      <w:r>
        <w:rPr>
          <w:rFonts w:ascii="宋体" w:hAnsi="宋体" w:cs="宋体" w:eastAsia="宋体" w:hint="default"/>
        </w:rPr>
        <w:t>,</w:t>
      </w:r>
      <w:r>
        <w:rPr/>
        <w:t>应聘和发布工作岗位。</w:t>
      </w:r>
      <w:r>
        <w:rPr>
          <w:rFonts w:ascii="宋体" w:hAnsi="宋体" w:cs="宋体" w:eastAsia="宋体" w:hint="default"/>
        </w:rPr>
        <w:t>2.</w:t>
      </w:r>
      <w:r>
        <w:rPr/>
        <w:t>打零工作为用工平台</w:t>
      </w:r>
      <w:r>
        <w:rPr>
          <w:rFonts w:ascii="宋体" w:hAnsi="宋体" w:cs="宋体" w:eastAsia="宋体" w:hint="default"/>
        </w:rPr>
        <w:t>,</w:t>
      </w:r>
      <w:r>
        <w:rPr>
          <w:rFonts w:ascii="宋体" w:hAnsi="宋体" w:cs="宋体" w:eastAsia="宋体" w:hint="default"/>
          <w:spacing w:val="-83"/>
        </w:rPr>
        <w:t> </w:t>
      </w:r>
      <w:r>
        <w:rPr/>
        <w:t>确保了打工者和用工单位的双方权益。</w:t>
      </w:r>
      <w:r>
        <w:rPr>
          <w:rFonts w:ascii="宋体" w:hAnsi="宋体" w:cs="宋体" w:eastAsia="宋体" w:hint="default"/>
        </w:rPr>
        <w:t>3.</w:t>
      </w:r>
      <w:r>
        <w:rPr/>
        <w:t>打零工分为两个端</w:t>
      </w:r>
      <w:r>
        <w:rPr>
          <w:rFonts w:ascii="宋体" w:hAnsi="宋体" w:cs="宋体" w:eastAsia="宋体" w:hint="default"/>
        </w:rPr>
        <w:t>,</w:t>
      </w:r>
      <w:r>
        <w:rPr/>
        <w:t>用工端和打工端。报告期内已经完成该项目的技术开发工作并</w:t>
      </w:r>
      <w:r>
        <w:rPr>
          <w:spacing w:val="-83"/>
        </w:rPr>
        <w:t> </w:t>
      </w:r>
      <w:r>
        <w:rPr>
          <w:spacing w:val="-83"/>
        </w:rPr>
      </w:r>
      <w:r>
        <w:rPr/>
        <w:t>进行了软件著作权登记，登记号为</w:t>
      </w:r>
      <w:r>
        <w:rPr>
          <w:rFonts w:ascii="宋体" w:hAnsi="宋体" w:cs="宋体" w:eastAsia="宋体" w:hint="default"/>
        </w:rPr>
        <w:t>2017SR618646</w:t>
      </w:r>
      <w:r>
        <w:rPr/>
        <w:t>。</w:t>
      </w:r>
    </w:p>
    <w:p>
      <w:pPr>
        <w:pStyle w:val="BodyText"/>
        <w:spacing w:line="240" w:lineRule="auto" w:before="59"/>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21,405,392.57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16,885,643.33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10,494,138.55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研发支出资本化的金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润的比重</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研发投入总额占营业收入的比重较上年发生显著变化的原因</w:t>
      </w:r>
    </w:p>
    <w:p>
      <w:pPr>
        <w:pStyle w:val="BodyText"/>
        <w:spacing w:line="357" w:lineRule="auto" w:before="117"/>
        <w:ind w:right="6792"/>
        <w:jc w:val="left"/>
      </w:pPr>
      <w:r>
        <w:rPr/>
        <w:t>□ 适用 √ 不适用 研发投入资本化率大幅变动的原因及其合理性说明</w:t>
      </w:r>
    </w:p>
    <w:p>
      <w:pPr>
        <w:pStyle w:val="BodyText"/>
        <w:spacing w:line="240" w:lineRule="auto" w:before="28"/>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622,828,440.62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536,559,684.66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501,006,460.72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383,711,101.60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30.57%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121,821,979.90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152,848,583.06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-20.30%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520,379,842.78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369,709.39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140,653.75%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810,251,353.76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437,563,761.30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85.17%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-289,871,510.98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-437,194,051.91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654,399,095.86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937,650,187.08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-30.21%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470,062,942.66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407,647,788.70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15.31%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184,336,153.20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530,002,398.38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-65.22%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14,881,671.71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247,334,007.70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-93.98%</w:t>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right="0"/>
        <w:jc w:val="left"/>
      </w:pPr>
      <w:r>
        <w:rPr/>
        <w:t>√ 适用 □ 不适用</w:t>
      </w:r>
    </w:p>
    <w:p>
      <w:pPr>
        <w:pStyle w:val="BodyText"/>
        <w:spacing w:line="240" w:lineRule="auto" w:before="115"/>
        <w:ind w:left="0" w:right="1132"/>
        <w:jc w:val="right"/>
      </w:pPr>
      <w:r>
        <w:rPr>
          <w:rFonts w:ascii="宋体" w:hAnsi="宋体" w:cs="宋体" w:eastAsia="宋体" w:hint="default"/>
        </w:rPr>
        <w:t>2017</w:t>
      </w:r>
      <w:r>
        <w:rPr/>
        <w:t>年度，经营活动产生的现金净流量 </w:t>
      </w:r>
      <w:r>
        <w:rPr>
          <w:rFonts w:ascii="宋体" w:hAnsi="宋体" w:cs="宋体" w:eastAsia="宋体" w:hint="default"/>
        </w:rPr>
        <w:t>121,821,979.90</w:t>
      </w:r>
      <w:r>
        <w:rPr>
          <w:rFonts w:ascii="宋体" w:hAnsi="宋体" w:cs="宋体" w:eastAsia="宋体" w:hint="default"/>
          <w:spacing w:val="-58"/>
        </w:rPr>
        <w:t> </w:t>
      </w:r>
      <w:r>
        <w:rPr/>
        <w:t>元，比去年减少</w:t>
      </w:r>
      <w:r>
        <w:rPr>
          <w:rFonts w:ascii="宋体" w:hAnsi="宋体" w:cs="宋体" w:eastAsia="宋体" w:hint="default"/>
        </w:rPr>
        <w:t>20.3%</w:t>
      </w:r>
      <w:r>
        <w:rPr/>
        <w:t>，主要是经营现金流出增加所致；投资</w:t>
      </w:r>
    </w:p>
    <w:p>
      <w:pPr>
        <w:pStyle w:val="BodyText"/>
        <w:spacing w:line="338" w:lineRule="auto" w:before="76"/>
        <w:ind w:left="1133" w:right="1483"/>
        <w:jc w:val="left"/>
      </w:pPr>
      <w:r>
        <w:rPr/>
        <w:t>活动产生的现金净量 </w:t>
      </w:r>
      <w:r>
        <w:rPr>
          <w:rFonts w:ascii="宋体" w:hAnsi="宋体" w:cs="宋体" w:eastAsia="宋体" w:hint="default"/>
        </w:rPr>
        <w:t>-289,871,510.98 </w:t>
      </w:r>
      <w:r>
        <w:rPr/>
        <w:t>元，比去年增加</w:t>
      </w:r>
      <w:r>
        <w:rPr>
          <w:rFonts w:ascii="宋体" w:hAnsi="宋体" w:cs="宋体" w:eastAsia="宋体" w:hint="default"/>
        </w:rPr>
        <w:t>33.7%</w:t>
      </w:r>
      <w:r>
        <w:rPr/>
        <w:t>，主要是增加投资所致；筹资活动生产的现金净流量 </w:t>
      </w:r>
      <w:r>
        <w:rPr>
          <w:rFonts w:ascii="宋体" w:hAnsi="宋体" w:cs="宋体" w:eastAsia="宋体" w:hint="default"/>
        </w:rPr>
        <w:t>184,336,153.20</w:t>
      </w:r>
      <w:r>
        <w:rPr/>
        <w:t>元，比去年减少</w:t>
      </w:r>
      <w:r>
        <w:rPr>
          <w:rFonts w:ascii="宋体" w:hAnsi="宋体" w:cs="宋体" w:eastAsia="宋体" w:hint="default"/>
        </w:rPr>
        <w:t>65.22%</w:t>
      </w:r>
      <w:r>
        <w:rPr/>
        <w:t>，主要是吸收投资减少所致。现金及现金等价物的净增加额</w:t>
      </w:r>
      <w:r>
        <w:rPr>
          <w:rFonts w:ascii="宋体" w:hAnsi="宋体" w:cs="宋体" w:eastAsia="宋体" w:hint="default"/>
        </w:rPr>
        <w:t>14,881,671.71</w:t>
      </w:r>
      <w:r>
        <w:rPr/>
        <w:t>元。 报告期内公司经营活动产生的现金净流量与本年度净利润存在重大差异的原因说明</w:t>
      </w:r>
    </w:p>
    <w:p>
      <w:pPr>
        <w:pStyle w:val="BodyText"/>
        <w:spacing w:line="240" w:lineRule="auto" w:before="43"/>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552,835,056.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560,615,295.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181,820,430.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227,299,476.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95,191,612.3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105,579,071.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-0.80%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210,118,481.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107,930,065.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224,683,337.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186,286,037.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0.67%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1,970,781.39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2,086,153.67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357,770,000.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-5.97%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-0.73%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7" w:right="0"/>
              <w:jc w:val="left"/>
              <w:rPr>
                <w:rFonts w:ascii="Times New Roman" w:hAnsi="Times New Roman" w:cs="Times New Roman" w:eastAsia="Times New Roman" w:hint="default"/>
                <w:sz w:val="18"/>
                <w:szCs w:val="18"/>
              </w:rPr>
            </w:pPr>
            <w:r>
              <w:rPr>
                <w:rFonts w:ascii="Times New Roman"/>
                <w:sz w:val="18"/>
              </w:rPr>
              <w:t>110,000,000.00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1" w:right="0"/>
              <w:jc w:val="left"/>
              <w:rPr>
                <w:rFonts w:ascii="Times New Roman" w:hAnsi="Times New Roman" w:cs="Times New Roman" w:eastAsia="Times New Roman" w:hint="default"/>
                <w:sz w:val="18"/>
                <w:szCs w:val="18"/>
              </w:rPr>
            </w:pPr>
            <w:r>
              <w:rPr>
                <w:rFonts w:ascii="Times New Roman"/>
                <w:sz w:val="18"/>
              </w:rPr>
              <w:t>926,000,000.00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-88.12%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362"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被投</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主要</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合作</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预计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是否</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披露</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披露</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98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62" w:right="160"/>
              <w:jc w:val="both"/>
              <w:rPr>
                <w:rFonts w:ascii="宋体" w:hAnsi="宋体" w:cs="宋体" w:eastAsia="宋体" w:hint="default"/>
                <w:sz w:val="18"/>
                <w:szCs w:val="18"/>
              </w:rPr>
            </w:pPr>
            <w:r>
              <w:rPr>
                <w:rFonts w:ascii="宋体" w:hAnsi="宋体" w:cs="宋体" w:eastAsia="宋体" w:hint="default"/>
                <w:sz w:val="18"/>
                <w:szCs w:val="18"/>
              </w:rPr>
              <w:t>资公 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1"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方式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来源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2"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9"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4" w:right="183"/>
              <w:jc w:val="left"/>
              <w:rPr>
                <w:rFonts w:ascii="宋体" w:hAnsi="宋体" w:cs="宋体" w:eastAsia="宋体" w:hint="default"/>
                <w:sz w:val="18"/>
                <w:szCs w:val="18"/>
              </w:rPr>
            </w:pPr>
            <w:r>
              <w:rPr>
                <w:rFonts w:ascii="宋体" w:hAnsi="宋体" w:cs="宋体" w:eastAsia="宋体" w:hint="default"/>
                <w:sz w:val="18"/>
                <w:szCs w:val="18"/>
              </w:rPr>
              <w:t>投资 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涉诉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日期</w:t>
            </w:r>
          </w:p>
          <w:p>
            <w:pPr>
              <w:pStyle w:val="TableParagraph"/>
              <w:spacing w:line="319" w:lineRule="auto" w:before="76"/>
              <w:ind w:left="182" w:right="179"/>
              <w:jc w:val="left"/>
              <w:rPr>
                <w:rFonts w:ascii="宋体" w:hAnsi="宋体" w:cs="宋体" w:eastAsia="宋体" w:hint="default"/>
                <w:sz w:val="18"/>
                <w:szCs w:val="18"/>
              </w:rPr>
            </w:pPr>
            <w:r>
              <w:rPr>
                <w:rFonts w:ascii="宋体" w:hAnsi="宋体" w:cs="宋体" w:eastAsia="宋体" w:hint="default"/>
                <w:sz w:val="18"/>
                <w:szCs w:val="18"/>
              </w:rPr>
              <w:t>（如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76" w:right="0"/>
              <w:jc w:val="left"/>
              <w:rPr>
                <w:rFonts w:ascii="宋体" w:hAnsi="宋体" w:cs="宋体" w:eastAsia="宋体" w:hint="default"/>
                <w:sz w:val="18"/>
                <w:szCs w:val="18"/>
              </w:rPr>
            </w:pPr>
            <w:r>
              <w:rPr>
                <w:rFonts w:ascii="宋体" w:hAnsi="宋体" w:cs="宋体" w:eastAsia="宋体" w:hint="default"/>
                <w:sz w:val="18"/>
                <w:szCs w:val="18"/>
              </w:rPr>
              <w:t>索引</w:t>
            </w:r>
          </w:p>
          <w:p>
            <w:pPr>
              <w:pStyle w:val="TableParagraph"/>
              <w:spacing w:line="319" w:lineRule="auto" w:before="76"/>
              <w:ind w:left="176" w:right="175"/>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1284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103" w:right="219"/>
              <w:jc w:val="both"/>
              <w:rPr>
                <w:rFonts w:ascii="宋体" w:hAnsi="宋体" w:cs="宋体" w:eastAsia="宋体" w:hint="default"/>
                <w:sz w:val="18"/>
                <w:szCs w:val="18"/>
              </w:rPr>
            </w:pPr>
            <w:r>
              <w:rPr>
                <w:rFonts w:ascii="宋体" w:hAnsi="宋体" w:cs="宋体" w:eastAsia="宋体" w:hint="default"/>
                <w:sz w:val="18"/>
                <w:szCs w:val="18"/>
              </w:rPr>
              <w:t>新余 智趣 资产 管理 合伙 企业</w:t>
            </w:r>
          </w:p>
          <w:p>
            <w:pPr>
              <w:pStyle w:val="TableParagraph"/>
              <w:spacing w:line="319" w:lineRule="auto" w:before="19"/>
              <w:ind w:left="103" w:right="219"/>
              <w:jc w:val="both"/>
              <w:rPr>
                <w:rFonts w:ascii="宋体" w:hAnsi="宋体" w:cs="宋体" w:eastAsia="宋体" w:hint="default"/>
                <w:sz w:val="18"/>
                <w:szCs w:val="18"/>
              </w:rPr>
            </w:pPr>
            <w:r>
              <w:rPr>
                <w:rFonts w:ascii="宋体" w:hAnsi="宋体" w:cs="宋体" w:eastAsia="宋体" w:hint="default"/>
                <w:sz w:val="18"/>
                <w:szCs w:val="18"/>
              </w:rPr>
              <w:t>（有 限合 伙）</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38"/>
              <w:jc w:val="left"/>
              <w:rPr>
                <w:rFonts w:ascii="宋体" w:hAnsi="宋体" w:cs="宋体" w:eastAsia="宋体" w:hint="default"/>
                <w:sz w:val="18"/>
                <w:szCs w:val="18"/>
              </w:rPr>
            </w:pPr>
            <w:r>
              <w:rPr>
                <w:rFonts w:ascii="宋体" w:hAnsi="宋体" w:cs="宋体" w:eastAsia="宋体" w:hint="default"/>
                <w:sz w:val="18"/>
                <w:szCs w:val="18"/>
              </w:rPr>
              <w:t>教育 投资； 投资 管理； 项目 投资； 资产 管理； 投资 咨询</w:t>
            </w:r>
          </w:p>
          <w:p>
            <w:pPr>
              <w:pStyle w:val="TableParagraph"/>
              <w:spacing w:line="316" w:lineRule="auto" w:before="19"/>
              <w:ind w:left="103" w:right="38"/>
              <w:jc w:val="left"/>
              <w:rPr>
                <w:rFonts w:ascii="宋体" w:hAnsi="宋体" w:cs="宋体" w:eastAsia="宋体" w:hint="default"/>
                <w:sz w:val="18"/>
                <w:szCs w:val="18"/>
              </w:rPr>
            </w:pPr>
            <w:r>
              <w:rPr>
                <w:rFonts w:ascii="宋体" w:hAnsi="宋体" w:cs="宋体" w:eastAsia="宋体" w:hint="default"/>
                <w:sz w:val="18"/>
                <w:szCs w:val="18"/>
              </w:rPr>
              <w:t>（不 含金 </w:t>
            </w:r>
            <w:r>
              <w:rPr>
                <w:rFonts w:ascii="宋体" w:hAnsi="宋体" w:cs="宋体" w:eastAsia="宋体" w:hint="default"/>
                <w:spacing w:val="-21"/>
                <w:sz w:val="18"/>
                <w:szCs w:val="18"/>
              </w:rPr>
              <w:t>融、证</w:t>
            </w:r>
            <w:r>
              <w:rPr>
                <w:rFonts w:ascii="宋体" w:hAnsi="宋体" w:cs="宋体" w:eastAsia="宋体" w:hint="default"/>
                <w:sz w:val="18"/>
                <w:szCs w:val="18"/>
              </w:rPr>
              <w:t> </w:t>
            </w:r>
            <w:r>
              <w:rPr>
                <w:rFonts w:ascii="宋体" w:hAnsi="宋体" w:cs="宋体" w:eastAsia="宋体" w:hint="default"/>
                <w:spacing w:val="-21"/>
                <w:sz w:val="18"/>
                <w:szCs w:val="18"/>
              </w:rPr>
              <w:t>券、期</w:t>
            </w:r>
            <w:r>
              <w:rPr>
                <w:rFonts w:ascii="宋体" w:hAnsi="宋体" w:cs="宋体" w:eastAsia="宋体" w:hint="default"/>
                <w:sz w:val="18"/>
                <w:szCs w:val="18"/>
              </w:rPr>
              <w:t> </w:t>
            </w:r>
            <w:r>
              <w:rPr>
                <w:rFonts w:ascii="宋体" w:hAnsi="宋体" w:cs="宋体" w:eastAsia="宋体" w:hint="default"/>
                <w:spacing w:val="-21"/>
                <w:sz w:val="18"/>
                <w:szCs w:val="18"/>
              </w:rPr>
              <w:t>货、保</w:t>
            </w:r>
            <w:r>
              <w:rPr>
                <w:rFonts w:ascii="宋体" w:hAnsi="宋体" w:cs="宋体" w:eastAsia="宋体" w:hint="default"/>
                <w:sz w:val="18"/>
                <w:szCs w:val="18"/>
              </w:rPr>
              <w:t> 险业 </w:t>
            </w:r>
            <w:r>
              <w:rPr>
                <w:rFonts w:ascii="宋体" w:hAnsi="宋体" w:cs="宋体" w:eastAsia="宋体" w:hint="default"/>
                <w:spacing w:val="-30"/>
                <w:sz w:val="18"/>
                <w:szCs w:val="18"/>
              </w:rPr>
              <w:t>务）；</w:t>
            </w:r>
            <w:r>
              <w:rPr>
                <w:rFonts w:ascii="宋体" w:hAnsi="宋体" w:cs="宋体" w:eastAsia="宋体" w:hint="default"/>
                <w:sz w:val="18"/>
                <w:szCs w:val="18"/>
              </w:rPr>
              <w:t> 企业 管理； 企业 筹划； 企业 经济 信息 咨询； 会议 服务； 接收 金融 机构 委托 从事 金融 知识 流程 外包 服务。</w:t>
            </w:r>
          </w:p>
          <w:p>
            <w:pPr>
              <w:pStyle w:val="TableParagraph"/>
              <w:spacing w:line="316" w:lineRule="auto" w:before="19"/>
              <w:ind w:left="103" w:right="218"/>
              <w:jc w:val="both"/>
              <w:rPr>
                <w:rFonts w:ascii="宋体" w:hAnsi="宋体" w:cs="宋体" w:eastAsia="宋体" w:hint="default"/>
                <w:sz w:val="18"/>
                <w:szCs w:val="18"/>
              </w:rPr>
            </w:pPr>
            <w:r>
              <w:rPr>
                <w:rFonts w:ascii="宋体" w:hAnsi="宋体" w:cs="宋体" w:eastAsia="宋体" w:hint="default"/>
                <w:sz w:val="18"/>
                <w:szCs w:val="18"/>
              </w:rPr>
              <w:t>（依 法须 经批 准的</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1" w:right="0"/>
              <w:jc w:val="center"/>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45" w:right="0"/>
              <w:jc w:val="lef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6"/>
              <w:ind w:left="3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8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102" w:right="185"/>
              <w:jc w:val="both"/>
              <w:rPr>
                <w:rFonts w:ascii="宋体" w:hAnsi="宋体" w:cs="宋体" w:eastAsia="宋体" w:hint="default"/>
                <w:sz w:val="18"/>
                <w:szCs w:val="18"/>
              </w:rPr>
            </w:pPr>
            <w:r>
              <w:rPr>
                <w:rFonts w:ascii="宋体" w:hAnsi="宋体" w:cs="宋体" w:eastAsia="宋体" w:hint="default"/>
                <w:sz w:val="18"/>
                <w:szCs w:val="18"/>
              </w:rPr>
              <w:t>新余 智趣 的股 东</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103" w:right="182"/>
              <w:jc w:val="left"/>
              <w:rPr>
                <w:rFonts w:ascii="宋体" w:hAnsi="宋体" w:cs="宋体" w:eastAsia="宋体" w:hint="default"/>
                <w:sz w:val="18"/>
                <w:szCs w:val="18"/>
              </w:rPr>
            </w:pPr>
            <w:r>
              <w:rPr>
                <w:rFonts w:ascii="宋体" w:hAnsi="宋体" w:cs="宋体" w:eastAsia="宋体" w:hint="default"/>
                <w:sz w:val="18"/>
                <w:szCs w:val="18"/>
              </w:rPr>
              <w:t>教育 投 资、 投资 管理</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16" w:right="0"/>
              <w:jc w:val="left"/>
              <w:rPr>
                <w:rFonts w:ascii="Times New Roman" w:hAnsi="Times New Roman" w:cs="Times New Roman" w:eastAsia="Times New Roman" w:hint="default"/>
                <w:sz w:val="18"/>
                <w:szCs w:val="18"/>
              </w:rPr>
            </w:pPr>
            <w:r>
              <w:rPr>
                <w:rFonts w:ascii="Times New Roman"/>
                <w:sz w:val="18"/>
              </w:rPr>
              <w:t>-3,540,</w:t>
            </w:r>
          </w:p>
          <w:p>
            <w:pPr>
              <w:pStyle w:val="TableParagraph"/>
              <w:spacing w:line="240" w:lineRule="auto" w:before="106"/>
              <w:ind w:left="131" w:right="0"/>
              <w:jc w:val="left"/>
              <w:rPr>
                <w:rFonts w:ascii="Times New Roman" w:hAnsi="Times New Roman" w:cs="Times New Roman" w:eastAsia="Times New Roman" w:hint="default"/>
                <w:sz w:val="18"/>
                <w:szCs w:val="18"/>
              </w:rPr>
            </w:pPr>
            <w:r>
              <w:rPr>
                <w:rFonts w:ascii="Times New Roman"/>
                <w:sz w:val="18"/>
              </w:rPr>
              <w:t>838.42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2859"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38"/>
              <w:jc w:val="left"/>
              <w:rPr>
                <w:rFonts w:ascii="宋体" w:hAnsi="宋体" w:cs="宋体" w:eastAsia="宋体" w:hint="default"/>
                <w:sz w:val="18"/>
                <w:szCs w:val="18"/>
              </w:rPr>
            </w:pPr>
            <w:r>
              <w:rPr>
                <w:rFonts w:ascii="宋体" w:hAnsi="宋体" w:cs="宋体" w:eastAsia="宋体" w:hint="default"/>
                <w:sz w:val="18"/>
                <w:szCs w:val="18"/>
              </w:rPr>
              <w:t>项目， 经相 关部 门批 准后 方可 开展 经营 活动）</w:t>
            </w: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4"/>
              <w:ind w:left="4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21" w:right="0"/>
              <w:jc w:val="center"/>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-3,540,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838.42</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650"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37"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59" w:right="158"/>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9"/>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0"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7"/>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公开发 行普通 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47,659.1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696.78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50,061.6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7,590.75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15.93%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全部存 放于募 集资金 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非公开 发行普 </w:t>
            </w:r>
            <w:r>
              <w:rPr>
                <w:rFonts w:ascii="宋体" w:hAnsi="宋体" w:cs="宋体" w:eastAsia="宋体" w:hint="default"/>
                <w:spacing w:val="-4"/>
                <w:sz w:val="18"/>
                <w:szCs w:val="18"/>
              </w:rPr>
              <w:t>通股（</w:t>
            </w:r>
            <w:r>
              <w:rPr>
                <w:rFonts w:ascii="Times New Roman" w:hAnsi="Times New Roman" w:cs="Times New Roman" w:eastAsia="Times New Roman" w:hint="default"/>
                <w:spacing w:val="-4"/>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47,900.3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5,462.01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47,960.6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15"/>
              <w:jc w:val="both"/>
              <w:rPr>
                <w:rFonts w:ascii="宋体" w:hAnsi="宋体" w:cs="宋体" w:eastAsia="宋体" w:hint="default"/>
                <w:sz w:val="18"/>
                <w:szCs w:val="18"/>
              </w:rPr>
            </w:pPr>
            <w:r>
              <w:rPr>
                <w:rFonts w:ascii="宋体" w:hAnsi="宋体" w:cs="宋体" w:eastAsia="宋体" w:hint="default"/>
                <w:sz w:val="18"/>
                <w:szCs w:val="18"/>
              </w:rPr>
              <w:t>无剩余 募集资 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非公开</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z w:val="18"/>
              </w:rPr>
              <w:t>34,414.9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7" w:right="0"/>
              <w:jc w:val="left"/>
              <w:rPr>
                <w:rFonts w:ascii="Times New Roman" w:hAnsi="Times New Roman" w:cs="Times New Roman" w:eastAsia="Times New Roman" w:hint="default"/>
                <w:sz w:val="18"/>
                <w:szCs w:val="18"/>
              </w:rPr>
            </w:pPr>
            <w:r>
              <w:rPr>
                <w:rFonts w:ascii="Times New Roman"/>
                <w:sz w:val="18"/>
              </w:rPr>
              <w:t>34,414.9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全部存</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986" w:hRule="exact"/>
        </w:trPr>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15"/>
              <w:jc w:val="left"/>
              <w:rPr>
                <w:rFonts w:ascii="宋体" w:hAnsi="宋体" w:cs="宋体" w:eastAsia="宋体" w:hint="default"/>
                <w:sz w:val="18"/>
                <w:szCs w:val="18"/>
              </w:rPr>
            </w:pPr>
            <w:r>
              <w:rPr>
                <w:rFonts w:ascii="宋体" w:hAnsi="宋体" w:cs="宋体" w:eastAsia="宋体" w:hint="default"/>
                <w:sz w:val="18"/>
                <w:szCs w:val="18"/>
              </w:rPr>
              <w:t>发行公 司债券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8</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15"/>
              <w:jc w:val="both"/>
              <w:rPr>
                <w:rFonts w:ascii="宋体" w:hAnsi="宋体" w:cs="宋体" w:eastAsia="宋体" w:hint="default"/>
                <w:sz w:val="18"/>
                <w:szCs w:val="18"/>
              </w:rPr>
            </w:pPr>
            <w:r>
              <w:rPr>
                <w:rFonts w:ascii="宋体" w:hAnsi="宋体" w:cs="宋体" w:eastAsia="宋体" w:hint="default"/>
                <w:sz w:val="18"/>
                <w:szCs w:val="18"/>
              </w:rPr>
              <w:t>放于募 集资金 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129,859.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40,573.7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132,437.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7,590.75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5.85%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14.39</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8"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2"/>
              <w:jc w:val="left"/>
              <w:rPr>
                <w:rFonts w:ascii="宋体" w:hAnsi="宋体" w:cs="宋体" w:eastAsia="宋体" w:hint="default"/>
                <w:sz w:val="18"/>
                <w:szCs w:val="18"/>
              </w:rPr>
            </w:pPr>
            <w:r>
              <w:rPr>
                <w:rFonts w:ascii="宋体" w:hAnsi="宋体" w:cs="宋体" w:eastAsia="宋体" w:hint="default"/>
                <w:spacing w:val="-11"/>
                <w:sz w:val="18"/>
                <w:szCs w:val="18"/>
              </w:rPr>
              <w:t>公司严格按照《公司法》、《证券法》、《深圳证券交易所创业板股票上市规则》、《深圳证券交易所创业板上市公司规范运</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10"/>
                <w:sz w:val="18"/>
                <w:szCs w:val="18"/>
              </w:rPr>
              <w:t>作指引》、《创业板信息披露业务备忘录第</w:t>
            </w:r>
            <w:r>
              <w:rPr>
                <w:rFonts w:ascii="宋体" w:hAnsi="宋体" w:cs="宋体" w:eastAsia="宋体" w:hint="default"/>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号—超募资金及闲置募集资金使用》以及中国证监会相关法律法规的规定</w:t>
            </w:r>
            <w:r>
              <w:rPr>
                <w:rFonts w:ascii="宋体" w:hAnsi="宋体" w:cs="宋体" w:eastAsia="宋体" w:hint="default"/>
                <w:spacing w:val="-80"/>
                <w:sz w:val="18"/>
                <w:szCs w:val="18"/>
              </w:rPr>
              <w:t> </w:t>
            </w:r>
            <w:r>
              <w:rPr>
                <w:rFonts w:ascii="宋体" w:hAnsi="宋体" w:cs="宋体" w:eastAsia="宋体" w:hint="default"/>
                <w:spacing w:val="-2"/>
                <w:sz w:val="18"/>
                <w:szCs w:val="18"/>
              </w:rPr>
              <w:t>和要求、《募集资金管理制度》等规定使用募集资金，并及时、真实、准确、完整履行相关信息披露工作，不存在违规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使用募集资金的情形。</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29" w:right="15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4"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5" w:right="11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11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115"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5" w:right="11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5"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创意产品设计中心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558.38</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558.38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国内营销体系建设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5,964.3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4,191.3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4,191.3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骨质瓷生产线建设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6,213.6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2,715.1</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2,715.1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废弃陶瓷循环利用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1,857.0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979.5</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支付交易现金对价</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23,040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23,040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23,040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补充上市公司流动 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24,860.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24,860.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5,462.0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24,920.</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100.24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偿还短期借款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20,780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20,780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20,414.</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20,414.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98.24%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补充营运资金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13,520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13,520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0" w:right="0"/>
              <w:jc w:val="center"/>
              <w:rPr>
                <w:rFonts w:ascii="Times New Roman" w:hAnsi="Times New Roman" w:cs="Times New Roman" w:eastAsia="Times New Roman" w:hint="default"/>
                <w:sz w:val="18"/>
                <w:szCs w:val="18"/>
              </w:rPr>
            </w:pPr>
            <w:r>
              <w:rPr>
                <w:rFonts w:ascii="Times New Roman"/>
                <w:sz w:val="18"/>
              </w:rPr>
              <w:t>102.77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98,235.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90,644.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65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39,876.</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90,819.</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356.6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25"/>
              <w:jc w:val="left"/>
              <w:rPr>
                <w:rFonts w:ascii="宋体" w:hAnsi="宋体" w:cs="宋体" w:eastAsia="宋体" w:hint="default"/>
                <w:sz w:val="18"/>
                <w:szCs w:val="18"/>
              </w:rPr>
            </w:pPr>
            <w:r>
              <w:rPr>
                <w:rFonts w:ascii="宋体" w:hAnsi="宋体" w:cs="宋体" w:eastAsia="宋体" w:hint="default"/>
                <w:sz w:val="18"/>
                <w:szCs w:val="18"/>
              </w:rPr>
              <w:t>河南首期年产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万只陶瓷酒瓶建设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22,304.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22,304.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696.78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22,371.</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广东联汛教育科技 有限公司</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1,633.0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9,246.0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9,246.0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34,304.</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41,550.</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696.78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41,617.</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29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1,633.0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132,54</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132,19</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5.62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40,573.</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132,43</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7.27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1,989.6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212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9" w:lineRule="auto"/>
              <w:ind w:left="103" w:right="35"/>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“创意产品设计中心项目”已终止，详见本表“项目可行性发生重大变化的情况说明</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“国内营销体系建设项目” 已终止，详见本表“项目可行性发生重大变化的情况说明</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“骨质瓷生产线建设项目”已终止，详见本表“项目可行性发生重大变化的情况说明</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2"/>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“废弃陶瓷循环利用建设项目”已终止，详见本表“项目可行性发生重大变化的情况说明</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02" w:lineRule="auto" w:before="102"/>
              <w:ind w:left="103" w:right="123"/>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）“河南首期年产</w:t>
            </w:r>
            <w:r>
              <w:rPr>
                <w:rFonts w:ascii="宋体" w:hAnsi="宋体" w:cs="宋体" w:eastAsia="宋体" w:hint="default"/>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万只陶瓷酒瓶建设项目”未达到预计收益，是因为该项目在建尚未投 产。</w:t>
            </w:r>
          </w:p>
        </w:tc>
      </w:tr>
      <w:tr>
        <w:trPr>
          <w:trHeight w:val="570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）废弃陶瓷循环利用建设项目：</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废弃陶瓷市场发生变化。在本项目可行性研究阶段，整个潮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州市的废弃陶瓷基本上是作为工业垃圾倾倒。进入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年之后，由于瓷土原料价格的上涨，以及</w:t>
            </w:r>
            <w:r>
              <w:rPr>
                <w:rFonts w:ascii="宋体" w:hAnsi="宋体" w:cs="宋体" w:eastAsia="宋体" w:hint="default"/>
                <w:sz w:val="18"/>
                <w:szCs w:val="18"/>
              </w:rPr>
              <w:t> 政府鼓励资源循环利用各项政策的逐步落实，使废弃陶瓷作为再生资源的经济价值得到提升。产 区其他陶瓷企业也陆续有从事废瓷回收再利用的项目开发，致使废瓷量逐步减少。同时也导致废 </w:t>
            </w:r>
            <w:r>
              <w:rPr>
                <w:rFonts w:ascii="宋体" w:hAnsi="宋体" w:cs="宋体" w:eastAsia="宋体" w:hint="default"/>
                <w:spacing w:val="-2"/>
                <w:sz w:val="18"/>
                <w:szCs w:val="18"/>
              </w:rPr>
              <w:t>瓷的回收也有成本出现。从</w:t>
            </w:r>
            <w:r>
              <w:rPr>
                <w:rFonts w:ascii="宋体" w:hAnsi="宋体" w:cs="宋体" w:eastAsia="宋体" w:hint="default"/>
                <w:spacing w:val="-37"/>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年开始，废弃陶瓷的收购价格从之前的零元成本，逐步提高到每</w:t>
            </w:r>
          </w:p>
          <w:p>
            <w:pPr>
              <w:pStyle w:val="TableParagraph"/>
              <w:spacing w:line="304" w:lineRule="auto" w:before="5"/>
              <w:ind w:left="103" w:right="100"/>
              <w:jc w:val="left"/>
              <w:rPr>
                <w:rFonts w:ascii="宋体" w:hAnsi="宋体" w:cs="宋体" w:eastAsia="宋体" w:hint="default"/>
                <w:sz w:val="18"/>
                <w:szCs w:val="18"/>
              </w:rPr>
            </w:pPr>
            <w:r>
              <w:rPr>
                <w:rFonts w:ascii="宋体" w:hAnsi="宋体" w:cs="宋体" w:eastAsia="宋体" w:hint="default"/>
                <w:sz w:val="18"/>
                <w:szCs w:val="18"/>
              </w:rPr>
              <w:t>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元，而同期再生瓷泥的价格并没有同步上涨。在这种情况下，公司对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废弃陶瓷循环利 </w:t>
            </w:r>
            <w:r>
              <w:rPr>
                <w:rFonts w:ascii="宋体" w:hAnsi="宋体" w:cs="宋体" w:eastAsia="宋体" w:hint="default"/>
                <w:spacing w:val="-2"/>
                <w:sz w:val="18"/>
                <w:szCs w:val="18"/>
              </w:rPr>
              <w:t>用建设项目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后续投资效益进行了重新评估，结论是：由于投产后所需要的废弃陶瓷均需要从市场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上采购，在现行的市场价格每吨</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元时，投资效益较差，达不到公司期望的投资回报水平。公司 预测，废弃陶瓷的市场价格从长期来看将呈现稳步提高的态势，本项目存在较大的投资风险。</w:t>
            </w:r>
            <w:r>
              <w:rPr>
                <w:rFonts w:ascii="Times New Roman" w:hAnsi="Times New Roman" w:cs="Times New Roman" w:eastAsia="Times New Roman" w:hint="default"/>
                <w:sz w:val="18"/>
                <w:szCs w:val="18"/>
              </w:rPr>
              <w:t>b. </w:t>
            </w:r>
            <w:r>
              <w:rPr>
                <w:rFonts w:ascii="宋体" w:hAnsi="宋体" w:cs="宋体" w:eastAsia="宋体" w:hint="default"/>
                <w:sz w:val="18"/>
                <w:szCs w:val="18"/>
              </w:rPr>
              <w:t>前期投资的阶段性目标基本实现。该项目计划为分期建设，经过前期投资建设，已形成年产再生 瓷泥</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吨的生产能力。它能够完全消化本公司产生及协作工厂产生的所有废弃陶瓷，生产出来 的再生瓷泥也由本公司自行消化，用于生产低端工艺陶瓷产品，既能帮助公司实现绿色生产的战 略目标，也能产生一定的经济效益，基本上达到了预期的阶段性投资目标。</w:t>
            </w:r>
          </w:p>
          <w:p>
            <w:pPr>
              <w:pStyle w:val="TableParagraph"/>
              <w:spacing w:line="304" w:lineRule="auto" w:before="66"/>
              <w:ind w:left="103" w:right="10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）创意产品设计中心项目：该项目成功实施的前提是招聘到一流的工业设计师团队。尽管近几</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年我国工业设计行业发展迅速，但优秀的工业设计师仍属于高度稀缺的人才资源。在北京</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上海等</w:t>
            </w:r>
            <w:r>
              <w:rPr>
                <w:rFonts w:ascii="宋体" w:hAnsi="宋体" w:cs="宋体" w:eastAsia="宋体" w:hint="default"/>
                <w:spacing w:val="-77"/>
                <w:sz w:val="18"/>
                <w:szCs w:val="18"/>
              </w:rPr>
              <w:t> </w:t>
            </w:r>
            <w:r>
              <w:rPr>
                <w:rFonts w:ascii="宋体" w:hAnsi="宋体" w:cs="宋体" w:eastAsia="宋体" w:hint="default"/>
                <w:sz w:val="18"/>
                <w:szCs w:val="18"/>
              </w:rPr>
              <w:t>中心城市招聘优秀设计师，不仅代价大，而且流动性高，难以发挥预期效果，导致该项目无法按 </w:t>
            </w:r>
            <w:r>
              <w:rPr>
                <w:rFonts w:ascii="宋体" w:hAnsi="宋体" w:cs="宋体" w:eastAsia="宋体" w:hint="default"/>
                <w:spacing w:val="-2"/>
                <w:sz w:val="18"/>
                <w:szCs w:val="18"/>
              </w:rPr>
              <w:t>计划实施完成。同时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随着设于潮州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深圳两市的设计团队不断成长成熟，加上高性能设计软硬性的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配置，包括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打印设备的运用，使公司产品设计的品质和效率得到极大的提高，已经能够充分</w:t>
            </w:r>
          </w:p>
        </w:tc>
      </w:tr>
    </w:tbl>
    <w:p>
      <w:pPr>
        <w:spacing w:after="0" w:line="304" w:lineRule="auto"/>
        <w:jc w:val="both"/>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512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103" w:right="101"/>
              <w:jc w:val="left"/>
              <w:rPr>
                <w:rFonts w:ascii="宋体" w:hAnsi="宋体" w:cs="宋体" w:eastAsia="宋体" w:hint="default"/>
                <w:sz w:val="18"/>
                <w:szCs w:val="18"/>
              </w:rPr>
            </w:pPr>
            <w:r>
              <w:rPr>
                <w:rFonts w:ascii="宋体" w:hAnsi="宋体" w:cs="宋体" w:eastAsia="宋体" w:hint="default"/>
                <w:spacing w:val="-3"/>
                <w:sz w:val="18"/>
                <w:szCs w:val="18"/>
              </w:rPr>
              <w:t>支撑公司产品战略的实施。因此，该项目也没有继续推进的必要。经公司</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年第一次临时股东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大会审议通过，终止该项目。</w:t>
            </w:r>
          </w:p>
          <w:p>
            <w:pPr>
              <w:pStyle w:val="TableParagraph"/>
              <w:spacing w:line="309" w:lineRule="auto" w:before="69"/>
              <w:ind w:left="103" w:right="101"/>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）国内营销体系建设项目：公司国内营销体系建设项目推进过程中，正遇我国电子商务从起步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转向迅猛发展的时期，传统的实体渠道受到剧烈冲击。在这一大的背景之下，结合该项目实施以 来的总体效果情况，为降低募集资金的投资风险，节约运营成本，审慎使用募集资金，公司管理 层结合市场发展形势，决定终止该项目的实施。经公司</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年第一次临时股东大会审议通过，终 止该项目。</w:t>
            </w:r>
          </w:p>
          <w:p>
            <w:pPr>
              <w:pStyle w:val="TableParagraph"/>
              <w:spacing w:line="316" w:lineRule="auto" w:before="62"/>
              <w:ind w:left="103" w:right="3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）骨质瓷生产线建设项目：该项目的产品主要面向高端消费和礼品市场。在高端消费市场上， 由于消费者对中高端骨质瓷的接受度还不是很高，国内市场对骨质瓷的消费能力有限，加之公司 骨瓷产品的主要指标骨炭含量严格按照国家标准执行，在行业里处于较高的水平，但相应的成本 也较高，销售价格也较高，普通消费者无法通过肉眼分辨骨炭含量及产品质量，往往只通过最直 观的价格比较进行选择，而公司的骨质瓷产品在价格上不占优势，导致消费者接受度不太理想。 而在礼品市场方面，由于国内社会环境的变化，这个市场整体萎缩的比较严重，致使公司产品在 这块市场的开发也远远没有达到预期效果。公司管理层经过分析认为，该项目已经形成的产能， 可以满足今后一段时间的市场需求，为降低募集资金的投资风险，审慎使用募集资金，决定终止 该项目的投资。经公司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年第一次临时股东大会审议通过，终止该项目。</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103"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途及使用进展情况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3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23"/>
              <w:jc w:val="both"/>
              <w:rPr>
                <w:rFonts w:ascii="宋体" w:hAnsi="宋体" w:cs="宋体" w:eastAsia="宋体" w:hint="default"/>
                <w:sz w:val="18"/>
                <w:szCs w:val="18"/>
              </w:rPr>
            </w:pPr>
            <w:r>
              <w:rPr>
                <w:rFonts w:ascii="宋体" w:hAnsi="宋体" w:cs="宋体" w:eastAsia="宋体" w:hint="default"/>
                <w:sz w:val="18"/>
                <w:szCs w:val="18"/>
              </w:rPr>
              <w:t>公司超募资金总额为 </w:t>
            </w:r>
            <w:r>
              <w:rPr>
                <w:rFonts w:ascii="Times New Roman" w:hAnsi="Times New Roman" w:cs="Times New Roman" w:eastAsia="Times New Roman" w:hint="default"/>
                <w:sz w:val="18"/>
                <w:szCs w:val="18"/>
              </w:rPr>
              <w:t>31,624.08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万元。为提高募集资金的使用效率，降低财务成本，在保证募集 资金项目建设的资金需求前提下，公司将超募资金的金额、用途及使用进展情况如下：</w:t>
            </w:r>
          </w:p>
          <w:p>
            <w:pPr>
              <w:pStyle w:val="TableParagraph"/>
              <w:spacing w:line="240" w:lineRule="auto" w:before="70"/>
              <w:ind w:left="103"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日，经公司第一届董事会第十六次会议和第一届监事会第九次会议审议通</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过，使用超募资金中的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万元资金用于提前归还银行贷款，公司保荐机构广发证券股份有限</w:t>
            </w:r>
          </w:p>
          <w:p>
            <w:pPr>
              <w:pStyle w:val="TableParagraph"/>
              <w:spacing w:line="240" w:lineRule="auto" w:before="64"/>
              <w:ind w:left="103" w:right="0"/>
              <w:jc w:val="both"/>
              <w:rPr>
                <w:rFonts w:ascii="宋体" w:hAnsi="宋体" w:cs="宋体" w:eastAsia="宋体" w:hint="default"/>
                <w:sz w:val="18"/>
                <w:szCs w:val="18"/>
              </w:rPr>
            </w:pPr>
            <w:r>
              <w:rPr>
                <w:rFonts w:ascii="宋体" w:hAnsi="宋体" w:cs="宋体" w:eastAsia="宋体" w:hint="default"/>
                <w:sz w:val="18"/>
                <w:szCs w:val="18"/>
              </w:rPr>
              <w:t>公司以及全体独立董事对此均出具了同意意见。该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万元贷款已归还。</w:t>
            </w:r>
          </w:p>
          <w:p>
            <w:pPr>
              <w:pStyle w:val="TableParagraph"/>
              <w:spacing w:line="240" w:lineRule="auto" w:before="102"/>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日，经公司第二届董事会第八次会议决议和第二届监事会第七次会议决议审</w:t>
            </w:r>
          </w:p>
          <w:p>
            <w:pPr>
              <w:pStyle w:val="TableParagraph"/>
              <w:spacing w:line="300" w:lineRule="auto" w:before="63"/>
              <w:ind w:left="103" w:right="101"/>
              <w:jc w:val="both"/>
              <w:rPr>
                <w:rFonts w:ascii="宋体" w:hAnsi="宋体" w:cs="宋体" w:eastAsia="宋体" w:hint="default"/>
                <w:sz w:val="18"/>
                <w:szCs w:val="18"/>
              </w:rPr>
            </w:pPr>
            <w:r>
              <w:rPr>
                <w:rFonts w:ascii="宋体" w:hAnsi="宋体" w:cs="宋体" w:eastAsia="宋体" w:hint="default"/>
                <w:spacing w:val="-4"/>
                <w:sz w:val="18"/>
                <w:szCs w:val="18"/>
              </w:rPr>
              <w:t>议通过《关于使用部分超募资金永久补充流动资金的议案》，以超募资金中的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万元永久性补</w:t>
            </w:r>
            <w:r>
              <w:rPr>
                <w:rFonts w:ascii="宋体" w:hAnsi="宋体" w:cs="宋体" w:eastAsia="宋体" w:hint="default"/>
                <w:spacing w:val="-87"/>
                <w:sz w:val="18"/>
                <w:szCs w:val="18"/>
              </w:rPr>
              <w:t> </w:t>
            </w:r>
            <w:r>
              <w:rPr>
                <w:rFonts w:ascii="宋体" w:hAnsi="宋体" w:cs="宋体" w:eastAsia="宋体" w:hint="default"/>
                <w:spacing w:val="-4"/>
                <w:sz w:val="18"/>
                <w:szCs w:val="18"/>
              </w:rPr>
              <w:t>充流动资金，公司保荐机构广发证券股份有限公司以及全体独立董事对此均出具了同意意见。</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年第二次临时股东大会决议通过该议案。截止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日，该部分</w:t>
            </w:r>
            <w:r>
              <w:rPr>
                <w:rFonts w:ascii="宋体" w:hAnsi="宋体" w:cs="宋体" w:eastAsia="宋体" w:hint="default"/>
                <w:sz w:val="18"/>
                <w:szCs w:val="18"/>
              </w:rPr>
              <w:t> 超募资金已经用于公司流动资金的补充。</w:t>
            </w:r>
          </w:p>
          <w:p>
            <w:pPr>
              <w:pStyle w:val="TableParagraph"/>
              <w:spacing w:line="240" w:lineRule="auto" w:before="70"/>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）为开拓国内陶瓷市场，实现内外需市场均衡化发展，</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日，公司召开的第二</w:t>
            </w:r>
          </w:p>
          <w:p>
            <w:pPr>
              <w:pStyle w:val="TableParagraph"/>
              <w:spacing w:line="309" w:lineRule="auto" w:before="63"/>
              <w:ind w:left="103" w:right="33"/>
              <w:jc w:val="left"/>
              <w:rPr>
                <w:rFonts w:ascii="宋体" w:hAnsi="宋体" w:cs="宋体" w:eastAsia="宋体" w:hint="default"/>
                <w:sz w:val="18"/>
                <w:szCs w:val="18"/>
              </w:rPr>
            </w:pPr>
            <w:r>
              <w:rPr>
                <w:rFonts w:ascii="宋体" w:hAnsi="宋体" w:cs="宋体" w:eastAsia="宋体" w:hint="default"/>
                <w:sz w:val="18"/>
                <w:szCs w:val="18"/>
              </w:rPr>
              <w:t>届董事会第十次会议、第二届监事会第九次会议审议通过了《关于河南首期年产</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万只陶瓷酒 </w:t>
            </w:r>
            <w:r>
              <w:rPr>
                <w:rFonts w:ascii="宋体" w:hAnsi="宋体" w:cs="宋体" w:eastAsia="宋体" w:hint="default"/>
                <w:spacing w:val="-3"/>
                <w:sz w:val="18"/>
                <w:szCs w:val="18"/>
              </w:rPr>
              <w:t>瓶建设项目的议案》，本项目投资资金拟使用公司上市超募资金中的剩余资金及自筹资金。其中，</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使用剩余超募资金为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19,624.08</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万元、因“废弃陶瓷循环利用建设项目”终止而尚未使用募集项目</w:t>
            </w:r>
          </w:p>
          <w:p>
            <w:pPr>
              <w:pStyle w:val="TableParagraph"/>
              <w:spacing w:line="309" w:lineRule="auto" w:before="5"/>
              <w:ind w:left="103" w:right="102"/>
              <w:jc w:val="both"/>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877.55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1,803.32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万元，合计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22,304.95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万元，其余为</w:t>
            </w:r>
            <w:r>
              <w:rPr>
                <w:rFonts w:ascii="宋体" w:hAnsi="宋体" w:cs="宋体" w:eastAsia="宋体" w:hint="default"/>
                <w:sz w:val="18"/>
                <w:szCs w:val="18"/>
              </w:rPr>
              <w:t> 自筹资金。公司保荐机构广发证券股份有限公司出具了无异议的核查意见及独立董事已经对该事 项发表了独立意见同意上述事项。</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年第三次临时股东大会决议通过</w:t>
            </w:r>
          </w:p>
          <w:p>
            <w:pPr>
              <w:pStyle w:val="TableParagraph"/>
              <w:spacing w:line="240" w:lineRule="auto" w:before="5"/>
              <w:ind w:left="103" w:right="0"/>
              <w:jc w:val="both"/>
              <w:rPr>
                <w:rFonts w:ascii="宋体" w:hAnsi="宋体" w:cs="宋体" w:eastAsia="宋体" w:hint="default"/>
                <w:sz w:val="18"/>
                <w:szCs w:val="18"/>
              </w:rPr>
            </w:pPr>
            <w:r>
              <w:rPr>
                <w:rFonts w:ascii="宋体" w:hAnsi="宋体" w:cs="宋体" w:eastAsia="宋体" w:hint="default"/>
                <w:sz w:val="18"/>
                <w:szCs w:val="18"/>
              </w:rPr>
              <w:t>该议案。截止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日，公司累计在河南首期年产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万只陶瓷酒瓶建设项目中使用</w:t>
            </w:r>
          </w:p>
          <w:p>
            <w:pPr>
              <w:pStyle w:val="TableParagraph"/>
              <w:spacing w:line="240" w:lineRule="auto" w:before="64"/>
              <w:ind w:left="103" w:right="0"/>
              <w:jc w:val="both"/>
              <w:rPr>
                <w:rFonts w:ascii="宋体" w:hAnsi="宋体" w:cs="宋体" w:eastAsia="宋体" w:hint="default"/>
                <w:sz w:val="18"/>
                <w:szCs w:val="18"/>
              </w:rPr>
            </w:pPr>
            <w:r>
              <w:rPr>
                <w:rFonts w:ascii="宋体" w:hAnsi="宋体" w:cs="宋体" w:eastAsia="宋体" w:hint="default"/>
                <w:sz w:val="18"/>
                <w:szCs w:val="18"/>
              </w:rPr>
              <w:t>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21,674.49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12" w:lineRule="auto" w:before="101"/>
              <w:ind w:left="103" w:right="10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日，公司召开的第三届董事会第二十三次会议及第三届监事会第十四次会 议审议通过了《关于公司首次公开发行股票募集资金投资项目河南长城绿色瓷艺科技有限公司股 权转让的议案》及《关于将转让河南长城绿色瓷艺科技有限公司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股权所得价款用于补充公 </w:t>
            </w:r>
            <w:r>
              <w:rPr>
                <w:rFonts w:ascii="宋体" w:hAnsi="宋体" w:cs="宋体" w:eastAsia="宋体" w:hint="default"/>
                <w:spacing w:val="-4"/>
                <w:sz w:val="18"/>
                <w:szCs w:val="18"/>
              </w:rPr>
              <w:t>司流动资金的议案》。公司拟与深圳市东方置地集团有限公司签署《河南长城绿色瓷艺科技有限公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司股权转让协议》，公司拟向深圳市东方置地集团有限公司转让持有的河南长城绿色瓷艺科技有限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 </w:t>
            </w:r>
            <w:r>
              <w:rPr>
                <w:rFonts w:ascii="Times New Roman" w:hAnsi="Times New Roman" w:cs="Times New Roman" w:eastAsia="Times New Roman" w:hint="default"/>
                <w:spacing w:val="-9"/>
                <w:sz w:val="18"/>
                <w:szCs w:val="18"/>
              </w:rPr>
              <w:t>100%</w:t>
            </w:r>
            <w:r>
              <w:rPr>
                <w:rFonts w:ascii="宋体" w:hAnsi="宋体" w:cs="宋体" w:eastAsia="宋体" w:hint="default"/>
                <w:spacing w:val="-9"/>
                <w:sz w:val="18"/>
                <w:szCs w:val="18"/>
              </w:rPr>
              <w:t>的股权（以下简称“标的股权”），标的股权由双方认可的评估机构以</w:t>
            </w:r>
            <w:r>
              <w:rPr>
                <w:rFonts w:ascii="宋体" w:hAnsi="宋体" w:cs="宋体" w:eastAsia="宋体" w:hint="default"/>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31</w:t>
            </w:r>
          </w:p>
          <w:p>
            <w:pPr>
              <w:pStyle w:val="TableParagraph"/>
              <w:spacing w:line="240" w:lineRule="auto" w:before="3"/>
              <w:ind w:left="103" w:right="0"/>
              <w:jc w:val="both"/>
              <w:rPr>
                <w:rFonts w:ascii="宋体" w:hAnsi="宋体" w:cs="宋体" w:eastAsia="宋体" w:hint="default"/>
                <w:sz w:val="18"/>
                <w:szCs w:val="18"/>
              </w:rPr>
            </w:pPr>
            <w:r>
              <w:rPr>
                <w:rFonts w:ascii="宋体" w:hAnsi="宋体" w:cs="宋体" w:eastAsia="宋体" w:hint="default"/>
                <w:sz w:val="18"/>
                <w:szCs w:val="18"/>
              </w:rPr>
              <w:t>日为基准日进行评估，以评估值为定价依据，双方协商一致确定转让价格为 </w:t>
            </w:r>
            <w:r>
              <w:rPr>
                <w:rFonts w:ascii="Times New Roman" w:hAnsi="Times New Roman" w:cs="Times New Roman" w:eastAsia="Times New Roman" w:hint="default"/>
                <w:sz w:val="18"/>
                <w:szCs w:val="18"/>
              </w:rPr>
              <w:t>182,911,673.20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元，</w:t>
            </w:r>
          </w:p>
        </w:tc>
      </w:tr>
    </w:tbl>
    <w:p>
      <w:pPr>
        <w:spacing w:after="0" w:line="240" w:lineRule="auto"/>
        <w:jc w:val="both"/>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352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z w:val="18"/>
                <w:szCs w:val="18"/>
              </w:rPr>
              <w:t>转让款由深圳市东方置地集团有限公司以现金方式支付。本次交易完成后，公司将不再持有河南 长城绿色瓷艺科技有限公司股权，转让所得价款用于补充公司流动资金。</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w:t>
            </w:r>
          </w:p>
          <w:p>
            <w:pPr>
              <w:pStyle w:val="TableParagraph"/>
              <w:spacing w:line="302" w:lineRule="auto"/>
              <w:ind w:left="103" w:right="213"/>
              <w:jc w:val="both"/>
              <w:rPr>
                <w:rFonts w:ascii="宋体" w:hAnsi="宋体" w:cs="宋体" w:eastAsia="宋体" w:hint="default"/>
                <w:sz w:val="18"/>
                <w:szCs w:val="18"/>
              </w:rPr>
            </w:pPr>
            <w:r>
              <w:rPr>
                <w:rFonts w:ascii="宋体" w:hAnsi="宋体" w:cs="宋体" w:eastAsia="宋体" w:hint="default"/>
                <w:sz w:val="18"/>
                <w:szCs w:val="18"/>
              </w:rPr>
              <w:t>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年第四次临时股东大会审议通过了上述股权转让议案及股改转让价款用于补充公司 流动资金的议案。</w:t>
            </w:r>
          </w:p>
          <w:p>
            <w:pPr>
              <w:pStyle w:val="TableParagraph"/>
              <w:spacing w:line="309" w:lineRule="auto" w:before="69"/>
              <w:ind w:left="103" w:right="12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）经公司第三届董事会第四次会议、第三届监事会第四次会议及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 </w:t>
            </w:r>
            <w:r>
              <w:rPr>
                <w:rFonts w:ascii="宋体" w:hAnsi="宋体" w:cs="宋体" w:eastAsia="宋体" w:hint="default"/>
                <w:spacing w:val="-5"/>
                <w:sz w:val="18"/>
                <w:szCs w:val="18"/>
              </w:rPr>
              <w:t>审议通过，公司终止实施“创意产品设计中心建设项目”、“国内营销体系建设项目”及“骨质瓷</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9"/>
                <w:sz w:val="18"/>
                <w:szCs w:val="18"/>
              </w:rPr>
              <w:t>生产线建设项目”。截至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月底，该三项目尚未投入的募集资金分别为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1441.62 </w:t>
            </w:r>
            <w:r>
              <w:rPr>
                <w:rFonts w:ascii="宋体" w:hAnsi="宋体" w:cs="宋体" w:eastAsia="宋体" w:hint="default"/>
                <w:sz w:val="18"/>
                <w:szCs w:val="18"/>
              </w:rPr>
              <w:t>万元、</w:t>
            </w:r>
          </w:p>
          <w:p>
            <w:pPr>
              <w:pStyle w:val="TableParagraph"/>
              <w:spacing w:line="240" w:lineRule="auto" w:before="5"/>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1773.01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3498.57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6713.20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万元。该三项目募集资金使用余额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6713.20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万元及利</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息转为超募资金。其中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万元认购广东联汛教育科技有限公司新增注册资本的总价为人民币</w:t>
            </w:r>
          </w:p>
          <w:p>
            <w:pPr>
              <w:pStyle w:val="TableParagraph"/>
              <w:spacing w:line="302" w:lineRule="auto" w:before="63"/>
              <w:ind w:left="103" w:right="109"/>
              <w:jc w:val="both"/>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万元，持有目标公司全部注册资本的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2713.20 </w:t>
            </w:r>
            <w:r>
              <w:rPr>
                <w:rFonts w:ascii="宋体" w:hAnsi="宋体" w:cs="宋体" w:eastAsia="宋体" w:hint="default"/>
                <w:sz w:val="18"/>
                <w:szCs w:val="18"/>
              </w:rPr>
              <w:t>万元及利息全部补充流动资 金 。</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0"/>
              <w:jc w:val="both"/>
              <w:rPr>
                <w:rFonts w:ascii="Times New Roman" w:hAnsi="Times New Roman" w:cs="Times New Roman" w:eastAsia="Times New Roman" w:hint="default"/>
                <w:sz w:val="18"/>
                <w:szCs w:val="18"/>
              </w:rPr>
            </w:pPr>
            <w:r>
              <w:rPr>
                <w:rFonts w:ascii="宋体" w:hAnsi="宋体" w:cs="宋体" w:eastAsia="宋体" w:hint="default"/>
                <w:sz w:val="18"/>
                <w:szCs w:val="18"/>
              </w:rPr>
              <w:t>“创意产品设计中心建设项目”原计划项目实施的地点为潮州与深圳两市。为了尽快招聘到合格 的工业设计师人才，结合公司国内营销网络的拓展</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日，经公司第二届董事会第八次</w:t>
            </w:r>
            <w:r>
              <w:rPr>
                <w:rFonts w:ascii="宋体" w:hAnsi="宋体" w:cs="宋体" w:eastAsia="宋体" w:hint="default"/>
                <w:sz w:val="18"/>
                <w:szCs w:val="18"/>
              </w:rPr>
              <w:t> </w:t>
            </w:r>
            <w:r>
              <w:rPr>
                <w:rFonts w:ascii="宋体" w:hAnsi="宋体" w:cs="宋体" w:eastAsia="宋体" w:hint="default"/>
                <w:spacing w:val="-4"/>
                <w:sz w:val="18"/>
                <w:szCs w:val="18"/>
              </w:rPr>
              <w:t>会议决议和第二届监事会第七次会议决议审议通过《关于调整募投项目实施计划的议案》，将项目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实施地点从潮州、深圳两市，扩展到北京、上海、成都等设计人才较为密集的城市，在这些城市 建立设计中心。公司保荐机构广发证券股份有限公司以及全体独立董事出具同意意见。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p>
          <w:p>
            <w:pPr>
              <w:pStyle w:val="TableParagraph"/>
              <w:spacing w:line="240" w:lineRule="auto" w:before="2"/>
              <w:ind w:left="10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年第二次临时股东大会决议通过该议案。</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672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、“创意产品设计中心项目”</w:t>
            </w:r>
            <w:r>
              <w:rPr>
                <w:rFonts w:ascii="宋体" w:hAnsi="宋体" w:cs="宋体" w:eastAsia="宋体" w:hint="default"/>
                <w:spacing w:val="-20"/>
                <w:sz w:val="18"/>
                <w:szCs w:val="18"/>
              </w:rPr>
              <w:t> </w:t>
            </w:r>
            <w:r>
              <w:rPr>
                <w:rFonts w:ascii="宋体" w:hAnsi="宋体" w:cs="宋体" w:eastAsia="宋体" w:hint="default"/>
                <w:sz w:val="18"/>
                <w:szCs w:val="18"/>
              </w:rPr>
              <w:t>原计划时间从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年开始至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月完成项目建设，由于设计</w:t>
            </w:r>
            <w:r>
              <w:rPr>
                <w:rFonts w:ascii="宋体" w:hAnsi="宋体" w:cs="宋体" w:eastAsia="宋体" w:hint="default"/>
                <w:sz w:val="18"/>
                <w:szCs w:val="18"/>
              </w:rPr>
              <w:t> 中心所需的设计团队人才比较高端和稀缺，以及公司在北京、上海建立运营中心的国内市场拓展 计划放缓，导致项目的人才招聘进度较慢，相应的专业设备更新投资速度也放缓。</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日，经公司第二届董事会第八次会议决议和第二届监事会第七次会议决议审议通过《关于调整募 </w:t>
            </w:r>
            <w:r>
              <w:rPr>
                <w:rFonts w:ascii="宋体" w:hAnsi="宋体" w:cs="宋体" w:eastAsia="宋体" w:hint="default"/>
                <w:spacing w:val="-3"/>
                <w:sz w:val="18"/>
                <w:szCs w:val="18"/>
              </w:rPr>
              <w:t>投项目实施计划的议案》，将该项目实施进度延长一年，调整后计划于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月实施完成，原</w:t>
            </w:r>
          </w:p>
          <w:p>
            <w:pPr>
              <w:pStyle w:val="TableParagraph"/>
              <w:spacing w:line="240" w:lineRule="auto" w:before="5"/>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调整金额不变。公司保荐机构广发证券股份有限公司以及全体独立董事出具同意意见。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p>
          <w:p>
            <w:pPr>
              <w:pStyle w:val="TableParagraph"/>
              <w:spacing w:line="240" w:lineRule="auto" w:before="64"/>
              <w:ind w:left="10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年第二次临时股东大会决议通过该议案。</w:t>
            </w:r>
          </w:p>
          <w:p>
            <w:pPr>
              <w:pStyle w:val="TableParagraph"/>
              <w:spacing w:line="240" w:lineRule="auto" w:before="101"/>
              <w:ind w:left="103" w:right="0"/>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4"/>
                <w:sz w:val="18"/>
                <w:szCs w:val="18"/>
              </w:rPr>
              <w:t>日，公司第二届董事会第十三次会议和第二届监事会第十二次会议审议通过《关</w:t>
            </w:r>
          </w:p>
          <w:p>
            <w:pPr>
              <w:pStyle w:val="TableParagraph"/>
              <w:spacing w:line="309" w:lineRule="auto" w:before="63"/>
              <w:ind w:left="103" w:right="100"/>
              <w:jc w:val="both"/>
              <w:rPr>
                <w:rFonts w:ascii="宋体" w:hAnsi="宋体" w:cs="宋体" w:eastAsia="宋体" w:hint="default"/>
                <w:sz w:val="18"/>
                <w:szCs w:val="18"/>
              </w:rPr>
            </w:pPr>
            <w:r>
              <w:rPr>
                <w:rFonts w:ascii="宋体" w:hAnsi="宋体" w:cs="宋体" w:eastAsia="宋体" w:hint="default"/>
                <w:spacing w:val="-3"/>
                <w:sz w:val="18"/>
                <w:szCs w:val="18"/>
              </w:rPr>
              <w:t>于调整募投项目实施计划的议案》，并同意将该议案提交股东大会审议。</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 司独立董事就公司调整募投项目实施计划发表了</w:t>
            </w:r>
            <w:r>
              <w:rPr>
                <w:rFonts w:ascii="宋体" w:hAnsi="宋体" w:cs="宋体" w:eastAsia="宋体" w:hint="default"/>
                <w:spacing w:val="-62"/>
                <w:sz w:val="18"/>
                <w:szCs w:val="18"/>
              </w:rPr>
              <w:t> </w:t>
            </w:r>
            <w:r>
              <w:rPr>
                <w:rFonts w:ascii="宋体" w:hAnsi="宋体" w:cs="宋体" w:eastAsia="宋体" w:hint="default"/>
                <w:sz w:val="18"/>
                <w:szCs w:val="18"/>
              </w:rPr>
              <w:t>“公司本次调整募投项目实施计划，符合公司实</w:t>
            </w:r>
            <w:r>
              <w:rPr>
                <w:rFonts w:ascii="宋体" w:hAnsi="宋体" w:cs="宋体" w:eastAsia="宋体" w:hint="default"/>
                <w:sz w:val="18"/>
                <w:szCs w:val="18"/>
              </w:rPr>
              <w:t> 际经营的需要，不存在损害股东利益的情形，同意公司本次调整募投项目实施计划，并且同意上 </w:t>
            </w:r>
            <w:r>
              <w:rPr>
                <w:rFonts w:ascii="宋体" w:hAnsi="宋体" w:cs="宋体" w:eastAsia="宋体" w:hint="default"/>
                <w:spacing w:val="-3"/>
                <w:sz w:val="18"/>
                <w:szCs w:val="18"/>
              </w:rPr>
              <w:t>述调整募投项目实施计划议案在提交下次股东大会审议通过后实施。”的独立意见；</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日，公司保荐机构广发证券股份有限公司出具了对公司本次调整募投项目实施计划无异议的核 查意见；根据已通过的该议案，公司根据当前项目实施的情况，公司拟对项目实施的实施计划适 当调整：</w:t>
            </w:r>
          </w:p>
          <w:p>
            <w:pPr>
              <w:pStyle w:val="TableParagraph"/>
              <w:spacing w:line="240" w:lineRule="auto" w:before="62"/>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113"/>
                <w:sz w:val="18"/>
                <w:szCs w:val="18"/>
              </w:rPr>
              <w:t>）</w:t>
            </w:r>
            <w:r>
              <w:rPr>
                <w:rFonts w:ascii="宋体" w:hAnsi="宋体" w:cs="宋体" w:eastAsia="宋体" w:hint="default"/>
                <w:sz w:val="18"/>
                <w:szCs w:val="18"/>
              </w:rPr>
              <w:t>“创意产品设计中心建设项目</w:t>
            </w:r>
            <w:r>
              <w:rPr>
                <w:rFonts w:ascii="宋体" w:hAnsi="宋体" w:cs="宋体" w:eastAsia="宋体" w:hint="default"/>
                <w:spacing w:val="-23"/>
                <w:sz w:val="18"/>
                <w:szCs w:val="18"/>
              </w:rPr>
              <w:t>”</w:t>
            </w:r>
            <w:r>
              <w:rPr>
                <w:rFonts w:ascii="宋体" w:hAnsi="宋体" w:cs="宋体" w:eastAsia="宋体" w:hint="default"/>
                <w:sz w:val="18"/>
                <w:szCs w:val="18"/>
              </w:rPr>
              <w:t>原计划时间从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年开始至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w:t>
            </w:r>
            <w:r>
              <w:rPr>
                <w:rFonts w:ascii="宋体" w:hAnsi="宋体" w:cs="宋体" w:eastAsia="宋体" w:hint="default"/>
                <w:spacing w:val="1"/>
                <w:sz w:val="18"/>
                <w:szCs w:val="18"/>
              </w:rPr>
              <w:t>项</w:t>
            </w:r>
            <w:r>
              <w:rPr>
                <w:rFonts w:ascii="宋体" w:hAnsi="宋体" w:cs="宋体" w:eastAsia="宋体" w:hint="default"/>
                <w:sz w:val="18"/>
                <w:szCs w:val="18"/>
              </w:rPr>
              <w:t>目建设</w:t>
            </w:r>
            <w:r>
              <w:rPr>
                <w:rFonts w:ascii="宋体" w:hAnsi="宋体" w:cs="宋体" w:eastAsia="宋体" w:hint="default"/>
                <w:spacing w:val="-23"/>
                <w:sz w:val="18"/>
                <w:szCs w:val="18"/>
              </w:rPr>
              <w:t>，</w:t>
            </w:r>
            <w:r>
              <w:rPr>
                <w:rFonts w:ascii="宋体" w:hAnsi="宋体" w:cs="宋体" w:eastAsia="宋体" w:hint="default"/>
                <w:sz w:val="18"/>
                <w:szCs w:val="18"/>
              </w:rPr>
              <w:t>现</w:t>
            </w:r>
          </w:p>
          <w:p>
            <w:pPr>
              <w:pStyle w:val="TableParagraph"/>
              <w:spacing w:line="312" w:lineRule="auto" w:before="63"/>
              <w:ind w:left="103" w:right="123"/>
              <w:jc w:val="both"/>
              <w:rPr>
                <w:rFonts w:ascii="宋体" w:hAnsi="宋体" w:cs="宋体" w:eastAsia="宋体" w:hint="default"/>
                <w:sz w:val="18"/>
                <w:szCs w:val="18"/>
              </w:rPr>
            </w:pPr>
            <w:r>
              <w:rPr>
                <w:rFonts w:ascii="宋体" w:hAnsi="宋体" w:cs="宋体" w:eastAsia="宋体" w:hint="default"/>
                <w:sz w:val="18"/>
                <w:szCs w:val="18"/>
              </w:rPr>
              <w:t>项目实施进度延长一年，调整后计划于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月实施完成。该项目成功实施的前提是招聘到 一流的工业设计师团队。由于我国工业设计行业整体上发展水平较低，优秀的工业设计师仍属于 高度稀缺的人才资源。虽经公司通过各种途径选聘，但一直没能物色到足够的设计师，导致该项 目无法按计划实施完成。</w:t>
            </w:r>
          </w:p>
          <w:p>
            <w:pPr>
              <w:pStyle w:val="TableParagraph"/>
              <w:spacing w:line="240" w:lineRule="auto" w:before="62"/>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“国内营销体系建设项目”原计划时间从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年开始至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月完成项目建设，现项</w:t>
            </w:r>
          </w:p>
        </w:tc>
      </w:tr>
    </w:tbl>
    <w:p>
      <w:pPr>
        <w:spacing w:after="0" w:line="240" w:lineRule="auto"/>
        <w:jc w:val="both"/>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321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23"/>
              <w:jc w:val="both"/>
              <w:rPr>
                <w:rFonts w:ascii="宋体" w:hAnsi="宋体" w:cs="宋体" w:eastAsia="宋体" w:hint="default"/>
                <w:sz w:val="18"/>
                <w:szCs w:val="18"/>
              </w:rPr>
            </w:pPr>
            <w:r>
              <w:rPr>
                <w:rFonts w:ascii="宋体" w:hAnsi="宋体" w:cs="宋体" w:eastAsia="宋体" w:hint="default"/>
                <w:sz w:val="18"/>
                <w:szCs w:val="18"/>
              </w:rPr>
              <w:t>目实施进度延长一年，调整后计划于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月实施完成。根据公司国内营销渠道推进的实际 情况和发展需要，为降低募集资金的投资风险，节约运营成本，审慎使用募集资金，公司管理层 结合市场发展形势，放缓了项目建设速度，因此，需要对募投项目建设周期进行延期调整。</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“骨质瓷生产线建设项目”原计划时间从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年开始至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月完成项目建设，现项</w:t>
            </w:r>
          </w:p>
          <w:p>
            <w:pPr>
              <w:pStyle w:val="TableParagraph"/>
              <w:spacing w:line="314" w:lineRule="auto" w:before="63"/>
              <w:ind w:left="103" w:right="11"/>
              <w:jc w:val="left"/>
              <w:rPr>
                <w:rFonts w:ascii="宋体" w:hAnsi="宋体" w:cs="宋体" w:eastAsia="宋体" w:hint="default"/>
                <w:sz w:val="18"/>
                <w:szCs w:val="18"/>
              </w:rPr>
            </w:pPr>
            <w:r>
              <w:rPr>
                <w:rFonts w:ascii="宋体" w:hAnsi="宋体" w:cs="宋体" w:eastAsia="宋体" w:hint="default"/>
                <w:sz w:val="18"/>
                <w:szCs w:val="18"/>
              </w:rPr>
              <w:t>目实施进度延长一年，调整后计划于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月实施完成。由于目前国内消费者对中高端骨质 瓷的接受度还不是很高，国内市场对骨质瓷的消费能力有限，加之公司骨瓷产品的主要指标骨炭 </w:t>
            </w:r>
            <w:r>
              <w:rPr>
                <w:rFonts w:ascii="宋体" w:hAnsi="宋体" w:cs="宋体" w:eastAsia="宋体" w:hint="default"/>
                <w:spacing w:val="-2"/>
                <w:sz w:val="18"/>
                <w:szCs w:val="18"/>
              </w:rPr>
              <w:t>含量严格按照国家标准执行，在行业里处于较高的水平，但相应的成本也较高，销售价格也较高，</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普通消费者无法通过肉眼分辨骨炭含量及产品质量，往往只通过最直观的价格比较进行选择，而 公司的骨质瓷产品在价格上不占优势，导致消费者接受度不太理想。为此，公司为降低募集资金 </w:t>
            </w:r>
            <w:r>
              <w:rPr>
                <w:rFonts w:ascii="宋体" w:hAnsi="宋体" w:cs="宋体" w:eastAsia="宋体" w:hint="default"/>
                <w:spacing w:val="-2"/>
                <w:sz w:val="18"/>
                <w:szCs w:val="18"/>
              </w:rPr>
              <w:t>的投资风险，审慎使用募集资金，放缓了项目建设速度，需要对募投项目建设周期进行延期调整。</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为保证各募集资金项目得以顺利实施，公司在募集资金到位前已先行投入部分自筹资金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进行募集</w:t>
            </w:r>
            <w:r>
              <w:rPr>
                <w:rFonts w:ascii="宋体" w:hAnsi="宋体" w:cs="宋体" w:eastAsia="宋体" w:hint="default"/>
                <w:spacing w:val="-70"/>
                <w:sz w:val="18"/>
                <w:szCs w:val="18"/>
              </w:rPr>
              <w:t> </w:t>
            </w:r>
            <w:r>
              <w:rPr>
                <w:rFonts w:ascii="宋体" w:hAnsi="宋体" w:cs="宋体" w:eastAsia="宋体" w:hint="default"/>
                <w:sz w:val="18"/>
                <w:szCs w:val="18"/>
              </w:rPr>
              <w:t>资金投资项目的建设。</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日，公司第一届董事会第十五次会议和第一届监事会第八</w:t>
            </w:r>
          </w:p>
          <w:p>
            <w:pPr>
              <w:pStyle w:val="TableParagraph"/>
              <w:spacing w:line="302" w:lineRule="auto" w:before="13"/>
              <w:ind w:left="103" w:right="102"/>
              <w:jc w:val="left"/>
              <w:rPr>
                <w:rFonts w:ascii="宋体" w:hAnsi="宋体" w:cs="宋体" w:eastAsia="宋体" w:hint="default"/>
                <w:sz w:val="18"/>
                <w:szCs w:val="18"/>
              </w:rPr>
            </w:pPr>
            <w:r>
              <w:rPr>
                <w:rFonts w:ascii="宋体" w:hAnsi="宋体" w:cs="宋体" w:eastAsia="宋体" w:hint="default"/>
                <w:sz w:val="18"/>
                <w:szCs w:val="18"/>
              </w:rPr>
              <w:t>次会议审议通过，将募集资金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36,781,500.00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元置换预先已投入募集资金投资项目的自筹资金。公 司保荐机构广发证券股份有限公司以及全体独立董事对此均出具了同意意见。</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日，剩余募集资金全部存放于募集资金专户。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650"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94" w:right="112" w:hanging="180"/>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12" w:right="113"/>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3"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113"/>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3" w:right="110"/>
              <w:jc w:val="center"/>
              <w:rPr>
                <w:rFonts w:ascii="宋体" w:hAnsi="宋体" w:cs="宋体" w:eastAsia="宋体" w:hint="default"/>
                <w:sz w:val="18"/>
                <w:szCs w:val="18"/>
              </w:rPr>
            </w:pPr>
            <w:r>
              <w:rPr>
                <w:rFonts w:ascii="宋体" w:hAnsi="宋体" w:cs="宋体" w:eastAsia="宋体" w:hint="default"/>
                <w:sz w:val="18"/>
                <w:szCs w:val="18"/>
              </w:rPr>
              <w:t>截至期末 实际累计 投入金额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112"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(3)=(2)/(1</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3" w:right="110"/>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2" w:right="11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13" w:right="11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113"/>
              <w:jc w:val="center"/>
              <w:rPr>
                <w:rFonts w:ascii="宋体" w:hAnsi="宋体" w:cs="宋体" w:eastAsia="宋体" w:hint="default"/>
                <w:sz w:val="18"/>
                <w:szCs w:val="18"/>
              </w:rPr>
            </w:pPr>
            <w:r>
              <w:rPr>
                <w:rFonts w:ascii="宋体" w:hAnsi="宋体" w:cs="宋体" w:eastAsia="宋体" w:hint="default"/>
                <w:sz w:val="18"/>
                <w:szCs w:val="18"/>
              </w:rPr>
              <w:t>变更后的 项目可行 性是否发 生重大变 化</w:t>
            </w:r>
          </w:p>
        </w:tc>
      </w:tr>
      <w:tr>
        <w:trPr>
          <w:trHeight w:val="161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河南首期 年产</w:t>
            </w:r>
          </w:p>
          <w:p>
            <w:pPr>
              <w:pStyle w:val="TableParagraph"/>
              <w:spacing w:line="240" w:lineRule="auto" w:before="1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万</w:t>
            </w:r>
          </w:p>
          <w:p>
            <w:pPr>
              <w:pStyle w:val="TableParagraph"/>
              <w:spacing w:line="316" w:lineRule="auto" w:before="63"/>
              <w:ind w:left="103" w:right="123"/>
              <w:jc w:val="left"/>
              <w:rPr>
                <w:rFonts w:ascii="宋体" w:hAnsi="宋体" w:cs="宋体" w:eastAsia="宋体" w:hint="default"/>
                <w:sz w:val="18"/>
                <w:szCs w:val="18"/>
              </w:rPr>
            </w:pPr>
            <w:r>
              <w:rPr>
                <w:rFonts w:ascii="宋体" w:hAnsi="宋体" w:cs="宋体" w:eastAsia="宋体" w:hint="default"/>
                <w:sz w:val="18"/>
                <w:szCs w:val="18"/>
              </w:rPr>
              <w:t>只陶瓷酒 瓶建设项</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101" w:right="125"/>
              <w:jc w:val="both"/>
              <w:rPr>
                <w:rFonts w:ascii="宋体" w:hAnsi="宋体" w:cs="宋体" w:eastAsia="宋体" w:hint="default"/>
                <w:sz w:val="18"/>
                <w:szCs w:val="18"/>
              </w:rPr>
            </w:pPr>
            <w:r>
              <w:rPr>
                <w:rFonts w:ascii="宋体" w:hAnsi="宋体" w:cs="宋体" w:eastAsia="宋体" w:hint="default"/>
                <w:sz w:val="18"/>
                <w:szCs w:val="18"/>
              </w:rPr>
              <w:t>废弃陶瓷 循环利用 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22,304.95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696.78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22,371.27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100.30%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36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123"/>
              <w:jc w:val="both"/>
              <w:rPr>
                <w:rFonts w:ascii="宋体" w:hAnsi="宋体" w:cs="宋体" w:eastAsia="宋体" w:hint="default"/>
                <w:sz w:val="18"/>
                <w:szCs w:val="18"/>
              </w:rPr>
            </w:pPr>
            <w:r>
              <w:rPr>
                <w:rFonts w:ascii="宋体" w:hAnsi="宋体" w:cs="宋体" w:eastAsia="宋体" w:hint="default"/>
                <w:sz w:val="18"/>
                <w:szCs w:val="18"/>
              </w:rPr>
              <w:t>广东联汛 教育科技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5"/>
              <w:jc w:val="both"/>
              <w:rPr>
                <w:rFonts w:ascii="宋体" w:hAnsi="宋体" w:cs="宋体" w:eastAsia="宋体" w:hint="default"/>
                <w:sz w:val="18"/>
                <w:szCs w:val="18"/>
              </w:rPr>
            </w:pPr>
            <w:r>
              <w:rPr>
                <w:rFonts w:ascii="宋体" w:hAnsi="宋体" w:cs="宋体" w:eastAsia="宋体" w:hint="default"/>
                <w:sz w:val="18"/>
                <w:szCs w:val="18"/>
              </w:rPr>
              <w:t>创意产品 设计中心 项目、国 内营销体 系建设项 目、骨质 瓷生产线 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z w:val="18"/>
              </w:rPr>
              <w:t>4,000</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z w:val="18"/>
              </w:rPr>
              <w:t>4,000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1,633.05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8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123"/>
              <w:jc w:val="left"/>
              <w:rPr>
                <w:rFonts w:ascii="宋体" w:hAnsi="宋体" w:cs="宋体" w:eastAsia="宋体" w:hint="default"/>
                <w:sz w:val="18"/>
                <w:szCs w:val="18"/>
              </w:rPr>
            </w:pPr>
            <w:r>
              <w:rPr>
                <w:rFonts w:ascii="宋体" w:hAnsi="宋体" w:cs="宋体" w:eastAsia="宋体" w:hint="default"/>
                <w:sz w:val="18"/>
                <w:szCs w:val="18"/>
              </w:rPr>
              <w:t>补充流动 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25"/>
              <w:jc w:val="both"/>
              <w:rPr>
                <w:rFonts w:ascii="宋体" w:hAnsi="宋体" w:cs="宋体" w:eastAsia="宋体" w:hint="default"/>
                <w:sz w:val="18"/>
                <w:szCs w:val="18"/>
              </w:rPr>
            </w:pPr>
            <w:r>
              <w:rPr>
                <w:rFonts w:ascii="宋体" w:hAnsi="宋体" w:cs="宋体" w:eastAsia="宋体" w:hint="default"/>
                <w:sz w:val="18"/>
                <w:szCs w:val="18"/>
              </w:rPr>
              <w:t>创意产品 设计中心 项目、国 内营销体 系建设项 目、骨质 瓷生产线 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z w:val="18"/>
              </w:rPr>
              <w:t>6,000</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z w:val="18"/>
              </w:rPr>
              <w:t>9,246.02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32,304.95</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696.78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35,617.29</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1,633.05</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7930"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103" w:right="10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变更原因、决策程序及信息披露情</w:t>
            </w:r>
            <w:r>
              <w:rPr>
                <w:rFonts w:ascii="宋体" w:hAnsi="宋体" w:cs="宋体" w:eastAsia="宋体" w:hint="default"/>
                <w:sz w:val="18"/>
                <w:szCs w:val="18"/>
              </w:rPr>
              <w:t> 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）废弃陶瓷循环利用建设项目：</w:t>
            </w:r>
            <w:r>
              <w:rPr>
                <w:rFonts w:ascii="Times New Roman" w:hAnsi="Times New Roman" w:cs="Times New Roman" w:eastAsia="Times New Roman" w:hint="default"/>
                <w:sz w:val="18"/>
                <w:szCs w:val="18"/>
              </w:rPr>
              <w:t>a.</w:t>
            </w:r>
            <w:r>
              <w:rPr>
                <w:rFonts w:ascii="宋体" w:hAnsi="宋体" w:cs="宋体" w:eastAsia="宋体" w:hint="default"/>
                <w:sz w:val="18"/>
                <w:szCs w:val="18"/>
              </w:rPr>
              <w:t>废弃陶瓷市场发生变化。在本项目可行性研究 </w:t>
            </w:r>
            <w:r>
              <w:rPr>
                <w:rFonts w:ascii="宋体" w:hAnsi="宋体" w:cs="宋体" w:eastAsia="宋体" w:hint="default"/>
                <w:spacing w:val="-3"/>
                <w:sz w:val="18"/>
                <w:szCs w:val="18"/>
              </w:rPr>
              <w:t>阶段，整个潮州市的废弃陶瓷基本上是作为工业垃圾倾倒。进入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年之后，由于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瓷土原料价格的上涨，以及政府鼓励资源循环利用各项政策的逐步落实，使废弃陶 瓷作为再生资源的经济价值得到提升。产区其他陶瓷企业也陆续有从事废瓷回收再 利用的项目开发，致使废瓷量逐步减少。同时也导致废瓷的回收也有成本出现。从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年开始，废弃陶瓷的收购价格从之前的零元成本，逐步提高到每吨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80-100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 </w:t>
            </w:r>
            <w:r>
              <w:rPr>
                <w:rFonts w:ascii="宋体" w:hAnsi="宋体" w:cs="宋体" w:eastAsia="宋体" w:hint="default"/>
                <w:spacing w:val="-2"/>
                <w:sz w:val="18"/>
                <w:szCs w:val="18"/>
              </w:rPr>
              <w:t>而同期再生瓷泥的价格并没有同步上涨。在这种情况下，公司对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废弃陶瓷循环利用</w:t>
            </w:r>
            <w:r>
              <w:rPr>
                <w:rFonts w:ascii="宋体" w:hAnsi="宋体" w:cs="宋体" w:eastAsia="宋体" w:hint="default"/>
                <w:sz w:val="18"/>
                <w:szCs w:val="18"/>
              </w:rPr>
              <w:t> </w:t>
            </w:r>
            <w:r>
              <w:rPr>
                <w:rFonts w:ascii="宋体" w:hAnsi="宋体" w:cs="宋体" w:eastAsia="宋体" w:hint="default"/>
                <w:spacing w:val="-2"/>
                <w:sz w:val="18"/>
                <w:szCs w:val="18"/>
              </w:rPr>
              <w:t>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后续投资效益进行了重新评估，结论是：由于投产后所需要的废弃陶瓷均</w:t>
            </w:r>
            <w:r>
              <w:rPr>
                <w:rFonts w:ascii="宋体" w:hAnsi="宋体" w:cs="宋体" w:eastAsia="宋体" w:hint="default"/>
                <w:sz w:val="18"/>
                <w:szCs w:val="18"/>
              </w:rPr>
              <w:t> 需要从市场上采购，在现行的市场价格每吨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元时，投资效益较差，达不到公司期</w:t>
            </w:r>
            <w:r>
              <w:rPr>
                <w:rFonts w:ascii="宋体" w:hAnsi="宋体" w:cs="宋体" w:eastAsia="宋体" w:hint="default"/>
                <w:sz w:val="18"/>
                <w:szCs w:val="18"/>
              </w:rPr>
              <w:t> 望的投资回报水平。公司预测，废弃陶瓷的市场价格从长期来看将呈现稳步提高的 态势，本项目存在较大的投资风险。</w:t>
            </w:r>
            <w:r>
              <w:rPr>
                <w:rFonts w:ascii="Times New Roman" w:hAnsi="Times New Roman" w:cs="Times New Roman" w:eastAsia="Times New Roman" w:hint="default"/>
                <w:sz w:val="18"/>
                <w:szCs w:val="18"/>
              </w:rPr>
              <w:t>b.</w:t>
            </w:r>
            <w:r>
              <w:rPr>
                <w:rFonts w:ascii="宋体" w:hAnsi="宋体" w:cs="宋体" w:eastAsia="宋体" w:hint="default"/>
                <w:sz w:val="18"/>
                <w:szCs w:val="18"/>
              </w:rPr>
              <w:t>前期投资的阶段性目标基本实现。该项目计 </w:t>
            </w:r>
            <w:r>
              <w:rPr>
                <w:rFonts w:ascii="宋体" w:hAnsi="宋体" w:cs="宋体" w:eastAsia="宋体" w:hint="default"/>
                <w:spacing w:val="-3"/>
                <w:sz w:val="18"/>
                <w:szCs w:val="18"/>
              </w:rPr>
              <w:t>划为分期建设，经过前期投资建设，已形成年产再生瓷泥</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吨的生产能力。它能</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够完全消化本公司产生及协作工厂产生的所有废弃陶瓷，生产出来的再生瓷泥也由 本公司自行消化，用于生产低端工艺陶瓷产品，既能帮助公司实现绿色生产的战略 目标，也能产生一定的经济效益，基本上达到了预期的阶段性投资目标。</w:t>
            </w:r>
          </w:p>
          <w:p>
            <w:pPr>
              <w:pStyle w:val="TableParagraph"/>
              <w:spacing w:line="304" w:lineRule="auto" w:before="65"/>
              <w:ind w:left="103" w:right="1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）创意产品设计中心项目：该项目成功实施的前提是招聘到一流的工业设计师团</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队。尽管近几年我国工业设计行业发展迅速，但优秀的工业设计师仍属于高度稀缺 </w:t>
            </w:r>
            <w:r>
              <w:rPr>
                <w:rFonts w:ascii="宋体" w:hAnsi="宋体" w:cs="宋体" w:eastAsia="宋体" w:hint="default"/>
                <w:spacing w:val="-4"/>
                <w:sz w:val="18"/>
                <w:szCs w:val="18"/>
              </w:rPr>
              <w:t>的人才资源。在北京</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上海等中心城市招聘优秀设计师，不仅代价大，而且流动性高，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难以发挥预期效果，导致该项目无法按计划实施完成。同时</w:t>
            </w:r>
            <w:r>
              <w:rPr>
                <w:rFonts w:ascii="Times New Roman" w:hAnsi="Times New Roman" w:cs="Times New Roman" w:eastAsia="Times New Roman" w:hint="default"/>
                <w:sz w:val="18"/>
                <w:szCs w:val="18"/>
              </w:rPr>
              <w:t>,</w:t>
            </w:r>
            <w:r>
              <w:rPr>
                <w:rFonts w:ascii="宋体" w:hAnsi="宋体" w:cs="宋体" w:eastAsia="宋体" w:hint="default"/>
                <w:sz w:val="18"/>
                <w:szCs w:val="18"/>
              </w:rPr>
              <w:t>随着设于潮州</w:t>
            </w:r>
            <w:r>
              <w:rPr>
                <w:rFonts w:ascii="Times New Roman" w:hAnsi="Times New Roman" w:cs="Times New Roman" w:eastAsia="Times New Roman" w:hint="default"/>
                <w:sz w:val="18"/>
                <w:szCs w:val="18"/>
              </w:rPr>
              <w:t>\</w:t>
            </w:r>
            <w:r>
              <w:rPr>
                <w:rFonts w:ascii="宋体" w:hAnsi="宋体" w:cs="宋体" w:eastAsia="宋体" w:hint="default"/>
                <w:sz w:val="18"/>
                <w:szCs w:val="18"/>
              </w:rPr>
              <w:t>深圳两 市的设计团队不断成长成熟，加上高性能设计软硬性的配置，包括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打印设备的 运用，使公司产品设计的品质和效率得到极大的提高，已经能够充分支撑公司产品 </w:t>
            </w:r>
            <w:r>
              <w:rPr>
                <w:rFonts w:ascii="宋体" w:hAnsi="宋体" w:cs="宋体" w:eastAsia="宋体" w:hint="default"/>
                <w:spacing w:val="-4"/>
                <w:sz w:val="18"/>
                <w:szCs w:val="18"/>
              </w:rPr>
              <w:t>战略的实施。因此，该项目也没有继续推进的必要。经公司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大会审议通过，终止该项目。</w:t>
            </w:r>
          </w:p>
          <w:p>
            <w:pPr>
              <w:pStyle w:val="TableParagraph"/>
              <w:spacing w:line="300" w:lineRule="auto" w:before="66"/>
              <w:ind w:left="103" w:right="10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）国内营销体系建设项目：公司国内营销体系建设项目推进过程中，正遇我国电</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子商务从起步转向迅猛发展的时期，传统的实体渠道受到剧烈冲击。在这一大的背</w:t>
            </w:r>
          </w:p>
        </w:tc>
      </w:tr>
    </w:tbl>
    <w:p>
      <w:pPr>
        <w:spacing w:after="0" w:line="30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72"/>
        <w:gridCol w:w="6699"/>
      </w:tblGrid>
      <w:tr>
        <w:trPr>
          <w:trHeight w:val="4458"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景之下，结合该项目实施以来的总体效果情况，为降低募集资金的投资风险，节约 运营成本，审慎使用募集资金，公司管理层结合市场发展形势，决定终止该项目的 实施。经公司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年第一次临时股东大会审议通过，终止该项目。</w:t>
            </w:r>
          </w:p>
          <w:p>
            <w:pPr>
              <w:pStyle w:val="TableParagraph"/>
              <w:spacing w:line="314" w:lineRule="auto" w:before="36"/>
              <w:ind w:left="103" w:right="10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）骨质瓷生产线建设项目：该项目的产品主要面向高端消费和礼品市场。在高端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消费市场上，由于消费者对中高端骨质瓷的接受度还不是很高，国内市场对骨质瓷 的消费能力有限，加之公司骨瓷产品的主要指标骨炭含量严格按照国家标准执行， 在行业里处于较高的水平，但相应的成本也较高，销售价格也较高，普通消费者无 法通过肉眼分辨骨炭含量及产品质量，往往只通过最直观的价格比较进行选择，而 公司的骨质瓷产品在价格上不占优势，导致消费者接受度不太理想。而在礼品市场 方面，由于国内社会环境的变化，这个市场整体萎缩的比较严重，致使公司产品在 这块市场的开发也远远没有达到预期效果。公司管理层经过分析认为，该项目已经 形成的产能，可以满足今后一段时间的市场需求，为降低募集资金的投资风险，审 </w:t>
            </w:r>
            <w:r>
              <w:rPr>
                <w:rFonts w:ascii="宋体" w:hAnsi="宋体" w:cs="宋体" w:eastAsia="宋体" w:hint="default"/>
                <w:spacing w:val="-5"/>
                <w:sz w:val="18"/>
                <w:szCs w:val="18"/>
              </w:rPr>
              <w:t>慎使用募集资金，决定终止该项目的投资。经公司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年第一次临时股东大会审议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通过，终止该项目。</w:t>
            </w:r>
          </w:p>
        </w:tc>
      </w:tr>
      <w:tr>
        <w:trPr>
          <w:trHeight w:val="2706"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103" w:right="2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 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）“创意产品设计中心项目”未达预计收益及计划进度，是由于本项目已提前终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止。</w:t>
            </w:r>
          </w:p>
          <w:p>
            <w:pPr>
              <w:pStyle w:val="TableParagraph"/>
              <w:spacing w:line="302" w:lineRule="auto" w:before="68"/>
              <w:ind w:left="103" w:right="101"/>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）“国内营销体系建设项目”</w:t>
            </w:r>
            <w:r>
              <w:rPr>
                <w:rFonts w:ascii="宋体" w:hAnsi="宋体" w:cs="宋体" w:eastAsia="宋体" w:hint="default"/>
                <w:spacing w:val="-16"/>
                <w:sz w:val="18"/>
                <w:szCs w:val="18"/>
              </w:rPr>
              <w:t> </w:t>
            </w:r>
            <w:r>
              <w:rPr>
                <w:rFonts w:ascii="宋体" w:hAnsi="宋体" w:cs="宋体" w:eastAsia="宋体" w:hint="default"/>
                <w:spacing w:val="-2"/>
                <w:sz w:val="18"/>
                <w:szCs w:val="18"/>
              </w:rPr>
              <w:t>未达预计收益及计划进度，是由于本项目已提前终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w:t>
            </w:r>
          </w:p>
          <w:p>
            <w:pPr>
              <w:pStyle w:val="TableParagraph"/>
              <w:spacing w:line="302" w:lineRule="auto" w:before="68"/>
              <w:ind w:left="103" w:right="10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）“骨质瓷生产线建设项目”未达预计收益及计划进度，是由于本项目已提前终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止。</w:t>
            </w:r>
          </w:p>
          <w:p>
            <w:pPr>
              <w:pStyle w:val="TableParagraph"/>
              <w:spacing w:line="302" w:lineRule="auto" w:before="69"/>
              <w:ind w:left="103" w:right="10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）“废弃陶瓷循环利用建设项目”未达预计收益及计划进度，是由于本项目已提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前终止。</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 化的情况说明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上述四个项目变更后均提前终止。</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公司报告期未出售重大资产。</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240" w:lineRule="auto" w:before="44"/>
        <w:ind w:left="1133" w:right="-20"/>
        <w:jc w:val="left"/>
      </w:pPr>
      <w:r>
        <w:rPr/>
        <w:t>√ 适用 □ 不适用</w:t>
      </w:r>
    </w:p>
    <w:p>
      <w:pPr>
        <w:pStyle w:val="BodyText"/>
        <w:spacing w:line="240" w:lineRule="auto" w:before="116"/>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100" w:bottom="120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深圳长城 世家商贸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0"/>
              <w:jc w:val="left"/>
              <w:rPr>
                <w:rFonts w:ascii="宋体" w:hAnsi="宋体" w:cs="宋体" w:eastAsia="宋体" w:hint="default"/>
                <w:sz w:val="18"/>
                <w:szCs w:val="18"/>
              </w:rPr>
            </w:pPr>
            <w:r>
              <w:rPr>
                <w:rFonts w:ascii="宋体" w:hAnsi="宋体" w:cs="宋体" w:eastAsia="宋体" w:hint="default"/>
                <w:sz w:val="18"/>
                <w:szCs w:val="18"/>
              </w:rPr>
              <w:t>工艺陶瓷、 日用陶瓷 购销</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45,000,000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63,968,952</w:t>
            </w:r>
          </w:p>
          <w:p>
            <w:pPr>
              <w:pStyle w:val="TableParagraph"/>
              <w:spacing w:line="240" w:lineRule="auto" w:before="106"/>
              <w:ind w:right="99"/>
              <w:jc w:val="right"/>
              <w:rPr>
                <w:rFonts w:ascii="Times New Roman" w:hAnsi="Times New Roman" w:cs="Times New Roman" w:eastAsia="Times New Roman" w:hint="default"/>
                <w:sz w:val="18"/>
                <w:szCs w:val="18"/>
              </w:rPr>
            </w:pPr>
            <w:r>
              <w:rPr>
                <w:rFonts w:ascii="Times New Roman"/>
                <w:sz w:val="18"/>
              </w:rPr>
              <w:t>.19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12,724,754</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57,879,127</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.12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11,162,193</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11,162,193</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.33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广东联汛 教育科技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0"/>
              <w:jc w:val="both"/>
              <w:rPr>
                <w:rFonts w:ascii="宋体" w:hAnsi="宋体" w:cs="宋体" w:eastAsia="宋体" w:hint="default"/>
                <w:sz w:val="18"/>
                <w:szCs w:val="18"/>
              </w:rPr>
            </w:pPr>
            <w:r>
              <w:rPr>
                <w:rFonts w:ascii="宋体" w:hAnsi="宋体" w:cs="宋体" w:eastAsia="宋体" w:hint="default"/>
                <w:sz w:val="18"/>
                <w:szCs w:val="18"/>
              </w:rPr>
              <w:t>软件和信 息技术服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25,125,000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267,162,35</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8.99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182,969,52</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2.26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136,658,57</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9.17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94,380,924</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81,652,334</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.93</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河南智游 臻龙教育 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10"/>
              <w:jc w:val="both"/>
              <w:rPr>
                <w:rFonts w:ascii="宋体" w:hAnsi="宋体" w:cs="宋体" w:eastAsia="宋体" w:hint="default"/>
                <w:sz w:val="18"/>
                <w:szCs w:val="18"/>
              </w:rPr>
            </w:pPr>
            <w:r>
              <w:rPr>
                <w:rFonts w:ascii="宋体" w:hAnsi="宋体" w:cs="宋体" w:eastAsia="宋体" w:hint="default"/>
                <w:sz w:val="18"/>
                <w:szCs w:val="18"/>
              </w:rPr>
              <w:t>计算机软 件开发及 技术咨询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83,312,660</w:t>
            </w:r>
          </w:p>
          <w:p>
            <w:pPr>
              <w:pStyle w:val="TableParagraph"/>
              <w:spacing w:line="240" w:lineRule="auto" w:before="106"/>
              <w:ind w:right="99"/>
              <w:jc w:val="right"/>
              <w:rPr>
                <w:rFonts w:ascii="Times New Roman" w:hAnsi="Times New Roman" w:cs="Times New Roman" w:eastAsia="Times New Roman" w:hint="default"/>
                <w:sz w:val="18"/>
                <w:szCs w:val="18"/>
              </w:rPr>
            </w:pPr>
            <w:r>
              <w:rPr>
                <w:rFonts w:ascii="Times New Roman"/>
                <w:sz w:val="18"/>
              </w:rPr>
              <w:t>.45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53,988,922</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87,280,556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38,213,884</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.51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33,018,026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.12</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84" w:right="6612" w:hanging="90"/>
        <w:jc w:val="left"/>
      </w:pPr>
      <w:r>
        <w:rPr/>
        <w:t>（一）公司所处行业的发展趋势及行业竞争格局 </w:t>
      </w:r>
      <w:r>
        <w:rPr>
          <w:rFonts w:ascii="宋体" w:hAnsi="宋体" w:cs="宋体" w:eastAsia="宋体" w:hint="default"/>
        </w:rPr>
        <w:t>1</w:t>
      </w:r>
      <w:r>
        <w:rPr/>
        <w:t>、教育信息化及职业教育行业格局与发展趋势</w:t>
      </w:r>
    </w:p>
    <w:p>
      <w:pPr>
        <w:pStyle w:val="BodyText"/>
        <w:spacing w:line="319" w:lineRule="auto" w:before="28"/>
        <w:ind w:left="1133" w:right="1130" w:firstLine="360"/>
        <w:jc w:val="both"/>
      </w:pPr>
      <w:r>
        <w:rPr>
          <w:spacing w:val="-2"/>
        </w:rPr>
        <w:t>进入</w:t>
      </w:r>
      <w:r>
        <w:rPr>
          <w:rFonts w:ascii="宋体" w:hAnsi="宋体" w:cs="宋体" w:eastAsia="宋体" w:hint="default"/>
          <w:spacing w:val="-2"/>
        </w:rPr>
        <w:t>21</w:t>
      </w:r>
      <w:r>
        <w:rPr>
          <w:spacing w:val="-2"/>
        </w:rPr>
        <w:t>世纪以来，信息技术已渗透到经济发展和社会生活的各个方面，人们的生产方式、生活方式以及学习方式正在发</w:t>
      </w:r>
      <w:r>
        <w:rPr/>
        <w:t> </w:t>
      </w:r>
      <w:r>
        <w:rPr>
          <w:spacing w:val="-2"/>
        </w:rPr>
        <w:t>生深刻的变化。采用信息化技术、物联网技术、互联网技术、云计算技术、大数据分析等新技术，促进教育公平和实现优质</w:t>
      </w:r>
      <w:r>
        <w:rPr>
          <w:spacing w:val="-68"/>
        </w:rPr>
        <w:t> </w:t>
      </w:r>
      <w:r>
        <w:rPr>
          <w:spacing w:val="-68"/>
        </w:rPr>
      </w:r>
      <w:r>
        <w:rPr/>
        <w:t>教育资源广泛共享，提高教育质量已成为社会普遍共识。</w:t>
      </w:r>
    </w:p>
    <w:p>
      <w:pPr>
        <w:pStyle w:val="BodyText"/>
        <w:spacing w:line="357" w:lineRule="auto" w:before="56"/>
        <w:ind w:left="1494" w:right="0" w:firstLine="90"/>
        <w:jc w:val="left"/>
      </w:pPr>
      <w:r>
        <w:rPr/>
        <w:t>（</w:t>
      </w:r>
      <w:r>
        <w:rPr>
          <w:rFonts w:ascii="宋体" w:hAnsi="宋体" w:cs="宋体" w:eastAsia="宋体" w:hint="default"/>
        </w:rPr>
        <w:t>1</w:t>
      </w:r>
      <w:r>
        <w:rPr/>
        <w:t>）国家政策大力扶持 </w:t>
      </w:r>
      <w:r>
        <w:rPr>
          <w:spacing w:val="-2"/>
        </w:rPr>
        <w:t>作为民族振兴、社会进步的基石，教育历年来受到党和国家的高度重视。根据党的十七大关于“优先发展教育，建设人</w:t>
      </w:r>
    </w:p>
    <w:p>
      <w:pPr>
        <w:pStyle w:val="BodyText"/>
        <w:spacing w:line="224" w:lineRule="exact"/>
        <w:ind w:left="1133" w:right="0"/>
        <w:jc w:val="left"/>
      </w:pPr>
      <w:r>
        <w:rPr/>
        <w:t>力资源强国”的战略部署，教育被给予了更高的希望。近年来，政府部门相继出台了多项政策，并加大了对教育信息化的支</w:t>
      </w:r>
    </w:p>
    <w:p>
      <w:pPr>
        <w:pStyle w:val="BodyText"/>
        <w:spacing w:line="240" w:lineRule="auto" w:before="77"/>
        <w:ind w:left="1133" w:right="0"/>
        <w:jc w:val="left"/>
      </w:pPr>
      <w:r>
        <w:rPr/>
        <w:t>持力度，为教育信息化的发展创造了良好的外部环境。</w:t>
      </w:r>
    </w:p>
    <w:p>
      <w:pPr>
        <w:pStyle w:val="BodyText"/>
        <w:spacing w:line="357" w:lineRule="auto" w:before="117"/>
        <w:ind w:left="1494" w:right="0"/>
        <w:jc w:val="left"/>
      </w:pPr>
      <w:r>
        <w:rPr/>
        <w:t>（</w:t>
      </w:r>
      <w:r>
        <w:rPr>
          <w:rFonts w:ascii="宋体" w:hAnsi="宋体" w:cs="宋体" w:eastAsia="宋体" w:hint="default"/>
        </w:rPr>
        <w:t>2</w:t>
      </w:r>
      <w:r>
        <w:rPr/>
        <w:t>）信息技术的发展为教育信息化提供技术保证 </w:t>
      </w:r>
      <w:r>
        <w:rPr>
          <w:spacing w:val="-2"/>
        </w:rPr>
        <w:t>在教育信息化快速推进的背景下，互联网技术、移动通信技术、软件开发技术等相关技术逐步渗透到各行各业，关键技</w:t>
      </w:r>
    </w:p>
    <w:p>
      <w:pPr>
        <w:pStyle w:val="BodyText"/>
        <w:spacing w:line="224" w:lineRule="exact"/>
        <w:ind w:right="0"/>
        <w:jc w:val="left"/>
      </w:pPr>
      <w:r>
        <w:rPr/>
        <w:t>术的日益成熟为教育信息化扫除了技术障碍，宽带网络、电脑、智能手机的普及，以及云计算、</w:t>
      </w:r>
      <w:r>
        <w:rPr>
          <w:rFonts w:ascii="宋体" w:hAnsi="宋体" w:cs="宋体" w:eastAsia="宋体" w:hint="default"/>
        </w:rPr>
        <w:t>4G/5G</w:t>
      </w:r>
      <w:r>
        <w:rPr/>
        <w:t>网络等新技术不断成</w:t>
      </w:r>
    </w:p>
    <w:p>
      <w:pPr>
        <w:pStyle w:val="BodyText"/>
        <w:spacing w:line="240" w:lineRule="auto" w:before="77"/>
        <w:ind w:left="1133" w:right="0"/>
        <w:jc w:val="left"/>
      </w:pPr>
      <w:r>
        <w:rPr/>
        <w:t>熟和应用，也将极大地促进教育信息化服务业务的发展，教育行业将迎来重大发展机遇。</w:t>
      </w:r>
    </w:p>
    <w:p>
      <w:pPr>
        <w:pStyle w:val="BodyText"/>
        <w:spacing w:line="357" w:lineRule="auto" w:before="116"/>
        <w:ind w:left="1494" w:right="0"/>
        <w:jc w:val="left"/>
      </w:pPr>
      <w:r>
        <w:rPr/>
        <w:t>（</w:t>
      </w:r>
      <w:r>
        <w:rPr>
          <w:rFonts w:ascii="宋体" w:hAnsi="宋体" w:cs="宋体" w:eastAsia="宋体" w:hint="default"/>
        </w:rPr>
        <w:t>3</w:t>
      </w:r>
      <w:r>
        <w:rPr/>
        <w:t>）市场需求逐步扩大 </w:t>
      </w:r>
      <w:r>
        <w:rPr>
          <w:spacing w:val="-2"/>
        </w:rPr>
        <w:t>目前，国内家校互动信息服务主要在省会城市和经济水平相对较好的地区开展。随着我国经济快速发展、家校互动信息</w:t>
      </w:r>
    </w:p>
    <w:p>
      <w:pPr>
        <w:pStyle w:val="BodyText"/>
        <w:spacing w:line="224" w:lineRule="exact"/>
        <w:ind w:right="0"/>
        <w:jc w:val="left"/>
      </w:pPr>
      <w:r>
        <w:rPr/>
        <w:t>服务认知度的提高、用户使用习惯的形成和产品功能的逐渐完善，具备开展业务的地区将不断增加，整体服务层次将得到提</w:t>
      </w:r>
    </w:p>
    <w:p>
      <w:pPr>
        <w:pStyle w:val="BodyText"/>
        <w:spacing w:line="357" w:lineRule="auto" w:before="77"/>
        <w:ind w:left="1494" w:right="6792" w:hanging="360"/>
        <w:jc w:val="left"/>
      </w:pPr>
      <w:r>
        <w:rPr/>
        <w:t>升，家校互动信息服务行业市场需求将逐步扩大。 </w:t>
      </w:r>
      <w:r>
        <w:rPr>
          <w:rFonts w:ascii="宋体" w:hAnsi="宋体" w:cs="宋体" w:eastAsia="宋体" w:hint="default"/>
        </w:rPr>
        <w:t>2</w:t>
      </w:r>
      <w:r>
        <w:rPr/>
        <w:t>、陶瓷行业格局与发展趋势</w:t>
      </w:r>
    </w:p>
    <w:p>
      <w:pPr>
        <w:pStyle w:val="BodyText"/>
        <w:spacing w:line="240" w:lineRule="auto" w:before="28"/>
        <w:ind w:left="1494" w:right="0"/>
        <w:jc w:val="left"/>
      </w:pPr>
      <w:r>
        <w:rPr/>
        <w:t>陶瓷行业格局</w:t>
      </w:r>
    </w:p>
    <w:p>
      <w:pPr>
        <w:pStyle w:val="BodyText"/>
        <w:spacing w:line="338" w:lineRule="auto" w:before="117"/>
        <w:ind w:left="1584" w:right="1122" w:hanging="90"/>
        <w:jc w:val="left"/>
      </w:pPr>
      <w:r>
        <w:rPr/>
        <w:t>（</w:t>
      </w:r>
      <w:r>
        <w:rPr>
          <w:rFonts w:ascii="Times New Roman" w:hAnsi="Times New Roman" w:cs="Times New Roman" w:eastAsia="Times New Roman" w:hint="default"/>
        </w:rPr>
        <w:t>1</w:t>
      </w:r>
      <w:r>
        <w:rPr/>
        <w:t>）陶瓷行业历史悠久，专业产区各具特色 经过数千年的发展，中国陶瓷行业已经较为成熟，从事陶瓷开发设计及生产制造的企业众多。目前全国已形成广东潮</w:t>
      </w:r>
    </w:p>
    <w:p>
      <w:pPr>
        <w:pStyle w:val="BodyText"/>
        <w:spacing w:line="316" w:lineRule="auto" w:before="2"/>
        <w:ind w:left="1133" w:right="1123"/>
        <w:jc w:val="left"/>
      </w:pPr>
      <w:r>
        <w:rPr/>
        <w:t>州、江西景德镇、湖南醴陵、江苏宜兴、河北唐山、山东淄博等</w:t>
      </w:r>
      <w:r>
        <w:rPr>
          <w:rFonts w:ascii="MS Gothic" w:hAnsi="MS Gothic" w:cs="MS Gothic" w:eastAsia="MS Gothic" w:hint="default"/>
        </w:rPr>
        <w:t>・</w:t>
      </w:r>
      <w:r>
        <w:rPr>
          <w:rFonts w:ascii="宋体" w:hAnsi="宋体" w:cs="宋体" w:eastAsia="宋体" w:hint="default"/>
        </w:rPr>
        <w:t>{</w:t>
      </w:r>
      <w:r>
        <w:rPr/>
        <w:t>大陶瓷产区。潮州作为中国的新瓷都，其艺术陶瓷、日 </w:t>
      </w:r>
      <w:r>
        <w:rPr>
          <w:spacing w:val="-2"/>
        </w:rPr>
        <w:t>用陶瓷、卫生陶瓷、精细陶瓷四大类产品的产量和销量（包括出口额）均居国内同类产品首位。行业内已经形成一些颇具规</w:t>
      </w:r>
    </w:p>
    <w:p>
      <w:pPr>
        <w:spacing w:after="0" w:line="316"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模和影响力的企业，文化长城就是中国瓷都的创意艺术陶瓷企业。</w:t>
      </w:r>
    </w:p>
    <w:p>
      <w:pPr>
        <w:pStyle w:val="BodyText"/>
        <w:spacing w:line="338" w:lineRule="auto" w:before="116"/>
        <w:ind w:left="1493" w:right="0" w:firstLine="60"/>
        <w:jc w:val="left"/>
      </w:pPr>
      <w:r>
        <w:rPr/>
        <w:t>（</w:t>
      </w:r>
      <w:r>
        <w:rPr>
          <w:rFonts w:ascii="Times New Roman" w:hAnsi="Times New Roman" w:cs="Times New Roman" w:eastAsia="Times New Roman" w:hint="default"/>
        </w:rPr>
        <w:t>2</w:t>
      </w:r>
      <w:r>
        <w:rPr/>
        <w:t>）缺乏知名品牌，陶瓷行业大而不强 </w:t>
      </w:r>
      <w:r>
        <w:rPr>
          <w:spacing w:val="-2"/>
        </w:rPr>
        <w:t>近些年，我国陶瓷工业的现代化水平大幅提高，部分企业的陶瓷产品和工艺达到了世界先进水平，但总的来说，中国陶</w:t>
      </w:r>
    </w:p>
    <w:p>
      <w:pPr>
        <w:pStyle w:val="BodyText"/>
        <w:spacing w:line="319" w:lineRule="auto" w:before="2"/>
        <w:ind w:left="1133" w:right="1131"/>
        <w:jc w:val="both"/>
      </w:pPr>
      <w:r>
        <w:rPr>
          <w:spacing w:val="-2"/>
        </w:rPr>
        <w:t>瓷行业缺乏国际知名品牌，整个行业大而不强。但在我国各大陶瓷产区，尽管陶瓷企业数量众多，但大多数是外国品牌企业</w:t>
      </w:r>
      <w:r>
        <w:rPr>
          <w:spacing w:val="-66"/>
        </w:rPr>
        <w:t> </w:t>
      </w:r>
      <w:r>
        <w:rPr>
          <w:spacing w:val="-66"/>
        </w:rPr>
      </w:r>
      <w:r>
        <w:rPr>
          <w:spacing w:val="-2"/>
        </w:rPr>
        <w:t>的</w:t>
      </w:r>
      <w:r>
        <w:rPr>
          <w:rFonts w:ascii="宋体" w:hAnsi="宋体" w:cs="宋体" w:eastAsia="宋体" w:hint="default"/>
          <w:spacing w:val="-2"/>
        </w:rPr>
        <w:t>OEM</w:t>
      </w:r>
      <w:r>
        <w:rPr>
          <w:spacing w:val="-2"/>
        </w:rPr>
        <w:t>或</w:t>
      </w:r>
      <w:r>
        <w:rPr>
          <w:rFonts w:ascii="宋体" w:hAnsi="宋体" w:cs="宋体" w:eastAsia="宋体" w:hint="default"/>
          <w:spacing w:val="-2"/>
        </w:rPr>
        <w:t>ODM</w:t>
      </w:r>
      <w:r>
        <w:rPr>
          <w:spacing w:val="-2"/>
        </w:rPr>
        <w:t>代工企业，拥有自主品牌的企业凤毛麟角。文化长城是最早拥有自营进出口权的陶瓷企业，产品畅销世界</w:t>
      </w:r>
      <w:r>
        <w:rPr>
          <w:rFonts w:ascii="宋体" w:hAnsi="宋体" w:cs="宋体" w:eastAsia="宋体" w:hint="default"/>
          <w:spacing w:val="-2"/>
        </w:rPr>
        <w:t>60</w:t>
      </w:r>
      <w:r>
        <w:rPr>
          <w:spacing w:val="-2"/>
        </w:rPr>
        <w:t>多个</w:t>
      </w:r>
      <w:r>
        <w:rPr>
          <w:spacing w:val="-58"/>
        </w:rPr>
        <w:t> </w:t>
      </w:r>
      <w:r>
        <w:rPr/>
        <w:t>国家和地区，长城品牌在国际市场拥有较高知名度。</w:t>
      </w:r>
    </w:p>
    <w:p>
      <w:pPr>
        <w:pStyle w:val="BodyText"/>
        <w:spacing w:line="357" w:lineRule="auto" w:before="56"/>
        <w:ind w:left="1494" w:right="0"/>
        <w:jc w:val="left"/>
      </w:pPr>
      <w:r>
        <w:rPr/>
        <w:t>陶瓷行业发展趋势 </w:t>
      </w:r>
      <w:r>
        <w:rPr>
          <w:spacing w:val="-2"/>
        </w:rPr>
        <w:t>随着消费者需求档次的提升，人们对陶瓷产品提出了更多更高的新要求，从而促使陶瓷企业不断进行科技创新，加速产</w:t>
      </w:r>
    </w:p>
    <w:p>
      <w:pPr>
        <w:pStyle w:val="BodyText"/>
        <w:spacing w:line="357" w:lineRule="auto"/>
        <w:ind w:left="1493" w:right="0" w:hanging="360"/>
        <w:jc w:val="left"/>
      </w:pPr>
      <w:r>
        <w:rPr/>
        <w:t>品的更新和升级步伐。未来，陶瓷行业将呈现如下五方面的发展趋势：品牌化、科技化、 高档化 、环保化 、智能化</w:t>
      </w:r>
      <w:r>
        <w:rPr>
          <w:spacing w:val="1"/>
        </w:rPr>
        <w:t> </w:t>
      </w:r>
      <w:r>
        <w:rPr/>
        <w:t>。</w:t>
      </w:r>
      <w:r>
        <w:rPr/>
        <w:t> </w:t>
      </w:r>
      <w:r>
        <w:rPr>
          <w:rFonts w:ascii="宋体" w:hAnsi="宋体" w:cs="宋体" w:eastAsia="宋体" w:hint="default"/>
        </w:rPr>
        <w:t>3</w:t>
      </w:r>
      <w:r>
        <w:rPr/>
        <w:t>、对公司的影响 </w:t>
      </w:r>
      <w:r>
        <w:rPr>
          <w:spacing w:val="-2"/>
        </w:rPr>
        <w:t>教育信息化及职业教育行业的良好发展趋势为公司指引了优化产业结构及转变发展的方向，更坚定了公司陶瓷与教育产</w:t>
      </w:r>
    </w:p>
    <w:p>
      <w:pPr>
        <w:pStyle w:val="BodyText"/>
        <w:spacing w:line="357" w:lineRule="auto"/>
        <w:ind w:left="1494" w:right="0" w:hanging="360"/>
        <w:jc w:val="left"/>
      </w:pPr>
      <w:r>
        <w:rPr/>
        <w:t>业两大主业并重、相互促进的发展设想。 </w:t>
      </w:r>
      <w:r>
        <w:rPr>
          <w:spacing w:val="-2"/>
        </w:rPr>
        <w:t>陶瓷行业日益加剧的竞争程度，逼迫公司必须拓展销售渠道，提高研发技术、开发能力和生产工艺，生产出适合市场变</w:t>
      </w:r>
    </w:p>
    <w:p>
      <w:pPr>
        <w:pStyle w:val="BodyText"/>
        <w:spacing w:line="225" w:lineRule="exact"/>
        <w:ind w:right="0"/>
        <w:jc w:val="left"/>
      </w:pPr>
      <w:r>
        <w:rPr/>
        <w:t>化和趋势的产品，加强品牌建设的树立，提升产品的附加值，不断精益求精，获得客户的青睐及肯定。</w:t>
      </w:r>
    </w:p>
    <w:p>
      <w:pPr>
        <w:pStyle w:val="BodyText"/>
        <w:spacing w:line="357" w:lineRule="auto" w:before="117"/>
        <w:ind w:left="1493" w:right="0"/>
        <w:jc w:val="left"/>
      </w:pPr>
      <w:r>
        <w:rPr/>
        <w:t>（二）公司发展战略 </w:t>
      </w:r>
      <w:r>
        <w:rPr>
          <w:spacing w:val="-2"/>
        </w:rPr>
        <w:t>公司自成立以来始终坚持多元化发展，秉承“文化创意、科技创新”的理念，通过产业经营、资本运作等多种手段优化</w:t>
      </w:r>
    </w:p>
    <w:p>
      <w:pPr>
        <w:pStyle w:val="BodyText"/>
        <w:spacing w:line="357" w:lineRule="auto"/>
        <w:ind w:left="1584" w:right="1122" w:hanging="450"/>
        <w:jc w:val="left"/>
      </w:pPr>
      <w:r>
        <w:rPr/>
        <w:t>产业结构、转变发展方式努力实现以艺术陶瓷业务与教育相关产业的双主业模式，实现公司的可持续发展。 未来，职业教育将成为促进就业和改善民生的重要保障，成为提高从业人员职业技能、建设现代服务业和先进制造业</w:t>
      </w:r>
    </w:p>
    <w:p>
      <w:pPr>
        <w:pStyle w:val="BodyText"/>
        <w:spacing w:line="224" w:lineRule="exact"/>
        <w:ind w:right="0"/>
        <w:jc w:val="left"/>
      </w:pPr>
      <w:r>
        <w:rPr/>
        <w:t>的重要基础；职业教育的市场发展前景广阔。文化长城将重点布局职业教育领域，根据国家规划的职业教育的体系框架进行</w:t>
      </w:r>
    </w:p>
    <w:p>
      <w:pPr>
        <w:pStyle w:val="BodyText"/>
        <w:spacing w:line="319" w:lineRule="auto" w:before="76"/>
        <w:ind w:right="1130"/>
        <w:jc w:val="both"/>
      </w:pPr>
      <w:r>
        <w:rPr>
          <w:spacing w:val="-2"/>
        </w:rPr>
        <w:t>垂直深耕，深入职业院校、职业培训、企业培训等细分领域，完成线上与线下教育相融合，实现多学科、多层次的职业教育</w:t>
      </w:r>
      <w:r>
        <w:rPr>
          <w:spacing w:val="-68"/>
        </w:rPr>
        <w:t> </w:t>
      </w:r>
      <w:r>
        <w:rPr>
          <w:spacing w:val="-68"/>
        </w:rPr>
      </w:r>
      <w:r>
        <w:rPr/>
        <w:t>战略构建。</w:t>
      </w:r>
    </w:p>
    <w:p>
      <w:pPr>
        <w:pStyle w:val="BodyText"/>
        <w:spacing w:line="357" w:lineRule="auto" w:before="58"/>
        <w:ind w:left="1494" w:right="0" w:firstLine="60"/>
        <w:jc w:val="left"/>
      </w:pPr>
      <w:r>
        <w:rPr/>
        <w:t>（三）经营计划 </w:t>
      </w:r>
      <w:r>
        <w:rPr>
          <w:rFonts w:ascii="宋体" w:hAnsi="宋体" w:cs="宋体" w:eastAsia="宋体" w:hint="default"/>
          <w:spacing w:val="-2"/>
        </w:rPr>
        <w:t>2018</w:t>
      </w:r>
      <w:r>
        <w:rPr>
          <w:spacing w:val="-2"/>
        </w:rPr>
        <w:t>年，将是深化改革，实现文化长城教育产业生态圈的战略布局，推动文化长城快速发展的一年。公司将一方面将力</w:t>
      </w:r>
    </w:p>
    <w:p>
      <w:pPr>
        <w:pStyle w:val="BodyText"/>
        <w:spacing w:line="224" w:lineRule="exact"/>
        <w:ind w:left="1133" w:right="0"/>
        <w:jc w:val="left"/>
      </w:pPr>
      <w:r>
        <w:rPr/>
        <w:t>保艺术陶瓷业务的稳定发展，另一方面将利用资本优势，发挥募集资金的使用效益，通过投资、并购等多种手段，进一步整</w:t>
      </w:r>
    </w:p>
    <w:p>
      <w:pPr>
        <w:pStyle w:val="BodyText"/>
        <w:spacing w:line="319" w:lineRule="auto" w:before="76"/>
        <w:ind w:right="1128"/>
        <w:jc w:val="both"/>
      </w:pPr>
      <w:r>
        <w:rPr/>
        <w:t>合符合公司长期发展战略的教育相关领域资产，力图实现陶瓷业务与教育产业并存的双主业模式的格局。为此，公司</w:t>
      </w:r>
      <w:r>
        <w:rPr>
          <w:rFonts w:ascii="宋体" w:hAnsi="宋体" w:cs="宋体" w:eastAsia="宋体" w:hint="default"/>
        </w:rPr>
        <w:t>2018</w:t>
      </w:r>
      <w:r>
        <w:rPr>
          <w:rFonts w:ascii="宋体" w:hAnsi="宋体" w:cs="宋体" w:eastAsia="宋体" w:hint="default"/>
          <w:spacing w:val="2"/>
        </w:rPr>
        <w:t> </w:t>
      </w:r>
      <w:r>
        <w:rPr>
          <w:rFonts w:ascii="宋体" w:hAnsi="宋体" w:cs="宋体" w:eastAsia="宋体" w:hint="default"/>
          <w:spacing w:val="2"/>
        </w:rPr>
      </w:r>
      <w:r>
        <w:rPr/>
        <w:t>年及未来的发展规划主要围绕以下工作展开：</w:t>
      </w:r>
    </w:p>
    <w:p>
      <w:pPr>
        <w:pStyle w:val="BodyText"/>
        <w:spacing w:line="357" w:lineRule="auto" w:before="56"/>
        <w:ind w:left="1494" w:right="0"/>
        <w:jc w:val="left"/>
      </w:pPr>
      <w:r>
        <w:rPr>
          <w:rFonts w:ascii="宋体" w:hAnsi="宋体" w:cs="宋体" w:eastAsia="宋体" w:hint="default"/>
        </w:rPr>
        <w:t>1</w:t>
      </w:r>
      <w:r>
        <w:rPr/>
        <w:t>、陶瓷业务方面 </w:t>
      </w:r>
      <w:r>
        <w:rPr>
          <w:spacing w:val="-2"/>
        </w:rPr>
        <w:t>通过努力巩固外贸市场及继续开拓国内市场来继续优化营销体系；通过大力开展节能降耗工作，加强质量管理，加快产</w:t>
      </w:r>
    </w:p>
    <w:p>
      <w:pPr>
        <w:pStyle w:val="BodyText"/>
        <w:spacing w:line="357" w:lineRule="auto"/>
        <w:ind w:left="1494" w:right="4452" w:hanging="360"/>
        <w:jc w:val="left"/>
      </w:pPr>
      <w:r>
        <w:rPr/>
        <w:t>品创新和技术创新，强化知识产权保护等方面工作来加强生产管理和技术创新。 </w:t>
      </w:r>
      <w:r>
        <w:rPr>
          <w:rFonts w:ascii="宋体" w:hAnsi="宋体" w:cs="宋体" w:eastAsia="宋体" w:hint="default"/>
        </w:rPr>
        <w:t>2</w:t>
      </w:r>
      <w:r>
        <w:rPr/>
        <w:t>、进一步优化平台化控股集团管理模式</w:t>
      </w:r>
    </w:p>
    <w:p>
      <w:pPr>
        <w:pStyle w:val="BodyText"/>
        <w:spacing w:line="319" w:lineRule="auto" w:before="26"/>
        <w:ind w:right="1131" w:firstLine="360"/>
        <w:jc w:val="both"/>
      </w:pPr>
      <w:r>
        <w:rPr>
          <w:spacing w:val="-2"/>
        </w:rPr>
        <w:t>上市公司总部将重点强化以提升价值创造和投资回报能力为牵引的绩效管理，各业务单元以事业部或子公司的形式进行</w:t>
      </w:r>
      <w:r>
        <w:rPr/>
        <w:t> </w:t>
      </w:r>
      <w:r>
        <w:rPr>
          <w:spacing w:val="-2"/>
        </w:rPr>
        <w:t>专业化发展。各子公司将在上市公司整体发展战略的统一指引下，各尽所长、通力合作，最大限度地发挥出各大子公司的效</w:t>
      </w:r>
      <w:r>
        <w:rPr>
          <w:spacing w:val="-66"/>
        </w:rPr>
        <w:t> </w:t>
      </w:r>
      <w:r>
        <w:rPr>
          <w:spacing w:val="-66"/>
        </w:rPr>
      </w:r>
      <w:r>
        <w:rPr>
          <w:spacing w:val="-2"/>
        </w:rPr>
        <w:t>益贡献能力，特别是要充分发挥公司新收购的全资子公司广东联汛教育科技有限公司和河南智游臻龙教育科技有限公司的内</w:t>
      </w:r>
      <w:r>
        <w:rPr>
          <w:spacing w:val="-64"/>
        </w:rPr>
        <w:t> </w:t>
      </w:r>
      <w:r>
        <w:rPr>
          <w:spacing w:val="-64"/>
        </w:rPr>
      </w:r>
      <w:r>
        <w:rPr/>
        <w:t>生增长作用，进而促进对上市公司职业教育板块的进一步发展。</w:t>
      </w:r>
    </w:p>
    <w:p>
      <w:pPr>
        <w:pStyle w:val="BodyText"/>
        <w:spacing w:line="240" w:lineRule="auto" w:before="58"/>
        <w:ind w:left="1494" w:right="0"/>
        <w:jc w:val="left"/>
      </w:pPr>
      <w:r>
        <w:rPr>
          <w:rFonts w:ascii="宋体" w:hAnsi="宋体" w:cs="宋体" w:eastAsia="宋体" w:hint="default"/>
        </w:rPr>
        <w:t>3</w:t>
      </w:r>
      <w:r>
        <w:rPr/>
        <w:t>、充分利用资本市场平台，全面推动并购工作</w:t>
      </w:r>
    </w:p>
    <w:p>
      <w:pPr>
        <w:pStyle w:val="BodyText"/>
        <w:spacing w:line="357" w:lineRule="auto" w:before="116"/>
        <w:ind w:left="1493" w:right="1033"/>
        <w:jc w:val="left"/>
      </w:pPr>
      <w:r>
        <w:rPr/>
        <w:t>①拓宽融资渠道 树立多渠道融资观念，在继续发挥以商业银行为主要融资渠道的同时，利用资本市场的优势，积极拓展其它融资渠道，</w:t>
      </w:r>
    </w:p>
    <w:p>
      <w:pPr>
        <w:pStyle w:val="BodyText"/>
        <w:spacing w:line="225" w:lineRule="exact"/>
        <w:ind w:left="1133" w:right="0"/>
        <w:jc w:val="left"/>
      </w:pPr>
      <w:r>
        <w:rPr/>
        <w:t>建立适应公司产业发展多层次融资架构，为公司的发展保驾护航。</w:t>
      </w:r>
    </w:p>
    <w:p>
      <w:pPr>
        <w:pStyle w:val="BodyText"/>
        <w:spacing w:line="357" w:lineRule="auto" w:before="117"/>
        <w:ind w:left="1494" w:right="0"/>
        <w:jc w:val="left"/>
      </w:pPr>
      <w:r>
        <w:rPr/>
        <w:t>②积极推进收购兼并业务 </w:t>
      </w:r>
      <w:r>
        <w:rPr>
          <w:spacing w:val="-2"/>
        </w:rPr>
        <w:t>在主业稳步发展下，加快教育相关领域资产的收购兼并进程，快速实现文化长城教育产业生态圈的战略布局，形成和优</w:t>
      </w:r>
    </w:p>
    <w:p>
      <w:pPr>
        <w:pStyle w:val="BodyText"/>
        <w:spacing w:line="357" w:lineRule="auto"/>
        <w:ind w:left="1494" w:right="0" w:hanging="360"/>
        <w:jc w:val="left"/>
      </w:pPr>
      <w:r>
        <w:rPr/>
        <w:t>化公司利润增长点，提高核心竞争力。 </w:t>
      </w:r>
      <w:r>
        <w:rPr>
          <w:spacing w:val="-2"/>
        </w:rPr>
        <w:t>公司关于</w:t>
      </w:r>
      <w:r>
        <w:rPr>
          <w:rFonts w:ascii="宋体" w:hAnsi="宋体" w:cs="宋体" w:eastAsia="宋体" w:hint="default"/>
          <w:spacing w:val="-2"/>
        </w:rPr>
        <w:t>2018</w:t>
      </w:r>
      <w:r>
        <w:rPr>
          <w:spacing w:val="-2"/>
        </w:rPr>
        <w:t>经营计划的内容，不构成本公司对任何投资者及相关人士的承诺，投资者及相关人士均应对此保持足够的</w:t>
      </w:r>
    </w:p>
    <w:p>
      <w:pPr>
        <w:spacing w:after="0" w:line="357"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风险认识，并且应当理解计划、预测与承诺之间的差异。</w:t>
      </w:r>
    </w:p>
    <w:p>
      <w:pPr>
        <w:pStyle w:val="BodyText"/>
        <w:spacing w:line="357" w:lineRule="auto" w:before="116"/>
        <w:ind w:left="1524" w:right="1182" w:hanging="120"/>
        <w:jc w:val="left"/>
      </w:pPr>
      <w:r>
        <w:rPr/>
        <w:t>（四）公司面临的主要风险及对策 当前，陶瓷行业面临着洗牌的阶段，原从事陶瓷出口的企业不断转向国内市场，这无疑将加大国内市场的竞争。供应</w:t>
      </w:r>
    </w:p>
    <w:p>
      <w:pPr>
        <w:pStyle w:val="BodyText"/>
        <w:spacing w:line="357" w:lineRule="auto"/>
        <w:ind w:left="1493" w:right="0" w:hanging="360"/>
        <w:jc w:val="left"/>
      </w:pPr>
      <w:r>
        <w:rPr/>
        <w:t>链的上下游优质资源的争夺，将会是竞争的重点。这对于公司建设国内分销网络将构成一定的压力。 </w:t>
      </w:r>
      <w:r>
        <w:rPr>
          <w:spacing w:val="-2"/>
        </w:rPr>
        <w:t>公司将立足艺术陶瓷国际贸易，极力打造瓷艺连锁品牌，积极开发适销对路的产品，并加大市场品牌推广的力度，抢占</w:t>
      </w:r>
    </w:p>
    <w:p>
      <w:pPr>
        <w:pStyle w:val="BodyText"/>
        <w:spacing w:line="224" w:lineRule="exact"/>
        <w:ind w:left="1133" w:right="0"/>
        <w:jc w:val="left"/>
      </w:pPr>
      <w:r>
        <w:rPr/>
        <w:t>优质的渠道资源，并不断的强化理顺供应链体系，利用资本优势，整合行业优势上下游资源，加强品牌的提升塑造，在激烈</w:t>
      </w:r>
    </w:p>
    <w:p>
      <w:pPr>
        <w:pStyle w:val="BodyText"/>
        <w:spacing w:line="357" w:lineRule="auto" w:before="77"/>
        <w:ind w:left="1493" w:right="0" w:hanging="360"/>
        <w:jc w:val="left"/>
      </w:pPr>
      <w:r>
        <w:rPr/>
        <w:t>的竞争中脱颖而出，实现品牌业绩新突破。 </w:t>
      </w:r>
      <w:r>
        <w:rPr>
          <w:spacing w:val="-2"/>
        </w:rPr>
        <w:t>另一方面，公司对于教育信息化及职业教育标的公司的收购整合风险主要集中于两个方面。首先，收购整合能否顺利实</w:t>
      </w:r>
    </w:p>
    <w:p>
      <w:pPr>
        <w:pStyle w:val="BodyText"/>
        <w:spacing w:line="224" w:lineRule="exact"/>
        <w:ind w:left="1133" w:right="0"/>
        <w:jc w:val="left"/>
      </w:pPr>
      <w:r>
        <w:rPr/>
        <w:t>施以及整合效果能否达到并购预期仍存在一定的不确定性</w:t>
      </w:r>
      <w:r>
        <w:rPr>
          <w:spacing w:val="-82"/>
        </w:rPr>
        <w:t>，</w:t>
      </w:r>
      <w:r>
        <w:rPr/>
        <w:t>甚至可能会对标的公司乃至上市公司原有业务的正常运营产生不</w:t>
      </w:r>
    </w:p>
    <w:p>
      <w:pPr>
        <w:pStyle w:val="BodyText"/>
        <w:spacing w:line="319" w:lineRule="auto" w:before="76"/>
        <w:ind w:left="1133" w:right="0"/>
        <w:jc w:val="left"/>
      </w:pPr>
      <w:r>
        <w:rPr>
          <w:spacing w:val="-2"/>
        </w:rPr>
        <w:t>利影响。其次，从上市公司整体角度来看，收购整合后，公司的资产规模和业务范围都将扩大，盈利能力得到增强，上市公</w:t>
      </w:r>
      <w:r>
        <w:rPr>
          <w:spacing w:val="-68"/>
        </w:rPr>
        <w:t> </w:t>
      </w:r>
      <w:r>
        <w:rPr>
          <w:spacing w:val="-68"/>
        </w:rPr>
      </w:r>
      <w:r>
        <w:rPr/>
        <w:t>司与教育信息化及职业教育标的公司需在企业文化、经营管理、业务拓展等方面进行融合。</w:t>
      </w:r>
    </w:p>
    <w:p>
      <w:pPr>
        <w:pStyle w:val="BodyText"/>
        <w:spacing w:line="319" w:lineRule="auto" w:before="56"/>
        <w:ind w:left="1133" w:right="1130" w:firstLine="360"/>
        <w:jc w:val="both"/>
      </w:pPr>
      <w:r>
        <w:rPr>
          <w:spacing w:val="-2"/>
        </w:rPr>
        <w:t>为应对整合风险，上市公司建立了有效的公司治理机制，加强公司在业务经营、财务运作、对外投资、抵押担保、资产</w:t>
      </w:r>
      <w:r>
        <w:rPr/>
        <w:t> </w:t>
      </w:r>
      <w:r>
        <w:rPr>
          <w:spacing w:val="-2"/>
        </w:rPr>
        <w:t>处置等方面对标的公司的管理与控制，使上市公司与标的公司形成有机整体，提高整体决策水平和风险管控能力，提升整体</w:t>
      </w:r>
      <w:r>
        <w:rPr>
          <w:spacing w:val="-66"/>
        </w:rPr>
        <w:t> </w:t>
      </w:r>
      <w:r>
        <w:rPr>
          <w:spacing w:val="-66"/>
        </w:rPr>
      </w:r>
      <w:r>
        <w:rPr>
          <w:spacing w:val="-2"/>
        </w:rPr>
        <w:t>经营管理水平和运营效率，以适应上市公司资产和业务规模的增长。此外，上市公司将把标的公司的财务管理纳入统一的管</w:t>
      </w:r>
      <w:r>
        <w:rPr>
          <w:spacing w:val="-66"/>
        </w:rPr>
        <w:t> </w:t>
      </w:r>
      <w:r>
        <w:rPr>
          <w:spacing w:val="-66"/>
        </w:rPr>
      </w:r>
      <w:r>
        <w:rPr/>
        <w:t>理系统中，加强审计监督和管理监督，保证上市公司对标的公司日常经营的知情权，提高经营管理水平，防范财务风险。</w:t>
      </w:r>
    </w:p>
    <w:p>
      <w:pPr>
        <w:pStyle w:val="BodyText"/>
        <w:spacing w:line="360" w:lineRule="auto" w:before="55"/>
        <w:ind w:right="6432" w:firstLine="360"/>
        <w:jc w:val="left"/>
      </w:pPr>
      <w:r>
        <w:rPr/>
        <w:t>（五）公司未来发展与规划延续至报告期的说明 前期披露的发展战略和经营计划在报告期内的进展情况</w:t>
      </w:r>
    </w:p>
    <w:p>
      <w:pPr>
        <w:spacing w:after="0" w:line="360" w:lineRule="auto"/>
        <w:jc w:val="left"/>
        <w:sectPr>
          <w:pgSz w:w="11910" w:h="16840"/>
          <w:pgMar w:header="907" w:footer="1019" w:top="1100" w:bottom="120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p>
      <w:pPr>
        <w:spacing w:line="9325" w:lineRule="exact"/>
        <w:ind w:left="1134" w:right="0" w:firstLine="0"/>
        <w:rPr>
          <w:rFonts w:ascii="Times New Roman" w:hAnsi="Times New Roman" w:cs="Times New Roman" w:eastAsia="Times New Roman" w:hint="default"/>
          <w:sz w:val="20"/>
          <w:szCs w:val="20"/>
        </w:rPr>
      </w:pPr>
      <w:bookmarkStart w:name="_bookmark4" w:id="59"/>
      <w:bookmarkEnd w:id="59"/>
      <w:r>
        <w:rPr/>
      </w:r>
      <w:r>
        <w:rPr>
          <w:rFonts w:ascii="Times New Roman" w:hAnsi="Times New Roman" w:cs="Times New Roman" w:eastAsia="Times New Roman" w:hint="default"/>
          <w:position w:val="-186"/>
          <w:sz w:val="20"/>
          <w:szCs w:val="20"/>
        </w:rPr>
        <w:drawing>
          <wp:inline distT="0" distB="0" distL="0" distR="0">
            <wp:extent cx="6130158" cy="592188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2" cstate="print"/>
                    <a:stretch>
                      <a:fillRect/>
                    </a:stretch>
                  </pic:blipFill>
                  <pic:spPr>
                    <a:xfrm>
                      <a:off x="0" y="0"/>
                      <a:ext cx="6130158" cy="5921883"/>
                    </a:xfrm>
                    <a:prstGeom prst="rect">
                      <a:avLst/>
                    </a:prstGeom>
                  </pic:spPr>
                </pic:pic>
              </a:graphicData>
            </a:graphic>
          </wp:inline>
        </w:drawing>
      </w:r>
      <w:r>
        <w:rPr>
          <w:rFonts w:ascii="Times New Roman" w:hAnsi="Times New Roman" w:cs="Times New Roman" w:eastAsia="Times New Roman" w:hint="default"/>
          <w:position w:val="-186"/>
          <w:sz w:val="20"/>
          <w:szCs w:val="20"/>
        </w:rPr>
      </w:r>
    </w:p>
    <w:p>
      <w:pPr>
        <w:spacing w:after="0" w:line="9325" w:lineRule="exact"/>
        <w:rPr>
          <w:rFonts w:ascii="Times New Roman" w:hAnsi="Times New Roman" w:cs="Times New Roman" w:eastAsia="Times New Roman" w:hint="default"/>
          <w:sz w:val="20"/>
          <w:szCs w:val="20"/>
        </w:rPr>
        <w:sectPr>
          <w:pgSz w:w="11910" w:h="16840"/>
          <w:pgMar w:header="907" w:footer="1019" w:top="1100" w:bottom="120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Heading1"/>
        <w:spacing w:line="240" w:lineRule="auto"/>
        <w:ind w:right="3403"/>
        <w:jc w:val="center"/>
        <w:rPr>
          <w:b w:val="0"/>
          <w:bCs w:val="0"/>
        </w:rPr>
      </w:pPr>
      <w:bookmarkStart w:name="第五节 重要事项" w:id="60"/>
      <w:bookmarkEnd w:id="60"/>
      <w:r>
        <w:rPr>
          <w:b w:val="0"/>
          <w:bCs w:val="0"/>
        </w:rPr>
      </w:r>
      <w:r>
        <w:rPr/>
        <w:t>第五节</w:t>
      </w:r>
      <w:r>
        <w:rPr>
          <w:spacing w:val="-5"/>
        </w:rPr>
        <w:t> </w:t>
      </w:r>
      <w:r>
        <w:rPr/>
        <w:t>重要事项</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left="1133"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报告期内普通股利润分配政策，特别是现金分红政策的制定、执行或调整情况</w:t>
      </w:r>
    </w:p>
    <w:p>
      <w:pPr>
        <w:pStyle w:val="BodyText"/>
        <w:spacing w:line="240" w:lineRule="auto" w:before="116"/>
        <w:ind w:left="1133" w:right="0"/>
        <w:jc w:val="left"/>
      </w:pPr>
      <w:r>
        <w:rPr/>
        <w:t>√ 适用 □ 不适用</w:t>
      </w:r>
    </w:p>
    <w:p>
      <w:pPr>
        <w:pStyle w:val="BodyText"/>
        <w:spacing w:line="240" w:lineRule="auto" w:before="115"/>
        <w:ind w:right="0"/>
        <w:jc w:val="left"/>
      </w:pPr>
      <w:r>
        <w:rPr/>
        <w:t>《公司章程》第一百五十五条规定的利润分配政策为：</w:t>
      </w:r>
    </w:p>
    <w:p>
      <w:pPr>
        <w:pStyle w:val="BodyText"/>
        <w:spacing w:line="316" w:lineRule="auto" w:before="76"/>
        <w:ind w:left="1630" w:right="1127"/>
        <w:jc w:val="left"/>
      </w:pPr>
      <w:r>
        <w:rPr/>
        <w:t>（一）利润分配原则 </w:t>
      </w:r>
      <w:r>
        <w:rPr>
          <w:spacing w:val="-1"/>
        </w:rPr>
        <w:t>公司重视对投资者的合理投资回报，根据自身的财务结构、盈利能力和未来的投资、融资发展规划实施积极的利润分</w:t>
      </w:r>
    </w:p>
    <w:p>
      <w:pPr>
        <w:pStyle w:val="BodyText"/>
        <w:spacing w:line="240" w:lineRule="auto" w:before="19"/>
        <w:ind w:right="0"/>
        <w:jc w:val="left"/>
      </w:pPr>
      <w:r>
        <w:rPr/>
        <w:t>配办法，保持利润分配政策的持续性和稳定性。</w:t>
      </w:r>
    </w:p>
    <w:p>
      <w:pPr>
        <w:pStyle w:val="BodyText"/>
        <w:spacing w:line="316" w:lineRule="auto" w:before="76"/>
        <w:ind w:left="1630" w:right="3776"/>
        <w:jc w:val="left"/>
      </w:pPr>
      <w:r>
        <w:rPr/>
        <w:t>（二）利润分配形式 公司可以采取现金、股票或者现金与股票相结合等法律法规允许的方式分配股利。</w:t>
      </w:r>
    </w:p>
    <w:p>
      <w:pPr>
        <w:pStyle w:val="BodyText"/>
        <w:spacing w:line="316" w:lineRule="auto" w:before="19"/>
        <w:ind w:left="1630" w:right="1127"/>
        <w:jc w:val="left"/>
      </w:pPr>
      <w:r>
        <w:rPr/>
        <w:t>（三）利润分配的期间间隔 </w:t>
      </w:r>
      <w:r>
        <w:rPr>
          <w:spacing w:val="-1"/>
        </w:rPr>
        <w:t>在当年归属于母公司股东的净利润为正的前提下，公司每年度进行一次利润分配，董事会可以根据公司的盈利及资金</w:t>
      </w:r>
    </w:p>
    <w:p>
      <w:pPr>
        <w:pStyle w:val="BodyText"/>
        <w:spacing w:line="240" w:lineRule="auto" w:before="19"/>
        <w:ind w:right="0"/>
        <w:jc w:val="left"/>
      </w:pPr>
      <w:r>
        <w:rPr/>
        <w:t>需求状况提议公司进行中期现金或股利分配。</w:t>
      </w:r>
    </w:p>
    <w:p>
      <w:pPr>
        <w:pStyle w:val="BodyText"/>
        <w:spacing w:line="316" w:lineRule="auto" w:before="76"/>
        <w:ind w:left="1630" w:right="4856"/>
        <w:jc w:val="left"/>
      </w:pPr>
      <w:r>
        <w:rPr/>
        <w:t>（四）利润分配的顺序 公司在具备现金分红条件下，应当优先采用现金分红进行利润分配。</w:t>
      </w:r>
    </w:p>
    <w:p>
      <w:pPr>
        <w:pStyle w:val="BodyText"/>
        <w:spacing w:line="240" w:lineRule="auto" w:before="19"/>
        <w:ind w:left="1630" w:right="0"/>
        <w:jc w:val="left"/>
      </w:pPr>
      <w:r>
        <w:rPr/>
        <w:t>（五）利润分配的条件和比例</w:t>
      </w:r>
    </w:p>
    <w:p>
      <w:pPr>
        <w:pStyle w:val="BodyText"/>
        <w:spacing w:line="300" w:lineRule="auto" w:before="76"/>
        <w:ind w:left="1630" w:right="1127"/>
        <w:jc w:val="left"/>
      </w:pPr>
      <w:r>
        <w:rPr>
          <w:rFonts w:ascii="Times New Roman" w:hAnsi="Times New Roman" w:cs="Times New Roman" w:eastAsia="Times New Roman" w:hint="default"/>
        </w:rPr>
        <w:t>1</w:t>
      </w:r>
      <w:r>
        <w:rPr/>
        <w:t>．条件 </w:t>
      </w:r>
      <w:r>
        <w:rPr>
          <w:spacing w:val="-1"/>
        </w:rPr>
        <w:t>如果公司会计年度盈利，且无弥补亏损、重大投资计划或重大现金支出等事项发生，应进行年度现金股利分配；如果</w:t>
      </w:r>
    </w:p>
    <w:p>
      <w:pPr>
        <w:pStyle w:val="BodyText"/>
        <w:spacing w:line="316" w:lineRule="auto" w:before="32"/>
        <w:ind w:right="0"/>
        <w:jc w:val="left"/>
      </w:pPr>
      <w:r>
        <w:rPr>
          <w:spacing w:val="-2"/>
        </w:rPr>
        <w:t>由于公司业绩、规模增长快速等原因，导致董事会认为出现公司股本规模与经营规模不相匹配，或公司股价不能有效反映经</w:t>
      </w:r>
      <w:r>
        <w:rPr>
          <w:spacing w:val="-66"/>
        </w:rPr>
        <w:t> </w:t>
      </w:r>
      <w:r>
        <w:rPr>
          <w:spacing w:val="-66"/>
        </w:rPr>
      </w:r>
      <w:r>
        <w:rPr/>
        <w:t>营业绩等情形况时，可以提出股票股利分配预案。</w:t>
      </w:r>
    </w:p>
    <w:p>
      <w:pPr>
        <w:pStyle w:val="BodyText"/>
        <w:spacing w:line="316" w:lineRule="auto" w:before="19"/>
        <w:ind w:right="1127" w:firstLine="496"/>
        <w:jc w:val="left"/>
      </w:pPr>
      <w:r>
        <w:rPr>
          <w:spacing w:val="-1"/>
        </w:rPr>
        <w:t>上述所称“重大投资计划或重大现金支出”是指公司未来十二个月内拟对外投资、收购资产或购买设备累计支出超过</w:t>
      </w:r>
      <w:r>
        <w:rPr/>
        <w:t> 公司最近一期经审计的合并报表总资产的百分之三十。</w:t>
      </w:r>
    </w:p>
    <w:p>
      <w:pPr>
        <w:pStyle w:val="BodyText"/>
        <w:spacing w:line="316" w:lineRule="auto" w:before="19"/>
        <w:ind w:right="1127" w:firstLine="496"/>
        <w:jc w:val="left"/>
      </w:pPr>
      <w:r>
        <w:rPr>
          <w:spacing w:val="-1"/>
        </w:rPr>
        <w:t>根据《公司章程》关于董事会和股东大会职权的相关规定，上述重大投资计划或重大现金支出须经董事会批准，报股</w:t>
      </w:r>
      <w:r>
        <w:rPr/>
        <w:t> 东大会审议通过后方可实施。</w:t>
      </w:r>
    </w:p>
    <w:p>
      <w:pPr>
        <w:pStyle w:val="BodyText"/>
        <w:spacing w:line="300" w:lineRule="auto" w:before="19"/>
        <w:ind w:left="1630" w:right="1127"/>
        <w:jc w:val="left"/>
      </w:pPr>
      <w:r>
        <w:rPr>
          <w:rFonts w:ascii="Times New Roman" w:hAnsi="Times New Roman" w:cs="Times New Roman" w:eastAsia="Times New Roman" w:hint="default"/>
        </w:rPr>
        <w:t>2</w:t>
      </w:r>
      <w:r>
        <w:rPr/>
        <w:t>．比例 </w:t>
      </w:r>
      <w:r>
        <w:rPr>
          <w:spacing w:val="-1"/>
        </w:rPr>
        <w:t>公司每年以现金股利方式分配的股利（包括年度股利分配和中期股利分配）应当不少于公司当年实现的可分配利润的</w:t>
      </w:r>
    </w:p>
    <w:p>
      <w:pPr>
        <w:pStyle w:val="BodyText"/>
        <w:spacing w:line="240" w:lineRule="auto" w:before="31"/>
        <w:ind w:right="0"/>
        <w:jc w:val="left"/>
      </w:pPr>
      <w:r>
        <w:rPr>
          <w:rFonts w:ascii="宋体" w:hAnsi="宋体" w:cs="宋体" w:eastAsia="宋体" w:hint="default"/>
        </w:rPr>
        <w:t>10%</w:t>
      </w:r>
      <w:r>
        <w:rPr/>
        <w:t>；任何三年以现金方式累计分配的利润不少于最近三年实现的年均可分配利润的百分之三十。</w:t>
      </w:r>
    </w:p>
    <w:p>
      <w:pPr>
        <w:pStyle w:val="BodyText"/>
        <w:spacing w:line="300" w:lineRule="auto" w:before="76"/>
        <w:ind w:left="1629" w:right="1128"/>
        <w:jc w:val="left"/>
      </w:pPr>
      <w:r>
        <w:rPr>
          <w:rFonts w:ascii="Times New Roman" w:hAnsi="Times New Roman" w:cs="Times New Roman" w:eastAsia="Times New Roman" w:hint="default"/>
        </w:rPr>
        <w:t>3</w:t>
      </w:r>
      <w:r>
        <w:rPr/>
        <w:t>．同时采取现金及股票股利分配时的现金分红比例 </w:t>
      </w:r>
      <w:r>
        <w:rPr>
          <w:spacing w:val="-1"/>
        </w:rPr>
        <w:t>如公司同时采取现金及股票股利分配利润的，在满足公司正常生产经营的资金需求情况下，公司实施差异化现金分红</w:t>
      </w:r>
    </w:p>
    <w:p>
      <w:pPr>
        <w:pStyle w:val="BodyText"/>
        <w:spacing w:line="240" w:lineRule="auto" w:before="31"/>
        <w:ind w:left="1133" w:right="0"/>
        <w:jc w:val="left"/>
      </w:pPr>
      <w:r>
        <w:rPr/>
        <w:t>政策：</w:t>
      </w:r>
    </w:p>
    <w:p>
      <w:pPr>
        <w:pStyle w:val="BodyText"/>
        <w:spacing w:line="316" w:lineRule="auto" w:before="76"/>
        <w:ind w:left="1133" w:right="1118" w:firstLine="496"/>
        <w:jc w:val="left"/>
      </w:pPr>
      <w:r>
        <w:rPr/>
        <w:t>（</w:t>
      </w:r>
      <w:r>
        <w:rPr>
          <w:rFonts w:ascii="宋体" w:hAnsi="宋体" w:cs="宋体" w:eastAsia="宋体" w:hint="default"/>
        </w:rPr>
        <w:t>1</w:t>
      </w:r>
      <w:r>
        <w:rPr/>
        <w:t>）公司发展阶段属成熟期且无重大资金支出安排的，进行利润分配时，现金分红在本次利润分配中所占比例最低 应达到</w:t>
      </w:r>
      <w:r>
        <w:rPr>
          <w:rFonts w:ascii="宋体" w:hAnsi="宋体" w:cs="宋体" w:eastAsia="宋体" w:hint="default"/>
        </w:rPr>
        <w:t>80%</w:t>
      </w:r>
      <w:r>
        <w:rPr/>
        <w:t>；</w:t>
      </w:r>
    </w:p>
    <w:p>
      <w:pPr>
        <w:pStyle w:val="BodyText"/>
        <w:spacing w:line="316" w:lineRule="auto" w:before="19"/>
        <w:ind w:right="1118" w:firstLine="496"/>
        <w:jc w:val="left"/>
      </w:pPr>
      <w:r>
        <w:rPr/>
        <w:t>（</w:t>
      </w:r>
      <w:r>
        <w:rPr>
          <w:rFonts w:ascii="宋体" w:hAnsi="宋体" w:cs="宋体" w:eastAsia="宋体" w:hint="default"/>
        </w:rPr>
        <w:t>2</w:t>
      </w:r>
      <w:r>
        <w:rPr/>
        <w:t>）公司发展阶段属成熟期且有重大资金支出安排的，进行利润分配时，现金分红在本次利润分配中所占比例最低 应达到</w:t>
      </w:r>
      <w:r>
        <w:rPr>
          <w:rFonts w:ascii="宋体" w:hAnsi="宋体" w:cs="宋体" w:eastAsia="宋体" w:hint="default"/>
        </w:rPr>
        <w:t>40%</w:t>
      </w:r>
      <w:r>
        <w:rPr/>
        <w:t>；</w:t>
      </w:r>
    </w:p>
    <w:p>
      <w:pPr>
        <w:pStyle w:val="BodyText"/>
        <w:spacing w:line="316" w:lineRule="auto" w:before="19"/>
        <w:ind w:right="1118" w:firstLine="496"/>
        <w:jc w:val="left"/>
      </w:pPr>
      <w:r>
        <w:rPr/>
        <w:t>（</w:t>
      </w:r>
      <w:r>
        <w:rPr>
          <w:rFonts w:ascii="宋体" w:hAnsi="宋体" w:cs="宋体" w:eastAsia="宋体" w:hint="default"/>
        </w:rPr>
        <w:t>3</w:t>
      </w:r>
      <w:r>
        <w:rPr/>
        <w:t>）公司发展阶段属成长期且有重大资金支出安排的，进行利润分配时，现金分红在本次利润分配中所占比例最低 应达到</w:t>
      </w:r>
      <w:r>
        <w:rPr>
          <w:rFonts w:ascii="宋体" w:hAnsi="宋体" w:cs="宋体" w:eastAsia="宋体" w:hint="default"/>
        </w:rPr>
        <w:t>20%</w:t>
      </w:r>
      <w:r>
        <w:rPr/>
        <w:t>。</w:t>
      </w:r>
    </w:p>
    <w:p>
      <w:pPr>
        <w:pStyle w:val="BodyText"/>
        <w:spacing w:line="316" w:lineRule="auto" w:before="19"/>
        <w:ind w:left="1630" w:right="1127"/>
        <w:jc w:val="left"/>
      </w:pPr>
      <w:r>
        <w:rPr/>
        <w:t>公司发展阶段不易区分但有重大资金支出安排的，可以按照前项规定处理。 </w:t>
      </w:r>
      <w:r>
        <w:rPr>
          <w:spacing w:val="-1"/>
        </w:rPr>
        <w:t>股东大会授权董事会每年在综合考虑公司所处行业特点、发展阶段、自身经营模式、盈利水平以及是否有重大资金支</w:t>
      </w:r>
    </w:p>
    <w:p>
      <w:pPr>
        <w:pStyle w:val="BodyText"/>
        <w:spacing w:line="240" w:lineRule="auto" w:before="19"/>
        <w:ind w:right="0"/>
        <w:jc w:val="left"/>
      </w:pPr>
      <w:r>
        <w:rPr/>
        <w:t>出安排等因素，根据上述原则提出当年利润分配方案。</w:t>
      </w:r>
    </w:p>
    <w:p>
      <w:pPr>
        <w:pStyle w:val="BodyText"/>
        <w:spacing w:line="240" w:lineRule="auto" w:before="76"/>
        <w:ind w:left="1630" w:right="0"/>
        <w:jc w:val="left"/>
      </w:pPr>
      <w:r>
        <w:rPr/>
        <w:t>（六）利润分配的决策程序</w:t>
      </w:r>
    </w:p>
    <w:p>
      <w:pPr>
        <w:pStyle w:val="BodyText"/>
        <w:spacing w:line="240" w:lineRule="auto" w:before="76"/>
        <w:ind w:left="1630" w:right="0"/>
        <w:jc w:val="left"/>
      </w:pPr>
      <w:r>
        <w:rPr>
          <w:rFonts w:ascii="Times New Roman" w:hAnsi="Times New Roman" w:cs="Times New Roman" w:eastAsia="Times New Roman" w:hint="default"/>
        </w:rPr>
        <w:t>1</w:t>
      </w:r>
      <w:r>
        <w:rPr/>
        <w:t>．定期报告公布前，公司董事会应详细分析及充分考虑公司实际经营情况，以及社会融资环境、社会融资成本、公</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133"/>
        <w:jc w:val="both"/>
      </w:pPr>
      <w:r>
        <w:rPr>
          <w:spacing w:val="-2"/>
        </w:rPr>
        <w:t>司现金流量状况、资金支出计划等各项对公司资金的收支有重大影响的相关因素，在此基础上合理、科学地拟订具体分红方</w:t>
      </w:r>
      <w:r>
        <w:rPr>
          <w:spacing w:val="-66"/>
        </w:rPr>
        <w:t> </w:t>
      </w:r>
      <w:r>
        <w:rPr>
          <w:spacing w:val="-66"/>
        </w:rPr>
      </w:r>
      <w:r>
        <w:rPr/>
        <w:t>案。独立董事应在制定现金分红预案时发表明确意见。</w:t>
      </w:r>
    </w:p>
    <w:p>
      <w:pPr>
        <w:pStyle w:val="BodyText"/>
        <w:spacing w:line="240" w:lineRule="auto" w:before="19"/>
        <w:ind w:left="1630" w:right="0"/>
        <w:jc w:val="left"/>
      </w:pPr>
      <w:r>
        <w:rPr>
          <w:rFonts w:ascii="Times New Roman" w:hAnsi="Times New Roman" w:cs="Times New Roman" w:eastAsia="Times New Roman" w:hint="default"/>
        </w:rPr>
        <w:t>2</w:t>
      </w:r>
      <w:r>
        <w:rPr/>
        <w:t>．独立董事可以征集中小股东的意见，提出分红提案，并直接提交董事会审议。</w:t>
      </w:r>
    </w:p>
    <w:p>
      <w:pPr>
        <w:pStyle w:val="BodyText"/>
        <w:spacing w:line="240" w:lineRule="auto" w:before="63"/>
        <w:ind w:left="1630" w:right="0"/>
        <w:jc w:val="left"/>
      </w:pPr>
      <w:r>
        <w:rPr>
          <w:rFonts w:ascii="Times New Roman" w:hAnsi="Times New Roman" w:cs="Times New Roman" w:eastAsia="Times New Roman" w:hint="default"/>
        </w:rPr>
        <w:t>3</w:t>
      </w:r>
      <w:r>
        <w:rPr/>
        <w:t>．监事会应当审议利润分配方案，并作出决议，如果有外部监事，外部监事应对利润分配方案单独发表明确意见。</w:t>
      </w:r>
    </w:p>
    <w:p>
      <w:pPr>
        <w:pStyle w:val="BodyText"/>
        <w:spacing w:line="240" w:lineRule="auto" w:before="63"/>
        <w:ind w:left="1629" w:right="0"/>
        <w:jc w:val="left"/>
      </w:pPr>
      <w:r>
        <w:rPr>
          <w:rFonts w:ascii="Times New Roman" w:hAnsi="Times New Roman" w:cs="Times New Roman" w:eastAsia="Times New Roman" w:hint="default"/>
          <w:spacing w:val="1"/>
        </w:rPr>
        <w:t>4</w:t>
      </w:r>
      <w:r>
        <w:rPr>
          <w:spacing w:val="1"/>
        </w:rPr>
        <w:t>．董事会和</w:t>
      </w:r>
      <w:r>
        <w:rPr/>
        <w:t>监</w:t>
      </w:r>
      <w:r>
        <w:rPr>
          <w:spacing w:val="1"/>
        </w:rPr>
        <w:t>事会通过分</w:t>
      </w:r>
      <w:r>
        <w:rPr/>
        <w:t>红</w:t>
      </w:r>
      <w:r>
        <w:rPr>
          <w:spacing w:val="1"/>
        </w:rPr>
        <w:t>方案后，提</w:t>
      </w:r>
      <w:r>
        <w:rPr/>
        <w:t>交</w:t>
      </w:r>
      <w:r>
        <w:rPr>
          <w:spacing w:val="1"/>
        </w:rPr>
        <w:t>股东大会审</w:t>
      </w:r>
      <w:r>
        <w:rPr/>
        <w:t>议</w:t>
      </w:r>
      <w:r>
        <w:rPr>
          <w:spacing w:val="1"/>
        </w:rPr>
        <w:t>。公司召开</w:t>
      </w:r>
      <w:r>
        <w:rPr/>
        <w:t>涉</w:t>
      </w:r>
      <w:r>
        <w:rPr>
          <w:spacing w:val="1"/>
        </w:rPr>
        <w:t>及利润分配</w:t>
      </w:r>
      <w:r>
        <w:rPr/>
        <w:t>的</w:t>
      </w:r>
      <w:r>
        <w:rPr>
          <w:spacing w:val="1"/>
        </w:rPr>
        <w:t>股东大</w:t>
      </w:r>
      <w:r>
        <w:rPr>
          <w:spacing w:val="5"/>
        </w:rPr>
        <w:t>会</w:t>
      </w:r>
      <w:r>
        <w:rPr>
          <w:spacing w:val="1"/>
        </w:rPr>
        <w:t>时</w:t>
      </w:r>
      <w:r>
        <w:rPr/>
        <w:t>，</w:t>
      </w:r>
      <w:r>
        <w:rPr>
          <w:spacing w:val="1"/>
        </w:rPr>
        <w:t>应根据《公</w:t>
      </w:r>
      <w:r>
        <w:rPr/>
        <w:t>司</w:t>
      </w:r>
      <w:r>
        <w:rPr>
          <w:spacing w:val="1"/>
        </w:rPr>
        <w:t>法</w:t>
      </w:r>
      <w:r>
        <w:rPr>
          <w:spacing w:val="-89"/>
        </w:rPr>
        <w:t>》</w:t>
      </w:r>
      <w:r>
        <w:rPr/>
        <w:t>、</w:t>
      </w:r>
    </w:p>
    <w:p>
      <w:pPr>
        <w:pStyle w:val="BodyText"/>
        <w:spacing w:line="316" w:lineRule="auto" w:before="63"/>
        <w:ind w:left="1133" w:right="1131"/>
        <w:jc w:val="both"/>
      </w:pPr>
      <w:r>
        <w:rPr>
          <w:spacing w:val="-2"/>
        </w:rPr>
        <w:t>《公司章程》及其他规范性文件的规定，为中小股东参与股东大会及投票提供便利；召开股东大会时，应保障中小股东对利</w:t>
      </w:r>
      <w:r>
        <w:rPr>
          <w:spacing w:val="-66"/>
        </w:rPr>
        <w:t> </w:t>
      </w:r>
      <w:r>
        <w:rPr>
          <w:spacing w:val="-66"/>
        </w:rPr>
      </w:r>
      <w:r>
        <w:rPr/>
        <w:t>润分配问题有充分的表达机会，对于中小股东关于利润分配的质询，公司董事、高级管理人员应给予充分的解释与说明。</w:t>
      </w:r>
    </w:p>
    <w:p>
      <w:pPr>
        <w:pStyle w:val="BodyText"/>
        <w:spacing w:line="316" w:lineRule="auto" w:before="19"/>
        <w:ind w:right="1131" w:firstLine="496"/>
        <w:jc w:val="both"/>
      </w:pPr>
      <w:r>
        <w:rPr>
          <w:spacing w:val="-1"/>
        </w:rPr>
        <w:t>公司在会计年度盈利，且无弥补亏损、重大投资计划或重大现金支出等事项，但公司董事会做出的现金股利分配预案</w:t>
      </w:r>
      <w:r>
        <w:rPr/>
        <w:t> </w:t>
      </w:r>
      <w:r>
        <w:rPr>
          <w:spacing w:val="-2"/>
        </w:rPr>
        <w:t>中的现金股利分配金额不符合本章程规定的，董事会应当在利润分配预案和定期报告中详细说明或披露现金股利分配金额不</w:t>
      </w:r>
      <w:r>
        <w:rPr>
          <w:spacing w:val="-64"/>
        </w:rPr>
        <w:t> </w:t>
      </w:r>
      <w:r>
        <w:rPr>
          <w:spacing w:val="-64"/>
        </w:rPr>
      </w:r>
      <w:r>
        <w:rPr/>
        <w:t>符合本章程规定的原因、未用于股利分配的资金留存公司的用途，独立董事还应当对此发表独立意见。</w:t>
      </w:r>
    </w:p>
    <w:p>
      <w:pPr>
        <w:pStyle w:val="BodyText"/>
        <w:spacing w:line="300" w:lineRule="auto" w:before="19"/>
        <w:ind w:right="0" w:firstLine="496"/>
        <w:jc w:val="left"/>
      </w:pPr>
      <w:r>
        <w:rPr>
          <w:rFonts w:ascii="Times New Roman" w:hAnsi="Times New Roman" w:cs="Times New Roman" w:eastAsia="Times New Roman" w:hint="default"/>
        </w:rPr>
        <w:t>5</w:t>
      </w:r>
      <w:r>
        <w:rPr/>
        <w:t>．董事会、监事会和股东大会在有关决策和论证过程中应当充分考虑独立董事和公众投资者的意见。公司将通过多 种途径（电话、传真、电子邮件、投资者关系互动平台等）听取、接受公众投资者对利润分配事项的建议和监督。</w:t>
      </w:r>
    </w:p>
    <w:p>
      <w:pPr>
        <w:pStyle w:val="BodyText"/>
        <w:spacing w:line="316" w:lineRule="auto" w:before="31"/>
        <w:ind w:left="1630" w:right="0"/>
        <w:jc w:val="left"/>
      </w:pPr>
      <w:r>
        <w:rPr/>
        <w:t>（七）利润分配政策的调整 </w:t>
      </w:r>
      <w:r>
        <w:rPr>
          <w:spacing w:val="-3"/>
        </w:rPr>
        <w:t>公司可以根据中长期发展战略、投资规划、生产经营规模的变化，以及生产经营业绩的变化等情况调整股利分配政策。</w:t>
      </w:r>
    </w:p>
    <w:p>
      <w:pPr>
        <w:pStyle w:val="BodyText"/>
        <w:spacing w:line="316" w:lineRule="auto" w:before="19"/>
        <w:ind w:left="1133" w:right="1129"/>
        <w:jc w:val="both"/>
      </w:pPr>
      <w:r>
        <w:rPr>
          <w:spacing w:val="-2"/>
        </w:rPr>
        <w:t>调整后的股利分配政策不得违反中国证券监督管理委员会和证券交易所的有关规定。有关调整股利分配政策的议案，需要事</w:t>
      </w:r>
      <w:r>
        <w:rPr>
          <w:spacing w:val="-64"/>
        </w:rPr>
        <w:t> </w:t>
      </w:r>
      <w:r>
        <w:rPr>
          <w:spacing w:val="-64"/>
        </w:rPr>
      </w:r>
      <w:r>
        <w:rPr/>
        <w:t>先征求独立董事及监事会意见并经公司董事会审议后提交公司股东大会审议，经出席股东大会的股东所持表决权的</w:t>
      </w:r>
      <w:r>
        <w:rPr>
          <w:rFonts w:ascii="宋体" w:hAnsi="宋体" w:cs="宋体" w:eastAsia="宋体" w:hint="default"/>
        </w:rPr>
        <w:t>2/3</w:t>
      </w:r>
      <w:r>
        <w:rPr/>
        <w:t>以上</w:t>
      </w:r>
      <w:r>
        <w:rPr>
          <w:spacing w:val="-81"/>
        </w:rPr>
        <w:t> </w:t>
      </w:r>
      <w:r>
        <w:rPr/>
        <w:t>通过。股东大会应为股东提供网络投票方式参与表决。</w:t>
      </w:r>
    </w:p>
    <w:p>
      <w:pPr>
        <w:pStyle w:val="BodyText"/>
        <w:spacing w:line="316" w:lineRule="auto" w:before="19"/>
        <w:ind w:left="1630" w:right="2696"/>
        <w:jc w:val="left"/>
      </w:pPr>
      <w:r>
        <w:rPr/>
        <w:t>（八）利润分配政策的披露 公司应当在年度报告中详细披露现金分红政策的制定及执行情况，并对下列事项进行专项说明： </w:t>
      </w:r>
      <w:r>
        <w:rPr>
          <w:rFonts w:ascii="Times New Roman" w:hAnsi="Times New Roman" w:cs="Times New Roman" w:eastAsia="Times New Roman" w:hint="default"/>
        </w:rPr>
        <w:t>1</w:t>
      </w:r>
      <w:r>
        <w:rPr/>
        <w:t>．是否符合《公司章程》的规定或者股东大会决议要求；</w:t>
      </w:r>
    </w:p>
    <w:p>
      <w:pPr>
        <w:pStyle w:val="BodyText"/>
        <w:spacing w:line="248" w:lineRule="exact"/>
        <w:ind w:left="1629" w:right="0"/>
        <w:jc w:val="left"/>
      </w:pPr>
      <w:r>
        <w:rPr>
          <w:rFonts w:ascii="Times New Roman" w:hAnsi="Times New Roman" w:cs="Times New Roman" w:eastAsia="Times New Roman" w:hint="default"/>
        </w:rPr>
        <w:t>2</w:t>
      </w:r>
      <w:r>
        <w:rPr/>
        <w:t>．分红标准和比例是否明确清晰；</w:t>
      </w:r>
    </w:p>
    <w:p>
      <w:pPr>
        <w:pStyle w:val="BodyText"/>
        <w:spacing w:line="240" w:lineRule="auto" w:before="63"/>
        <w:ind w:left="1630" w:right="0"/>
        <w:jc w:val="left"/>
      </w:pPr>
      <w:r>
        <w:rPr>
          <w:rFonts w:ascii="Times New Roman" w:hAnsi="Times New Roman" w:cs="Times New Roman" w:eastAsia="Times New Roman" w:hint="default"/>
        </w:rPr>
        <w:t>3</w:t>
      </w:r>
      <w:r>
        <w:rPr/>
        <w:t>．相关的决策程序和机制是否完备；</w:t>
      </w:r>
    </w:p>
    <w:p>
      <w:pPr>
        <w:pStyle w:val="BodyText"/>
        <w:spacing w:line="240" w:lineRule="auto" w:before="63"/>
        <w:ind w:left="1630" w:right="0"/>
        <w:jc w:val="left"/>
      </w:pPr>
      <w:r>
        <w:rPr>
          <w:rFonts w:ascii="Times New Roman" w:hAnsi="Times New Roman" w:cs="Times New Roman" w:eastAsia="Times New Roman" w:hint="default"/>
        </w:rPr>
        <w:t>4</w:t>
      </w:r>
      <w:r>
        <w:rPr/>
        <w:t>．独立董事是否履职尽责并发挥了应有的作用；</w:t>
      </w:r>
    </w:p>
    <w:p>
      <w:pPr>
        <w:pStyle w:val="BodyText"/>
        <w:spacing w:line="300" w:lineRule="auto" w:before="63"/>
        <w:ind w:left="1630" w:right="2156"/>
        <w:jc w:val="left"/>
      </w:pPr>
      <w:r>
        <w:rPr>
          <w:rFonts w:ascii="Times New Roman" w:hAnsi="Times New Roman" w:cs="Times New Roman" w:eastAsia="Times New Roman" w:hint="default"/>
        </w:rPr>
        <w:t>5</w:t>
      </w:r>
      <w:r>
        <w:rPr/>
        <w:t>．中小股东是否有充分表达意见和诉求的机会，中小股东的合法权益是否得到了充分保护等。 对现金分红政策进行调整或变更的，还应对调整或变更的条件及程序是否合规和透明等进行详细说明。</w:t>
      </w:r>
    </w:p>
    <w:p>
      <w:pPr>
        <w:pStyle w:val="BodyText"/>
        <w:spacing w:line="316" w:lineRule="auto" w:before="31"/>
        <w:ind w:right="1127" w:firstLine="496"/>
        <w:jc w:val="left"/>
      </w:pPr>
      <w:r>
        <w:rPr>
          <w:spacing w:val="-1"/>
        </w:rPr>
        <w:t>（九）公司未分配利润的使用原则：原则上应根据日常生产经营和发展需要，用于与主营业务有关的流动资产和非流</w:t>
      </w:r>
      <w:r>
        <w:rPr/>
        <w:t> 动资产支出。</w:t>
      </w:r>
    </w:p>
    <w:p>
      <w:pPr>
        <w:pStyle w:val="BodyText"/>
        <w:spacing w:line="240" w:lineRule="auto" w:before="19"/>
        <w:ind w:left="1630" w:right="0"/>
        <w:jc w:val="left"/>
      </w:pPr>
      <w:r>
        <w:rPr/>
        <w:t>（十）若公司股东存在违规占用公司资金情况的，公司应当扣减该股东所分配的现金红利，以偿还其所占用的资金。</w:t>
      </w:r>
    </w:p>
    <w:p>
      <w:pPr>
        <w:spacing w:line="240" w:lineRule="auto" w:before="0"/>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公司报告期利润分配预案及资本公积金转增股本预案与公司章程和分红管理办法等的相关规定一致</w:t>
      </w:r>
    </w:p>
    <w:p>
      <w:pPr>
        <w:pStyle w:val="BodyText"/>
        <w:spacing w:line="360" w:lineRule="auto" w:before="117"/>
        <w:ind w:left="1133" w:right="4273"/>
        <w:jc w:val="left"/>
      </w:pPr>
      <w:r>
        <w:rPr/>
        <w:t>√ 是 □ 否 □ 不适用 公司报告期利润分配预案及资本公积金转增股本预案符合公司章程等的相关规定。 本年度利润分配及资本公积金转增股本预案</w:t>
      </w:r>
    </w:p>
    <w:p>
      <w:pPr>
        <w:spacing w:after="0" w:line="360" w:lineRule="auto"/>
        <w:jc w:val="lef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434,800,140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263,654,954.42</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04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经广东正中珠江会计师事务所（特殊普通合伙）审计，公司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年度实现合并净利润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73,373,245.08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元，归属于母公司</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所有者的净利润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73,461,776.76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元，母公司实现净利润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25,257,992.44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元，公司累计未分配的利润为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326,273,427.87</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元，母</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公司累计未分配的利润为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263,654,954.42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2" w:lineRule="auto" w:before="101"/>
              <w:ind w:left="103"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年，为快速实现公司教育产业生态圈的战略布局，根据公司的发展战略及未来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个月的重大投资计划对资金的需 求情况，公司当前必须集中资金用于经营，以确保公司经营的可持续发展。</w:t>
            </w:r>
          </w:p>
          <w:p>
            <w:pPr>
              <w:pStyle w:val="TableParagraph"/>
              <w:spacing w:line="319" w:lineRule="auto" w:before="68"/>
              <w:ind w:left="103" w:right="182"/>
              <w:jc w:val="left"/>
              <w:rPr>
                <w:rFonts w:ascii="宋体" w:hAnsi="宋体" w:cs="宋体" w:eastAsia="宋体" w:hint="default"/>
                <w:sz w:val="18"/>
                <w:szCs w:val="18"/>
              </w:rPr>
            </w:pPr>
            <w:r>
              <w:rPr>
                <w:rFonts w:ascii="宋体" w:hAnsi="宋体" w:cs="宋体" w:eastAsia="宋体" w:hint="default"/>
                <w:spacing w:val="-2"/>
                <w:sz w:val="18"/>
                <w:szCs w:val="18"/>
              </w:rPr>
              <w:t>一、根据《公司章程》第一百五十五条关于股利分配条件的规定：“公司利润分配政策为：……（五）利润分配的条件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和比例</w:t>
            </w:r>
          </w:p>
          <w:p>
            <w:pPr>
              <w:pStyle w:val="TableParagraph"/>
              <w:spacing w:line="324" w:lineRule="auto" w:before="58"/>
              <w:ind w:left="103"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．条件 </w:t>
            </w:r>
            <w:r>
              <w:rPr>
                <w:rFonts w:ascii="宋体" w:hAnsi="宋体" w:cs="宋体" w:eastAsia="宋体" w:hint="default"/>
                <w:spacing w:val="-1"/>
                <w:sz w:val="18"/>
                <w:szCs w:val="18"/>
              </w:rPr>
              <w:t>如果公司会计年度盈利，且无弥补亏损、重大投资计划或重大现金支出等事项发生，应进行年度现金股利分配；如果由</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于公司业绩、规模增长快速等原因，导致董事会认为出现公司股本规模与经营规模不相匹配，或公司股价不能有效反映</w:t>
            </w:r>
            <w:r>
              <w:rPr>
                <w:rFonts w:ascii="宋体" w:hAnsi="宋体" w:cs="宋体" w:eastAsia="宋体" w:hint="default"/>
                <w:sz w:val="18"/>
                <w:szCs w:val="18"/>
              </w:rPr>
              <w:t> 经营业绩等情形况时，可以提出股票股利分配预案。</w:t>
            </w:r>
          </w:p>
          <w:p>
            <w:pPr>
              <w:pStyle w:val="TableParagraph"/>
              <w:spacing w:line="319" w:lineRule="auto" w:before="52"/>
              <w:ind w:left="103" w:right="100"/>
              <w:jc w:val="left"/>
              <w:rPr>
                <w:rFonts w:ascii="宋体" w:hAnsi="宋体" w:cs="宋体" w:eastAsia="宋体" w:hint="default"/>
                <w:sz w:val="18"/>
                <w:szCs w:val="18"/>
              </w:rPr>
            </w:pPr>
            <w:r>
              <w:rPr>
                <w:rFonts w:ascii="宋体" w:hAnsi="宋体" w:cs="宋体" w:eastAsia="宋体" w:hint="default"/>
                <w:sz w:val="18"/>
                <w:szCs w:val="18"/>
              </w:rPr>
              <w:t>上述所称“重大投资计划或重大现金支出”是指公司未来十二个月内拟对外投资、收购资产或购买设备累计支出超过公 司最近一期经审计的合并报表总资产的百分之三十。……”</w:t>
            </w:r>
          </w:p>
          <w:p>
            <w:pPr>
              <w:pStyle w:val="TableParagraph"/>
              <w:spacing w:line="302" w:lineRule="auto" w:before="56"/>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二、根据公司《股东分红回报规划》（</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年度）中关于利润分配条件的规定，在同时满足下列条件时，公</w:t>
            </w:r>
            <w:r>
              <w:rPr>
                <w:rFonts w:ascii="宋体" w:hAnsi="宋体" w:cs="宋体" w:eastAsia="宋体" w:hint="default"/>
                <w:sz w:val="18"/>
                <w:szCs w:val="18"/>
              </w:rPr>
              <w:t> 司可以实施现金分红：</w:t>
            </w:r>
          </w:p>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）公司该年度实现的可分配利润（即公司弥补亏损、提取公积金后所余的税后利润）为正值；</w:t>
            </w:r>
          </w:p>
          <w:p>
            <w:pPr>
              <w:pStyle w:val="TableParagraph"/>
              <w:spacing w:line="328" w:lineRule="auto" w:before="102"/>
              <w:ind w:left="103" w:right="10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）公司无重大投资计划或重大现金支出等事项发生（募集资金项目除外）。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重大投资计划或重大现金支出是指：公司未来十二个月内拟对外投资、收购资产或者购买设备的累计支出达到或超过公</w:t>
            </w:r>
            <w:r>
              <w:rPr>
                <w:rFonts w:ascii="宋体" w:hAnsi="宋体" w:cs="宋体" w:eastAsia="宋体" w:hint="default"/>
                <w:sz w:val="18"/>
                <w:szCs w:val="18"/>
              </w:rPr>
              <w:t> 司最近一期经审计总资产的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，且超过人民币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pacing w:val="-23"/>
                <w:sz w:val="18"/>
                <w:szCs w:val="18"/>
              </w:rPr>
              <w:t>万元。”</w:t>
            </w:r>
          </w:p>
          <w:p>
            <w:pPr>
              <w:pStyle w:val="TableParagraph"/>
              <w:spacing w:line="302" w:lineRule="auto" w:before="27"/>
              <w:ind w:left="103" w:right="18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年度拟不进行利润分配，也不进行资本公积金转增股本，全部利润滚存于公司，仍归属于全部股东所有，未 分配利润公司计划用于对外投资、收购资产或与主营业务有关的流动资产和非流动资产支出。</w:t>
            </w:r>
          </w:p>
        </w:tc>
      </w:tr>
    </w:tbl>
    <w:p>
      <w:pPr>
        <w:pStyle w:val="BodyText"/>
        <w:spacing w:line="319" w:lineRule="auto" w:before="51"/>
        <w:ind w:left="1133" w:right="1128"/>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宋体" w:hAnsi="宋体" w:cs="宋体" w:eastAsia="宋体" w:hint="default"/>
          <w:spacing w:val="-2"/>
        </w:rPr>
        <w:t>1</w:t>
      </w:r>
      <w:r>
        <w:rPr>
          <w:spacing w:val="-2"/>
        </w:rPr>
        <w:t>、公司</w:t>
      </w:r>
      <w:r>
        <w:rPr>
          <w:rFonts w:ascii="Times New Roman" w:hAnsi="Times New Roman" w:cs="Times New Roman" w:eastAsia="Times New Roman" w:hint="default"/>
          <w:spacing w:val="-2"/>
        </w:rPr>
        <w:t>2015</w:t>
      </w:r>
      <w:r>
        <w:rPr>
          <w:spacing w:val="-2"/>
        </w:rPr>
        <w:t>年度利润分配方案为：以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150,000,000</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0.20</w:t>
      </w:r>
      <w:r>
        <w:rPr>
          <w:rFonts w:ascii="Times New Roman" w:hAnsi="Times New Roman" w:cs="Times New Roman" w:eastAsia="Times New Roman" w:hint="default"/>
          <w:spacing w:val="-33"/>
        </w:rPr>
        <w:t> </w:t>
      </w:r>
      <w:r>
        <w:rPr>
          <w:spacing w:val="-2"/>
        </w:rPr>
        <w:t>元人民币（含税），同时以资本公积金向全体股东每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15</w:t>
      </w:r>
      <w:r>
        <w:rPr>
          <w:spacing w:val="-2"/>
        </w:rPr>
        <w:t>股，合计转增股本</w:t>
      </w:r>
      <w:r>
        <w:rPr>
          <w:rFonts w:ascii="Times New Roman" w:hAnsi="Times New Roman" w:cs="Times New Roman" w:eastAsia="Times New Roman" w:hint="default"/>
          <w:spacing w:val="-2"/>
        </w:rPr>
        <w:t>225,000,000</w:t>
      </w:r>
      <w:r>
        <w:rPr>
          <w:spacing w:val="-2"/>
        </w:rPr>
        <w:t>股。转增后，公司总股本变更</w:t>
      </w:r>
    </w:p>
    <w:p>
      <w:pPr>
        <w:pStyle w:val="BodyText"/>
        <w:spacing w:line="247" w:lineRule="exact"/>
        <w:ind w:left="1133" w:right="0"/>
        <w:jc w:val="left"/>
      </w:pPr>
      <w:r>
        <w:rPr/>
        <w:t>为</w:t>
      </w:r>
      <w:r>
        <w:rPr>
          <w:rFonts w:ascii="Times New Roman" w:hAnsi="Times New Roman" w:cs="Times New Roman" w:eastAsia="Times New Roman" w:hint="default"/>
        </w:rPr>
        <w:t>375,000,000</w:t>
      </w:r>
      <w:r>
        <w:rPr/>
        <w:t>股。</w:t>
      </w:r>
    </w:p>
    <w:p>
      <w:pPr>
        <w:pStyle w:val="BodyText"/>
        <w:spacing w:line="302" w:lineRule="auto" w:before="103"/>
        <w:ind w:left="1133" w:right="1117"/>
        <w:jc w:val="left"/>
      </w:pPr>
      <w:r>
        <w:rPr>
          <w:rFonts w:ascii="宋体" w:hAnsi="宋体" w:cs="宋体" w:eastAsia="宋体" w:hint="default"/>
        </w:rPr>
        <w:t>2</w:t>
      </w:r>
      <w:r>
        <w:rPr>
          <w:spacing w:val="-88"/>
        </w:rPr>
        <w:t>、</w:t>
      </w:r>
      <w:r>
        <w:rPr/>
        <w:t>公司</w:t>
      </w:r>
      <w:r>
        <w:rPr>
          <w:rFonts w:ascii="Times New Roman" w:hAnsi="Times New Roman" w:cs="Times New Roman" w:eastAsia="Times New Roman" w:hint="default"/>
        </w:rPr>
        <w:t>2016</w:t>
      </w:r>
      <w:r>
        <w:rPr/>
        <w:t>年度利润分配方案为</w:t>
      </w:r>
      <w:r>
        <w:rPr>
          <w:spacing w:val="-88"/>
        </w:rPr>
        <w:t>：</w:t>
      </w:r>
      <w:r>
        <w:rPr/>
        <w:t>以</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434,800,140</w:t>
      </w:r>
      <w:r>
        <w:rPr/>
        <w:t>股为基数</w:t>
      </w:r>
      <w:r>
        <w:rPr>
          <w:spacing w:val="-88"/>
        </w:rPr>
        <w:t>，</w:t>
      </w:r>
      <w:r>
        <w:rPr/>
        <w:t>向全体股东每</w:t>
      </w:r>
      <w:r>
        <w:rPr>
          <w:rFonts w:ascii="宋体" w:hAnsi="宋体" w:cs="宋体" w:eastAsia="宋体" w:hint="default"/>
        </w:rPr>
        <w:t>10</w:t>
      </w:r>
      <w:r>
        <w:rPr/>
        <w:t>股派发现金股利</w:t>
      </w:r>
      <w:r>
        <w:rPr>
          <w:rFonts w:ascii="宋体" w:hAnsi="宋体" w:cs="宋体" w:eastAsia="宋体" w:hint="default"/>
        </w:rPr>
        <w:t>0.25 </w:t>
      </w:r>
      <w:r>
        <w:rPr/>
        <w:t>元人民币（含税</w:t>
      </w:r>
      <w:r>
        <w:rPr>
          <w:spacing w:val="-90"/>
        </w:rPr>
        <w:t>）</w:t>
      </w:r>
      <w:r>
        <w:rPr/>
        <w:t>。</w:t>
      </w:r>
    </w:p>
    <w:p>
      <w:pPr>
        <w:pStyle w:val="BodyText"/>
        <w:spacing w:line="357" w:lineRule="auto" w:before="69"/>
        <w:ind w:left="1133" w:right="2743"/>
        <w:jc w:val="left"/>
      </w:pPr>
      <w:r>
        <w:rPr>
          <w:rFonts w:ascii="宋体" w:hAnsi="宋体" w:cs="宋体" w:eastAsia="宋体" w:hint="default"/>
        </w:rPr>
        <w:t>3</w:t>
      </w:r>
      <w:r>
        <w:rPr/>
        <w:t>、公司</w:t>
      </w:r>
      <w:r>
        <w:rPr>
          <w:rFonts w:ascii="宋体" w:hAnsi="宋体" w:cs="宋体" w:eastAsia="宋体" w:hint="default"/>
        </w:rPr>
        <w:t>2017</w:t>
      </w:r>
      <w:r>
        <w:rPr/>
        <w:t>年度利润分配预案为：公司</w:t>
      </w:r>
      <w:r>
        <w:rPr>
          <w:rFonts w:ascii="宋体" w:hAnsi="宋体" w:cs="宋体" w:eastAsia="宋体" w:hint="default"/>
        </w:rPr>
        <w:t>2017</w:t>
      </w:r>
      <w:r>
        <w:rPr/>
        <w:t>年度拟不进行利润分配，也不进行资本公积金转增股本。 公司近三年（包括本报告期）普通股现金分红情况表</w:t>
      </w:r>
    </w:p>
    <w:p>
      <w:pPr>
        <w:spacing w:after="0" w:line="357"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2" w:right="101" w:hanging="509"/>
              <w:jc w:val="left"/>
              <w:rPr>
                <w:rFonts w:ascii="宋体" w:hAnsi="宋体" w:cs="宋体" w:eastAsia="宋体" w:hint="default"/>
                <w:sz w:val="18"/>
                <w:szCs w:val="18"/>
              </w:rPr>
            </w:pPr>
            <w:r>
              <w:rPr>
                <w:rFonts w:ascii="宋体" w:hAnsi="宋体" w:cs="宋体" w:eastAsia="宋体" w:hint="default"/>
                <w:spacing w:val="-8"/>
                <w:sz w:val="18"/>
                <w:szCs w:val="18"/>
              </w:rPr>
              <w:t>现金分红金额（含</w:t>
            </w:r>
            <w:r>
              <w:rPr>
                <w:rFonts w:ascii="宋体" w:hAnsi="宋体" w:cs="宋体" w:eastAsia="宋体" w:hint="default"/>
                <w:sz w:val="18"/>
                <w:szCs w:val="18"/>
              </w:rPr>
              <w:t>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1" w:right="161"/>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1" w:right="161"/>
              <w:jc w:val="center"/>
              <w:rPr>
                <w:rFonts w:ascii="宋体" w:hAnsi="宋体" w:cs="宋体" w:eastAsia="宋体" w:hint="default"/>
                <w:sz w:val="18"/>
                <w:szCs w:val="18"/>
              </w:rPr>
            </w:pPr>
            <w:r>
              <w:rPr>
                <w:rFonts w:ascii="宋体" w:hAnsi="宋体" w:cs="宋体" w:eastAsia="宋体" w:hint="default"/>
                <w:sz w:val="18"/>
                <w:szCs w:val="18"/>
              </w:rPr>
              <w:t>占合并报表中归 属于上市公司普 通股股东的净利 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2" w:right="160"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1" w:right="161"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73,461,776.76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10,870,003.50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136,797,245.91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12,390,096.67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6"/>
        <w:ind w:left="113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47" w:right="136" w:hanging="81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 提出普通股现金红利分配预案的原因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9459"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年，为快速实现公司教育产业生态圈的战略布局，根</w:t>
            </w:r>
          </w:p>
          <w:p>
            <w:pPr>
              <w:pStyle w:val="TableParagraph"/>
              <w:spacing w:line="309" w:lineRule="auto" w:before="61"/>
              <w:ind w:left="103" w:right="101"/>
              <w:jc w:val="left"/>
              <w:rPr>
                <w:rFonts w:ascii="宋体" w:hAnsi="宋体" w:cs="宋体" w:eastAsia="宋体" w:hint="default"/>
                <w:sz w:val="18"/>
                <w:szCs w:val="18"/>
              </w:rPr>
            </w:pPr>
            <w:r>
              <w:rPr>
                <w:rFonts w:ascii="宋体" w:hAnsi="宋体" w:cs="宋体" w:eastAsia="宋体" w:hint="default"/>
                <w:sz w:val="18"/>
                <w:szCs w:val="18"/>
              </w:rPr>
              <w:t>据公司的发展战略及未来</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个月的重大投资计划对资金的 需求情况，公司当前必须集中资金用于经营，以确保公司 经营的可持续发展。</w:t>
            </w:r>
          </w:p>
          <w:p>
            <w:pPr>
              <w:pStyle w:val="TableParagraph"/>
              <w:spacing w:line="319" w:lineRule="auto" w:before="64"/>
              <w:ind w:left="103" w:right="102"/>
              <w:jc w:val="left"/>
              <w:rPr>
                <w:rFonts w:ascii="宋体" w:hAnsi="宋体" w:cs="宋体" w:eastAsia="宋体" w:hint="default"/>
                <w:sz w:val="18"/>
                <w:szCs w:val="18"/>
              </w:rPr>
            </w:pPr>
            <w:r>
              <w:rPr>
                <w:rFonts w:ascii="宋体" w:hAnsi="宋体" w:cs="宋体" w:eastAsia="宋体" w:hint="default"/>
                <w:sz w:val="18"/>
                <w:szCs w:val="18"/>
              </w:rPr>
              <w:t>一、根据《公司章程》第一百五十五条关于股利分配条件 </w:t>
            </w:r>
            <w:r>
              <w:rPr>
                <w:rFonts w:ascii="宋体" w:hAnsi="宋体" w:cs="宋体" w:eastAsia="宋体" w:hint="default"/>
                <w:spacing w:val="-5"/>
                <w:sz w:val="18"/>
                <w:szCs w:val="18"/>
              </w:rPr>
              <w:t>的规定：“公司利润分配政策为：……（五）利润分配的条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件和比例</w:t>
            </w:r>
          </w:p>
          <w:p>
            <w:pPr>
              <w:pStyle w:val="TableParagraph"/>
              <w:spacing w:line="321" w:lineRule="auto" w:before="56"/>
              <w:ind w:left="103"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．条件 如果公司会计年度盈利，且无弥补亏损、重大投资计划或 重大现金支出等事项发生，应进行年度现金股利分配；如 果由于公司业绩、规模增长快速等原因，导致董事会认为 出现公司股本规模与经营规模不相匹配，或公司股价不能 有效反映经营业绩等情形况时，可以提出股票股利分配预 案。</w:t>
            </w:r>
          </w:p>
          <w:p>
            <w:pPr>
              <w:pStyle w:val="TableParagraph"/>
              <w:spacing w:line="319" w:lineRule="auto" w:before="55"/>
              <w:ind w:left="103" w:right="171"/>
              <w:jc w:val="left"/>
              <w:rPr>
                <w:rFonts w:ascii="宋体" w:hAnsi="宋体" w:cs="宋体" w:eastAsia="宋体" w:hint="default"/>
                <w:sz w:val="18"/>
                <w:szCs w:val="18"/>
              </w:rPr>
            </w:pPr>
            <w:r>
              <w:rPr>
                <w:rFonts w:ascii="宋体" w:hAnsi="宋体" w:cs="宋体" w:eastAsia="宋体" w:hint="default"/>
                <w:sz w:val="18"/>
                <w:szCs w:val="18"/>
              </w:rPr>
              <w:t>上述所称“重大投资计划或重大现金支出”是指公司未来 十二个月内拟对外投资、收购资产或购买设备累计支出超 过公司最近一期经审计的合并报表总资产的百分之三 十。……”</w:t>
            </w:r>
          </w:p>
          <w:p>
            <w:pPr>
              <w:pStyle w:val="TableParagraph"/>
              <w:spacing w:line="309" w:lineRule="auto" w:before="55"/>
              <w:ind w:left="103" w:right="13"/>
              <w:jc w:val="left"/>
              <w:rPr>
                <w:rFonts w:ascii="宋体" w:hAnsi="宋体" w:cs="宋体" w:eastAsia="宋体" w:hint="default"/>
                <w:sz w:val="18"/>
                <w:szCs w:val="18"/>
              </w:rPr>
            </w:pPr>
            <w:r>
              <w:rPr>
                <w:rFonts w:ascii="宋体" w:hAnsi="宋体" w:cs="宋体" w:eastAsia="宋体" w:hint="default"/>
                <w:spacing w:val="-5"/>
                <w:sz w:val="18"/>
                <w:szCs w:val="18"/>
              </w:rPr>
              <w:t>二、根据公司《股东分红回报规划》（</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83"/>
                <w:sz w:val="18"/>
                <w:szCs w:val="18"/>
              </w:rPr>
              <w:t> </w:t>
            </w:r>
            <w:r>
              <w:rPr>
                <w:rFonts w:ascii="宋体" w:hAnsi="宋体" w:cs="宋体" w:eastAsia="宋体" w:hint="default"/>
                <w:spacing w:val="-1"/>
                <w:sz w:val="18"/>
                <w:szCs w:val="18"/>
              </w:rPr>
              <w:t>度）中关于利润分配条件的规定，在同时满足下列条件时，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公司可以实施现金分红：</w:t>
            </w:r>
          </w:p>
          <w:p>
            <w:pPr>
              <w:pStyle w:val="TableParagraph"/>
              <w:spacing w:line="302" w:lineRule="auto" w:before="62"/>
              <w:ind w:left="103" w:right="103"/>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）公司该年度实现的可分配利润（即公司弥补亏损、提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取公积金后所余的税后利润）为正值；</w:t>
            </w:r>
          </w:p>
          <w:p>
            <w:pPr>
              <w:pStyle w:val="TableParagraph"/>
              <w:spacing w:line="302" w:lineRule="auto" w:before="69"/>
              <w:ind w:left="103" w:right="103"/>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）公司无重大投资计划或重大现金支出等事项发生（募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集资金项目除外）。</w:t>
            </w:r>
          </w:p>
          <w:p>
            <w:pPr>
              <w:pStyle w:val="TableParagraph"/>
              <w:spacing w:line="312" w:lineRule="auto" w:before="68"/>
              <w:ind w:left="103" w:right="110"/>
              <w:jc w:val="both"/>
              <w:rPr>
                <w:rFonts w:ascii="宋体" w:hAnsi="宋体" w:cs="宋体" w:eastAsia="宋体" w:hint="default"/>
                <w:sz w:val="18"/>
                <w:szCs w:val="18"/>
              </w:rPr>
            </w:pPr>
            <w:r>
              <w:rPr>
                <w:rFonts w:ascii="宋体" w:hAnsi="宋体" w:cs="宋体" w:eastAsia="宋体" w:hint="default"/>
                <w:sz w:val="18"/>
                <w:szCs w:val="18"/>
              </w:rPr>
              <w:t>重大投资计划或重大现金支出是指：公司未来十二个月内 拟对外投资、收购资产或者购买设备的累计支出达到或超 过公司最近一期经审计总资产的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，且超过人民币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pacing w:val="-23"/>
                <w:sz w:val="18"/>
                <w:szCs w:val="18"/>
              </w:rPr>
              <w:t>万元。”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9" w:lineRule="auto"/>
              <w:ind w:left="103" w:right="168"/>
              <w:jc w:val="both"/>
              <w:rPr>
                <w:rFonts w:ascii="宋体" w:hAnsi="宋体" w:cs="宋体" w:eastAsia="宋体" w:hint="default"/>
                <w:sz w:val="18"/>
                <w:szCs w:val="18"/>
              </w:rPr>
            </w:pPr>
            <w:r>
              <w:rPr>
                <w:rFonts w:ascii="宋体" w:hAnsi="宋体" w:cs="宋体" w:eastAsia="宋体" w:hint="default"/>
                <w:sz w:val="18"/>
                <w:szCs w:val="18"/>
              </w:rPr>
              <w:t>全部利润滚存于公司，仍归属于全部股东所有，未分配利 润公司计划用于对外投资、收购资产或与主营业务有关的 流动资产和非流动资产支出。</w:t>
            </w:r>
          </w:p>
        </w:tc>
      </w:tr>
    </w:tbl>
    <w:p>
      <w:pPr>
        <w:spacing w:after="0" w:line="319" w:lineRule="auto"/>
        <w:jc w:val="both"/>
        <w:rPr>
          <w:rFonts w:ascii="宋体" w:hAnsi="宋体" w:cs="宋体" w:eastAsia="宋体" w:hint="default"/>
          <w:sz w:val="18"/>
          <w:szCs w:val="18"/>
        </w:rPr>
        <w:sectPr>
          <w:pgSz w:w="11910" w:h="16840"/>
          <w:pgMar w:header="907" w:footer="1019" w:top="1100" w:bottom="1200" w:left="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bookmarkStart w:name="二、承诺事项履行情况" w:id="62"/>
      <w:bookmarkEnd w:id="62"/>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133" w:right="0"/>
        <w:jc w:val="left"/>
        <w:rPr>
          <w:b w:val="0"/>
          <w:bCs w:val="0"/>
        </w:rPr>
      </w:pPr>
      <w:bookmarkStart w:name="1、公司实际控制人、股东、关联方、收购人以及公司等承诺相关方在报告期内履行完毕及" w:id="63"/>
      <w:bookmarkEnd w:id="63"/>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1"/>
              <w:jc w:val="right"/>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65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01"/>
              <w:jc w:val="righ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本人因广东 文化长城集 团股份有限 公司（下称 “文化长 </w:t>
            </w:r>
            <w:r>
              <w:rPr>
                <w:rFonts w:ascii="宋体" w:hAnsi="宋体" w:cs="宋体" w:eastAsia="宋体" w:hint="default"/>
                <w:spacing w:val="-29"/>
                <w:sz w:val="18"/>
                <w:szCs w:val="18"/>
              </w:rPr>
              <w:t>城”）根据中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国证券监督 管理委员会</w:t>
            </w:r>
          </w:p>
          <w:p>
            <w:pPr>
              <w:pStyle w:val="TableParagraph"/>
              <w:spacing w:line="316" w:lineRule="auto" w:before="19"/>
              <w:ind w:left="103" w:right="102"/>
              <w:jc w:val="both"/>
              <w:rPr>
                <w:rFonts w:ascii="宋体" w:hAnsi="宋体" w:cs="宋体" w:eastAsia="宋体" w:hint="default"/>
                <w:sz w:val="18"/>
                <w:szCs w:val="18"/>
              </w:rPr>
            </w:pPr>
            <w:r>
              <w:rPr>
                <w:rFonts w:ascii="宋体" w:hAnsi="宋体" w:cs="宋体" w:eastAsia="宋体" w:hint="default"/>
                <w:sz w:val="18"/>
                <w:szCs w:val="18"/>
              </w:rPr>
              <w:t>《关于核准 广东文化长 城集团股份 有限公司向 许高镭等发 行股份购买 资产并募集 配套资金的 </w:t>
            </w:r>
            <w:r>
              <w:rPr>
                <w:rFonts w:ascii="宋体" w:hAnsi="宋体" w:cs="宋体" w:eastAsia="宋体" w:hint="default"/>
                <w:spacing w:val="-29"/>
                <w:sz w:val="18"/>
                <w:szCs w:val="18"/>
              </w:rPr>
              <w:t>批复》（证监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许可</w:t>
            </w:r>
          </w:p>
          <w:p>
            <w:pPr>
              <w:pStyle w:val="TableParagraph"/>
              <w:spacing w:line="240" w:lineRule="auto" w:before="58"/>
              <w:ind w:left="103" w:right="0"/>
              <w:jc w:val="left"/>
              <w:rPr>
                <w:rFonts w:ascii="Times New Roman" w:hAnsi="Times New Roman" w:cs="Times New Roman" w:eastAsia="Times New Roman" w:hint="default"/>
                <w:sz w:val="18"/>
                <w:szCs w:val="18"/>
              </w:rPr>
            </w:pPr>
            <w:r>
              <w:rPr>
                <w:rFonts w:ascii="Times New Roman"/>
                <w:sz w:val="18"/>
              </w:rPr>
              <w:t>[2016]1612</w:t>
            </w:r>
          </w:p>
          <w:p>
            <w:pPr>
              <w:pStyle w:val="TableParagraph"/>
              <w:spacing w:line="314" w:lineRule="auto" w:before="65"/>
              <w:ind w:left="103" w:right="113"/>
              <w:jc w:val="left"/>
              <w:rPr>
                <w:rFonts w:ascii="宋体" w:hAnsi="宋体" w:cs="宋体" w:eastAsia="宋体" w:hint="default"/>
                <w:sz w:val="18"/>
                <w:szCs w:val="18"/>
              </w:rPr>
            </w:pPr>
            <w:r>
              <w:rPr>
                <w:rFonts w:ascii="宋体" w:hAnsi="宋体" w:cs="宋体" w:eastAsia="宋体" w:hint="default"/>
                <w:sz w:val="18"/>
                <w:szCs w:val="18"/>
              </w:rPr>
              <w:t>号）实施的 发行股份购 买资产（以 下简称“本 </w:t>
            </w:r>
            <w:r>
              <w:rPr>
                <w:rFonts w:ascii="宋体" w:hAnsi="宋体" w:cs="宋体" w:eastAsia="宋体" w:hint="default"/>
                <w:spacing w:val="-42"/>
                <w:sz w:val="18"/>
                <w:szCs w:val="18"/>
              </w:rPr>
              <w:t>次发行”）而</w:t>
            </w:r>
            <w:r>
              <w:rPr>
                <w:rFonts w:ascii="宋体" w:hAnsi="宋体" w:cs="宋体" w:eastAsia="宋体" w:hint="default"/>
                <w:spacing w:val="-81"/>
                <w:sz w:val="18"/>
                <w:szCs w:val="18"/>
              </w:rPr>
              <w:t> </w:t>
            </w:r>
            <w:r>
              <w:rPr>
                <w:rFonts w:ascii="宋体" w:hAnsi="宋体" w:cs="宋体" w:eastAsia="宋体" w:hint="default"/>
                <w:sz w:val="18"/>
                <w:szCs w:val="18"/>
              </w:rPr>
              <w:t>取得的文化</w:t>
            </w:r>
            <w:r>
              <w:rPr>
                <w:rFonts w:ascii="宋体" w:hAnsi="宋体" w:cs="宋体" w:eastAsia="宋体" w:hint="default"/>
                <w:sz w:val="18"/>
                <w:szCs w:val="18"/>
              </w:rPr>
              <w:t> 长城的股份 在本次发行 完成时全部 锁定，其中 </w:t>
            </w:r>
            <w:r>
              <w:rPr>
                <w:rFonts w:ascii="Times New Roman" w:hAnsi="Times New Roman" w:cs="Times New Roman" w:eastAsia="Times New Roman" w:hint="default"/>
                <w:sz w:val="18"/>
                <w:szCs w:val="18"/>
              </w:rPr>
              <w:t>27%</w:t>
            </w:r>
            <w:r>
              <w:rPr>
                <w:rFonts w:ascii="宋体" w:hAnsi="宋体" w:cs="宋体" w:eastAsia="宋体" w:hint="default"/>
                <w:sz w:val="18"/>
                <w:szCs w:val="18"/>
              </w:rPr>
              <w:t>的股 份，自上市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个月内不得 转让；剩余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6"/>
              <w:ind w:left="103" w:right="107"/>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9" w:lineRule="auto"/>
              <w:ind w:left="103" w:right="272"/>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97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73%</w:t>
            </w:r>
            <w:r>
              <w:rPr>
                <w:rFonts w:ascii="宋体" w:hAnsi="宋体" w:cs="宋体" w:eastAsia="宋体" w:hint="default"/>
                <w:sz w:val="18"/>
                <w:szCs w:val="18"/>
              </w:rPr>
              <w:t>的股</w:t>
            </w:r>
            <w:r>
              <w:rPr>
                <w:rFonts w:ascii="宋体" w:hAnsi="宋体" w:cs="宋体" w:eastAsia="宋体" w:hint="default"/>
                <w:w w:val="99"/>
                <w:sz w:val="18"/>
                <w:szCs w:val="18"/>
              </w:rPr>
              <w:t> </w:t>
            </w:r>
            <w:r>
              <w:rPr>
                <w:rFonts w:ascii="宋体" w:hAnsi="宋体" w:cs="宋体" w:eastAsia="宋体" w:hint="default"/>
                <w:sz w:val="18"/>
                <w:szCs w:val="18"/>
              </w:rPr>
              <w:t>份，在本次</w:t>
            </w:r>
            <w:r>
              <w:rPr>
                <w:rFonts w:ascii="宋体" w:hAnsi="宋体" w:cs="宋体" w:eastAsia="宋体" w:hint="default"/>
                <w:w w:val="99"/>
                <w:sz w:val="18"/>
                <w:szCs w:val="18"/>
              </w:rPr>
              <w:t> </w:t>
            </w:r>
            <w:r>
              <w:rPr>
                <w:rFonts w:ascii="宋体" w:hAnsi="宋体" w:cs="宋体" w:eastAsia="宋体" w:hint="default"/>
                <w:sz w:val="18"/>
                <w:szCs w:val="18"/>
              </w:rPr>
              <w:t>发行完成之</w:t>
            </w:r>
            <w:r>
              <w:rPr>
                <w:rFonts w:ascii="宋体" w:hAnsi="宋体" w:cs="宋体" w:eastAsia="宋体" w:hint="default"/>
                <w:w w:val="99"/>
                <w:sz w:val="18"/>
                <w:szCs w:val="18"/>
              </w:rPr>
              <w:t> </w:t>
            </w:r>
            <w:r>
              <w:rPr>
                <w:rFonts w:ascii="宋体" w:hAnsi="宋体" w:cs="宋体" w:eastAsia="宋体" w:hint="default"/>
                <w:sz w:val="18"/>
                <w:szCs w:val="18"/>
              </w:rPr>
              <w:t>日起锁定</w:t>
            </w:r>
          </w:p>
          <w:p>
            <w:pPr>
              <w:pStyle w:val="TableParagraph"/>
              <w:spacing w:line="309" w:lineRule="auto" w:before="23"/>
              <w:ind w:left="103"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个月，在</w:t>
            </w:r>
            <w:r>
              <w:rPr>
                <w:rFonts w:ascii="宋体" w:hAnsi="宋体" w:cs="宋体" w:eastAsia="宋体" w:hint="default"/>
                <w:sz w:val="18"/>
                <w:szCs w:val="18"/>
              </w:rPr>
              <w:t> 业绩补偿履 行完毕后</w:t>
            </w:r>
          </w:p>
          <w:p>
            <w:pPr>
              <w:pStyle w:val="TableParagraph"/>
              <w:spacing w:line="319" w:lineRule="auto" w:before="24"/>
              <w:ind w:left="103" w:right="102"/>
              <w:jc w:val="left"/>
              <w:rPr>
                <w:rFonts w:ascii="宋体" w:hAnsi="宋体" w:cs="宋体" w:eastAsia="宋体" w:hint="default"/>
                <w:sz w:val="18"/>
                <w:szCs w:val="18"/>
              </w:rPr>
            </w:pPr>
            <w:r>
              <w:rPr>
                <w:rFonts w:ascii="宋体" w:hAnsi="宋体" w:cs="宋体" w:eastAsia="宋体" w:hint="default"/>
                <w:spacing w:val="-29"/>
                <w:sz w:val="18"/>
                <w:szCs w:val="18"/>
              </w:rPr>
              <w:t>（如需），除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需用于股份 补偿的，其 余给予解除 锁定。本人 承诺在锁定 期内不以任 何形式转让 本次重组将 获得的文化 长城的股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103" w:right="111"/>
              <w:jc w:val="both"/>
              <w:rPr>
                <w:rFonts w:ascii="宋体" w:hAnsi="宋体" w:cs="宋体" w:eastAsia="宋体" w:hint="default"/>
                <w:sz w:val="18"/>
                <w:szCs w:val="18"/>
              </w:rPr>
            </w:pPr>
            <w:r>
              <w:rPr>
                <w:rFonts w:ascii="宋体" w:hAnsi="宋体" w:cs="宋体" w:eastAsia="宋体" w:hint="default"/>
                <w:sz w:val="18"/>
                <w:szCs w:val="18"/>
              </w:rPr>
              <w:t>广州商融投 资咨询有限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本企业因广 东文化长城 集团股份有 限公司（下 称“文化长 </w:t>
            </w:r>
            <w:r>
              <w:rPr>
                <w:rFonts w:ascii="宋体" w:hAnsi="宋体" w:cs="宋体" w:eastAsia="宋体" w:hint="default"/>
                <w:spacing w:val="-29"/>
                <w:sz w:val="18"/>
                <w:szCs w:val="18"/>
              </w:rPr>
              <w:t>城”）根据中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国证券监督 管理委员会</w:t>
            </w:r>
          </w:p>
          <w:p>
            <w:pPr>
              <w:pStyle w:val="TableParagraph"/>
              <w:spacing w:line="316" w:lineRule="auto" w:before="19"/>
              <w:ind w:left="103" w:right="102"/>
              <w:jc w:val="both"/>
              <w:rPr>
                <w:rFonts w:ascii="宋体" w:hAnsi="宋体" w:cs="宋体" w:eastAsia="宋体" w:hint="default"/>
                <w:sz w:val="18"/>
                <w:szCs w:val="18"/>
              </w:rPr>
            </w:pPr>
            <w:r>
              <w:rPr>
                <w:rFonts w:ascii="宋体" w:hAnsi="宋体" w:cs="宋体" w:eastAsia="宋体" w:hint="default"/>
                <w:sz w:val="18"/>
                <w:szCs w:val="18"/>
              </w:rPr>
              <w:t>《关于核准 广东文化长 城集团股份 有限公司向 许高镭等发 行股份购买 资产并募集 配套资金的 </w:t>
            </w:r>
            <w:r>
              <w:rPr>
                <w:rFonts w:ascii="宋体" w:hAnsi="宋体" w:cs="宋体" w:eastAsia="宋体" w:hint="default"/>
                <w:spacing w:val="-29"/>
                <w:sz w:val="18"/>
                <w:szCs w:val="18"/>
              </w:rPr>
              <w:t>批复》（证监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许可</w:t>
            </w:r>
          </w:p>
          <w:p>
            <w:pPr>
              <w:pStyle w:val="TableParagraph"/>
              <w:spacing w:line="240" w:lineRule="auto" w:before="58"/>
              <w:ind w:left="103" w:right="0"/>
              <w:jc w:val="both"/>
              <w:rPr>
                <w:rFonts w:ascii="Times New Roman" w:hAnsi="Times New Roman" w:cs="Times New Roman" w:eastAsia="Times New Roman" w:hint="default"/>
                <w:sz w:val="18"/>
                <w:szCs w:val="18"/>
              </w:rPr>
            </w:pPr>
            <w:r>
              <w:rPr>
                <w:rFonts w:ascii="Times New Roman"/>
                <w:sz w:val="18"/>
              </w:rPr>
              <w:t>[2016]1612</w:t>
            </w:r>
          </w:p>
          <w:p>
            <w:pPr>
              <w:pStyle w:val="TableParagraph"/>
              <w:spacing w:line="316" w:lineRule="auto" w:before="65"/>
              <w:ind w:left="103" w:right="113"/>
              <w:jc w:val="left"/>
              <w:rPr>
                <w:rFonts w:ascii="宋体" w:hAnsi="宋体" w:cs="宋体" w:eastAsia="宋体" w:hint="default"/>
                <w:sz w:val="18"/>
                <w:szCs w:val="18"/>
              </w:rPr>
            </w:pPr>
            <w:r>
              <w:rPr>
                <w:rFonts w:ascii="宋体" w:hAnsi="宋体" w:cs="宋体" w:eastAsia="宋体" w:hint="default"/>
                <w:sz w:val="18"/>
                <w:szCs w:val="18"/>
              </w:rPr>
              <w:t>号）实施的 发行股份购 买资产（以 下简称“本 </w:t>
            </w:r>
            <w:r>
              <w:rPr>
                <w:rFonts w:ascii="宋体" w:hAnsi="宋体" w:cs="宋体" w:eastAsia="宋体" w:hint="default"/>
                <w:spacing w:val="-42"/>
                <w:sz w:val="18"/>
                <w:szCs w:val="18"/>
              </w:rPr>
              <w:t>次发行”）而</w:t>
            </w:r>
            <w:r>
              <w:rPr>
                <w:rFonts w:ascii="宋体" w:hAnsi="宋体" w:cs="宋体" w:eastAsia="宋体" w:hint="default"/>
                <w:spacing w:val="-81"/>
                <w:sz w:val="18"/>
                <w:szCs w:val="18"/>
              </w:rPr>
              <w:t> </w:t>
            </w:r>
            <w:r>
              <w:rPr>
                <w:rFonts w:ascii="宋体" w:hAnsi="宋体" w:cs="宋体" w:eastAsia="宋体" w:hint="default"/>
                <w:sz w:val="18"/>
                <w:szCs w:val="18"/>
              </w:rPr>
              <w:t>取得的文化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103" w:right="107"/>
              <w:jc w:val="both"/>
              <w:rPr>
                <w:rFonts w:ascii="宋体" w:hAnsi="宋体" w:cs="宋体" w:eastAsia="宋体" w:hint="default"/>
                <w:sz w:val="18"/>
                <w:szCs w:val="18"/>
              </w:rPr>
            </w:pPr>
            <w:r>
              <w:rPr>
                <w:rFonts w:ascii="宋体" w:hAnsi="宋体" w:cs="宋体" w:eastAsia="宋体" w:hint="default"/>
                <w:sz w:val="18"/>
                <w:szCs w:val="18"/>
              </w:rPr>
              <w:t>作出承诺时 至承诺履行 完毕</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6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长城的股份 在本次发行 完成时全部 锁定，并在 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不得转让， 在业绩补偿 履行完毕后</w:t>
            </w:r>
          </w:p>
          <w:p>
            <w:pPr>
              <w:pStyle w:val="TableParagraph"/>
              <w:spacing w:line="319" w:lineRule="auto" w:before="19"/>
              <w:ind w:left="103" w:right="102"/>
              <w:jc w:val="both"/>
              <w:rPr>
                <w:rFonts w:ascii="宋体" w:hAnsi="宋体" w:cs="宋体" w:eastAsia="宋体" w:hint="default"/>
                <w:sz w:val="18"/>
                <w:szCs w:val="18"/>
              </w:rPr>
            </w:pPr>
            <w:r>
              <w:rPr>
                <w:rFonts w:ascii="宋体" w:hAnsi="宋体" w:cs="宋体" w:eastAsia="宋体" w:hint="default"/>
                <w:spacing w:val="-29"/>
                <w:sz w:val="18"/>
                <w:szCs w:val="18"/>
              </w:rPr>
              <w:t>（如需），除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需用于股份 补偿的，其 余给予解除 锁定。本企 业承诺在限 定期限内不 以任何形式 转让本次重 组将获得的 文化长城的 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26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3" w:right="20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103" w:right="111"/>
              <w:jc w:val="both"/>
              <w:rPr>
                <w:rFonts w:ascii="宋体" w:hAnsi="宋体" w:cs="宋体" w:eastAsia="宋体" w:hint="default"/>
                <w:sz w:val="18"/>
                <w:szCs w:val="18"/>
              </w:rPr>
            </w:pPr>
            <w:r>
              <w:rPr>
                <w:rFonts w:ascii="宋体" w:hAnsi="宋体" w:cs="宋体" w:eastAsia="宋体" w:hint="default"/>
                <w:sz w:val="18"/>
                <w:szCs w:val="18"/>
              </w:rPr>
              <w:t>公司实际控 制人，同时 作为公司董 事、高管的 蔡廷祥、吴 淡珠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在本人任职 期间，每年 转让的股份 不超过本人 持有股份总 数的百分之 二十五，且 在离职后半 年内，不转 让本人所持 有的股份； 在申报离职 六个月后的 十二个月内 通过证券交 易所挂牌交 易出售公司 股票的数量 占本人所持 有公司股票 总数的比例 不超过百分 之五十。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03" w:right="272"/>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2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9" w:lineRule="auto"/>
              <w:ind w:left="103" w:right="111"/>
              <w:jc w:val="both"/>
              <w:rPr>
                <w:rFonts w:ascii="宋体" w:hAnsi="宋体" w:cs="宋体" w:eastAsia="宋体" w:hint="default"/>
                <w:sz w:val="18"/>
                <w:szCs w:val="18"/>
              </w:rPr>
            </w:pPr>
            <w:r>
              <w:rPr>
                <w:rFonts w:ascii="宋体" w:hAnsi="宋体" w:cs="宋体" w:eastAsia="宋体" w:hint="default"/>
                <w:sz w:val="18"/>
                <w:szCs w:val="18"/>
              </w:rPr>
              <w:t>公司副总经 理兼董事、 董秘任锋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在本人任职 期间，每年 转让的股份 不超过本人 持有股份总 数的百分之 二十五，且 在离职后半 年内，不转 让本人所持 有的股份； 在申报离职 六个月后的 十二个月内 通过证券交 易所挂牌交 易出售公司 股票的数量 占本人所持 有公司股票 总数的比例 不超过百分 之五十。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660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3" w:right="111"/>
              <w:jc w:val="both"/>
              <w:rPr>
                <w:rFonts w:ascii="宋体" w:hAnsi="宋体" w:cs="宋体" w:eastAsia="宋体" w:hint="default"/>
                <w:sz w:val="18"/>
                <w:szCs w:val="18"/>
              </w:rPr>
            </w:pPr>
            <w:r>
              <w:rPr>
                <w:rFonts w:ascii="宋体" w:hAnsi="宋体" w:cs="宋体" w:eastAsia="宋体" w:hint="default"/>
                <w:sz w:val="18"/>
                <w:szCs w:val="18"/>
              </w:rPr>
              <w:t>公司控股股 东、实际控 制人蔡廷祥 及其配偶吴 淡珠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
              <w:jc w:val="left"/>
              <w:rPr>
                <w:rFonts w:ascii="宋体" w:hAnsi="宋体" w:cs="宋体" w:eastAsia="宋体" w:hint="default"/>
                <w:sz w:val="18"/>
                <w:szCs w:val="18"/>
              </w:rPr>
            </w:pPr>
            <w:r>
              <w:rPr>
                <w:rFonts w:ascii="宋体" w:hAnsi="宋体" w:cs="宋体" w:eastAsia="宋体" w:hint="default"/>
                <w:sz w:val="18"/>
                <w:szCs w:val="18"/>
              </w:rPr>
              <w:t>《避免和消 除同业竞争 </w:t>
            </w:r>
            <w:r>
              <w:rPr>
                <w:rFonts w:ascii="宋体" w:hAnsi="宋体" w:cs="宋体" w:eastAsia="宋体" w:hint="default"/>
                <w:spacing w:val="-15"/>
                <w:sz w:val="18"/>
                <w:szCs w:val="18"/>
              </w:rPr>
              <w:t>的承诺函》，</w:t>
            </w:r>
            <w:r>
              <w:rPr>
                <w:rFonts w:ascii="宋体" w:hAnsi="宋体" w:cs="宋体" w:eastAsia="宋体" w:hint="default"/>
                <w:sz w:val="18"/>
                <w:szCs w:val="18"/>
              </w:rPr>
              <w:t> 具体内容 为：第一条 在本人作为 广东长城集 团股份有限 公司的控股 股东或者实 际控制人期 间或者持有 广东长城集 团股份有限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上股份期 间，本人不 在任何地域 以任何形 式，从事法 律、法规和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4" w:lineRule="auto"/>
              <w:ind w:left="103" w:right="107"/>
              <w:jc w:val="left"/>
              <w:rPr>
                <w:rFonts w:ascii="宋体" w:hAnsi="宋体" w:cs="宋体" w:eastAsia="宋体" w:hint="default"/>
                <w:sz w:val="18"/>
                <w:szCs w:val="18"/>
              </w:rPr>
            </w:pPr>
            <w:r>
              <w:rPr>
                <w:rFonts w:ascii="宋体" w:hAnsi="宋体" w:cs="宋体" w:eastAsia="宋体" w:hint="default"/>
                <w:sz w:val="18"/>
                <w:szCs w:val="18"/>
              </w:rPr>
              <w:t>作为公司控 股股东或实 际控制人， 或持有公司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份期间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6"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中国证券监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督管理委员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会规章所规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定的可能与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广东长城集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团股份有限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公司构成同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业竞争的活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动。本人今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后如果不再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是广东长城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集团股份有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限公司的控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股股东或实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本人自该控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股或实际控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制关系解除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之日起五年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内，仍必须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信守前款的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承诺。第二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条  本人从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第三方获得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的商业机会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如果属于广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东长城集团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司主营业务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范围之内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的，则本人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将及时告知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广东长城集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团股份有限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公司，并尽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可能地协助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广东长城集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团股份有限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公司取得该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商业机会。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第三条  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人不以任何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方式从事任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何可能影响</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广东长城集</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团股份有限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公司经营和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发展的业务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或活动，包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括：</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现有的社会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资源和客户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资源阻碍或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者限制广东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长城集团股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的独立发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展</w:t>
            </w:r>
            <w:r>
              <w:rPr>
                <w:rFonts w:ascii="宋体" w:hAnsi="宋体" w:cs="宋体" w:eastAsia="宋体" w:hint="default"/>
                <w:spacing w:val="-86"/>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6"/>
                <w:sz w:val="18"/>
                <w:szCs w:val="18"/>
              </w:rPr>
              <w:t>、</w:t>
            </w:r>
            <w:r>
              <w:rPr>
                <w:rFonts w:ascii="宋体" w:hAnsi="宋体" w:cs="宋体" w:eastAsia="宋体" w:hint="default"/>
                <w:sz w:val="18"/>
                <w:szCs w:val="18"/>
              </w:rPr>
              <w:t>捏造、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散布不利于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广东长城集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团股份有限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息，损害广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东长城集团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司的商誉。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81"/>
                <w:sz w:val="18"/>
                <w:szCs w:val="18"/>
              </w:rPr>
              <w:t>、</w:t>
            </w:r>
            <w:r>
              <w:rPr>
                <w:rFonts w:ascii="宋体" w:hAnsi="宋体" w:cs="宋体" w:eastAsia="宋体" w:hint="default"/>
                <w:sz w:val="18"/>
                <w:szCs w:val="18"/>
              </w:rPr>
              <w:t>利用对广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东长城集团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司的控制地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位施加不良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影响，造成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广东长城集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团股份有限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理人员、研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发人员、技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术人员等核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心人员的异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常变动；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从广东长城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集团股份有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限公司招聘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专业技术人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员，销售人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理人员。第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四条  本人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7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将督促本人 的配偶、成 年子女及其 配偶，子女 配偶的父 母，本人的 兄弟姐妹及 其配偶、本 人配偶的兄 弟姐妹及其 配偶，以及 本人投资的 企业，同受 本承诺函的 约束。</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103" w:right="11"/>
              <w:jc w:val="left"/>
              <w:rPr>
                <w:rFonts w:ascii="宋体" w:hAnsi="宋体" w:cs="宋体" w:eastAsia="宋体" w:hint="default"/>
                <w:sz w:val="18"/>
                <w:szCs w:val="18"/>
              </w:rPr>
            </w:pPr>
            <w:r>
              <w:rPr>
                <w:rFonts w:ascii="宋体" w:hAnsi="宋体" w:cs="宋体" w:eastAsia="宋体" w:hint="default"/>
                <w:sz w:val="18"/>
                <w:szCs w:val="18"/>
              </w:rPr>
              <w:t>公司各发起 人蔡廷祥、 吴淡珠、任 </w:t>
            </w:r>
            <w:r>
              <w:rPr>
                <w:rFonts w:ascii="宋体" w:hAnsi="宋体" w:cs="宋体" w:eastAsia="宋体" w:hint="default"/>
                <w:spacing w:val="-14"/>
                <w:sz w:val="18"/>
                <w:szCs w:val="18"/>
              </w:rPr>
              <w:t>锋、陈素芳、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陈得光、柯 少玲、陈锦 贤、肖少强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由于公司整 体变更股份 公司时，相 关法律对整 体变更股份 公司涉及的 个人所得税 的缴纳尚没 有明确的规 定，公司暂 未代本人扣 缴相关税 款。如果今 后国家有关 税务主管部 门就上述事 项要求本人 补交税款或 承担法律责 任，本人愿 意按照有关 部门的要求 自行补缴税 款或承担相 应的法律责 任。如有关 部门要求公 司承担法律 责任，本人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85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愿意按发起 设立股份公 司时的持股 比例承担相 应法律责任 并对公司因 此受到的损 失给予补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9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103" w:right="111"/>
              <w:jc w:val="left"/>
              <w:rPr>
                <w:rFonts w:ascii="宋体" w:hAnsi="宋体" w:cs="宋体" w:eastAsia="宋体" w:hint="default"/>
                <w:sz w:val="18"/>
                <w:szCs w:val="18"/>
              </w:rPr>
            </w:pPr>
            <w:r>
              <w:rPr>
                <w:rFonts w:ascii="宋体" w:hAnsi="宋体" w:cs="宋体" w:eastAsia="宋体" w:hint="default"/>
                <w:sz w:val="18"/>
                <w:szCs w:val="18"/>
              </w:rPr>
              <w:t>公司实际控 制人蔡廷祥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公司已按规 定向主管税 务机关申报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应交企业所 得税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435.19</w:t>
            </w:r>
          </w:p>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万元，截至</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300" w:lineRule="auto" w:before="63"/>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日，公司</w:t>
            </w:r>
            <w:r>
              <w:rPr>
                <w:rFonts w:ascii="宋体" w:hAnsi="宋体" w:cs="宋体" w:eastAsia="宋体" w:hint="default"/>
                <w:sz w:val="18"/>
                <w:szCs w:val="18"/>
              </w:rPr>
              <w:t> 已上缴</w:t>
            </w:r>
          </w:p>
          <w:p>
            <w:pPr>
              <w:pStyle w:val="TableParagraph"/>
              <w:spacing w:line="309" w:lineRule="auto" w:before="3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企业所得税 款</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127.95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元，并于</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314" w:lineRule="auto" w:before="63"/>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日向主 管税务机关 潮州市地方 税务局枫溪 税务分局申 请缓交</w:t>
            </w:r>
          </w:p>
          <w:p>
            <w:pPr>
              <w:pStyle w:val="TableParagraph"/>
              <w:spacing w:line="309" w:lineRule="auto" w:before="20"/>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企业所得税 款</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307.24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w:t>
            </w:r>
          </w:p>
          <w:p>
            <w:pPr>
              <w:pStyle w:val="TableParagraph"/>
              <w:spacing w:line="316" w:lineRule="auto" w:before="5"/>
              <w:ind w:left="103"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元，公司承 诺在一年内 缴纳，缓交 申请业经潮 州市地方税 务局枫溪税 务分局批复 同意。公司 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p>
          <w:p>
            <w:pPr>
              <w:pStyle w:val="TableParagraph"/>
              <w:spacing w:line="300" w:lineRule="auto"/>
              <w:ind w:left="103" w:right="11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月清缴 上述缓交税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60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款，主管税 务机关没有 就上述缓交 行为要求公 司交纳滞纳 金或承担法 律责任。如 果今后国家 有关税务主 管机关就上 述事项要求 公司补交纳 滞纳金或承 担法律责 任，本人愿 意按照有关 税务主管部 门的要求承 担滞纳金或 相应的法律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103" w:right="111"/>
              <w:jc w:val="both"/>
              <w:rPr>
                <w:rFonts w:ascii="宋体" w:hAnsi="宋体" w:cs="宋体" w:eastAsia="宋体" w:hint="default"/>
                <w:sz w:val="18"/>
                <w:szCs w:val="18"/>
              </w:rPr>
            </w:pPr>
            <w:r>
              <w:rPr>
                <w:rFonts w:ascii="宋体" w:hAnsi="宋体" w:cs="宋体" w:eastAsia="宋体" w:hint="default"/>
                <w:sz w:val="18"/>
                <w:szCs w:val="18"/>
              </w:rPr>
              <w:t>公司实际控 制人蔡廷祥 及其配偶吴 淡珠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公司分别于</w:t>
            </w:r>
          </w:p>
          <w:p>
            <w:pPr>
              <w:pStyle w:val="TableParagraph"/>
              <w:spacing w:line="240" w:lineRule="auto" w:before="7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2" w:lineRule="auto" w:before="63"/>
              <w:ind w:left="103" w:right="11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 协议出让方 式取得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宗 国有土地使 用权，面积 合计</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44,718.35</w:t>
            </w:r>
          </w:p>
          <w:p>
            <w:pPr>
              <w:pStyle w:val="TableParagraph"/>
              <w:spacing w:line="316" w:lineRule="auto" w:before="65"/>
              <w:ind w:left="103" w:right="113"/>
              <w:jc w:val="both"/>
              <w:rPr>
                <w:rFonts w:ascii="宋体" w:hAnsi="宋体" w:cs="宋体" w:eastAsia="宋体" w:hint="default"/>
                <w:sz w:val="18"/>
                <w:szCs w:val="18"/>
              </w:rPr>
            </w:pPr>
            <w:r>
              <w:rPr>
                <w:rFonts w:ascii="宋体" w:hAnsi="宋体" w:cs="宋体" w:eastAsia="宋体" w:hint="default"/>
                <w:sz w:val="18"/>
                <w:szCs w:val="18"/>
              </w:rPr>
              <w:t>平方米。该 等国有土地 使用权均已 办理土地使 用证。如公 司在上述协 议出让国有 土地使用权 过程中因违 反相关法律 法规导致公 司需要补交</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1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相关费用或 承担相关损 失的，其承 诺承担全部 费用或损 失，并保证 公司的利益 不因上述事 项遭受任何 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公司实际控 制人蔡廷祥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如公司因发 行股票并上 市之前发生 的未能依法 缴交社会保 险费及住房 公积金事由 而需要补缴 费用、赔偿 损失或缴交 行政罚款 的，本人愿 意全额补偿 股份公司因 此承担的全 部费用。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103" w:right="111"/>
              <w:jc w:val="left"/>
              <w:rPr>
                <w:rFonts w:ascii="宋体" w:hAnsi="宋体" w:cs="宋体" w:eastAsia="宋体" w:hint="default"/>
                <w:sz w:val="18"/>
                <w:szCs w:val="18"/>
              </w:rPr>
            </w:pPr>
            <w:r>
              <w:rPr>
                <w:rFonts w:ascii="宋体" w:hAnsi="宋体" w:cs="宋体" w:eastAsia="宋体" w:hint="default"/>
                <w:sz w:val="18"/>
                <w:szCs w:val="18"/>
              </w:rPr>
              <w:t>公司实际控 制人蔡廷祥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如果发生由 于广关部门 颁布的东省 有关文件和 国家有相关 规定存在差 异，导致国 家有关税务 主管部门认 定股份公司 在以前年度 享受</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所 得税率条件 不成立，且 需按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的 所得税率补 交以前年度 所得税差额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23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的情况，本 人愿意承担 股份公司因 此需要补缴 的所得税款 及相关费 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103" w:right="111"/>
              <w:jc w:val="left"/>
              <w:rPr>
                <w:rFonts w:ascii="宋体" w:hAnsi="宋体" w:cs="宋体" w:eastAsia="宋体" w:hint="default"/>
                <w:sz w:val="18"/>
                <w:szCs w:val="18"/>
              </w:rPr>
            </w:pPr>
            <w:r>
              <w:rPr>
                <w:rFonts w:ascii="宋体" w:hAnsi="宋体" w:cs="宋体" w:eastAsia="宋体" w:hint="default"/>
                <w:sz w:val="18"/>
                <w:szCs w:val="18"/>
              </w:rPr>
              <w:t>公司实际控 制人蔡廷祥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103" w:right="11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从公司股票 复牌后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个月内，在 法律法规允 许的条件 下，通过证 券公司、基 金管理公司 定向资产管 理或二级市 场买入等方 式购买本公 司股票，累 计增持金额 不低于</w:t>
            </w:r>
          </w:p>
          <w:p>
            <w:pPr>
              <w:pStyle w:val="TableParagraph"/>
              <w:spacing w:line="300" w:lineRule="auto" w:before="19"/>
              <w:ind w:left="10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增持完毕后</w:t>
            </w:r>
          </w:p>
          <w:p>
            <w:pPr>
              <w:pStyle w:val="TableParagraph"/>
              <w:spacing w:line="314" w:lineRule="auto" w:before="31"/>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减持通过上 述方式增持 的公司股 票，增持所 需资金由本 人自筹取 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09" w:lineRule="auto"/>
              <w:ind w:left="103" w:right="107"/>
              <w:jc w:val="left"/>
              <w:rPr>
                <w:rFonts w:ascii="宋体" w:hAnsi="宋体" w:cs="宋体" w:eastAsia="宋体" w:hint="default"/>
                <w:sz w:val="18"/>
                <w:szCs w:val="18"/>
              </w:rPr>
            </w:pPr>
            <w:r>
              <w:rPr>
                <w:rFonts w:ascii="宋体" w:hAnsi="宋体" w:cs="宋体" w:eastAsia="宋体" w:hint="default"/>
                <w:sz w:val="18"/>
                <w:szCs w:val="18"/>
              </w:rPr>
              <w:t>自股票复牌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103" w:right="272"/>
              <w:jc w:val="left"/>
              <w:rPr>
                <w:rFonts w:ascii="宋体" w:hAnsi="宋体" w:cs="宋体" w:eastAsia="宋体" w:hint="default"/>
                <w:sz w:val="18"/>
                <w:szCs w:val="18"/>
              </w:rPr>
            </w:pPr>
            <w:r>
              <w:rPr>
                <w:rFonts w:ascii="宋体" w:hAnsi="宋体" w:cs="宋体" w:eastAsia="宋体" w:hint="default"/>
                <w:sz w:val="18"/>
                <w:szCs w:val="18"/>
              </w:rPr>
              <w:t>客观原因 无法履行</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如承诺超期未履行完毕的，应当详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细说明未完成履行的具体原因及 下一步的工作计划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39"/>
              <w:jc w:val="left"/>
              <w:rPr>
                <w:rFonts w:ascii="宋体" w:hAnsi="宋体" w:cs="宋体" w:eastAsia="宋体" w:hint="default"/>
                <w:sz w:val="18"/>
                <w:szCs w:val="18"/>
              </w:rPr>
            </w:pPr>
            <w:r>
              <w:rPr>
                <w:rFonts w:ascii="宋体" w:hAnsi="宋体" w:cs="宋体" w:eastAsia="宋体" w:hint="default"/>
                <w:sz w:val="18"/>
                <w:szCs w:val="18"/>
              </w:rPr>
              <w:t>由于报告期内公司实际控制人因客观原因不便实施股份增持计划。公司实际控制人 有增持股份意愿，接下来，在法律法规允许的条件下，将进行股份增持。</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三、控股股东及其关联方对上市公司的非经营性占用资金情况" w:id="65"/>
      <w:bookmarkEnd w:id="65"/>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992"/>
        <w:jc w:val="left"/>
      </w:pPr>
      <w:r>
        <w:rPr/>
        <w:t>□ 适用 √ 不适用 公司报告期不存在控股股东及其关联方对上市公司的非经营性占用资金。</w:t>
      </w:r>
    </w:p>
    <w:p>
      <w:pPr>
        <w:spacing w:line="240" w:lineRule="auto" w:before="5"/>
        <w:rPr>
          <w:rFonts w:ascii="宋体" w:hAnsi="宋体" w:cs="宋体" w:eastAsia="宋体" w:hint="default"/>
          <w:sz w:val="18"/>
          <w:szCs w:val="18"/>
        </w:rPr>
      </w:pPr>
    </w:p>
    <w:p>
      <w:pPr>
        <w:pStyle w:val="Heading2"/>
        <w:spacing w:line="240" w:lineRule="auto"/>
        <w:ind w:left="1133" w:right="0"/>
        <w:jc w:val="left"/>
        <w:rPr>
          <w:b w:val="0"/>
          <w:bCs w:val="0"/>
        </w:rPr>
      </w:pPr>
      <w:bookmarkStart w:name="四、董事会对最近一期“非标准审计报告”相关情况的说明" w:id="66"/>
      <w:bookmarkEnd w:id="66"/>
      <w:r>
        <w:rPr>
          <w:b w:val="0"/>
          <w:bCs w:val="0"/>
        </w:rPr>
      </w:r>
      <w:r>
        <w:rPr/>
        <w:t>四、董事会对最近一期“非标准审计报告”相关情况的说明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left="1133" w:right="1394"/>
        <w:jc w:val="left"/>
        <w:rPr>
          <w:b w:val="0"/>
          <w:bCs w:val="0"/>
        </w:rPr>
      </w:pPr>
      <w:bookmarkStart w:name="五、董事会、监事会、独立董事（如有）对会计师事务所本报告期“非标准审计报告”的说" w:id="67"/>
      <w:bookmarkEnd w:id="67"/>
      <w:r>
        <w:rPr>
          <w:b w:val="0"/>
          <w:bCs w:val="0"/>
        </w:rPr>
      </w:r>
      <w:r>
        <w:rPr>
          <w:w w:val="95"/>
        </w:rPr>
        <w:t>五、董事会、监事会、独立董事（如有）对会计师事务所本报告期“非标准审计报告”的说  </w:t>
      </w:r>
      <w:r>
        <w:rPr>
          <w:spacing w:val="111"/>
          <w:w w:val="95"/>
        </w:rPr>
        <w:t> </w:t>
      </w:r>
      <w:r>
        <w:rPr>
          <w:spacing w:val="111"/>
          <w:w w:val="95"/>
        </w:rPr>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董事会关于报告期会计政策、会计估计变更或重大会计差错更正的说明" w:id="68"/>
      <w:bookmarkEnd w:id="68"/>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439" w:lineRule="auto"/>
        <w:ind w:right="9222"/>
        <w:jc w:val="left"/>
      </w:pPr>
      <w:r>
        <w:rPr/>
        <w:t>√ 适用 □ 不适用 会计政策变更</w:t>
      </w:r>
    </w:p>
    <w:p>
      <w:pPr>
        <w:spacing w:line="4935" w:lineRule="exact"/>
        <w:ind w:left="1134"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5475010" cy="31337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5475010" cy="3133725"/>
                    </a:xfrm>
                    <a:prstGeom prst="rect">
                      <a:avLst/>
                    </a:prstGeom>
                  </pic:spPr>
                </pic:pic>
              </a:graphicData>
            </a:graphic>
          </wp:inline>
        </w:drawing>
      </w:r>
      <w:r>
        <w:rPr>
          <w:rFonts w:ascii="宋体" w:hAnsi="宋体" w:cs="宋体" w:eastAsia="宋体" w:hint="default"/>
          <w:position w:val="-98"/>
          <w:sz w:val="20"/>
          <w:szCs w:val="20"/>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BodyText"/>
        <w:spacing w:line="240" w:lineRule="auto"/>
        <w:ind w:right="0"/>
        <w:jc w:val="left"/>
      </w:pPr>
      <w:r>
        <w:rPr/>
        <w:t>根据财政部制定的《企业会计准则第</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1"/>
        </w:rPr>
        <w:t>号</w:t>
      </w:r>
      <w:r>
        <w:rPr/>
        <w:t>——政府补助</w:t>
      </w:r>
      <w:r>
        <w:rPr>
          <w:spacing w:val="-90"/>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w:t>
      </w:r>
      <w:r>
        <w:rPr>
          <w:spacing w:val="-90"/>
        </w:rPr>
        <w:t>）</w:t>
      </w:r>
      <w:r>
        <w:rPr/>
        <w:t>，公司对</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日存在的政府补助</w:t>
      </w:r>
    </w:p>
    <w:p>
      <w:pPr>
        <w:pStyle w:val="BodyText"/>
        <w:spacing w:line="319" w:lineRule="auto" w:before="64"/>
        <w:ind w:left="1133" w:right="1119"/>
        <w:jc w:val="left"/>
      </w:pPr>
      <w:r>
        <w:rPr/>
        <w:t>采用未来适用法处理，对</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日至本准则施行日之间新增的政府补助根据本准则进行调整。 </w:t>
      </w:r>
      <w:r>
        <w:rPr>
          <w:spacing w:val="-1"/>
        </w:rPr>
        <w:t>根据财政部制定的《企业会计准则第</w:t>
      </w:r>
      <w:r>
        <w:rPr>
          <w:spacing w:val="-36"/>
        </w:rPr>
        <w:t> </w:t>
      </w:r>
      <w:r>
        <w:rPr>
          <w:rFonts w:ascii="Times New Roman" w:hAnsi="Times New Roman" w:cs="Times New Roman" w:eastAsia="Times New Roman" w:hint="default"/>
        </w:rPr>
        <w:t>42</w:t>
      </w:r>
      <w:r>
        <w:rPr>
          <w:rFonts w:ascii="Times New Roman" w:hAnsi="Times New Roman" w:cs="Times New Roman" w:eastAsia="Times New Roman" w:hint="default"/>
          <w:spacing w:val="9"/>
        </w:rPr>
        <w:t> </w:t>
      </w:r>
      <w:r>
        <w:rPr>
          <w:spacing w:val="-4"/>
        </w:rPr>
        <w:t>号——持有待售的非流动资产、处置组和终止经营》（财会〔</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13</w:t>
      </w:r>
      <w:r>
        <w:rPr>
          <w:rFonts w:ascii="Times New Roman" w:hAnsi="Times New Roman" w:cs="Times New Roman" w:eastAsia="Times New Roman" w:hint="default"/>
          <w:spacing w:val="9"/>
        </w:rPr>
        <w:t> </w:t>
      </w:r>
      <w:r>
        <w:rPr>
          <w:spacing w:val="-16"/>
        </w:rPr>
        <w:t>号），该准则</w:t>
      </w:r>
      <w:r>
        <w:rPr>
          <w:spacing w:val="-88"/>
        </w:rPr>
        <w:t> </w:t>
      </w:r>
      <w:r>
        <w:rPr>
          <w:spacing w:val="-88"/>
        </w:rPr>
      </w:r>
      <w:r>
        <w:rPr/>
        <w:t>自</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28</w:t>
      </w:r>
      <w:r>
        <w:rPr>
          <w:rFonts w:ascii="Times New Roman" w:hAnsi="Times New Roman" w:cs="Times New Roman" w:eastAsia="Times New Roman" w:hint="default"/>
          <w:spacing w:val="-15"/>
        </w:rPr>
        <w:t> </w:t>
      </w:r>
      <w:r>
        <w:rPr/>
        <w:t>日起施行。对于该准则施行日存在的持有待售的非流动资产、处置组和终止经营，公司采用未来适用法处</w:t>
      </w:r>
    </w:p>
    <w:p>
      <w:pPr>
        <w:pStyle w:val="BodyText"/>
        <w:spacing w:line="234" w:lineRule="exact"/>
        <w:ind w:right="0"/>
        <w:jc w:val="left"/>
      </w:pPr>
      <w:r>
        <w:rPr/>
        <w:t>理。</w:t>
      </w:r>
    </w:p>
    <w:p>
      <w:pPr>
        <w:pStyle w:val="BodyText"/>
        <w:spacing w:line="300" w:lineRule="auto" w:before="115"/>
        <w:ind w:left="1133" w:right="0"/>
        <w:jc w:val="left"/>
      </w:pPr>
      <w:r>
        <w:rPr>
          <w:spacing w:val="-5"/>
        </w:rPr>
        <w:t>根据财政部发布的《关于修订印发一般企业财务报表格式的通知》（财会〔</w:t>
      </w:r>
      <w:r>
        <w:rPr>
          <w:rFonts w:ascii="Times New Roman" w:hAnsi="Times New Roman" w:cs="Times New Roman" w:eastAsia="Times New Roman" w:hint="default"/>
          <w:spacing w:val="-5"/>
        </w:rPr>
        <w:t>2017</w:t>
      </w:r>
      <w:r>
        <w:rPr>
          <w:spacing w:val="-5"/>
        </w:rPr>
        <w:t>〕</w:t>
      </w:r>
      <w:r>
        <w:rPr>
          <w:rFonts w:ascii="Times New Roman" w:hAnsi="Times New Roman" w:cs="Times New Roman" w:eastAsia="Times New Roman" w:hint="default"/>
          <w:spacing w:val="-5"/>
        </w:rPr>
        <w:t>30</w:t>
      </w:r>
      <w:r>
        <w:rPr>
          <w:rFonts w:ascii="Times New Roman" w:hAnsi="Times New Roman" w:cs="Times New Roman" w:eastAsia="Times New Roman" w:hint="default"/>
        </w:rPr>
        <w:t> </w:t>
      </w:r>
      <w:r>
        <w:rPr>
          <w:spacing w:val="-18"/>
        </w:rPr>
        <w:t>号），利润表新增“资产处置收益”、“其</w:t>
      </w:r>
      <w:r>
        <w:rPr>
          <w:spacing w:val="-80"/>
        </w:rPr>
        <w:t> </w:t>
      </w:r>
      <w:r>
        <w:rPr>
          <w:spacing w:val="-80"/>
        </w:rPr>
      </w:r>
      <w:r>
        <w:rPr>
          <w:spacing w:val="-9"/>
        </w:rPr>
        <w:t>他收益”、“持续经营利润”、“终止经营利润”。对于利润表新增的“资产处置收益”项目，公司按照《企业会计准则第</w:t>
      </w:r>
      <w:r>
        <w:rPr>
          <w:spacing w:val="-38"/>
        </w:rPr>
        <w:t> </w:t>
      </w:r>
      <w:r>
        <w:rPr>
          <w:rFonts w:ascii="Times New Roman" w:hAnsi="Times New Roman" w:cs="Times New Roman" w:eastAsia="Times New Roman" w:hint="default"/>
        </w:rPr>
        <w:t>30</w:t>
      </w:r>
      <w:r>
        <w:rPr>
          <w:rFonts w:ascii="Times New Roman" w:hAnsi="Times New Roman" w:cs="Times New Roman" w:eastAsia="Times New Roman" w:hint="default"/>
          <w:spacing w:val="-18"/>
        </w:rPr>
        <w:t> </w:t>
      </w:r>
      <w:r>
        <w:rPr/>
        <w:t>号——财务报表列报》等的相关规定，对可比期间的比较数据根据本通知进行调整。</w:t>
      </w:r>
    </w:p>
    <w:p>
      <w:pPr>
        <w:spacing w:after="0" w:line="300" w:lineRule="auto"/>
        <w:jc w:val="left"/>
        <w:sectPr>
          <w:pgSz w:w="11910" w:h="16840"/>
          <w:pgMar w:header="907" w:footer="1019" w:top="1100" w:bottom="1200" w:left="0" w:right="0"/>
        </w:sectPr>
      </w:pPr>
    </w:p>
    <w:p>
      <w:pPr>
        <w:spacing w:line="240" w:lineRule="auto" w:before="3"/>
        <w:rPr>
          <w:rFonts w:ascii="宋体" w:hAnsi="宋体" w:cs="宋体" w:eastAsia="宋体" w:hint="default"/>
          <w:sz w:val="23"/>
          <w:szCs w:val="23"/>
        </w:rPr>
      </w:pPr>
    </w:p>
    <w:p>
      <w:pPr>
        <w:pStyle w:val="BodyText"/>
        <w:spacing w:line="357" w:lineRule="auto" w:before="44"/>
        <w:ind w:right="7152"/>
        <w:jc w:val="left"/>
      </w:pPr>
      <w:bookmarkStart w:name="七、与上年度财务报告相比，合并报表范围发生变化的情况说明" w:id="69"/>
      <w:bookmarkEnd w:id="69"/>
      <w:r>
        <w:rPr/>
      </w:r>
      <w:r>
        <w:rPr/>
        <w:t>√ 适用 □ 不适用 报告期内有通过设立或投资方式取得的子公司</w:t>
      </w:r>
    </w:p>
    <w:p>
      <w:pPr>
        <w:spacing w:line="240" w:lineRule="auto" w:before="9"/>
        <w:rPr>
          <w:rFonts w:ascii="宋体" w:hAnsi="宋体" w:cs="宋体" w:eastAsia="宋体" w:hint="default"/>
          <w:sz w:val="4"/>
          <w:szCs w:val="4"/>
        </w:rPr>
      </w:pPr>
    </w:p>
    <w:p>
      <w:pPr>
        <w:spacing w:line="2100" w:lineRule="exact"/>
        <w:ind w:left="1134" w:right="0" w:firstLine="0"/>
        <w:rPr>
          <w:rFonts w:ascii="宋体" w:hAnsi="宋体" w:cs="宋体" w:eastAsia="宋体" w:hint="default"/>
          <w:sz w:val="20"/>
          <w:szCs w:val="20"/>
        </w:rPr>
      </w:pPr>
      <w:r>
        <w:rPr>
          <w:rFonts w:ascii="宋体" w:hAnsi="宋体" w:cs="宋体" w:eastAsia="宋体" w:hint="default"/>
          <w:position w:val="-41"/>
          <w:sz w:val="20"/>
          <w:szCs w:val="20"/>
        </w:rPr>
        <w:drawing>
          <wp:inline distT="0" distB="0" distL="0" distR="0">
            <wp:extent cx="5496560" cy="133350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5" cstate="print"/>
                    <a:stretch>
                      <a:fillRect/>
                    </a:stretch>
                  </pic:blipFill>
                  <pic:spPr>
                    <a:xfrm>
                      <a:off x="0" y="0"/>
                      <a:ext cx="5496560" cy="1333500"/>
                    </a:xfrm>
                    <a:prstGeom prst="rect">
                      <a:avLst/>
                    </a:prstGeom>
                  </pic:spPr>
                </pic:pic>
              </a:graphicData>
            </a:graphic>
          </wp:inline>
        </w:drawing>
      </w:r>
      <w:r>
        <w:rPr>
          <w:rFonts w:ascii="宋体" w:hAnsi="宋体" w:cs="宋体" w:eastAsia="宋体" w:hint="default"/>
          <w:position w:val="-41"/>
          <w:sz w:val="20"/>
          <w:szCs w:val="20"/>
        </w:rPr>
      </w:r>
    </w:p>
    <w:p>
      <w:pPr>
        <w:pStyle w:val="BodyText"/>
        <w:spacing w:line="319" w:lineRule="auto" w:before="92"/>
        <w:ind w:left="1133" w:right="1117"/>
        <w:jc w:val="left"/>
      </w:pPr>
      <w:r>
        <w:rPr/>
        <w:t>本期合并财</w:t>
      </w:r>
      <w:r>
        <w:rPr>
          <w:spacing w:val="1"/>
        </w:rPr>
        <w:t>务</w:t>
      </w:r>
      <w:r>
        <w:rPr/>
        <w:t>报表范围及</w:t>
      </w:r>
      <w:r>
        <w:rPr>
          <w:spacing w:val="1"/>
        </w:rPr>
        <w:t>其</w:t>
      </w:r>
      <w:r>
        <w:rPr/>
        <w:t>变化具体情</w:t>
      </w:r>
      <w:r>
        <w:rPr>
          <w:spacing w:val="1"/>
        </w:rPr>
        <w:t>况</w:t>
      </w:r>
      <w:r>
        <w:rPr/>
        <w:t>详见本报告</w:t>
      </w:r>
      <w:r>
        <w:rPr>
          <w:spacing w:val="1"/>
        </w:rPr>
        <w:t>第</w:t>
      </w:r>
      <w:r>
        <w:rPr/>
        <w:t>十一</w:t>
      </w:r>
      <w:r>
        <w:rPr>
          <w:spacing w:val="1"/>
        </w:rPr>
        <w:t>节</w:t>
      </w:r>
      <w:r>
        <w:rPr/>
        <w:t>“财</w:t>
      </w:r>
      <w:r>
        <w:rPr>
          <w:spacing w:val="1"/>
        </w:rPr>
        <w:t>务</w:t>
      </w:r>
      <w:r>
        <w:rPr/>
        <w:t>报</w:t>
      </w:r>
      <w:r>
        <w:rPr>
          <w:spacing w:val="-1"/>
        </w:rPr>
        <w:t>告</w:t>
      </w:r>
      <w:r>
        <w:rPr>
          <w:spacing w:val="-90"/>
        </w:rPr>
        <w:t>”</w:t>
      </w:r>
      <w:r>
        <w:rPr/>
        <w:t>，报表</w:t>
      </w:r>
      <w:r>
        <w:rPr>
          <w:spacing w:val="1"/>
        </w:rPr>
        <w:t>附</w:t>
      </w:r>
      <w:r>
        <w:rPr/>
        <w:t>注</w:t>
      </w:r>
      <w:r>
        <w:rPr>
          <w:spacing w:val="-1"/>
        </w:rPr>
        <w:t>“</w:t>
      </w:r>
      <w:r>
        <w:rPr/>
        <w:t>八、合</w:t>
      </w:r>
      <w:r>
        <w:rPr>
          <w:spacing w:val="1"/>
        </w:rPr>
        <w:t>并</w:t>
      </w:r>
      <w:r>
        <w:rPr/>
        <w:t>范围的变更</w:t>
      </w:r>
      <w:r>
        <w:rPr>
          <w:spacing w:val="1"/>
        </w:rPr>
        <w:t>”</w:t>
      </w:r>
      <w:r>
        <w:rPr>
          <w:spacing w:val="-1"/>
        </w:rPr>
        <w:t>和</w:t>
      </w:r>
      <w:r>
        <w:rPr/>
        <w:t>“九、在</w:t>
      </w:r>
      <w:r>
        <w:rPr/>
        <w:t> 其他主体中的权益</w:t>
      </w:r>
      <w:r>
        <w:rPr>
          <w:spacing w:val="-90"/>
        </w:rPr>
        <w:t>”</w:t>
      </w:r>
      <w:r>
        <w:rPr/>
        <w:t>。</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八、聘任、解聘会计师事务所情况" w:id="70"/>
      <w:bookmarkEnd w:id="70"/>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杨文蔚 、刘琪</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bl>
    <w:p>
      <w:pPr>
        <w:pStyle w:val="BodyText"/>
        <w:spacing w:line="240" w:lineRule="auto" w:before="51"/>
        <w:ind w:right="0"/>
        <w:jc w:val="left"/>
      </w:pPr>
      <w:r>
        <w:rPr/>
        <w:t>是否改聘会计师事务所</w:t>
      </w:r>
    </w:p>
    <w:p>
      <w:pPr>
        <w:pStyle w:val="BodyText"/>
        <w:spacing w:line="360" w:lineRule="auto" w:before="116"/>
        <w:ind w:left="1133" w:right="6253"/>
        <w:jc w:val="left"/>
      </w:pPr>
      <w:r>
        <w:rPr/>
        <w:t>□ 是 √ 否 聘请内部控制审计会计师事务所、财务顾问或保荐人情况</w:t>
      </w:r>
    </w:p>
    <w:p>
      <w:pPr>
        <w:pStyle w:val="BodyText"/>
        <w:spacing w:line="357" w:lineRule="auto" w:before="26"/>
        <w:ind w:right="2112"/>
        <w:jc w:val="left"/>
      </w:pPr>
      <w:r>
        <w:rPr/>
        <w:t>√ 适用 □ 不适用 本年度，公司因重大资产重组项，聘请广发证券股份有限公司为财务顾问，期间共支付财务顾问费</w:t>
      </w:r>
      <w:r>
        <w:rPr>
          <w:rFonts w:ascii="宋体" w:hAnsi="宋体" w:cs="宋体" w:eastAsia="宋体" w:hint="default"/>
        </w:rPr>
        <w:t>1400</w:t>
      </w:r>
      <w:r>
        <w:rPr/>
        <w:t>万元。</w:t>
      </w:r>
    </w:p>
    <w:p>
      <w:pPr>
        <w:spacing w:line="240" w:lineRule="auto" w:before="5"/>
        <w:rPr>
          <w:rFonts w:ascii="宋体" w:hAnsi="宋体" w:cs="宋体" w:eastAsia="宋体" w:hint="default"/>
          <w:sz w:val="18"/>
          <w:szCs w:val="18"/>
        </w:rPr>
      </w:pPr>
    </w:p>
    <w:p>
      <w:pPr>
        <w:pStyle w:val="Heading2"/>
        <w:spacing w:line="240" w:lineRule="auto"/>
        <w:ind w:left="1133" w:right="0"/>
        <w:jc w:val="left"/>
        <w:rPr>
          <w:b w:val="0"/>
          <w:bCs w:val="0"/>
        </w:rPr>
      </w:pPr>
      <w:bookmarkStart w:name="九、年度报告披露后面临暂停上市和终止上市情况" w:id="71"/>
      <w:bookmarkEnd w:id="71"/>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破产重整相关事项" w:id="72"/>
      <w:bookmarkEnd w:id="72"/>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公司报告期未发生破产重整相关事项。</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十一、重大诉讼、仲裁事项" w:id="73"/>
      <w:bookmarkEnd w:id="73"/>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t>□ 适用 √ 不适用 本年度公司无重大诉讼、仲裁事项。</w:t>
      </w:r>
    </w:p>
    <w:p>
      <w:pPr>
        <w:spacing w:after="0" w:line="357" w:lineRule="auto"/>
        <w:jc w:val="left"/>
        <w:sectPr>
          <w:headerReference w:type="default" r:id="rId14"/>
          <w:pgSz w:w="11910" w:h="16840"/>
          <w:pgMar w:header="917" w:footer="1019" w:top="1700" w:bottom="1200" w:left="0" w:right="0"/>
        </w:sectPr>
      </w:pPr>
    </w:p>
    <w:p>
      <w:pPr>
        <w:spacing w:line="240" w:lineRule="auto" w:before="3"/>
        <w:rPr>
          <w:rFonts w:ascii="宋体" w:hAnsi="宋体" w:cs="宋体" w:eastAsia="宋体" w:hint="default"/>
          <w:sz w:val="23"/>
          <w:szCs w:val="23"/>
        </w:rPr>
      </w:pPr>
    </w:p>
    <w:p>
      <w:pPr>
        <w:pStyle w:val="BodyText"/>
        <w:spacing w:line="357" w:lineRule="auto" w:before="44"/>
        <w:ind w:right="7872"/>
        <w:jc w:val="left"/>
      </w:pPr>
      <w:bookmarkStart w:name="十二、处罚及整改情况" w:id="74"/>
      <w:bookmarkEnd w:id="74"/>
      <w:r>
        <w:rPr/>
      </w:r>
      <w:r>
        <w:rPr/>
        <w:t>□ 适用 √ 不适用 公司报告期不存在处罚及整改情况。</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三、公司及其控股股东、实际控制人的诚信状况" w:id="75"/>
      <w:bookmarkEnd w:id="75"/>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四、公司股权激励计划、员工持股计划或其他员工激励措施的实施情况" w:id="76"/>
      <w:bookmarkEnd w:id="76"/>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452"/>
        <w:jc w:val="left"/>
      </w:pPr>
      <w:r>
        <w:rPr/>
        <w:t>□ 适用 √ 不适用 公司报告期无股权激励计划、员工持股计划或其他员工激励措施及其实施情况。</w:t>
      </w:r>
    </w:p>
    <w:p>
      <w:pPr>
        <w:spacing w:line="240" w:lineRule="auto" w:before="3"/>
        <w:rPr>
          <w:rFonts w:ascii="宋体" w:hAnsi="宋体" w:cs="宋体" w:eastAsia="宋体" w:hint="default"/>
          <w:sz w:val="18"/>
          <w:szCs w:val="18"/>
        </w:rPr>
      </w:pPr>
    </w:p>
    <w:p>
      <w:pPr>
        <w:pStyle w:val="Heading2"/>
        <w:spacing w:line="240" w:lineRule="auto"/>
        <w:ind w:left="1133" w:right="0"/>
        <w:jc w:val="left"/>
        <w:rPr>
          <w:b w:val="0"/>
          <w:bCs w:val="0"/>
        </w:rPr>
      </w:pPr>
      <w:bookmarkStart w:name="十五、重大关联交易" w:id="77"/>
      <w:bookmarkEnd w:id="77"/>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792"/>
        <w:jc w:val="left"/>
      </w:pPr>
      <w:r>
        <w:rPr/>
        <w:t>□ 适用 √ 不适用 公司报告期未发生与日常经营相关的关联交易。</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432"/>
        <w:jc w:val="left"/>
      </w:pPr>
      <w:r>
        <w:rPr/>
        <w:t>□ 适用 √ 不适用 公司报告期未发生资产或股权收购、出售的关联交易。</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152"/>
        <w:jc w:val="left"/>
      </w:pPr>
      <w:r>
        <w:rPr/>
        <w:t>□ 适用 √ 不适用 公司报告期未发生共同对外投资的关联交易。</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3" w:right="7693"/>
        <w:jc w:val="left"/>
      </w:pPr>
      <w:r>
        <w:rPr/>
        <w:t>□ 适用 √ 不适用 公司报告期不存在关联债权债务往来。</w:t>
      </w:r>
    </w:p>
    <w:p>
      <w:pPr>
        <w:spacing w:line="240" w:lineRule="auto" w:before="11"/>
        <w:rPr>
          <w:rFonts w:ascii="宋体" w:hAnsi="宋体" w:cs="宋体" w:eastAsia="宋体" w:hint="default"/>
          <w:sz w:val="19"/>
          <w:szCs w:val="19"/>
        </w:rPr>
      </w:pPr>
    </w:p>
    <w:p>
      <w:pPr>
        <w:pStyle w:val="Heading3"/>
        <w:spacing w:line="240" w:lineRule="auto"/>
        <w:ind w:left="1133" w:right="0"/>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 适用 √ 不适用 公司报告期无其他重大关联交易。</w:t>
      </w:r>
    </w:p>
    <w:p>
      <w:pPr>
        <w:spacing w:after="0" w:line="357" w:lineRule="auto"/>
        <w:jc w:val="left"/>
        <w:sectPr>
          <w:headerReference w:type="default" r:id="rId16"/>
          <w:pgSz w:w="11910" w:h="16840"/>
          <w:pgMar w:header="917" w:footer="1019" w:top="1700" w:bottom="1200" w:left="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both"/>
        <w:rPr>
          <w:b w:val="0"/>
          <w:bCs w:val="0"/>
        </w:rPr>
      </w:pPr>
      <w:bookmarkStart w:name="十六、重大合同及其履行情况" w:id="83"/>
      <w:bookmarkEnd w:id="83"/>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both"/>
        <w:rPr>
          <w:b w:val="0"/>
          <w:bCs w:val="0"/>
        </w:rPr>
      </w:pPr>
      <w:bookmarkStart w:name="1、托管、承包、租赁事项情况" w:id="84"/>
      <w:bookmarkEnd w:id="8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both"/>
        <w:rPr>
          <w:b w:val="0"/>
          <w:bCs w:val="0"/>
        </w:rPr>
      </w:pPr>
      <w:bookmarkStart w:name="（1）托管情况" w:id="85"/>
      <w:bookmarkEnd w:id="8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公司报告期不存在托管情况。</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2）承包情况" w:id="86"/>
      <w:bookmarkEnd w:id="8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公司报告期不存在承包情况。</w:t>
      </w:r>
    </w:p>
    <w:p>
      <w:pPr>
        <w:spacing w:line="240" w:lineRule="auto" w:before="13"/>
        <w:rPr>
          <w:rFonts w:ascii="宋体" w:hAnsi="宋体" w:cs="宋体" w:eastAsia="宋体" w:hint="default"/>
          <w:sz w:val="19"/>
          <w:szCs w:val="19"/>
        </w:rPr>
      </w:pPr>
    </w:p>
    <w:p>
      <w:pPr>
        <w:pStyle w:val="Heading3"/>
        <w:spacing w:line="240" w:lineRule="auto"/>
        <w:ind w:right="0"/>
        <w:jc w:val="both"/>
        <w:rPr>
          <w:b w:val="0"/>
          <w:bCs w:val="0"/>
        </w:rPr>
      </w:pPr>
      <w:bookmarkStart w:name="（3）租赁情况" w:id="87"/>
      <w:bookmarkEnd w:id="8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9222"/>
        <w:jc w:val="left"/>
      </w:pPr>
      <w:r>
        <w:rPr/>
        <w:t>√ 适用 □ 不适用 租赁情况说明</w:t>
      </w:r>
    </w:p>
    <w:p>
      <w:pPr>
        <w:pStyle w:val="BodyText"/>
        <w:spacing w:line="300" w:lineRule="auto" w:before="28"/>
        <w:ind w:left="1133" w:right="113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日，公司子公司深圳长城世家商贸有限公司与深圳市世纪工艺品文化市场有限公司签署《深圳市房地产租赁合同</w:t>
      </w:r>
      <w:r>
        <w:rPr>
          <w:spacing w:val="-58"/>
        </w:rPr>
        <w:t> </w:t>
      </w:r>
      <w:r>
        <w:rPr>
          <w:spacing w:val="-58"/>
        </w:rPr>
      </w:r>
      <w:r>
        <w:rPr>
          <w:spacing w:val="-1"/>
        </w:rPr>
        <w:t>书》及补充协议，向其租赁商铺及办公楼共计面积</w:t>
      </w:r>
      <w:r>
        <w:rPr>
          <w:rFonts w:ascii="Times New Roman" w:hAnsi="Times New Roman" w:cs="Times New Roman" w:eastAsia="Times New Roman" w:hint="default"/>
          <w:spacing w:val="-1"/>
        </w:rPr>
        <w:t>13,516</w:t>
      </w:r>
      <w:r>
        <w:rPr>
          <w:spacing w:val="-1"/>
        </w:rPr>
        <w:t>平方米，租赁期陆年，自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22</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21</w:t>
      </w:r>
      <w:r>
        <w:rPr>
          <w:spacing w:val="-1"/>
        </w:rPr>
        <w:t>日止，年租</w:t>
      </w:r>
      <w:r>
        <w:rPr>
          <w:spacing w:val="-67"/>
        </w:rPr>
        <w:t> </w:t>
      </w:r>
      <w:r>
        <w:rPr>
          <w:spacing w:val="-67"/>
        </w:rPr>
      </w:r>
      <w:r>
        <w:rPr/>
        <w:t>金</w:t>
      </w:r>
      <w:r>
        <w:rPr>
          <w:rFonts w:ascii="Times New Roman" w:hAnsi="Times New Roman" w:cs="Times New Roman" w:eastAsia="Times New Roman" w:hint="default"/>
        </w:rPr>
        <w:t>6,163,296.00</w:t>
      </w:r>
      <w:r>
        <w:rPr/>
        <w:t>元。目前，相关合同正在正常执行中。</w:t>
      </w:r>
    </w:p>
    <w:p>
      <w:pPr>
        <w:pStyle w:val="BodyText"/>
        <w:spacing w:line="240" w:lineRule="auto" w:before="53"/>
        <w:ind w:left="1133" w:right="0"/>
        <w:jc w:val="both"/>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left="1133" w:right="0"/>
        <w:jc w:val="both"/>
      </w:pPr>
      <w:r>
        <w:rPr/>
        <w:t>□ 适用 √ 不适用</w:t>
      </w:r>
    </w:p>
    <w:p>
      <w:pPr>
        <w:pStyle w:val="BodyText"/>
        <w:spacing w:line="240" w:lineRule="auto" w:before="117"/>
        <w:ind w:right="0"/>
        <w:jc w:val="both"/>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left="1133" w:right="0"/>
        <w:jc w:val="both"/>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公司报告期不存在担保情况。</w:t>
      </w:r>
    </w:p>
    <w:p>
      <w:pPr>
        <w:spacing w:line="240" w:lineRule="auto" w:before="13"/>
        <w:rPr>
          <w:rFonts w:ascii="宋体" w:hAnsi="宋体" w:cs="宋体" w:eastAsia="宋体" w:hint="default"/>
          <w:sz w:val="19"/>
          <w:szCs w:val="19"/>
        </w:rPr>
      </w:pPr>
    </w:p>
    <w:p>
      <w:pPr>
        <w:pStyle w:val="Heading3"/>
        <w:spacing w:line="240" w:lineRule="auto"/>
        <w:ind w:right="0"/>
        <w:jc w:val="both"/>
        <w:rPr>
          <w:b w:val="0"/>
          <w:bCs w:val="0"/>
        </w:rPr>
      </w:pPr>
      <w:bookmarkStart w:name="3、委托他人进行现金资产管理情况" w:id="89"/>
      <w:bookmarkEnd w:id="89"/>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委托理财情况" w:id="90"/>
      <w:bookmarkEnd w:id="9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公司报告期不存在委托理财。</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2）委托贷款情况" w:id="91"/>
      <w:bookmarkEnd w:id="91"/>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公司报告期不存在委托贷款。</w:t>
      </w:r>
    </w:p>
    <w:p>
      <w:pPr>
        <w:spacing w:after="0" w:line="357" w:lineRule="auto"/>
        <w:jc w:val="left"/>
        <w:sectPr>
          <w:headerReference w:type="default" r:id="rId17"/>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4、其他重大合同" w:id="92"/>
      <w:bookmarkEnd w:id="9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 适用 √ 不适用 公司报告期不存在其他重大合同。</w:t>
      </w:r>
    </w:p>
    <w:p>
      <w:pPr>
        <w:spacing w:line="240" w:lineRule="auto" w:before="5"/>
        <w:rPr>
          <w:rFonts w:ascii="宋体" w:hAnsi="宋体" w:cs="宋体" w:eastAsia="宋体" w:hint="default"/>
          <w:sz w:val="18"/>
          <w:szCs w:val="18"/>
        </w:rPr>
      </w:pPr>
    </w:p>
    <w:p>
      <w:pPr>
        <w:spacing w:line="506" w:lineRule="auto" w:before="0"/>
        <w:ind w:left="1134" w:right="8583" w:firstLine="0"/>
        <w:jc w:val="left"/>
        <w:rPr>
          <w:rFonts w:ascii="宋体" w:hAnsi="宋体" w:cs="宋体" w:eastAsia="宋体" w:hint="default"/>
          <w:sz w:val="18"/>
          <w:szCs w:val="18"/>
        </w:rPr>
      </w:pPr>
      <w:bookmarkStart w:name="十七、社会责任情况" w:id="93"/>
      <w:bookmarkEnd w:id="93"/>
      <w:r>
        <w:rPr/>
      </w: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bookmarkStart w:name="1、履行社会责任情况" w:id="94"/>
      <w:bookmarkEnd w:id="9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pStyle w:val="Heading3"/>
        <w:spacing w:line="240" w:lineRule="auto" w:before="150"/>
        <w:ind w:right="0"/>
        <w:jc w:val="left"/>
        <w:rPr>
          <w:b w:val="0"/>
          <w:bCs w:val="0"/>
        </w:rPr>
      </w:pPr>
      <w:bookmarkStart w:name="2、履行精准扶贫社会责任情况" w:id="95"/>
      <w:bookmarkEnd w:id="95"/>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环境保护相关的情况" w:id="96"/>
      <w:bookmarkEnd w:id="96"/>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否</w:t>
      </w:r>
    </w:p>
    <w:p>
      <w:pPr>
        <w:pStyle w:val="BodyText"/>
        <w:spacing w:line="240" w:lineRule="auto" w:before="26"/>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八、其他重大事项的说明" w:id="97"/>
      <w:bookmarkEnd w:id="97"/>
      <w:r>
        <w:rPr>
          <w:b w:val="0"/>
          <w:bCs w:val="0"/>
        </w:rPr>
      </w:r>
      <w:r>
        <w:rPr/>
        <w:t>十八、其他重大事项的说明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133" w:right="0"/>
        <w:jc w:val="left"/>
      </w:pPr>
      <w:r>
        <w:rPr/>
        <w:t>√ 适用 □ 不适用 </w:t>
      </w:r>
      <w:r>
        <w:rPr>
          <w:rFonts w:ascii="宋体" w:hAnsi="宋体" w:cs="宋体" w:eastAsia="宋体" w:hint="default"/>
          <w:spacing w:val="-5"/>
        </w:rPr>
        <w:t>1</w:t>
      </w:r>
      <w:r>
        <w:rPr>
          <w:spacing w:val="-5"/>
        </w:rPr>
        <w:t>、公司于</w:t>
      </w:r>
      <w:r>
        <w:rPr>
          <w:rFonts w:ascii="宋体" w:hAnsi="宋体" w:cs="宋体" w:eastAsia="宋体" w:hint="default"/>
          <w:spacing w:val="-5"/>
        </w:rPr>
        <w:t>2017</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17</w:t>
      </w:r>
      <w:r>
        <w:rPr>
          <w:spacing w:val="-5"/>
        </w:rPr>
        <w:t>日召开第三届董事会第二十五次会议审议通过了《关于公司拟追加认购新余智趣资产管理合伙企业（有</w:t>
      </w:r>
      <w:r>
        <w:rPr>
          <w:spacing w:val="-59"/>
        </w:rPr>
        <w:t> </w:t>
      </w:r>
      <w:r>
        <w:rPr>
          <w:spacing w:val="-59"/>
        </w:rPr>
      </w:r>
      <w:r>
        <w:rPr>
          <w:spacing w:val="-4"/>
        </w:rPr>
        <w:t>限合伙）基金份额的议案》，同意公司对新余智趣资产管理合伙企业（有限合伙）追加投资人民币</w:t>
      </w:r>
      <w:r>
        <w:rPr>
          <w:rFonts w:ascii="宋体" w:hAnsi="宋体" w:cs="宋体" w:eastAsia="宋体" w:hint="default"/>
          <w:spacing w:val="-4"/>
        </w:rPr>
        <w:t>5,000</w:t>
      </w:r>
      <w:r>
        <w:rPr>
          <w:spacing w:val="-4"/>
        </w:rPr>
        <w:t>万元，具体情况详见</w:t>
      </w:r>
    </w:p>
    <w:p>
      <w:pPr>
        <w:pStyle w:val="BodyText"/>
        <w:spacing w:line="316" w:lineRule="auto" w:before="2"/>
        <w:ind w:left="1133" w:right="1132"/>
        <w:jc w:val="left"/>
      </w:pPr>
      <w:r>
        <w:rPr/>
        <w:t>公司</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17</w:t>
      </w:r>
      <w:r>
        <w:rPr/>
        <w:t>日于巨潮资讯网披露的《关于公司拟追加认购新余新余智趣资产管理合伙企业（有限合伙）基金份额的公 </w:t>
      </w:r>
      <w:r>
        <w:rPr>
          <w:spacing w:val="-21"/>
        </w:rPr>
        <w:t>告》（</w:t>
      </w:r>
      <w:r>
        <w:rPr>
          <w:rFonts w:ascii="宋体" w:hAnsi="宋体" w:cs="宋体" w:eastAsia="宋体" w:hint="default"/>
          <w:spacing w:val="-21"/>
        </w:rPr>
        <w:t>2017-003</w:t>
      </w:r>
      <w:r>
        <w:rPr>
          <w:spacing w:val="-21"/>
        </w:rPr>
        <w:t>）。</w:t>
      </w:r>
      <w:r>
        <w:rPr>
          <w:spacing w:val="-87"/>
        </w:rPr>
        <w:t> </w:t>
      </w:r>
      <w:r>
        <w:rPr>
          <w:rFonts w:ascii="宋体" w:hAnsi="宋体" w:cs="宋体" w:eastAsia="宋体" w:hint="default"/>
        </w:rPr>
        <w:t>2</w:t>
      </w:r>
      <w:r>
        <w:rPr/>
        <w:t>、公司于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6</w:t>
      </w:r>
      <w:r>
        <w:rPr/>
        <w:t>日召开第三届董事会第二十六次会议审议通过了《关于参与发起设立潮州民营投资股份有限公司的议 </w:t>
      </w:r>
      <w:r>
        <w:rPr>
          <w:spacing w:val="-2"/>
        </w:rPr>
        <w:t>案》，同意公司以自有资金人民币</w:t>
      </w:r>
      <w:r>
        <w:rPr>
          <w:rFonts w:ascii="宋体" w:hAnsi="宋体" w:cs="宋体" w:eastAsia="宋体" w:hint="default"/>
          <w:spacing w:val="-2"/>
        </w:rPr>
        <w:t>6,000</w:t>
      </w:r>
      <w:r>
        <w:rPr>
          <w:spacing w:val="-2"/>
        </w:rPr>
        <w:t>万元认购潮民投</w:t>
      </w:r>
      <w:r>
        <w:rPr>
          <w:rFonts w:ascii="宋体" w:hAnsi="宋体" w:cs="宋体" w:eastAsia="宋体" w:hint="default"/>
          <w:spacing w:val="-2"/>
        </w:rPr>
        <w:t>6,000</w:t>
      </w:r>
      <w:r>
        <w:rPr>
          <w:spacing w:val="-2"/>
        </w:rPr>
        <w:t>万股股份，占潮民投总股本的</w:t>
      </w:r>
      <w:r>
        <w:rPr>
          <w:rFonts w:ascii="宋体" w:hAnsi="宋体" w:cs="宋体" w:eastAsia="宋体" w:hint="default"/>
          <w:spacing w:val="-2"/>
        </w:rPr>
        <w:t>5.71%</w:t>
      </w:r>
      <w:r>
        <w:rPr>
          <w:spacing w:val="-2"/>
        </w:rPr>
        <w:t>，具体情况详见公司</w:t>
      </w:r>
      <w:r>
        <w:rPr>
          <w:rFonts w:ascii="宋体" w:hAnsi="宋体" w:cs="宋体" w:eastAsia="宋体" w:hint="default"/>
          <w:spacing w:val="-2"/>
        </w:rPr>
        <w:t>2017</w:t>
      </w:r>
      <w:r>
        <w:rPr>
          <w:rFonts w:ascii="宋体" w:hAnsi="宋体" w:cs="宋体" w:eastAsia="宋体" w:hint="default"/>
          <w:spacing w:val="-54"/>
        </w:rPr>
        <w:t> </w:t>
      </w:r>
      <w:r>
        <w:rPr>
          <w:spacing w:val="-6"/>
        </w:rPr>
        <w:t>年</w:t>
      </w:r>
      <w:r>
        <w:rPr>
          <w:rFonts w:ascii="宋体" w:hAnsi="宋体" w:cs="宋体" w:eastAsia="宋体" w:hint="default"/>
          <w:spacing w:val="-6"/>
        </w:rPr>
        <w:t>3</w:t>
      </w:r>
      <w:r>
        <w:rPr>
          <w:spacing w:val="-6"/>
        </w:rPr>
        <w:t>月</w:t>
      </w:r>
      <w:r>
        <w:rPr>
          <w:rFonts w:ascii="宋体" w:hAnsi="宋体" w:cs="宋体" w:eastAsia="宋体" w:hint="default"/>
          <w:spacing w:val="-6"/>
        </w:rPr>
        <w:t>6</w:t>
      </w:r>
      <w:r>
        <w:rPr>
          <w:spacing w:val="-6"/>
        </w:rPr>
        <w:t>日于于巨潮资讯网披露的《关于参与发起设立潮州民营投资股份有限公司的公告》（</w:t>
      </w:r>
      <w:r>
        <w:rPr>
          <w:rFonts w:ascii="宋体" w:hAnsi="宋体" w:cs="宋体" w:eastAsia="宋体" w:hint="default"/>
          <w:spacing w:val="-6"/>
        </w:rPr>
        <w:t>2017-007</w:t>
      </w:r>
      <w:r>
        <w:rPr>
          <w:spacing w:val="-6"/>
        </w:rPr>
        <w:t>）。</w:t>
      </w:r>
      <w:r>
        <w:rPr>
          <w:spacing w:val="-54"/>
        </w:rPr>
        <w:t> </w:t>
      </w:r>
      <w:r>
        <w:rPr>
          <w:rFonts w:ascii="宋体" w:hAnsi="宋体" w:cs="宋体" w:eastAsia="宋体" w:hint="default"/>
        </w:rPr>
        <w:t>3</w:t>
      </w:r>
      <w:r>
        <w:rPr/>
        <w:t>、报告期内，公司筹划重大资产重组，召开董事会、监事会及股东大会审议通过了发行股份及支付现金购买北京翡翠教育 </w:t>
      </w:r>
      <w:r>
        <w:rPr>
          <w:spacing w:val="-2"/>
        </w:rPr>
        <w:t>科技集团有限公司（以下简称“翡翠教育”）</w:t>
      </w:r>
      <w:r>
        <w:rPr>
          <w:rFonts w:ascii="宋体" w:hAnsi="宋体" w:cs="宋体" w:eastAsia="宋体" w:hint="default"/>
          <w:spacing w:val="-2"/>
        </w:rPr>
        <w:t>100%</w:t>
      </w:r>
      <w:r>
        <w:rPr>
          <w:spacing w:val="-2"/>
        </w:rPr>
        <w:t>的股权，同时，公司拟采用询价发行方式向不超过五名符合条件的特定对</w:t>
      </w:r>
      <w:r>
        <w:rPr>
          <w:spacing w:val="-68"/>
        </w:rPr>
        <w:t> </w:t>
      </w:r>
      <w:r>
        <w:rPr>
          <w:spacing w:val="-2"/>
        </w:rPr>
        <w:t>象非公开发行股份募集配套资金的事项。该事项于</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8</w:t>
      </w:r>
      <w:r>
        <w:rPr>
          <w:spacing w:val="-2"/>
        </w:rPr>
        <w:t>日获得证监会核准批复，接下来，本公司董事会将根据证监会</w:t>
      </w:r>
      <w:r>
        <w:rPr>
          <w:spacing w:val="-60"/>
        </w:rPr>
        <w:t> </w:t>
      </w:r>
      <w:r>
        <w:rPr>
          <w:spacing w:val="-60"/>
        </w:rPr>
      </w:r>
      <w:r>
        <w:rPr/>
        <w:t>核准文件要求尽快办理本次发行股份及支付现金购买资产并募集配套资金的实施事宜，并及时履行信息披露义务。</w:t>
      </w:r>
    </w:p>
    <w:p>
      <w:pPr>
        <w:spacing w:line="240" w:lineRule="auto" w:before="10"/>
        <w:rPr>
          <w:rFonts w:ascii="宋体" w:hAnsi="宋体" w:cs="宋体" w:eastAsia="宋体" w:hint="default"/>
          <w:sz w:val="20"/>
          <w:szCs w:val="20"/>
        </w:rPr>
      </w:pPr>
    </w:p>
    <w:p>
      <w:pPr>
        <w:pStyle w:val="Heading2"/>
        <w:spacing w:line="240" w:lineRule="auto"/>
        <w:ind w:left="1133" w:right="0"/>
        <w:jc w:val="left"/>
        <w:rPr>
          <w:b w:val="0"/>
          <w:bCs w:val="0"/>
        </w:rPr>
      </w:pPr>
      <w:bookmarkStart w:name="十九、公司子公司重大事项" w:id="98"/>
      <w:bookmarkEnd w:id="98"/>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after="0" w:line="240" w:lineRule="auto"/>
        <w:jc w:val="left"/>
        <w:sectPr>
          <w:headerReference w:type="default" r:id="rId18"/>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946" w:right="0"/>
        <w:jc w:val="left"/>
        <w:rPr>
          <w:b w:val="0"/>
          <w:bCs w:val="0"/>
        </w:rPr>
      </w:pPr>
      <w:bookmarkStart w:name="第六节 股份变动及股东情况" w:id="99"/>
      <w:bookmarkEnd w:id="99"/>
      <w:r>
        <w:rPr>
          <w:b w:val="0"/>
          <w:bCs w:val="0"/>
        </w:rPr>
      </w:r>
      <w:bookmarkStart w:name="_bookmark5" w:id="100"/>
      <w:bookmarkEnd w:id="100"/>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股份变动情况" w:id="101"/>
      <w:bookmarkEnd w:id="101"/>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变动情况" w:id="102"/>
      <w:bookmarkEnd w:id="10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5"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13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171,768</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,356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39.51%</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-3,117,2</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-3,117,2</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168,65</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1,081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38.79%</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171,768</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,356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39.51%</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-3,117,2</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-3,117,2</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168,65</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1,081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38.79%</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3,038,6</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34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3,038,6</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34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168,729</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,722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38.81%</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-3,117,2</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-3,117,2</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165,61</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2,447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38.79%</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263,031</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,784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60.49%</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3,117,2</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3,117,2</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266,14</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9,059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61.21%</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263,031</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,784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60.49%</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3,117,2</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3,117,2</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266,14</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9,059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61.21%</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434,800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,140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434,80</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0,140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right="0"/>
        <w:jc w:val="left"/>
      </w:pPr>
      <w:r>
        <w:rPr/>
        <w:t>股份变动的原因</w:t>
      </w:r>
    </w:p>
    <w:p>
      <w:pPr>
        <w:pStyle w:val="BodyText"/>
        <w:spacing w:line="338" w:lineRule="auto" w:before="117"/>
        <w:ind w:left="1133" w:right="0"/>
        <w:jc w:val="left"/>
      </w:pPr>
      <w:r>
        <w:rPr/>
        <w:t>√ 适用 □ 不适用 </w:t>
      </w:r>
      <w:r>
        <w:rPr>
          <w:rFonts w:ascii="宋体" w:hAnsi="宋体" w:cs="宋体" w:eastAsia="宋体" w:hint="default"/>
          <w:spacing w:val="-2"/>
        </w:rPr>
        <w:t>1</w:t>
      </w:r>
      <w:r>
        <w:rPr>
          <w:spacing w:val="-2"/>
        </w:rPr>
        <w:t>、公司股东许高镭持有的首发后限售股报告期内</w:t>
      </w:r>
      <w:r>
        <w:rPr>
          <w:rFonts w:ascii="宋体" w:hAnsi="宋体" w:cs="宋体" w:eastAsia="宋体" w:hint="default"/>
          <w:spacing w:val="-2"/>
        </w:rPr>
        <w:t>9</w:t>
      </w:r>
      <w:r>
        <w:rPr>
          <w:spacing w:val="-2"/>
        </w:rPr>
        <w:t>月份解除限售</w:t>
      </w:r>
      <w:r>
        <w:rPr>
          <w:rFonts w:ascii="宋体" w:hAnsi="宋体" w:cs="宋体" w:eastAsia="宋体" w:hint="default"/>
          <w:spacing w:val="-2"/>
        </w:rPr>
        <w:t>6,418,669</w:t>
      </w:r>
      <w:r>
        <w:rPr>
          <w:spacing w:val="-2"/>
        </w:rPr>
        <w:t>股，导致公司的限售股份减少</w:t>
      </w:r>
      <w:r>
        <w:rPr>
          <w:rFonts w:ascii="宋体" w:hAnsi="宋体" w:cs="宋体" w:eastAsia="宋体" w:hint="default"/>
          <w:spacing w:val="-2"/>
        </w:rPr>
        <w:t>6,418,669</w:t>
      </w:r>
      <w:r>
        <w:rPr>
          <w:spacing w:val="-2"/>
        </w:rPr>
        <w:t>股，无限</w:t>
      </w:r>
      <w:r>
        <w:rPr>
          <w:spacing w:val="-46"/>
        </w:rPr>
        <w:t> </w:t>
      </w:r>
      <w:r>
        <w:rPr>
          <w:spacing w:val="-46"/>
        </w:rPr>
      </w:r>
      <w:r>
        <w:rPr/>
        <w:t>售股份增加</w:t>
      </w:r>
      <w:r>
        <w:rPr>
          <w:rFonts w:ascii="宋体" w:hAnsi="宋体" w:cs="宋体" w:eastAsia="宋体" w:hint="default"/>
        </w:rPr>
        <w:t>6,418,669</w:t>
      </w:r>
      <w:r>
        <w:rPr/>
        <w:t>股。</w:t>
      </w:r>
    </w:p>
    <w:p>
      <w:pPr>
        <w:pStyle w:val="BodyText"/>
        <w:spacing w:line="316" w:lineRule="auto" w:before="2"/>
        <w:ind w:left="1133" w:right="1123"/>
        <w:jc w:val="left"/>
      </w:pPr>
      <w:r>
        <w:rPr>
          <w:rFonts w:ascii="宋体" w:hAnsi="宋体" w:cs="宋体" w:eastAsia="宋体" w:hint="default"/>
        </w:rPr>
        <w:t>2</w:t>
      </w:r>
      <w:r>
        <w:rPr/>
        <w:t>、公司股东许高镭报告期内</w:t>
      </w:r>
      <w:r>
        <w:rPr>
          <w:rFonts w:ascii="宋体" w:hAnsi="宋体" w:cs="宋体" w:eastAsia="宋体" w:hint="default"/>
        </w:rPr>
        <w:t>11</w:t>
      </w:r>
      <w:r>
        <w:rPr/>
        <w:t>月份成为公司董事，导致其已解除限售的</w:t>
      </w:r>
      <w:r>
        <w:rPr>
          <w:rFonts w:ascii="宋体" w:hAnsi="宋体" w:cs="宋体" w:eastAsia="宋体" w:hint="default"/>
        </w:rPr>
        <w:t>6,418,669</w:t>
      </w:r>
      <w:r>
        <w:rPr/>
        <w:t>股股份自动锁定</w:t>
      </w:r>
      <w:r>
        <w:rPr>
          <w:rFonts w:ascii="宋体" w:hAnsi="宋体" w:cs="宋体" w:eastAsia="宋体" w:hint="default"/>
        </w:rPr>
        <w:t>3,301,394</w:t>
      </w:r>
      <w:r>
        <w:rPr/>
        <w:t>股，导致公司 的限售股份增加</w:t>
      </w:r>
      <w:r>
        <w:rPr>
          <w:rFonts w:ascii="宋体" w:hAnsi="宋体" w:cs="宋体" w:eastAsia="宋体" w:hint="default"/>
        </w:rPr>
        <w:t>3,301,394</w:t>
      </w:r>
      <w:r>
        <w:rPr/>
        <w:t>股，无限售股份减少</w:t>
      </w:r>
      <w:r>
        <w:rPr>
          <w:rFonts w:ascii="宋体" w:hAnsi="宋体" w:cs="宋体" w:eastAsia="宋体" w:hint="default"/>
        </w:rPr>
        <w:t>3,301,394</w:t>
      </w:r>
      <w:r>
        <w:rPr/>
        <w:t>股。</w:t>
      </w:r>
    </w:p>
    <w:p>
      <w:pPr>
        <w:pStyle w:val="BodyText"/>
        <w:spacing w:line="240" w:lineRule="auto" w:before="59"/>
        <w:ind w:right="0"/>
        <w:jc w:val="left"/>
      </w:pPr>
      <w:r>
        <w:rPr/>
        <w:t>股份变动的批准情况</w:t>
      </w:r>
    </w:p>
    <w:p>
      <w:pPr>
        <w:pStyle w:val="BodyText"/>
        <w:spacing w:line="357" w:lineRule="auto" w:before="117"/>
        <w:ind w:right="9132"/>
        <w:jc w:val="left"/>
      </w:pPr>
      <w:r>
        <w:rPr/>
        <w:t>□ 适用 √ 不适用 股份变动的过户情况</w:t>
      </w:r>
    </w:p>
    <w:p>
      <w:pPr>
        <w:pStyle w:val="BodyText"/>
        <w:spacing w:line="360" w:lineRule="auto" w:before="28"/>
        <w:ind w:right="1392"/>
        <w:jc w:val="left"/>
      </w:pPr>
      <w:r>
        <w:rPr/>
        <w:t>□ 适用 √ 不适用 股份变动对最近一年和最近一期基本每股收益和稀释每股收益、归属于公司普通股股东的每股净资产等财务指标的影响</w:t>
      </w:r>
    </w:p>
    <w:p>
      <w:pPr>
        <w:pStyle w:val="BodyText"/>
        <w:spacing w:line="357" w:lineRule="auto" w:before="26"/>
        <w:ind w:right="6792"/>
        <w:jc w:val="left"/>
      </w:pPr>
      <w:r>
        <w:rPr/>
        <w:t>□ 适用 √ 不适用 公司认为必要或证券监管机构要求披露的其他内容</w:t>
      </w:r>
    </w:p>
    <w:p>
      <w:pPr>
        <w:pStyle w:val="BodyText"/>
        <w:spacing w:line="240" w:lineRule="auto" w:before="29"/>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限售股份变动情况" w:id="103"/>
      <w:bookmarkEnd w:id="10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9" w:right="138"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9" w:right="138"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8"/>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5" w:right="134" w:hanging="450"/>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128,200,000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128,200,000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长期锁定</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11,137,500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11,137,500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长期锁定</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5,619,375</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5,619,375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长期锁定</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6,418,669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6,418,669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非公开发行股 份限售股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3,301,394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3,301,394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4"/>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长期锁定</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17,354,178</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17,354,178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非公开发行股 份限售股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广州商融投资 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3,038,634</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3,038,634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非公开发行股 份限售股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171,768,356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6,418,669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3,301,394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168,651,081</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4"/>
      <w:bookmarkEnd w:id="104"/>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证券发行（不含优先股）情况" w:id="105"/>
      <w:bookmarkEnd w:id="10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公司股份总数及股东结构的变动、公司资产和负债结构的变动情况说明" w:id="106"/>
      <w:bookmarkEnd w:id="10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现存的内部职工股情况" w:id="107"/>
      <w:bookmarkEnd w:id="10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股东和实际控制人情况" w:id="108"/>
      <w:bookmarkEnd w:id="108"/>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公司股东数量及持股情况" w:id="109"/>
      <w:bookmarkEnd w:id="10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4"/>
        <w:gridCol w:w="796"/>
        <w:gridCol w:w="1462"/>
        <w:gridCol w:w="1196"/>
        <w:gridCol w:w="1330"/>
        <w:gridCol w:w="1064"/>
        <w:gridCol w:w="1328"/>
        <w:gridCol w:w="1060"/>
      </w:tblGrid>
      <w:tr>
        <w:trPr>
          <w:trHeight w:val="1338"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3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19,843</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6"/>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17,726</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103" w:right="134"/>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147"/>
                <w:sz w:val="18"/>
                <w:szCs w:val="18"/>
              </w:rPr>
              <w:t>）</w:t>
            </w:r>
            <w:r>
              <w:rPr>
                <w:rFonts w:ascii="宋体" w:hAnsi="宋体" w:cs="宋体" w:eastAsia="宋体" w:hint="default"/>
                <w:sz w:val="18"/>
                <w:szCs w:val="18"/>
              </w:rPr>
              <w:t>（参见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101" w:right="134"/>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34"/>
        <w:gridCol w:w="135"/>
        <w:gridCol w:w="661"/>
        <w:gridCol w:w="750"/>
        <w:gridCol w:w="750"/>
        <w:gridCol w:w="825"/>
        <w:gridCol w:w="332"/>
        <w:gridCol w:w="456"/>
        <w:gridCol w:w="830"/>
        <w:gridCol w:w="796"/>
        <w:gridCol w:w="311"/>
        <w:gridCol w:w="1038"/>
        <w:gridCol w:w="290"/>
        <w:gridCol w:w="1060"/>
      </w:tblGrid>
      <w:tr>
        <w:trPr>
          <w:trHeight w:val="679"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6" w:type="dxa"/>
            <w:gridSpan w:val="2"/>
            <w:tcBorders>
              <w:top w:val="single" w:sz="4" w:space="0" w:color="000000"/>
              <w:left w:val="single" w:sz="4" w:space="0" w:color="000000"/>
              <w:bottom w:val="single" w:sz="4" w:space="0" w:color="000000"/>
              <w:right w:val="single" w:sz="4" w:space="0" w:color="000000"/>
            </w:tcBorders>
          </w:tcPr>
          <w:p>
            <w:pP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157" w:type="dxa"/>
            <w:gridSpan w:val="2"/>
            <w:tcBorders>
              <w:top w:val="single" w:sz="4" w:space="0" w:color="000000"/>
              <w:left w:val="single" w:sz="4" w:space="0" w:color="000000"/>
              <w:bottom w:val="single" w:sz="4" w:space="0" w:color="000000"/>
              <w:right w:val="single" w:sz="4" w:space="0" w:color="000000"/>
            </w:tcBorders>
          </w:tcPr>
          <w:p>
            <w:pP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7" w:type="dxa"/>
            <w:gridSpan w:val="2"/>
            <w:tcBorders>
              <w:top w:val="single" w:sz="4" w:space="0" w:color="000000"/>
              <w:left w:val="single" w:sz="4" w:space="0" w:color="000000"/>
              <w:bottom w:val="single" w:sz="4" w:space="0" w:color="000000"/>
              <w:right w:val="single" w:sz="4" w:space="0" w:color="000000"/>
            </w:tcBorders>
          </w:tcPr>
          <w:p>
            <w:pP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1" w:right="102"/>
              <w:jc w:val="left"/>
              <w:rPr>
                <w:rFonts w:ascii="宋体" w:hAnsi="宋体" w:cs="宋体" w:eastAsia="宋体" w:hint="default"/>
                <w:sz w:val="18"/>
                <w:szCs w:val="18"/>
              </w:rPr>
            </w:pPr>
            <w:r>
              <w:rPr>
                <w:rFonts w:ascii="宋体" w:hAnsi="宋体" w:cs="宋体" w:eastAsia="宋体" w:hint="default"/>
                <w:spacing w:val="-22"/>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98"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56" w:right="116"/>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8" w:right="11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7" w:right="16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1"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5"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31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32.99%</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143,43</w:t>
            </w:r>
          </w:p>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7,500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128,20</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0,000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15,237,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141,200,000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5.47%</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23,772,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847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20,655,</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572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3,117,27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6" w:right="0"/>
              <w:jc w:val="left"/>
              <w:rPr>
                <w:rFonts w:ascii="Times New Roman" w:hAnsi="Times New Roman" w:cs="Times New Roman" w:eastAsia="Times New Roman" w:hint="default"/>
                <w:sz w:val="18"/>
                <w:szCs w:val="18"/>
              </w:rPr>
            </w:pPr>
            <w:r>
              <w:rPr>
                <w:rFonts w:ascii="Times New Roman"/>
                <w:sz w:val="18"/>
              </w:rPr>
              <w:t>16,640,900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4.55%</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19,800,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19,800,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6" w:right="0"/>
              <w:jc w:val="left"/>
              <w:rPr>
                <w:rFonts w:ascii="Times New Roman" w:hAnsi="Times New Roman" w:cs="Times New Roman" w:eastAsia="Times New Roman" w:hint="default"/>
                <w:sz w:val="18"/>
                <w:szCs w:val="18"/>
              </w:rPr>
            </w:pPr>
            <w:r>
              <w:rPr>
                <w:rFonts w:ascii="Times New Roman"/>
                <w:sz w:val="18"/>
              </w:rPr>
              <w:t>19,800,000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3.42%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14,850,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11,137,</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500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3,712,5</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1.72%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7,492,5</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5,619,3</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75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1,873,1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7,443,800</w:t>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华润深国投信 托有限公司－ 韬蕴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号集合资 金信托计划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61"/>
              <w:jc w:val="right"/>
              <w:rPr>
                <w:rFonts w:ascii="Times New Roman" w:hAnsi="Times New Roman" w:cs="Times New Roman" w:eastAsia="Times New Roman" w:hint="default"/>
                <w:sz w:val="18"/>
                <w:szCs w:val="18"/>
              </w:rPr>
            </w:pPr>
            <w:r>
              <w:rPr>
                <w:rFonts w:ascii="Times New Roman"/>
                <w:sz w:val="18"/>
              </w:rPr>
              <w:t>1.35%</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5,859,8</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99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270,00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5,859,8</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99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徐雪英</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1.07%</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4,635,6</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76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114,47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4,635,6</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76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5"/>
              <w:jc w:val="left"/>
              <w:rPr>
                <w:rFonts w:ascii="宋体" w:hAnsi="宋体" w:cs="宋体" w:eastAsia="宋体" w:hint="default"/>
                <w:sz w:val="18"/>
                <w:szCs w:val="18"/>
              </w:rPr>
            </w:pPr>
            <w:r>
              <w:rPr>
                <w:rFonts w:ascii="宋体" w:hAnsi="宋体" w:cs="宋体" w:eastAsia="宋体" w:hint="default"/>
                <w:sz w:val="18"/>
                <w:szCs w:val="18"/>
              </w:rPr>
              <w:t>华润深国投信 托有限公司－ 润之信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期集 合资金信托计 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1.06%</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1" w:right="0"/>
              <w:jc w:val="left"/>
              <w:rPr>
                <w:rFonts w:ascii="Times New Roman" w:hAnsi="Times New Roman" w:cs="Times New Roman" w:eastAsia="Times New Roman" w:hint="default"/>
                <w:sz w:val="18"/>
                <w:szCs w:val="18"/>
              </w:rPr>
            </w:pPr>
            <w:r>
              <w:rPr>
                <w:rFonts w:ascii="Times New Roman"/>
                <w:sz w:val="18"/>
              </w:rPr>
              <w:t>4,630,0</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4,630,0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3" w:right="0"/>
              <w:jc w:val="left"/>
              <w:rPr>
                <w:rFonts w:ascii="Times New Roman" w:hAnsi="Times New Roman" w:cs="Times New Roman" w:eastAsia="Times New Roman" w:hint="default"/>
                <w:sz w:val="18"/>
                <w:szCs w:val="18"/>
              </w:rPr>
            </w:pPr>
            <w:r>
              <w:rPr>
                <w:rFonts w:ascii="Times New Roman"/>
                <w:sz w:val="18"/>
              </w:rPr>
              <w:t>4,630,0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both"/>
              <w:rPr>
                <w:rFonts w:ascii="宋体" w:hAnsi="宋体" w:cs="宋体" w:eastAsia="宋体" w:hint="default"/>
                <w:sz w:val="18"/>
                <w:szCs w:val="18"/>
              </w:rPr>
            </w:pPr>
            <w:r>
              <w:rPr>
                <w:rFonts w:ascii="宋体" w:hAnsi="宋体" w:cs="宋体" w:eastAsia="宋体" w:hint="default"/>
                <w:sz w:val="18"/>
                <w:szCs w:val="18"/>
              </w:rPr>
              <w:t>华润深国投信 托有限公司－ 和阳常青集合 资金信托计划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61"/>
              <w:jc w:val="right"/>
              <w:rPr>
                <w:rFonts w:ascii="Times New Roman" w:hAnsi="Times New Roman" w:cs="Times New Roman" w:eastAsia="Times New Roman" w:hint="default"/>
                <w:sz w:val="18"/>
                <w:szCs w:val="18"/>
              </w:rPr>
            </w:pPr>
            <w:r>
              <w:rPr>
                <w:rFonts w:ascii="Times New Roman"/>
                <w:sz w:val="18"/>
              </w:rPr>
              <w:t>0.95%</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4,132,2</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4,132,2</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林佩璇</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0.92%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1,269,1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名股东的情况（如有）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公司股东蔡廷祥和股东吴淡珠为夫妻关系；蔡廷祥与陈素芳是舅甥亲属关系。</w:t>
            </w:r>
          </w:p>
        </w:tc>
      </w:tr>
      <w:tr>
        <w:trPr>
          <w:trHeight w:val="40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80"/>
        <w:gridCol w:w="3989"/>
        <w:gridCol w:w="1349"/>
        <w:gridCol w:w="1350"/>
      </w:tblGrid>
      <w:tr>
        <w:trPr>
          <w:trHeight w:val="402" w:hRule="exact"/>
        </w:trPr>
        <w:tc>
          <w:tcPr>
            <w:tcW w:w="28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vMerge/>
            <w:tcBorders>
              <w:left w:val="single" w:sz="4" w:space="0" w:color="000000"/>
              <w:bottom w:val="single" w:sz="4" w:space="0" w:color="000000"/>
              <w:right w:val="single" w:sz="4" w:space="0" w:color="000000"/>
            </w:tcBorders>
            <w:shd w:val="clear" w:color="auto" w:fill="D2D2D2"/>
          </w:tcPr>
          <w:p>
            <w:pPr/>
          </w:p>
        </w:tc>
        <w:tc>
          <w:tcPr>
            <w:tcW w:w="3989"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19,800,000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15,237,500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15,237,500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华润深国投信托有限公司－韬蕴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号集合资金信托计划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5,859,899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5,859,899</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徐雪英</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4,635,676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4,635,676</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华润深国投信托有限公司－润之 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期集合资金信托计划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4,630,000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4,630,000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华润深国投信托有限公司－和阳 常青集合资金信托计划</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4,132,208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4,132,208</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林佩璇</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3,712,500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3,712,500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陈剑武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3,622,600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3,622,600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3,117,275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3,117,275</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103" w:right="15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公司股东蔡廷祥和股东吴淡珠为夫妻关系；蔡廷祥与陈素芳是舅甥亲属关系。</w:t>
            </w:r>
          </w:p>
        </w:tc>
      </w:tr>
      <w:tr>
        <w:trPr>
          <w:trHeight w:val="2042"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公司股东徐雪英除通过普通证券账户持有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3,435,676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股外，还通过广发证券股份有</w:t>
            </w:r>
          </w:p>
          <w:p>
            <w:pPr>
              <w:pStyle w:val="TableParagraph"/>
              <w:spacing w:line="328" w:lineRule="auto" w:before="64"/>
              <w:ind w:left="103" w:right="92"/>
              <w:jc w:val="left"/>
              <w:rPr>
                <w:rFonts w:ascii="宋体" w:hAnsi="宋体" w:cs="宋体" w:eastAsia="宋体" w:hint="default"/>
                <w:sz w:val="18"/>
                <w:szCs w:val="18"/>
              </w:rPr>
            </w:pPr>
            <w:r>
              <w:rPr>
                <w:rFonts w:ascii="宋体" w:hAnsi="宋体" w:cs="宋体" w:eastAsia="宋体" w:hint="default"/>
                <w:sz w:val="18"/>
                <w:szCs w:val="18"/>
              </w:rPr>
              <w:t>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4,635,676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公司股东林佩璇通过安信证券股份有限公司客户信用交易担保证券账户持有 </w:t>
            </w:r>
            <w:r>
              <w:rPr>
                <w:rFonts w:ascii="Times New Roman" w:hAnsi="Times New Roman" w:cs="Times New Roman" w:eastAsia="Times New Roman" w:hint="default"/>
                <w:sz w:val="18"/>
                <w:szCs w:val="18"/>
              </w:rPr>
              <w:t>4,000,000 </w:t>
            </w:r>
            <w:r>
              <w:rPr>
                <w:rFonts w:ascii="宋体" w:hAnsi="宋体" w:cs="宋体" w:eastAsia="宋体" w:hint="default"/>
                <w:sz w:val="18"/>
                <w:szCs w:val="18"/>
              </w:rPr>
              <w:t>股。</w:t>
            </w:r>
          </w:p>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公司股东陈剑武通过东莞证券股份有限公司客户信用交易担保证券账户持有</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3,622,600 </w:t>
            </w:r>
            <w:r>
              <w:rPr>
                <w:rFonts w:ascii="宋体" w:hAnsi="宋体" w:cs="宋体" w:eastAsia="宋体" w:hint="default"/>
                <w:sz w:val="18"/>
                <w:szCs w:val="18"/>
              </w:rPr>
              <w:t>股。</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1133" w:right="0"/>
        <w:jc w:val="left"/>
      </w:pPr>
      <w:r>
        <w:rPr/>
        <w:t>□ 是 √ 否</w:t>
      </w:r>
    </w:p>
    <w:p>
      <w:pPr>
        <w:pStyle w:val="BodyText"/>
        <w:spacing w:line="240" w:lineRule="auto" w:before="116"/>
        <w:ind w:left="1133"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公司控股股东情况" w:id="110"/>
      <w:bookmarkEnd w:id="11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3"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98"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2"/>
              <w:jc w:val="both"/>
              <w:rPr>
                <w:rFonts w:ascii="宋体" w:hAnsi="宋体" w:cs="宋体" w:eastAsia="宋体" w:hint="default"/>
                <w:sz w:val="18"/>
                <w:szCs w:val="18"/>
              </w:rPr>
            </w:pPr>
            <w:r>
              <w:rPr>
                <w:rFonts w:ascii="宋体" w:hAnsi="宋体" w:cs="宋体" w:eastAsia="宋体" w:hint="default"/>
                <w:sz w:val="18"/>
                <w:szCs w:val="18"/>
              </w:rPr>
              <w:t>现任本公司董事长、总经理，并兼任中国陶瓷工业协会副理事长、中国轻工 工艺品进出口商会兼职副会长、深圳市潮汕商会名誉会长、潮州市陶瓷行业 </w:t>
            </w:r>
            <w:r>
              <w:rPr>
                <w:rFonts w:ascii="宋体" w:hAnsi="宋体" w:cs="宋体" w:eastAsia="宋体" w:hint="default"/>
                <w:spacing w:val="-6"/>
                <w:sz w:val="18"/>
                <w:szCs w:val="18"/>
              </w:rPr>
              <w:t>协会永远名誉会长等社会职务，获得“优秀青年企业家”、“中国优秀民营科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1"/>
                <w:sz w:val="18"/>
                <w:szCs w:val="18"/>
              </w:rPr>
              <w:t>技企业家”、“广东省优秀民营企业家”、“中国陶瓷行业杰出企业家”等荣誉</w:t>
            </w:r>
          </w:p>
        </w:tc>
      </w:tr>
    </w:tbl>
    <w:p>
      <w:pPr>
        <w:spacing w:after="0" w:line="316" w:lineRule="auto"/>
        <w:jc w:val="both"/>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417"/>
        <w:gridCol w:w="6151"/>
      </w:tblGrid>
      <w:tr>
        <w:trPr>
          <w:trHeight w:val="36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称号。</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控股股东报告期内变更</w:t>
      </w:r>
    </w:p>
    <w:p>
      <w:pPr>
        <w:pStyle w:val="BodyText"/>
        <w:spacing w:line="357" w:lineRule="auto" w:before="117"/>
        <w:ind w:right="8052"/>
        <w:jc w:val="left"/>
      </w:pPr>
      <w:r>
        <w:rPr/>
        <w:t>□ 适用 √ 不适用 公司报告期控股股东未发生变更。</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公司实际控制人情况" w:id="111"/>
      <w:bookmarkEnd w:id="111"/>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0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蔡廷祥，现任本公司董事长、总经理，并兼任中国陶瓷工业协会副理事长、 中国轻工工艺品进出口商会兼职副会长、深圳市潮汕商会名誉会长、潮州市 </w:t>
            </w:r>
            <w:r>
              <w:rPr>
                <w:rFonts w:ascii="宋体" w:hAnsi="宋体" w:cs="宋体" w:eastAsia="宋体" w:hint="default"/>
                <w:spacing w:val="-6"/>
                <w:sz w:val="18"/>
                <w:szCs w:val="18"/>
              </w:rPr>
              <w:t>陶瓷行业协会永远名誉会长等社会职务，获得“优秀青年企业家”、“中国优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1"/>
                <w:sz w:val="18"/>
                <w:szCs w:val="18"/>
              </w:rPr>
              <w:t>秀民营科技企业家”、“广东省优秀民营企业家”、“中国陶瓷行业杰出企业家”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等荣誉称号。</w:t>
            </w:r>
          </w:p>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吴淡珠，现任本公司副董事长、副总经理。</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60" w:lineRule="auto" w:before="117"/>
        <w:ind w:right="6792"/>
        <w:jc w:val="left"/>
      </w:pPr>
      <w:r>
        <w:rPr/>
        <w:t>□ 适用 √ 不适用 公司报告期实际控制人未发生变更。 公司与实际控制人之间的产权及控制关系的方框图</w:t>
      </w:r>
    </w:p>
    <w:p>
      <w:pPr>
        <w:spacing w:after="0" w:line="36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p>
      <w:pPr>
        <w:spacing w:line="5115" w:lineRule="exact"/>
        <w:ind w:left="2338" w:right="0" w:firstLine="0"/>
        <w:rPr>
          <w:rFonts w:ascii="宋体" w:hAnsi="宋体" w:cs="宋体" w:eastAsia="宋体" w:hint="default"/>
          <w:sz w:val="20"/>
          <w:szCs w:val="20"/>
        </w:rPr>
      </w:pPr>
      <w:r>
        <w:rPr>
          <w:rFonts w:ascii="宋体" w:hAnsi="宋体" w:cs="宋体" w:eastAsia="宋体" w:hint="default"/>
          <w:position w:val="-101"/>
          <w:sz w:val="20"/>
          <w:szCs w:val="20"/>
        </w:rPr>
        <w:drawing>
          <wp:inline distT="0" distB="0" distL="0" distR="0">
            <wp:extent cx="4591050" cy="3248025"/>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9" cstate="print"/>
                    <a:stretch>
                      <a:fillRect/>
                    </a:stretch>
                  </pic:blipFill>
                  <pic:spPr>
                    <a:xfrm>
                      <a:off x="0" y="0"/>
                      <a:ext cx="4591050" cy="3248025"/>
                    </a:xfrm>
                    <a:prstGeom prst="rect">
                      <a:avLst/>
                    </a:prstGeom>
                  </pic:spPr>
                </pic:pic>
              </a:graphicData>
            </a:graphic>
          </wp:inline>
        </w:drawing>
      </w:r>
      <w:r>
        <w:rPr>
          <w:rFonts w:ascii="宋体" w:hAnsi="宋体" w:cs="宋体" w:eastAsia="宋体" w:hint="default"/>
          <w:position w:val="-101"/>
          <w:sz w:val="20"/>
          <w:szCs w:val="20"/>
        </w:rPr>
      </w:r>
    </w:p>
    <w:p>
      <w:pPr>
        <w:spacing w:line="240" w:lineRule="auto" w:before="0"/>
        <w:rPr>
          <w:rFonts w:ascii="宋体" w:hAnsi="宋体" w:cs="宋体" w:eastAsia="宋体" w:hint="default"/>
          <w:sz w:val="20"/>
          <w:szCs w:val="20"/>
        </w:rPr>
      </w:pPr>
    </w:p>
    <w:p>
      <w:pPr>
        <w:pStyle w:val="BodyText"/>
        <w:spacing w:line="240" w:lineRule="auto" w:before="44"/>
        <w:ind w:left="1133"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left="1133"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12"/>
      <w:bookmarkEnd w:id="11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控股股东、实际控制人、重组方及其他承诺主体股份限制减持情况" w:id="113"/>
      <w:bookmarkEnd w:id="11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3"/>
        <w:jc w:val="center"/>
        <w:rPr>
          <w:b w:val="0"/>
          <w:bCs w:val="0"/>
        </w:rPr>
      </w:pPr>
      <w:bookmarkStart w:name="第七节 优先股相关情况" w:id="114"/>
      <w:bookmarkEnd w:id="114"/>
      <w:r>
        <w:rPr>
          <w:b w:val="0"/>
          <w:bCs w:val="0"/>
        </w:rPr>
      </w:r>
      <w:bookmarkStart w:name="_bookmark6" w:id="115"/>
      <w:bookmarkEnd w:id="115"/>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right="8592"/>
        <w:jc w:val="left"/>
      </w:pPr>
      <w:r>
        <w:rPr/>
        <w:t>□ 适用 √ 不适用 报告期公司不存在优先股。</w:t>
      </w:r>
    </w:p>
    <w:p>
      <w:pPr>
        <w:spacing w:after="0" w:line="357"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660" w:right="0"/>
        <w:jc w:val="left"/>
        <w:rPr>
          <w:b w:val="0"/>
          <w:bCs w:val="0"/>
        </w:rPr>
      </w:pPr>
      <w:bookmarkStart w:name="第八节 董事、监事、高级管理人员和员工情况" w:id="116"/>
      <w:bookmarkEnd w:id="116"/>
      <w:r>
        <w:rPr>
          <w:b w:val="0"/>
          <w:bCs w:val="0"/>
        </w:rPr>
      </w:r>
      <w:bookmarkStart w:name="_bookmark7" w:id="117"/>
      <w:bookmarkEnd w:id="117"/>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8"/>
      <w:bookmarkEnd w:id="11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3" w:right="121"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董事 长、总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143,43</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7,500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143,43</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7,500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副董事 长、副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14,850,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14,850,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董事、 董秘、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7,492,5</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7,492,5</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23,772,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23,772,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847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贠庆怀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周林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谢建歆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郑舜玲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金永丽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谢洁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罗晨鹏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3"/>
              <w:jc w:val="both"/>
              <w:rPr>
                <w:rFonts w:ascii="宋体" w:hAnsi="宋体" w:cs="宋体" w:eastAsia="宋体" w:hint="default"/>
                <w:sz w:val="18"/>
                <w:szCs w:val="18"/>
              </w:rPr>
            </w:pPr>
            <w:r>
              <w:rPr>
                <w:rFonts w:ascii="宋体" w:hAnsi="宋体" w:cs="宋体" w:eastAsia="宋体" w:hint="default"/>
                <w:sz w:val="18"/>
                <w:szCs w:val="18"/>
              </w:rPr>
              <w:t>副总经 理、财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陈伟雄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卢俊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189,55</w:t>
            </w:r>
          </w:p>
          <w:p>
            <w:pPr>
              <w:pStyle w:val="TableParagraph"/>
              <w:spacing w:line="240" w:lineRule="auto" w:before="106"/>
              <w:ind w:left="280" w:right="0"/>
              <w:jc w:val="left"/>
              <w:rPr>
                <w:rFonts w:ascii="Times New Roman" w:hAnsi="Times New Roman" w:cs="Times New Roman" w:eastAsia="Times New Roman" w:hint="default"/>
                <w:sz w:val="18"/>
                <w:szCs w:val="18"/>
              </w:rPr>
            </w:pPr>
            <w:r>
              <w:rPr>
                <w:rFonts w:ascii="Times New Roman"/>
                <w:sz w:val="18"/>
              </w:rPr>
              <w:t>3,847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189,55</w:t>
            </w:r>
          </w:p>
          <w:p>
            <w:pPr>
              <w:pStyle w:val="TableParagraph"/>
              <w:spacing w:line="240" w:lineRule="auto" w:before="106"/>
              <w:ind w:left="280" w:right="0"/>
              <w:jc w:val="left"/>
              <w:rPr>
                <w:rFonts w:ascii="Times New Roman" w:hAnsi="Times New Roman" w:cs="Times New Roman" w:eastAsia="Times New Roman" w:hint="default"/>
                <w:sz w:val="18"/>
                <w:szCs w:val="18"/>
              </w:rPr>
            </w:pPr>
            <w:r>
              <w:rPr>
                <w:rFonts w:ascii="Times New Roman"/>
                <w:sz w:val="18"/>
              </w:rPr>
              <w:t>3,847</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19"/>
      <w:bookmarkEnd w:id="119"/>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郑舜玲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换届离任</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0"/>
      <w:bookmarkEnd w:id="120"/>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公司现任董事、监事、高级管理人员专业背景、主要工作经历以及目前在公司的主要职责</w:t>
      </w:r>
    </w:p>
    <w:p>
      <w:pPr>
        <w:pStyle w:val="BodyText"/>
        <w:spacing w:line="300" w:lineRule="auto" w:before="115"/>
        <w:ind w:left="1556" w:right="4930"/>
        <w:jc w:val="left"/>
      </w:pPr>
      <w:r>
        <w:rPr>
          <w:rFonts w:ascii="Times New Roman" w:hAnsi="Times New Roman" w:cs="Times New Roman" w:eastAsia="Times New Roman" w:hint="default"/>
        </w:rPr>
        <w:t>1</w:t>
      </w:r>
      <w:r>
        <w:rPr/>
        <w:t>、董事会成员 公司董事会由</w:t>
      </w:r>
      <w:r>
        <w:rPr>
          <w:rFonts w:ascii="Times New Roman" w:hAnsi="Times New Roman" w:cs="Times New Roman" w:eastAsia="Times New Roman" w:hint="default"/>
        </w:rPr>
        <w:t>7</w:t>
      </w:r>
      <w:r>
        <w:rPr/>
        <w:t>名董事组成，其中独立董事</w:t>
      </w:r>
      <w:r>
        <w:rPr>
          <w:rFonts w:ascii="Times New Roman" w:hAnsi="Times New Roman" w:cs="Times New Roman" w:eastAsia="Times New Roman" w:hint="default"/>
        </w:rPr>
        <w:t>3</w:t>
      </w:r>
      <w:r>
        <w:rPr/>
        <w:t>名。公司董事简历如下：</w:t>
      </w:r>
    </w:p>
    <w:p>
      <w:pPr>
        <w:pStyle w:val="BodyText"/>
        <w:spacing w:line="314" w:lineRule="auto" w:before="13"/>
        <w:ind w:left="1133" w:right="1129" w:firstLine="422"/>
        <w:jc w:val="both"/>
      </w:pPr>
      <w:r>
        <w:rPr/>
        <w:t>董事长 蔡廷祥，男，中国国籍，无永久境外居留权，</w:t>
      </w:r>
      <w:r>
        <w:rPr>
          <w:rFonts w:ascii="Times New Roman" w:hAnsi="Times New Roman" w:cs="Times New Roman" w:eastAsia="Times New Roman" w:hint="default"/>
        </w:rPr>
        <w:t>1965</w:t>
      </w:r>
      <w:r>
        <w:rPr>
          <w:rFonts w:ascii="Times New Roman" w:hAnsi="Times New Roman" w:cs="Times New Roman" w:eastAsia="Times New Roman" w:hint="default"/>
          <w:spacing w:val="-12"/>
        </w:rPr>
        <w:t> </w:t>
      </w:r>
      <w:r>
        <w:rPr/>
        <w:t>年出生，长江商学院高级工商管理硕士。曾任潮州市长城 </w:t>
      </w:r>
      <w:r>
        <w:rPr>
          <w:spacing w:val="-2"/>
        </w:rPr>
        <w:t>陶瓷制作厂总经理，广东长城集团有限公司董事长，广东省第十二届、第十三届人大代表。现任本公司董事长、总经理，并</w:t>
      </w:r>
      <w:r>
        <w:rPr>
          <w:spacing w:val="-66"/>
        </w:rPr>
        <w:t> </w:t>
      </w:r>
      <w:r>
        <w:rPr>
          <w:spacing w:val="-66"/>
        </w:rPr>
      </w:r>
      <w:r>
        <w:rPr>
          <w:spacing w:val="-2"/>
        </w:rPr>
        <w:t>兼任中国陶瓷工业协会副理事长、中国轻工工艺品进出口商会兼职副会长、深圳市潮汕商会名誉会长、潮州市陶瓷行业协会</w:t>
      </w:r>
      <w:r>
        <w:rPr>
          <w:spacing w:val="-66"/>
        </w:rPr>
        <w:t> </w:t>
      </w:r>
      <w:r>
        <w:rPr>
          <w:spacing w:val="-66"/>
        </w:rPr>
      </w:r>
      <w:r>
        <w:rPr>
          <w:spacing w:val="-11"/>
        </w:rPr>
        <w:t>永远名誉会长等社会职务，获得“优秀青年企业家”、“中国优秀民营科技企业家”、“广东省优秀民营企业家”、“中国陶瓷行</w:t>
      </w:r>
      <w:r>
        <w:rPr/>
        <w:t> 业杰出企业家”等荣誉称号。</w:t>
      </w:r>
    </w:p>
    <w:p>
      <w:pPr>
        <w:pStyle w:val="BodyText"/>
        <w:spacing w:line="300" w:lineRule="auto" w:before="20"/>
        <w:ind w:left="1133" w:right="1167" w:firstLine="422"/>
        <w:jc w:val="both"/>
      </w:pPr>
      <w:r>
        <w:rPr/>
        <w:t>副董事长</w:t>
      </w:r>
      <w:r>
        <w:rPr>
          <w:spacing w:val="90"/>
        </w:rPr>
        <w:t> </w:t>
      </w:r>
      <w:r>
        <w:rPr/>
        <w:t>吴淡珠，女，中国国籍，无永久境外居留权，</w:t>
      </w:r>
      <w:r>
        <w:rPr>
          <w:rFonts w:ascii="Times New Roman" w:hAnsi="Times New Roman" w:cs="Times New Roman" w:eastAsia="Times New Roman" w:hint="default"/>
        </w:rPr>
        <w:t>1973</w:t>
      </w:r>
      <w:r>
        <w:rPr/>
        <w:t>年出生，本科学历。曾任潮州市长城陶瓷制作厂副总经 理，广东长城集团有限公司营销总监。现任本公司副董事长、副总经理。</w:t>
      </w:r>
    </w:p>
    <w:p>
      <w:pPr>
        <w:pStyle w:val="BodyText"/>
        <w:spacing w:line="307" w:lineRule="auto" w:before="31"/>
        <w:ind w:left="1133" w:right="1077" w:firstLine="422"/>
        <w:jc w:val="both"/>
      </w:pPr>
      <w:r>
        <w:rPr/>
        <w:t>董事、董秘 任锋，男，中国国籍，无永久境外居留权，</w:t>
      </w:r>
      <w:r>
        <w:rPr>
          <w:rFonts w:ascii="Times New Roman" w:hAnsi="Times New Roman" w:cs="Times New Roman" w:eastAsia="Times New Roman" w:hint="default"/>
        </w:rPr>
        <w:t>1969</w:t>
      </w:r>
      <w:r>
        <w:rPr/>
        <w:t>年出生，研究生学历、硕士学位，并先后在长江商学院、 </w:t>
      </w:r>
      <w:r>
        <w:rPr>
          <w:spacing w:val="-2"/>
        </w:rPr>
        <w:t>中欧商学院进修学习。曾任职于辽宁省八家子铅锌矿技术室、北京城建亚泰公司市政分公司、广东省潮州市神奇果园旅游景</w:t>
      </w:r>
      <w:r>
        <w:rPr>
          <w:spacing w:val="-66"/>
        </w:rPr>
        <w:t> </w:t>
      </w:r>
      <w:r>
        <w:rPr>
          <w:spacing w:val="-66"/>
        </w:rPr>
      </w:r>
      <w:r>
        <w:rPr>
          <w:spacing w:val="-2"/>
        </w:rPr>
        <w:t>区、广东省高级技工学校潮州分校。</w:t>
      </w:r>
      <w:r>
        <w:rPr>
          <w:rFonts w:ascii="Times New Roman" w:hAnsi="Times New Roman" w:cs="Times New Roman" w:eastAsia="Times New Roman" w:hint="default"/>
          <w:spacing w:val="-2"/>
        </w:rPr>
        <w:t>2003</w:t>
      </w:r>
      <w:r>
        <w:rPr>
          <w:spacing w:val="-2"/>
        </w:rPr>
        <w:t>年加入本公司并历任办公室主任、副总经理、常务副总经理。现任本公司董事会秘</w:t>
      </w:r>
      <w:r>
        <w:rPr>
          <w:spacing w:val="-62"/>
        </w:rPr>
        <w:t> </w:t>
      </w:r>
      <w:r>
        <w:rPr>
          <w:spacing w:val="-62"/>
        </w:rPr>
      </w:r>
      <w:r>
        <w:rPr/>
        <w:t>书、副总经理、董事，兼任子公司广东联汛教育科技有限公司董事长。</w:t>
      </w:r>
    </w:p>
    <w:p>
      <w:pPr>
        <w:pStyle w:val="BodyText"/>
        <w:spacing w:line="240" w:lineRule="auto" w:before="26"/>
        <w:ind w:left="1523" w:right="0"/>
        <w:jc w:val="left"/>
      </w:pPr>
      <w:r>
        <w:rPr/>
        <w:t>董事</w:t>
      </w:r>
      <w:r>
        <w:rPr>
          <w:spacing w:val="64"/>
        </w:rPr>
        <w:t> </w:t>
      </w:r>
      <w:r>
        <w:rPr/>
        <w:t>高洪星，男，中国国籍，无永久境外居留权，</w:t>
      </w:r>
      <w:r>
        <w:rPr>
          <w:rFonts w:ascii="Times New Roman" w:hAnsi="Times New Roman" w:cs="Times New Roman" w:eastAsia="Times New Roman" w:hint="default"/>
        </w:rPr>
        <w:t>1962</w:t>
      </w:r>
      <w:r>
        <w:rPr/>
        <w:t>年出生，博士，高级经济师。</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日前，曾任深圳发</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032"/>
        <w:jc w:val="left"/>
      </w:pPr>
      <w:r>
        <w:rPr>
          <w:spacing w:val="-2"/>
        </w:rPr>
        <w:t>展银行支行行长、中国农业发展银行广东省分行信贷处处长、国泰君安证券股份有限公司深圳分公司副总裁、华林证券有限</w:t>
      </w:r>
      <w:r>
        <w:rPr>
          <w:spacing w:val="-66"/>
        </w:rPr>
        <w:t> </w:t>
      </w:r>
      <w:r>
        <w:rPr>
          <w:spacing w:val="-66"/>
        </w:rPr>
      </w:r>
      <w:r>
        <w:rPr/>
        <w:t>责任公司董事长兼总裁。现任本公司董事、香港卫视董事局主席、北京对外经贸大学和人民银行总行研究生部研究生导师、 特聘教授、深圳高级职称评委会评委。</w:t>
      </w:r>
    </w:p>
    <w:p>
      <w:pPr>
        <w:pStyle w:val="BodyText"/>
        <w:spacing w:line="319" w:lineRule="auto" w:before="19"/>
        <w:ind w:left="1133" w:right="1132" w:firstLine="390"/>
        <w:jc w:val="both"/>
      </w:pPr>
      <w:r>
        <w:rPr/>
        <w:t>董事</w:t>
      </w:r>
      <w:r>
        <w:rPr>
          <w:spacing w:val="-24"/>
        </w:rPr>
        <w:t> </w:t>
      </w:r>
      <w:r>
        <w:rPr/>
        <w:t>许高镭，男，中国国籍，无境外永久居留权，出生于</w:t>
      </w:r>
      <w:r>
        <w:rPr>
          <w:rFonts w:ascii="宋体" w:hAnsi="宋体" w:cs="宋体" w:eastAsia="宋体" w:hint="default"/>
        </w:rPr>
        <w:t>1974</w:t>
      </w:r>
      <w:r>
        <w:rPr/>
        <w:t>年，计算机高级工程师、电子技术中级工程师、高级项 目经理，作为发明人申请中国发明专利</w:t>
      </w:r>
      <w:r>
        <w:rPr>
          <w:rFonts w:ascii="宋体" w:hAnsi="宋体" w:cs="宋体" w:eastAsia="宋体" w:hint="default"/>
        </w:rPr>
        <w:t>5</w:t>
      </w:r>
      <w:r>
        <w:rPr/>
        <w:t>项，曾任职于阳江市商务局，</w:t>
      </w:r>
      <w:r>
        <w:rPr>
          <w:rFonts w:ascii="宋体" w:hAnsi="宋体" w:cs="宋体" w:eastAsia="宋体" w:hint="default"/>
        </w:rPr>
        <w:t>2004</w:t>
      </w:r>
      <w:r>
        <w:rPr/>
        <w:t>年创办广东联汛教育科技有限公司，出任广东联 </w:t>
      </w:r>
      <w:r>
        <w:rPr>
          <w:spacing w:val="-2"/>
        </w:rPr>
        <w:t>汛教育科技有限公司董事长、总经理、法人代表，</w:t>
      </w:r>
      <w:r>
        <w:rPr>
          <w:rFonts w:ascii="宋体" w:hAnsi="宋体" w:cs="宋体" w:eastAsia="宋体" w:hint="default"/>
          <w:spacing w:val="-2"/>
        </w:rPr>
        <w:t>2016</w:t>
      </w:r>
      <w:r>
        <w:rPr>
          <w:spacing w:val="-2"/>
        </w:rPr>
        <w:t>年联汛教育被公司并购，成为公司全资公司。现任联汛教育公司总经</w:t>
      </w:r>
      <w:r>
        <w:rPr>
          <w:spacing w:val="-61"/>
        </w:rPr>
        <w:t> </w:t>
      </w:r>
      <w:r>
        <w:rPr>
          <w:spacing w:val="-61"/>
        </w:rPr>
      </w:r>
      <w:r>
        <w:rPr/>
        <w:t>理、法人代表，广东省阳江商会监事长。</w:t>
      </w:r>
    </w:p>
    <w:p>
      <w:pPr>
        <w:pStyle w:val="BodyText"/>
        <w:spacing w:line="314" w:lineRule="auto" w:before="17"/>
        <w:ind w:left="1133" w:right="1130" w:firstLine="422"/>
        <w:jc w:val="both"/>
      </w:pPr>
      <w:r>
        <w:rPr/>
        <w:t>独立董事</w:t>
      </w:r>
      <w:r>
        <w:rPr>
          <w:spacing w:val="33"/>
        </w:rPr>
        <w:t> </w:t>
      </w:r>
      <w:r>
        <w:rPr/>
        <w:t>朱利民，男，中国国籍，无永久境外居留权，</w:t>
      </w:r>
      <w:r>
        <w:rPr>
          <w:rFonts w:ascii="Times New Roman" w:hAnsi="Times New Roman" w:cs="Times New Roman" w:eastAsia="Times New Roman" w:hint="default"/>
        </w:rPr>
        <w:t>1951</w:t>
      </w:r>
      <w:r>
        <w:rPr/>
        <w:t>年出生，中国人民大学政治经济学研究生。退休。曾任 </w:t>
      </w:r>
      <w:r>
        <w:rPr>
          <w:spacing w:val="-2"/>
        </w:rPr>
        <w:t>国家体改委试点司副处长、综合规划试点司处长；民政部民福房地产公司副总经理，国家体改委下属中华股份制咨询公司副</w:t>
      </w:r>
      <w:r>
        <w:rPr>
          <w:spacing w:val="-66"/>
        </w:rPr>
        <w:t> </w:t>
      </w:r>
      <w:r>
        <w:rPr>
          <w:spacing w:val="-66"/>
        </w:rPr>
      </w:r>
      <w:r>
        <w:rPr>
          <w:spacing w:val="-2"/>
        </w:rPr>
        <w:t>总经理，中国证监会稽查局副局长、派出机构工作协调部主任，中信建投证券股份有限公司合规总监、监事会主席。现任焦</w:t>
      </w:r>
      <w:r>
        <w:rPr>
          <w:spacing w:val="-66"/>
        </w:rPr>
        <w:t> </w:t>
      </w:r>
      <w:r>
        <w:rPr>
          <w:spacing w:val="-66"/>
        </w:rPr>
      </w:r>
      <w:r>
        <w:rPr>
          <w:spacing w:val="-2"/>
        </w:rPr>
        <w:t>点科技股份有限公司、航天信息股份有限公司独立董事，以及兴业基金管理有限公司、金元证券股份有限公司等非上市公司</w:t>
      </w:r>
      <w:r>
        <w:rPr>
          <w:spacing w:val="-66"/>
        </w:rPr>
        <w:t> </w:t>
      </w:r>
      <w:r>
        <w:rPr>
          <w:spacing w:val="-66"/>
        </w:rPr>
      </w:r>
      <w:r>
        <w:rPr/>
        <w:t>的独立董事。</w:t>
      </w:r>
    </w:p>
    <w:p>
      <w:pPr>
        <w:pStyle w:val="BodyText"/>
        <w:spacing w:line="300" w:lineRule="auto" w:before="20"/>
        <w:ind w:left="1133" w:right="1130" w:firstLine="422"/>
        <w:jc w:val="both"/>
      </w:pPr>
      <w:r>
        <w:rPr/>
        <w:t>独立董事</w:t>
      </w:r>
      <w:r>
        <w:rPr>
          <w:spacing w:val="33"/>
        </w:rPr>
        <w:t> </w:t>
      </w:r>
      <w:r>
        <w:rPr/>
        <w:t>贠庆怀，男，中国国籍，无永久境外居留权，</w:t>
      </w:r>
      <w:r>
        <w:rPr>
          <w:rFonts w:ascii="Times New Roman" w:hAnsi="Times New Roman" w:cs="Times New Roman" w:eastAsia="Times New Roman" w:hint="default"/>
        </w:rPr>
        <w:t>1974</w:t>
      </w:r>
      <w:r>
        <w:rPr/>
        <w:t>年出生，专科学历，注册会计师。曾任济南建设设备安 装有限公司财务科长、山东万隆齐鲁会计师事务所项目经理。现任山东中诚信会计师事务所董事长。</w:t>
      </w:r>
    </w:p>
    <w:p>
      <w:pPr>
        <w:pStyle w:val="BodyText"/>
        <w:spacing w:line="300" w:lineRule="auto" w:before="31"/>
        <w:ind w:right="1130" w:firstLine="422"/>
        <w:jc w:val="both"/>
      </w:pPr>
      <w:r>
        <w:rPr/>
        <w:t>独立董事</w:t>
      </w:r>
      <w:r>
        <w:rPr>
          <w:spacing w:val="-52"/>
        </w:rPr>
        <w:t> </w:t>
      </w:r>
      <w:r>
        <w:rPr/>
        <w:t>周林，男，中国国籍，无永久境外居留权，</w:t>
      </w:r>
      <w:r>
        <w:rPr>
          <w:rFonts w:ascii="Times New Roman" w:hAnsi="Times New Roman" w:cs="Times New Roman" w:eastAsia="Times New Roman" w:hint="default"/>
        </w:rPr>
        <w:t>1965</w:t>
      </w:r>
      <w:r>
        <w:rPr/>
        <w:t>年出生，研究生学历。曾任职于江西省计划委员会、综合开 发研究院（中国深圳）副主任研究员。现任综合开发研究院（中国深圳）主任研究员。</w:t>
      </w:r>
    </w:p>
    <w:p>
      <w:pPr>
        <w:pStyle w:val="BodyText"/>
        <w:spacing w:line="300" w:lineRule="auto" w:before="31"/>
        <w:ind w:left="1493" w:right="4993"/>
        <w:jc w:val="left"/>
      </w:pPr>
      <w:r>
        <w:rPr>
          <w:rFonts w:ascii="Times New Roman" w:hAnsi="Times New Roman" w:cs="Times New Roman" w:eastAsia="Times New Roman" w:hint="default"/>
        </w:rPr>
        <w:t>2</w:t>
      </w:r>
      <w:r>
        <w:rPr/>
        <w:t>、监事会成员 公司监事会由</w:t>
      </w:r>
      <w:r>
        <w:rPr>
          <w:rFonts w:ascii="Times New Roman" w:hAnsi="Times New Roman" w:cs="Times New Roman" w:eastAsia="Times New Roman" w:hint="default"/>
        </w:rPr>
        <w:t>3</w:t>
      </w:r>
      <w:r>
        <w:rPr/>
        <w:t>名成员组成，其中职工代表</w:t>
      </w:r>
      <w:r>
        <w:rPr>
          <w:rFonts w:ascii="Times New Roman" w:hAnsi="Times New Roman" w:cs="Times New Roman" w:eastAsia="Times New Roman" w:hint="default"/>
        </w:rPr>
        <w:t>1</w:t>
      </w:r>
      <w:r>
        <w:rPr/>
        <w:t>名。公司监事简历如下：</w:t>
      </w:r>
    </w:p>
    <w:p>
      <w:pPr>
        <w:pStyle w:val="BodyText"/>
        <w:spacing w:line="309" w:lineRule="auto" w:before="13"/>
        <w:ind w:left="1133" w:right="1130" w:firstLine="360"/>
        <w:jc w:val="both"/>
      </w:pPr>
      <w:r>
        <w:rPr/>
        <w:t>监事会主席 谢建歆，男，中国国籍，无永久境外居留权，</w:t>
      </w:r>
      <w:r>
        <w:rPr>
          <w:rFonts w:ascii="Times New Roman" w:hAnsi="Times New Roman" w:cs="Times New Roman" w:eastAsia="Times New Roman" w:hint="default"/>
        </w:rPr>
        <w:t>1984</w:t>
      </w:r>
      <w:r>
        <w:rPr/>
        <w:t>年出生，本科学历。</w:t>
      </w:r>
      <w:r>
        <w:rPr>
          <w:rFonts w:ascii="Times New Roman" w:hAnsi="Times New Roman" w:cs="Times New Roman" w:eastAsia="Times New Roman" w:hint="default"/>
        </w:rPr>
        <w:t>2006</w:t>
      </w:r>
      <w:r>
        <w:rPr/>
        <w:t>年加入本公司，先后任技术 </w:t>
      </w:r>
      <w:r>
        <w:rPr>
          <w:spacing w:val="-2"/>
        </w:rPr>
        <w:t>研发中心样品室管理员、行政管理中心行政助理、行政管理中心人力资源部经理、人事总监、品牌总监、文化总监、办公室</w:t>
      </w:r>
      <w:r>
        <w:rPr>
          <w:spacing w:val="-68"/>
        </w:rPr>
        <w:t> </w:t>
      </w:r>
      <w:r>
        <w:rPr>
          <w:spacing w:val="-68"/>
        </w:rPr>
      </w:r>
      <w:r>
        <w:rPr/>
        <w:t>主任，现任公司瓷业总经理。</w:t>
      </w:r>
    </w:p>
    <w:p>
      <w:pPr>
        <w:pStyle w:val="BodyText"/>
        <w:spacing w:line="319" w:lineRule="auto" w:before="24"/>
        <w:ind w:left="1133" w:right="1139" w:firstLine="360"/>
        <w:jc w:val="both"/>
      </w:pPr>
      <w:r>
        <w:rPr/>
        <w:t>监事 谢洁，女，中国国籍，无境外永久居留权，</w:t>
      </w:r>
      <w:r>
        <w:rPr>
          <w:rFonts w:ascii="宋体" w:hAnsi="宋体" w:cs="宋体" w:eastAsia="宋体" w:hint="default"/>
        </w:rPr>
        <w:t>1990</w:t>
      </w:r>
      <w:r>
        <w:rPr/>
        <w:t>年出生，大专学历。</w:t>
      </w:r>
      <w:r>
        <w:rPr>
          <w:rFonts w:ascii="宋体" w:hAnsi="宋体" w:cs="宋体" w:eastAsia="宋体" w:hint="default"/>
        </w:rPr>
        <w:t>2012</w:t>
      </w:r>
      <w:r>
        <w:rPr/>
        <w:t>年加入本公司，曾任公司艺术馆讲解 员、销售部销售专员、人事部人事助理，现任公司证券部证券专员。</w:t>
      </w:r>
    </w:p>
    <w:p>
      <w:pPr>
        <w:pStyle w:val="BodyText"/>
        <w:spacing w:line="300" w:lineRule="auto" w:before="17"/>
        <w:ind w:left="1133" w:right="1049" w:firstLine="360"/>
        <w:jc w:val="both"/>
      </w:pPr>
      <w:r>
        <w:rPr/>
        <w:t>监事 金永丽，女，中国国籍，无永久境外居留权，</w:t>
      </w:r>
      <w:r>
        <w:rPr>
          <w:rFonts w:ascii="Times New Roman" w:hAnsi="Times New Roman" w:cs="Times New Roman" w:eastAsia="Times New Roman" w:hint="default"/>
        </w:rPr>
        <w:t>1981</w:t>
      </w:r>
      <w:r>
        <w:rPr/>
        <w:t>年出生，大专学历。</w:t>
      </w:r>
      <w:r>
        <w:rPr>
          <w:rFonts w:ascii="Times New Roman" w:hAnsi="Times New Roman" w:cs="Times New Roman" w:eastAsia="Times New Roman" w:hint="default"/>
        </w:rPr>
        <w:t>2003 </w:t>
      </w:r>
      <w:r>
        <w:rPr/>
        <w:t>年加入本公司，先后任车间统计、 试验室检测员。现任本公司研发中心助理兼成型制作部主任，职工代表监事。</w:t>
      </w:r>
    </w:p>
    <w:p>
      <w:pPr>
        <w:pStyle w:val="BodyText"/>
        <w:spacing w:line="240" w:lineRule="auto" w:before="31"/>
        <w:ind w:left="1556" w:right="0"/>
        <w:jc w:val="left"/>
      </w:pPr>
      <w:r>
        <w:rPr>
          <w:rFonts w:ascii="Times New Roman" w:hAnsi="Times New Roman" w:cs="Times New Roman" w:eastAsia="Times New Roman" w:hint="default"/>
        </w:rPr>
        <w:t>3</w:t>
      </w:r>
      <w:r>
        <w:rPr/>
        <w:t>、高级管理人员</w:t>
      </w:r>
    </w:p>
    <w:p>
      <w:pPr>
        <w:pStyle w:val="BodyText"/>
        <w:spacing w:line="316" w:lineRule="auto" w:before="63"/>
        <w:ind w:left="1494" w:right="5712"/>
        <w:jc w:val="left"/>
      </w:pPr>
      <w:r>
        <w:rPr/>
        <w:t>总经理 蔡廷祥，工作经历请参见前述董事会成员介绍。 副总经理 吴淡珠，工作经历请参见前述董事会成员介绍。 副总经理  任锋，工作经历请参见前述董事会成员介绍。</w:t>
      </w:r>
    </w:p>
    <w:p>
      <w:pPr>
        <w:pStyle w:val="BodyText"/>
        <w:spacing w:line="300" w:lineRule="auto" w:before="19"/>
        <w:ind w:left="1133" w:right="1132" w:firstLine="360"/>
        <w:jc w:val="both"/>
      </w:pPr>
      <w:r>
        <w:rPr/>
        <w:t>副总经理、财务总监</w:t>
      </w:r>
      <w:r>
        <w:rPr>
          <w:spacing w:val="7"/>
        </w:rPr>
        <w:t> </w:t>
      </w:r>
      <w:r>
        <w:rPr/>
        <w:t>罗晨鹏，男，中国国籍，无永久境外居留权，</w:t>
      </w:r>
      <w:r>
        <w:rPr>
          <w:rFonts w:ascii="Times New Roman" w:hAnsi="Times New Roman" w:cs="Times New Roman" w:eastAsia="Times New Roman" w:hint="default"/>
        </w:rPr>
        <w:t>1972</w:t>
      </w:r>
      <w:r>
        <w:rPr/>
        <w:t>年出生，大学本科学历。曾任职于美的集团股 份有限公司。自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月加入广东文化长城集团股份有限公司，一直从事财务相关工作。</w:t>
      </w:r>
    </w:p>
    <w:p>
      <w:pPr>
        <w:pStyle w:val="BodyText"/>
        <w:spacing w:line="300" w:lineRule="auto" w:before="53"/>
        <w:ind w:left="1133" w:right="1132" w:firstLine="360"/>
        <w:jc w:val="both"/>
      </w:pPr>
      <w:r>
        <w:rPr/>
        <w:t>副总经理</w:t>
      </w:r>
      <w:r>
        <w:rPr>
          <w:spacing w:val="7"/>
        </w:rPr>
        <w:t> </w:t>
      </w:r>
      <w:r>
        <w:rPr/>
        <w:t>陈伟雄，男，中国国籍，无永久境外居留权，</w:t>
      </w:r>
      <w:r>
        <w:rPr>
          <w:rFonts w:ascii="Times New Roman" w:hAnsi="Times New Roman" w:cs="Times New Roman" w:eastAsia="Times New Roman" w:hint="default"/>
        </w:rPr>
        <w:t>1974</w:t>
      </w:r>
      <w:r>
        <w:rPr/>
        <w:t>年出生，本科学历。</w:t>
      </w:r>
      <w:r>
        <w:rPr>
          <w:rFonts w:ascii="Times New Roman" w:hAnsi="Times New Roman" w:cs="Times New Roman" w:eastAsia="Times New Roman" w:hint="default"/>
        </w:rPr>
        <w:t>1994</w:t>
      </w:r>
      <w:r>
        <w:rPr/>
        <w:t>年加入本公司，先后任总经理助 理、行政总监、办公室主任。现任本公司副总经理兼项目拓展部总监。</w:t>
      </w:r>
    </w:p>
    <w:p>
      <w:pPr>
        <w:pStyle w:val="BodyText"/>
        <w:spacing w:line="319" w:lineRule="auto" w:before="71"/>
        <w:ind w:right="1129" w:firstLine="360"/>
        <w:jc w:val="both"/>
      </w:pPr>
      <w:r>
        <w:rPr/>
        <w:t>副总经理</w:t>
      </w:r>
      <w:r>
        <w:rPr>
          <w:spacing w:val="10"/>
        </w:rPr>
        <w:t> </w:t>
      </w:r>
      <w:r>
        <w:rPr/>
        <w:t>卢俊，男，中国国籍，无永久境外居留权，</w:t>
      </w:r>
      <w:r>
        <w:rPr>
          <w:rFonts w:ascii="宋体" w:hAnsi="宋体" w:cs="宋体" w:eastAsia="宋体" w:hint="default"/>
        </w:rPr>
        <w:t>1977</w:t>
      </w:r>
      <w:r>
        <w:rPr/>
        <w:t>年出生，本科学历。曾任职于广东二十一世纪传媒股份有限 公司。</w:t>
      </w:r>
      <w:r>
        <w:rPr>
          <w:rFonts w:ascii="宋体" w:hAnsi="宋体" w:cs="宋体" w:eastAsia="宋体" w:hint="default"/>
        </w:rPr>
        <w:t>2015</w:t>
      </w:r>
      <w:r>
        <w:rPr/>
        <w:t>年加入广东联汛教育科技有限公司任副总经理。现任本公司副总经理。</w:t>
      </w:r>
    </w:p>
    <w:p>
      <w:pPr>
        <w:pStyle w:val="BodyText"/>
        <w:spacing w:line="240" w:lineRule="auto" w:before="56"/>
        <w:ind w:left="1133" w:right="0"/>
        <w:jc w:val="left"/>
      </w:pPr>
      <w:r>
        <w:rPr/>
        <w:t>在股东单位任职情况</w:t>
      </w:r>
    </w:p>
    <w:p>
      <w:pPr>
        <w:pStyle w:val="BodyText"/>
        <w:spacing w:line="360" w:lineRule="auto" w:before="116"/>
        <w:ind w:right="9132"/>
        <w:jc w:val="left"/>
      </w:pPr>
      <w:r>
        <w:rPr/>
        <w:t>□ 适用 √ 不适用 在其他单位任职情况</w:t>
      </w:r>
    </w:p>
    <w:p>
      <w:pPr>
        <w:pStyle w:val="BodyText"/>
        <w:spacing w:line="240" w:lineRule="auto" w:before="26"/>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5" w:right="144"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6" w:right="164"/>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2" w:right="14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1" w:right="16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香港卫视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董事局主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95"/>
              <w:jc w:val="left"/>
              <w:rPr>
                <w:rFonts w:ascii="宋体" w:hAnsi="宋体" w:cs="宋体" w:eastAsia="宋体" w:hint="default"/>
                <w:sz w:val="18"/>
                <w:szCs w:val="18"/>
              </w:rPr>
            </w:pPr>
            <w:r>
              <w:rPr>
                <w:rFonts w:ascii="宋体" w:hAnsi="宋体" w:cs="宋体" w:eastAsia="宋体" w:hint="default"/>
                <w:sz w:val="18"/>
                <w:szCs w:val="18"/>
              </w:rPr>
              <w:t>北京对外经贸大学和人民银行总行研 究生部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研究生导 </w:t>
            </w:r>
            <w:r>
              <w:rPr>
                <w:rFonts w:ascii="宋体" w:hAnsi="宋体" w:cs="宋体" w:eastAsia="宋体" w:hint="default"/>
                <w:spacing w:val="-11"/>
                <w:sz w:val="18"/>
                <w:szCs w:val="18"/>
              </w:rPr>
              <w:t>师、特聘教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兴业基金管理有限公司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焦点科技股份有限公司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金元证券股份有限公司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航天信息股份有限公司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贠庆怀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山东中诚信会计师事务所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综合开发研究院（中国深圳）</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主任研究 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广东联汛教育科技有限公司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广东联汛教育科技有限公司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罗晨鹏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广东联汛教育科技有限公司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6"/>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1"/>
      <w:bookmarkEnd w:id="121"/>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9" w:lineRule="auto" w:before="115"/>
        <w:ind w:right="0"/>
        <w:jc w:val="left"/>
      </w:pPr>
      <w:r>
        <w:rPr>
          <w:rFonts w:ascii="Times New Roman" w:hAnsi="Times New Roman" w:cs="Times New Roman" w:eastAsia="Times New Roman" w:hint="default"/>
        </w:rPr>
        <w:t>1</w:t>
      </w:r>
      <w:r>
        <w:rPr/>
        <w:t>、董事、监事、高级管理人员报酬的决策程序 </w:t>
      </w:r>
      <w:r>
        <w:rPr>
          <w:spacing w:val="-2"/>
        </w:rPr>
        <w:t>公司董事、监事报酬由公司股东大会决定，公司高级管理人员报酬由公司董事会决定；在公司承担职务的董事、监事、高级</w:t>
      </w:r>
      <w:r>
        <w:rPr>
          <w:spacing w:val="-67"/>
        </w:rPr>
        <w:t> </w:t>
      </w:r>
      <w:r>
        <w:rPr>
          <w:spacing w:val="-67"/>
        </w:rPr>
      </w:r>
      <w:r>
        <w:rPr/>
        <w:t>管理人员报酬由公司支付，董事、监事不另外支付津贴。</w:t>
      </w:r>
    </w:p>
    <w:p>
      <w:pPr>
        <w:pStyle w:val="BodyText"/>
        <w:spacing w:line="309" w:lineRule="auto" w:before="24"/>
        <w:ind w:right="0"/>
        <w:jc w:val="left"/>
      </w:pPr>
      <w:r>
        <w:rPr>
          <w:rFonts w:ascii="Times New Roman" w:hAnsi="Times New Roman" w:cs="Times New Roman" w:eastAsia="Times New Roman" w:hint="default"/>
        </w:rPr>
        <w:t>2</w:t>
      </w:r>
      <w:r>
        <w:rPr/>
        <w:t>、董事、监事、高级管理人员报酬确定依据 </w:t>
      </w:r>
      <w:r>
        <w:rPr>
          <w:spacing w:val="-2"/>
        </w:rPr>
        <w:t>董事、监事和高级管理人员的报酬按照《公司章程》及《薪酬和考核委员会工作细则》等规定，依据公司经营状况、盈利水</w:t>
      </w:r>
      <w:r>
        <w:rPr>
          <w:spacing w:val="-72"/>
        </w:rPr>
        <w:t> </w:t>
      </w:r>
      <w:r>
        <w:rPr>
          <w:spacing w:val="-72"/>
        </w:rPr>
      </w:r>
      <w:r>
        <w:rPr/>
        <w:t>平结合其职位、责任、能力、市场薪资行情等因素确定并发放。</w:t>
      </w:r>
    </w:p>
    <w:p>
      <w:pPr>
        <w:pStyle w:val="BodyText"/>
        <w:spacing w:line="340" w:lineRule="auto" w:before="24"/>
        <w:ind w:left="1133" w:right="1843"/>
        <w:jc w:val="left"/>
      </w:pPr>
      <w:r>
        <w:rPr>
          <w:rFonts w:ascii="Times New Roman" w:hAnsi="Times New Roman" w:cs="Times New Roman" w:eastAsia="Times New Roman" w:hint="default"/>
        </w:rPr>
        <w:t>3</w:t>
      </w:r>
      <w:r>
        <w:rPr/>
        <w:t>、董事、监事和高级管理人员报酬的实际支付情况 公司现任董事、监事、高级管理人员共</w:t>
      </w:r>
      <w:r>
        <w:rPr>
          <w:rFonts w:ascii="Times New Roman" w:hAnsi="Times New Roman" w:cs="Times New Roman" w:eastAsia="Times New Roman" w:hint="default"/>
        </w:rPr>
        <w:t>14</w:t>
      </w:r>
      <w:r>
        <w:rPr/>
        <w:t>人，离任监事</w:t>
      </w:r>
      <w:r>
        <w:rPr>
          <w:rFonts w:ascii="Times New Roman" w:hAnsi="Times New Roman" w:cs="Times New Roman" w:eastAsia="Times New Roman" w:hint="default"/>
        </w:rPr>
        <w:t>1</w:t>
      </w:r>
      <w:r>
        <w:rPr/>
        <w:t>人，</w:t>
      </w:r>
      <w:r>
        <w:rPr>
          <w:rFonts w:ascii="Times New Roman" w:hAnsi="Times New Roman" w:cs="Times New Roman" w:eastAsia="Times New Roman" w:hint="default"/>
        </w:rPr>
        <w:t>2017</w:t>
      </w:r>
      <w:r>
        <w:rPr/>
        <w:t>年度在公司领取的税前报酬总额为</w:t>
      </w:r>
      <w:r>
        <w:rPr>
          <w:rFonts w:ascii="宋体" w:hAnsi="宋体" w:cs="宋体" w:eastAsia="宋体" w:hint="default"/>
        </w:rPr>
        <w:t>227.27</w:t>
      </w:r>
      <w:r>
        <w:rPr/>
        <w:t>万元。 公司报告期内董事、监事和高级管理人员报酬情况</w:t>
      </w:r>
    </w:p>
    <w:p>
      <w:pPr>
        <w:spacing w:after="0" w:line="3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副董事长、副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副董事长、副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许高镭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贠庆怀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周林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谢建歆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金永丽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谢洁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陈伟雄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罗晨鹏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73"/>
              <w:jc w:val="left"/>
              <w:rPr>
                <w:rFonts w:ascii="宋体" w:hAnsi="宋体" w:cs="宋体" w:eastAsia="宋体" w:hint="default"/>
                <w:sz w:val="18"/>
                <w:szCs w:val="18"/>
              </w:rPr>
            </w:pPr>
            <w:r>
              <w:rPr>
                <w:rFonts w:ascii="宋体" w:hAnsi="宋体" w:cs="宋体" w:eastAsia="宋体" w:hint="default"/>
                <w:sz w:val="18"/>
                <w:szCs w:val="18"/>
              </w:rPr>
              <w:t>财务总监、副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卢俊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郑舜玲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227.27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公司董事、高级管理人员报告期内被授予的股权激励情况</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公司员工情况" w:id="122"/>
      <w:bookmarkEnd w:id="122"/>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员工数量、专业构成及教育程度" w:id="123"/>
      <w:bookmarkEnd w:id="12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433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794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1,227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1,227</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235</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1,227</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720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1,227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4"/>
      <w:bookmarkEnd w:id="12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0"/>
        <w:jc w:val="left"/>
      </w:pPr>
      <w:r>
        <w:rPr>
          <w:spacing w:val="-2"/>
        </w:rPr>
        <w:t>公司根据宽带薪酬的原理设计公司薪酬标准，每年根据市场需求针对公司的不同岗位修订薪酬方案、提成方案和绩效考核方</w:t>
      </w:r>
      <w:r>
        <w:rPr>
          <w:spacing w:val="-64"/>
        </w:rPr>
        <w:t> </w:t>
      </w:r>
      <w:r>
        <w:rPr>
          <w:spacing w:val="-64"/>
        </w:rPr>
      </w:r>
      <w:r>
        <w:rPr/>
        <w:t>案，以保证薪资水平具有市场竞争力，同时可促进员工积极性，引导员工重视个人技能的增长和能力的提高。</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left="1133" w:right="0"/>
        <w:jc w:val="left"/>
        <w:rPr>
          <w:b w:val="0"/>
          <w:bCs w:val="0"/>
        </w:rPr>
      </w:pPr>
      <w:bookmarkStart w:name="3、培训计划" w:id="125"/>
      <w:bookmarkEnd w:id="12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933"/>
        <w:jc w:val="left"/>
      </w:pPr>
      <w:r>
        <w:rPr/>
        <w:t>本年度公司主要以内训与外训相结合的方式有针对性的对销售、生产管理、行政人事、财务等部门进行培训。 一、集团公司人事部门负责集团文化、发展战略、员工心态以及规章制度的培训； 二、邀请知名培训导师针对业务员和高层管理进行内部培训； 三、针对个别岗位提供专业性外训，如经营管理、财务、人力资源等专业性较强的岗位。 通过以上三种培训方式提高员工整体素质和业务水平，为公司培养和储备人才，为公司的可持续发展提供保障。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133" w:right="0"/>
        <w:jc w:val="left"/>
        <w:rPr>
          <w:b w:val="0"/>
          <w:bCs w:val="0"/>
        </w:rPr>
      </w:pPr>
      <w:bookmarkStart w:name="4、劳务外包情况" w:id="126"/>
      <w:bookmarkEnd w:id="12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3"/>
        <w:jc w:val="center"/>
        <w:rPr>
          <w:b w:val="0"/>
          <w:bCs w:val="0"/>
        </w:rPr>
      </w:pPr>
      <w:bookmarkStart w:name="第九节 公司治理" w:id="127"/>
      <w:bookmarkEnd w:id="127"/>
      <w:r>
        <w:rPr>
          <w:b w:val="0"/>
          <w:bCs w:val="0"/>
        </w:rPr>
      </w:r>
      <w:bookmarkStart w:name="_bookmark8" w:id="128"/>
      <w:bookmarkEnd w:id="12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both"/>
        <w:rPr>
          <w:b w:val="0"/>
          <w:bCs w:val="0"/>
        </w:rPr>
      </w:pPr>
      <w:bookmarkStart w:name="一、公司治理的基本状况" w:id="129"/>
      <w:bookmarkEnd w:id="129"/>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33" w:right="1033" w:firstLine="360"/>
        <w:jc w:val="left"/>
      </w:pPr>
      <w:r>
        <w:rPr>
          <w:spacing w:val="-12"/>
        </w:rPr>
        <w:t>报告期内，公司严格按照《公司法》、《证券法》、《深圳证券交易所创业板股票上市规则》、《深圳证券交易所创业板上市</w:t>
      </w:r>
      <w:r>
        <w:rPr/>
        <w:t> 公司规范运作指引》等有关法律、行政法规和规范性文件的要求，强化对公司内部控制的检查，完善公司的法人治理结构， </w:t>
      </w:r>
      <w:r>
        <w:rPr>
          <w:spacing w:val="-2"/>
        </w:rPr>
        <w:t>防范及控制经营决策及管理风险，促进公司规范运作，提高公司治理水平。截至报告期末，公司治理实际情况符合《上市公</w:t>
      </w:r>
      <w:r>
        <w:rPr>
          <w:spacing w:val="-66"/>
        </w:rPr>
        <w:t> </w:t>
      </w:r>
      <w:r>
        <w:rPr>
          <w:spacing w:val="-66"/>
        </w:rPr>
      </w:r>
      <w:r>
        <w:rPr/>
        <w:t>司治理准则》和《深圳证券交易所创业板上市公司规范运作指引》等文件的要求。</w:t>
      </w:r>
    </w:p>
    <w:p>
      <w:pPr>
        <w:pStyle w:val="BodyText"/>
        <w:spacing w:line="300" w:lineRule="auto" w:before="19"/>
        <w:ind w:left="1494" w:right="0" w:firstLine="1"/>
        <w:jc w:val="left"/>
      </w:pPr>
      <w:r>
        <w:rPr>
          <w:rFonts w:ascii="Times New Roman" w:hAnsi="Times New Roman" w:cs="Times New Roman" w:eastAsia="Times New Roman" w:hint="default"/>
          <w:b/>
          <w:bCs/>
        </w:rPr>
        <w:t>1</w:t>
      </w:r>
      <w:r>
        <w:rPr>
          <w:rFonts w:ascii="宋体" w:hAnsi="宋体" w:cs="宋体" w:eastAsia="宋体" w:hint="default"/>
          <w:b/>
          <w:bCs/>
        </w:rPr>
        <w:t>、股东与股东大会</w:t>
      </w:r>
      <w:r>
        <w:rPr>
          <w:rFonts w:ascii="宋体" w:hAnsi="宋体" w:cs="宋体" w:eastAsia="宋体" w:hint="default"/>
          <w:b/>
          <w:bCs/>
          <w:w w:val="99"/>
        </w:rPr>
        <w:t> </w:t>
      </w:r>
      <w:r>
        <w:rPr>
          <w:spacing w:val="-2"/>
        </w:rPr>
        <w:t>公司股东按照《公司章程》的规定按其所持股份享受股东权利，并承担相应义务。股东大会是公司最高权力机构，公司</w:t>
      </w:r>
    </w:p>
    <w:p>
      <w:pPr>
        <w:pStyle w:val="BodyText"/>
        <w:spacing w:line="316" w:lineRule="auto" w:before="31"/>
        <w:ind w:right="1131"/>
        <w:jc w:val="both"/>
      </w:pPr>
      <w:r>
        <w:rPr>
          <w:spacing w:val="-5"/>
        </w:rPr>
        <w:t>严格按照《上市公司股东大会规则》、《公司章程》和《股东大会议事规则》等规定和要求，规范地召集、召开股东大会，确</w:t>
      </w:r>
      <w:r>
        <w:rPr>
          <w:spacing w:val="-80"/>
        </w:rPr>
        <w:t> </w:t>
      </w:r>
      <w:r>
        <w:rPr>
          <w:spacing w:val="-80"/>
        </w:rPr>
      </w:r>
      <w:r>
        <w:rPr>
          <w:spacing w:val="-2"/>
        </w:rPr>
        <w:t>保所有股东，特别是中小股东享有平等的地位并能充分行使相应的权利。公司在业务、资产、人员、机构、财务等方面均独</w:t>
      </w:r>
      <w:r>
        <w:rPr>
          <w:spacing w:val="-70"/>
        </w:rPr>
        <w:t> </w:t>
      </w:r>
      <w:r>
        <w:rPr>
          <w:spacing w:val="-70"/>
        </w:rPr>
      </w:r>
      <w:r>
        <w:rPr/>
        <w:t>立于股东，充分保护了社会公众股股东的权益。</w:t>
      </w:r>
    </w:p>
    <w:p>
      <w:pPr>
        <w:spacing w:line="300" w:lineRule="auto" w:before="19"/>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、公司与控股股东、实际控制人</w:t>
      </w:r>
      <w:r>
        <w:rPr>
          <w:rFonts w:ascii="宋体" w:hAnsi="宋体" w:cs="宋体" w:eastAsia="宋体" w:hint="default"/>
          <w:b/>
          <w:bCs/>
          <w:w w:val="99"/>
          <w:sz w:val="18"/>
          <w:szCs w:val="18"/>
        </w:rPr>
        <w:t> </w:t>
      </w:r>
      <w:r>
        <w:rPr>
          <w:rFonts w:ascii="宋体" w:hAnsi="宋体" w:cs="宋体" w:eastAsia="宋体" w:hint="default"/>
          <w:spacing w:val="-2"/>
          <w:sz w:val="18"/>
          <w:szCs w:val="18"/>
        </w:rPr>
        <w:t>公司控股股东、实际控制人严格按照相关法律、法规、公司章程等规范自己的行为，没有超越股东大会直接或间接干预</w:t>
      </w:r>
    </w:p>
    <w:p>
      <w:pPr>
        <w:pStyle w:val="BodyText"/>
        <w:spacing w:line="316" w:lineRule="auto" w:before="31"/>
        <w:ind w:left="1133" w:right="1131"/>
        <w:jc w:val="both"/>
      </w:pPr>
      <w:r>
        <w:rPr>
          <w:spacing w:val="-2"/>
        </w:rPr>
        <w:t>公司的决策和经营活动。公司拥有独立完整的业务体系和自主经营能力，在业务、组织机构、财务、人员、资产上独立于控</w:t>
      </w:r>
      <w:r>
        <w:rPr>
          <w:spacing w:val="-69"/>
        </w:rPr>
        <w:t> </w:t>
      </w:r>
      <w:r>
        <w:rPr>
          <w:spacing w:val="-69"/>
        </w:rPr>
      </w:r>
      <w:r>
        <w:rPr>
          <w:spacing w:val="-2"/>
        </w:rPr>
        <w:t>股股东和实际控制人，公司董事会和监事会等内部机构独立运作。报告期内，公司没有为控股股东及关联企业提供担保，亦</w:t>
      </w:r>
      <w:r>
        <w:rPr>
          <w:spacing w:val="-66"/>
        </w:rPr>
        <w:t> </w:t>
      </w:r>
      <w:r>
        <w:rPr>
          <w:spacing w:val="-66"/>
        </w:rPr>
      </w:r>
      <w:r>
        <w:rPr/>
        <w:t>不存在控股股东占用上市公司资金的行为。</w:t>
      </w:r>
    </w:p>
    <w:p>
      <w:pPr>
        <w:pStyle w:val="BodyText"/>
        <w:spacing w:line="300" w:lineRule="auto" w:before="19"/>
        <w:ind w:left="1494" w:right="0" w:firstLine="1"/>
        <w:jc w:val="left"/>
      </w:pPr>
      <w:r>
        <w:rPr>
          <w:rFonts w:ascii="Times New Roman" w:hAnsi="Times New Roman" w:cs="Times New Roman" w:eastAsia="Times New Roman" w:hint="default"/>
          <w:b/>
          <w:bCs/>
        </w:rPr>
        <w:t>3</w:t>
      </w:r>
      <w:r>
        <w:rPr>
          <w:rFonts w:ascii="宋体" w:hAnsi="宋体" w:cs="宋体" w:eastAsia="宋体" w:hint="default"/>
          <w:b/>
          <w:bCs/>
        </w:rPr>
        <w:t>、董事与董事会</w:t>
      </w:r>
      <w:r>
        <w:rPr>
          <w:rFonts w:ascii="宋体" w:hAnsi="宋体" w:cs="宋体" w:eastAsia="宋体" w:hint="default"/>
          <w:b/>
          <w:bCs/>
          <w:w w:val="99"/>
        </w:rPr>
        <w:t> </w:t>
      </w:r>
      <w:r>
        <w:rPr>
          <w:spacing w:val="-2"/>
        </w:rPr>
        <w:t>公司董事会设董事</w:t>
      </w:r>
      <w:r>
        <w:rPr>
          <w:rFonts w:ascii="宋体" w:hAnsi="宋体" w:cs="宋体" w:eastAsia="宋体" w:hint="default"/>
          <w:spacing w:val="-2"/>
        </w:rPr>
        <w:t>8</w:t>
      </w:r>
      <w:r>
        <w:rPr>
          <w:spacing w:val="-2"/>
        </w:rPr>
        <w:t>名，其中独立董事</w:t>
      </w:r>
      <w:r>
        <w:rPr>
          <w:rFonts w:ascii="Times New Roman" w:hAnsi="Times New Roman" w:cs="Times New Roman" w:eastAsia="Times New Roman" w:hint="default"/>
          <w:spacing w:val="-2"/>
        </w:rPr>
        <w:t>3</w:t>
      </w:r>
      <w:r>
        <w:rPr>
          <w:spacing w:val="-2"/>
        </w:rPr>
        <w:t>名，董事会的人员构成符合法律、法规和《公司章程》的要求，公司董事会下设</w:t>
      </w:r>
    </w:p>
    <w:p>
      <w:pPr>
        <w:pStyle w:val="BodyText"/>
        <w:spacing w:line="316" w:lineRule="auto" w:before="13"/>
        <w:ind w:left="1133" w:right="1130"/>
        <w:jc w:val="both"/>
      </w:pPr>
      <w:r>
        <w:rPr>
          <w:spacing w:val="-2"/>
        </w:rPr>
        <w:t>战略发展、薪酬和考核、提名、审计等四个专门委员会。报告期内，各专门委员会分别按照《董事会战略发展委员会工作细</w:t>
      </w:r>
      <w:r>
        <w:rPr>
          <w:spacing w:val="-67"/>
        </w:rPr>
        <w:t> </w:t>
      </w:r>
      <w:r>
        <w:rPr>
          <w:spacing w:val="-67"/>
        </w:rPr>
      </w:r>
      <w:r>
        <w:rPr>
          <w:spacing w:val="-11"/>
        </w:rPr>
        <w:t>则》、《董事会薪酬和考核委员会工作细则》、《董事会提名委员会工作细则》和《审计委员会年报工作规则》、《审计委员会议</w:t>
      </w:r>
      <w:r>
        <w:rPr>
          <w:spacing w:val="-87"/>
        </w:rPr>
        <w:t> </w:t>
      </w:r>
      <w:r>
        <w:rPr>
          <w:spacing w:val="-87"/>
        </w:rPr>
      </w:r>
      <w:r>
        <w:rPr>
          <w:spacing w:val="-8"/>
        </w:rPr>
        <w:t>事规则》开展工作；各位董事能够依据《董事会议事规则》、《独立董事制度》、《深圳证券交易所创业板上市公司规范运作指</w:t>
      </w:r>
      <w:r>
        <w:rPr>
          <w:spacing w:val="-86"/>
        </w:rPr>
        <w:t> </w:t>
      </w:r>
      <w:r>
        <w:rPr>
          <w:spacing w:val="-86"/>
        </w:rPr>
      </w:r>
      <w:r>
        <w:rPr/>
        <w:t>引》等开展工作，出席董事会和股东大会，勤勉尽责地履行职责和义务。</w:t>
      </w:r>
    </w:p>
    <w:p>
      <w:pPr>
        <w:pStyle w:val="BodyText"/>
        <w:spacing w:line="300" w:lineRule="auto" w:before="19"/>
        <w:ind w:left="1494" w:right="0" w:hanging="6"/>
        <w:jc w:val="left"/>
      </w:pPr>
      <w:r>
        <w:rPr>
          <w:rFonts w:ascii="Times New Roman" w:hAnsi="Times New Roman" w:cs="Times New Roman" w:eastAsia="Times New Roman" w:hint="default"/>
          <w:b/>
          <w:bCs/>
        </w:rPr>
        <w:t>4</w:t>
      </w:r>
      <w:r>
        <w:rPr>
          <w:rFonts w:ascii="宋体" w:hAnsi="宋体" w:cs="宋体" w:eastAsia="宋体" w:hint="default"/>
          <w:b/>
          <w:bCs/>
        </w:rPr>
        <w:t>、监事与监事会</w:t>
      </w:r>
      <w:r>
        <w:rPr>
          <w:rFonts w:ascii="宋体" w:hAnsi="宋体" w:cs="宋体" w:eastAsia="宋体" w:hint="default"/>
          <w:b/>
          <w:bCs/>
          <w:w w:val="99"/>
        </w:rPr>
        <w:t>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名，监事会的人员构成符合法律、法规和《公司章程》的要求。报告期内，各位</w:t>
      </w:r>
    </w:p>
    <w:p>
      <w:pPr>
        <w:pStyle w:val="BodyText"/>
        <w:spacing w:line="316" w:lineRule="auto" w:before="13"/>
        <w:ind w:right="1130"/>
        <w:jc w:val="both"/>
      </w:pPr>
      <w:r>
        <w:rPr>
          <w:spacing w:val="-2"/>
        </w:rPr>
        <w:t>监事能够按照《监事会议事规则》的要求，认真履行自己的职责，本着对公司和全体股东负责的精神，依法、独立地对公司</w:t>
      </w:r>
      <w:r>
        <w:rPr>
          <w:spacing w:val="-67"/>
        </w:rPr>
        <w:t> </w:t>
      </w:r>
      <w:r>
        <w:rPr>
          <w:spacing w:val="-67"/>
        </w:rPr>
      </w:r>
      <w:r>
        <w:rPr/>
        <w:t>的重大事项、财务状况以及董事、高管人员履行职责的合法合规性进行监督。</w:t>
      </w:r>
    </w:p>
    <w:p>
      <w:pPr>
        <w:spacing w:line="300" w:lineRule="auto" w:before="19"/>
        <w:ind w:left="1496" w:right="0" w:hanging="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公司建立了高级管理人员的薪酬与企业经营业绩挂钩的激励约束机制。公司董事会下设的提名委员会、薪酬和考核委员</w:t>
      </w:r>
    </w:p>
    <w:p>
      <w:pPr>
        <w:pStyle w:val="BodyText"/>
        <w:spacing w:line="309" w:lineRule="auto" w:before="31"/>
        <w:ind w:left="1493" w:right="1118" w:hanging="360"/>
        <w:jc w:val="left"/>
      </w:pPr>
      <w:r>
        <w:rPr/>
        <w:t>会负责对公司的董事、监事、高管进行绩效考核，公司现有的考核及激励约束机制符合公司的发展现状。 </w:t>
      </w:r>
      <w:r>
        <w:rPr>
          <w:rFonts w:ascii="Times New Roman" w:hAnsi="Times New Roman" w:cs="Times New Roman" w:eastAsia="Times New Roman" w:hint="default"/>
          <w:b/>
          <w:bCs/>
        </w:rPr>
        <w:t>6</w:t>
      </w:r>
      <w:r>
        <w:rPr>
          <w:rFonts w:ascii="宋体" w:hAnsi="宋体" w:cs="宋体" w:eastAsia="宋体" w:hint="default"/>
          <w:b/>
          <w:bCs/>
        </w:rPr>
        <w:t>、关于信息披露与透明度</w:t>
      </w:r>
      <w:r>
        <w:rPr>
          <w:rFonts w:ascii="宋体" w:hAnsi="宋体" w:cs="宋体" w:eastAsia="宋体" w:hint="default"/>
          <w:b/>
          <w:bCs/>
          <w:w w:val="99"/>
        </w:rPr>
        <w:t> </w:t>
      </w:r>
      <w:r>
        <w:rPr>
          <w:spacing w:val="-2"/>
        </w:rPr>
        <w:t>公司制定的《信息披露制度》规范了公司信息披露行为，确保披露信息真实、准确、完整、及时，促进公司依法规范运</w:t>
      </w:r>
    </w:p>
    <w:p>
      <w:pPr>
        <w:pStyle w:val="BodyText"/>
        <w:spacing w:line="240" w:lineRule="auto" w:before="24"/>
        <w:ind w:left="1133" w:right="0"/>
        <w:jc w:val="both"/>
      </w:pPr>
      <w:r>
        <w:rPr/>
        <w:t>作，维护公司和投资者的合法权益。</w:t>
      </w:r>
      <w:r>
        <w:rPr>
          <w:spacing w:val="-17"/>
        </w:rPr>
        <w:t> </w:t>
      </w:r>
      <w:r>
        <w:rPr/>
        <w:t>公</w:t>
      </w:r>
      <w:r>
        <w:rPr>
          <w:spacing w:val="-2"/>
        </w:rPr>
        <w:t>司</w:t>
      </w:r>
      <w:r>
        <w:rPr/>
        <w:t>指定《中国证券报</w:t>
      </w:r>
      <w:r>
        <w:rPr>
          <w:spacing w:val="-90"/>
        </w:rPr>
        <w:t>》、</w:t>
      </w:r>
      <w:r>
        <w:rPr/>
        <w:t>《证券时报</w:t>
      </w:r>
      <w:r>
        <w:rPr>
          <w:spacing w:val="-90"/>
        </w:rPr>
        <w:t>》、</w:t>
      </w:r>
      <w:r>
        <w:rPr/>
        <w:t>《上海证券报</w:t>
      </w:r>
      <w:r>
        <w:rPr>
          <w:spacing w:val="-90"/>
        </w:rPr>
        <w:t>》、</w:t>
      </w:r>
      <w:r>
        <w:rPr/>
        <w:t>《证券日报》和巨潮网</w:t>
      </w:r>
    </w:p>
    <w:p>
      <w:pPr>
        <w:pStyle w:val="BodyText"/>
        <w:spacing w:line="240" w:lineRule="auto" w:before="76"/>
        <w:ind w:left="1133" w:right="0"/>
        <w:jc w:val="both"/>
      </w:pPr>
      <w:r>
        <w:rPr/>
        <w:t>（</w:t>
      </w:r>
      <w:hyperlink r:id="rId11">
        <w:r>
          <w:rPr>
            <w:rFonts w:ascii="Times New Roman" w:hAnsi="Times New Roman" w:cs="Times New Roman" w:eastAsia="Times New Roman" w:hint="default"/>
          </w:rPr>
          <w:t>www.cninfo.com.cn</w:t>
        </w:r>
      </w:hyperlink>
      <w:r>
        <w:rPr/>
        <w:t>）为公司信息披露的指定报纸和网站，确保公司所有股东能够以平等的机会获得信息。</w:t>
      </w:r>
    </w:p>
    <w:p>
      <w:pPr>
        <w:pStyle w:val="BodyText"/>
        <w:spacing w:line="300" w:lineRule="auto" w:before="63"/>
        <w:ind w:left="1496" w:right="0" w:hanging="5"/>
        <w:jc w:val="left"/>
      </w:pPr>
      <w:r>
        <w:rPr>
          <w:rFonts w:ascii="Times New Roman" w:hAnsi="Times New Roman" w:cs="Times New Roman" w:eastAsia="Times New Roman" w:hint="default"/>
          <w:b/>
          <w:bCs/>
        </w:rPr>
        <w:t>7</w:t>
      </w:r>
      <w:r>
        <w:rPr>
          <w:rFonts w:ascii="宋体" w:hAnsi="宋体" w:cs="宋体" w:eastAsia="宋体" w:hint="default"/>
          <w:b/>
          <w:bCs/>
        </w:rPr>
        <w:t>、相关利益者</w:t>
      </w:r>
      <w:r>
        <w:rPr>
          <w:rFonts w:ascii="宋体" w:hAnsi="宋体" w:cs="宋体" w:eastAsia="宋体" w:hint="default"/>
          <w:b/>
          <w:bCs/>
          <w:w w:val="99"/>
        </w:rPr>
        <w:t> </w:t>
      </w:r>
      <w:r>
        <w:rPr>
          <w:spacing w:val="-4"/>
        </w:rPr>
        <w:t>公司充分尊重和维护相关利益者的合法权益，实现社会、股东、员工等各方面利益的协调平衡，诚信对待供应商和客户，</w:t>
      </w:r>
    </w:p>
    <w:p>
      <w:pPr>
        <w:pStyle w:val="BodyText"/>
        <w:spacing w:line="360" w:lineRule="auto" w:before="31"/>
        <w:ind w:left="1133" w:right="3553"/>
        <w:jc w:val="left"/>
      </w:pPr>
      <w:r>
        <w:rPr/>
        <w:t>坚持与相关利益者互利共赢的原则，共同推动公司持续、稳健发展。 公司治理的实际状况与中国证监会发布的有关上市公司治理的规范性文件是否存在重大差异</w:t>
      </w:r>
    </w:p>
    <w:p>
      <w:pPr>
        <w:pStyle w:val="BodyText"/>
        <w:spacing w:line="357" w:lineRule="auto" w:before="27"/>
        <w:ind w:left="1133" w:right="3553"/>
        <w:jc w:val="left"/>
      </w:pPr>
      <w:r>
        <w:rPr/>
        <w:t>□ 是 √ 否 公司治理的实际状况与中国证监会发布的有关上市公司治理的规范性文件不存在重大差异。</w:t>
      </w:r>
    </w:p>
    <w:p>
      <w:pPr>
        <w:spacing w:after="0" w:line="357" w:lineRule="auto"/>
        <w:jc w:val="left"/>
        <w:sectPr>
          <w:pgSz w:w="11910" w:h="16840"/>
          <w:pgMar w:header="907" w:footer="1019" w:top="1100" w:bottom="1200" w:left="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both"/>
        <w:rPr>
          <w:b w:val="0"/>
          <w:bCs w:val="0"/>
        </w:rPr>
      </w:pPr>
      <w:bookmarkStart w:name="二、公司相对于控股股东在业务、人员、资产、机构、财务等方面的独立情况" w:id="130"/>
      <w:bookmarkEnd w:id="130"/>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54" w:right="6012"/>
        <w:jc w:val="left"/>
      </w:pPr>
      <w:r>
        <w:rPr/>
        <w:t>公司独立性情况良好，具有面向市场自主经营的能力。 </w:t>
      </w:r>
      <w:r>
        <w:rPr>
          <w:rFonts w:ascii="宋体" w:hAnsi="宋体" w:cs="宋体" w:eastAsia="宋体" w:hint="default"/>
        </w:rPr>
        <w:t>1</w:t>
      </w:r>
      <w:r>
        <w:rPr/>
        <w:t>、人员独立</w:t>
      </w:r>
    </w:p>
    <w:p>
      <w:pPr>
        <w:pStyle w:val="BodyText"/>
        <w:spacing w:line="316" w:lineRule="auto" w:before="19"/>
        <w:ind w:left="1133" w:right="1131" w:firstLine="420"/>
        <w:jc w:val="both"/>
      </w:pPr>
      <w:r>
        <w:rPr>
          <w:spacing w:val="-4"/>
        </w:rPr>
        <w:t>公司的高管人员严格按照《公司法》、《公司章程》的相关规定产生，不存在由控股股东任免或审批的情形，未在控股</w:t>
      </w:r>
      <w:r>
        <w:rPr/>
        <w:t> </w:t>
      </w:r>
      <w:r>
        <w:rPr>
          <w:spacing w:val="-2"/>
        </w:rPr>
        <w:t>股东单位兼任除董事以外的其他职务，公司与高管人员签订的合同中不存在约定高管人员必须遵守控股股东有关干部管理权</w:t>
      </w:r>
      <w:r>
        <w:rPr>
          <w:spacing w:val="-64"/>
        </w:rPr>
        <w:t> </w:t>
      </w:r>
      <w:r>
        <w:rPr>
          <w:spacing w:val="-64"/>
        </w:rPr>
      </w:r>
      <w:r>
        <w:rPr>
          <w:spacing w:val="-2"/>
        </w:rPr>
        <w:t>限等规定的情形。公司人事及工资管理与股东单位完全严格分离，公司与员工已签订了《劳动合同》，所有员工均在公司领</w:t>
      </w:r>
      <w:r>
        <w:rPr>
          <w:spacing w:val="-72"/>
        </w:rPr>
        <w:t> </w:t>
      </w:r>
      <w:r>
        <w:rPr>
          <w:spacing w:val="-72"/>
        </w:rPr>
      </w:r>
      <w:r>
        <w:rPr/>
        <w:t>薪及购买社保，公司的劳动、人事及工资管理完全独立。</w:t>
      </w:r>
    </w:p>
    <w:p>
      <w:pPr>
        <w:pStyle w:val="BodyText"/>
        <w:spacing w:line="316" w:lineRule="auto" w:before="19"/>
        <w:ind w:left="1553" w:right="1153"/>
        <w:jc w:val="left"/>
      </w:pPr>
      <w:r>
        <w:rPr>
          <w:rFonts w:ascii="宋体" w:hAnsi="宋体" w:cs="宋体" w:eastAsia="宋体" w:hint="default"/>
        </w:rPr>
        <w:t>2</w:t>
      </w:r>
      <w:r>
        <w:rPr/>
        <w:t>、资产独立 公司所拥有和使用的资产主要包括土地、房屋、机器设备、无形资产等与生产经营相关的资产以及其他辅助、配套资</w:t>
      </w:r>
    </w:p>
    <w:p>
      <w:pPr>
        <w:pStyle w:val="BodyText"/>
        <w:spacing w:line="316" w:lineRule="auto" w:before="19"/>
        <w:ind w:left="1133" w:right="1133"/>
        <w:jc w:val="both"/>
      </w:pPr>
      <w:r>
        <w:rPr>
          <w:spacing w:val="-2"/>
        </w:rPr>
        <w:t>产，公司对该等资产拥有合法、完整的所有权或使用权，不存在向公司大股东租赁经营场所或与控股股东在同一厂区办公的</w:t>
      </w:r>
      <w:r>
        <w:rPr>
          <w:spacing w:val="-66"/>
        </w:rPr>
        <w:t> </w:t>
      </w:r>
      <w:r>
        <w:rPr>
          <w:spacing w:val="-66"/>
        </w:rPr>
      </w:r>
      <w:r>
        <w:rPr/>
        <w:t>情形。公司具备自己独立的商标，不存在向大股东租赁商标使用权的情形。</w:t>
      </w:r>
    </w:p>
    <w:p>
      <w:pPr>
        <w:pStyle w:val="BodyText"/>
        <w:spacing w:line="316" w:lineRule="auto" w:before="19"/>
        <w:ind w:left="1494" w:right="1032" w:firstLine="60"/>
        <w:jc w:val="left"/>
      </w:pPr>
      <w:r>
        <w:rPr>
          <w:rFonts w:ascii="宋体" w:hAnsi="宋体" w:cs="宋体" w:eastAsia="宋体" w:hint="default"/>
        </w:rPr>
        <w:t>3</w:t>
      </w:r>
      <w:r>
        <w:rPr/>
        <w:t>、财务管理独立 公司设立了完整独立的财务部门，配备了独立的财务人员，建立了独立的财务核算体系，公司制定了完备的规章制度，</w:t>
      </w:r>
    </w:p>
    <w:p>
      <w:pPr>
        <w:pStyle w:val="BodyText"/>
        <w:spacing w:line="316" w:lineRule="auto" w:before="19"/>
        <w:ind w:right="1131"/>
        <w:jc w:val="both"/>
      </w:pPr>
      <w:r>
        <w:rPr>
          <w:spacing w:val="-2"/>
        </w:rPr>
        <w:t>建立了严格的内部控制制度，独立开立银行账户、依法独立纳税。不存在公司与控股股东使用同一财务信息系统，或与控股</w:t>
      </w:r>
      <w:r>
        <w:rPr>
          <w:spacing w:val="-66"/>
        </w:rPr>
        <w:t> </w:t>
      </w:r>
      <w:r>
        <w:rPr>
          <w:spacing w:val="-66"/>
        </w:rPr>
      </w:r>
      <w:r>
        <w:rPr/>
        <w:t>股东的系统联网，控股股东能随意查询或修改公司财务信息的情形。</w:t>
      </w:r>
    </w:p>
    <w:p>
      <w:pPr>
        <w:pStyle w:val="BodyText"/>
        <w:spacing w:line="316" w:lineRule="auto" w:before="19"/>
        <w:ind w:left="1553" w:right="1153"/>
        <w:jc w:val="left"/>
      </w:pPr>
      <w:r>
        <w:rPr>
          <w:rFonts w:ascii="宋体" w:hAnsi="宋体" w:cs="宋体" w:eastAsia="宋体" w:hint="default"/>
        </w:rPr>
        <w:t>4</w:t>
      </w:r>
      <w:r>
        <w:rPr/>
        <w:t>、机构独立 公司建立了自身完整的组织结构，根据相关法律法规的要求建立了较完善的法人治理结构及各种规章制度，不存在控</w:t>
      </w:r>
    </w:p>
    <w:p>
      <w:pPr>
        <w:pStyle w:val="BodyText"/>
        <w:spacing w:line="316" w:lineRule="auto" w:before="19"/>
        <w:ind w:left="1133" w:right="1132"/>
        <w:jc w:val="both"/>
      </w:pPr>
      <w:r>
        <w:rPr>
          <w:spacing w:val="-2"/>
        </w:rPr>
        <w:t>股股东直接发文要求上市公司执行控股股东单位管理制度的情形。公司可经董事会审批后自主调整机构设置，不须报控股股</w:t>
      </w:r>
      <w:r>
        <w:rPr>
          <w:spacing w:val="-64"/>
        </w:rPr>
        <w:t> </w:t>
      </w:r>
      <w:r>
        <w:rPr>
          <w:spacing w:val="-64"/>
        </w:rPr>
      </w:r>
      <w:r>
        <w:rPr>
          <w:spacing w:val="-2"/>
        </w:rPr>
        <w:t>东批准，不存在公司与控股股东部门职责未分开，人员任职重叠，人事、内部审计、档案管理部门相应职能由控股股东代为</w:t>
      </w:r>
      <w:r>
        <w:rPr>
          <w:spacing w:val="-66"/>
        </w:rPr>
        <w:t> </w:t>
      </w:r>
      <w:r>
        <w:rPr>
          <w:spacing w:val="-66"/>
        </w:rPr>
      </w:r>
      <w:r>
        <w:rPr/>
        <w:t>行使，控股股东的日常事务由上市公司经营管理人员负责等情形。</w:t>
      </w:r>
    </w:p>
    <w:p>
      <w:pPr>
        <w:pStyle w:val="BodyText"/>
        <w:spacing w:line="319" w:lineRule="auto" w:before="19"/>
        <w:ind w:left="1494" w:right="1118" w:firstLine="60"/>
        <w:jc w:val="left"/>
      </w:pPr>
      <w:r>
        <w:rPr>
          <w:rFonts w:ascii="宋体" w:hAnsi="宋体" w:cs="宋体" w:eastAsia="宋体" w:hint="default"/>
        </w:rPr>
        <w:t>5</w:t>
      </w:r>
      <w:r>
        <w:rPr/>
        <w:t>、业务独立 </w:t>
      </w:r>
      <w:r>
        <w:rPr>
          <w:spacing w:val="-2"/>
        </w:rPr>
        <w:t>公司具有独立的研发、生产、销售业务体系，拥有完整的法人财产权，能够独立支配和使用人、财、物等生产要素，顺</w:t>
      </w:r>
    </w:p>
    <w:p>
      <w:pPr>
        <w:pStyle w:val="BodyText"/>
        <w:spacing w:line="316" w:lineRule="auto" w:before="17"/>
        <w:ind w:right="1131"/>
        <w:jc w:val="both"/>
      </w:pPr>
      <w:r>
        <w:rPr>
          <w:spacing w:val="-2"/>
        </w:rPr>
        <w:t>利组织和实施生产经营活动。在业务上与控股股东控制的关联企业不存在同业竞争关系；在采购、生产和销售上不依赖于任</w:t>
      </w:r>
      <w:r>
        <w:rPr>
          <w:spacing w:val="-66"/>
        </w:rPr>
        <w:t> </w:t>
      </w:r>
      <w:r>
        <w:rPr>
          <w:spacing w:val="-66"/>
        </w:rPr>
      </w:r>
      <w:r>
        <w:rPr>
          <w:spacing w:val="-2"/>
        </w:rPr>
        <w:t>何企业或个人。公司董事会能对公司的资金运用、重大投资项目等自主审议，不存在经控股股东审批的情形。公司不存在与</w:t>
      </w:r>
      <w:r>
        <w:rPr>
          <w:spacing w:val="-66"/>
        </w:rPr>
        <w:t> </w:t>
      </w:r>
      <w:r>
        <w:rPr>
          <w:spacing w:val="-66"/>
        </w:rPr>
      </w:r>
      <w:r>
        <w:rPr/>
        <w:t>控股股东合署办公，共用一套管理系统的情形。</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31"/>
      <w:bookmarkEnd w:id="131"/>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四、报告期内召开的年度股东大会和临时股东大会的有关情况" w:id="132"/>
      <w:bookmarkEnd w:id="132"/>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both"/>
        <w:rPr>
          <w:b w:val="0"/>
          <w:bCs w:val="0"/>
        </w:rPr>
      </w:pPr>
      <w:bookmarkStart w:name="1、本报告期股东大会情况" w:id="133"/>
      <w:bookmarkEnd w:id="13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102"/>
              <w:jc w:val="left"/>
              <w:rPr>
                <w:rFonts w:ascii="宋体" w:hAnsi="宋体" w:cs="宋体" w:eastAsia="宋体" w:hint="default"/>
                <w:sz w:val="18"/>
                <w:szCs w:val="18"/>
              </w:rPr>
            </w:pPr>
            <w:r>
              <w:rPr>
                <w:rFonts w:ascii="宋体" w:hAnsi="宋体" w:cs="宋体" w:eastAsia="宋体" w:hint="default"/>
                <w:spacing w:val="-7"/>
                <w:sz w:val="18"/>
                <w:szCs w:val="18"/>
              </w:rPr>
              <w:t>巨潮资讯网《</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年度股东大会决 议公告》</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2017-021</w:t>
            </w:r>
            <w:r>
              <w:rPr>
                <w:rFonts w:ascii="宋体" w:hAnsi="宋体" w:cs="宋体" w:eastAsia="宋体" w:hint="default"/>
                <w:sz w:val="18"/>
                <w:szCs w:val="18"/>
              </w:rPr>
              <w:t>）</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41"/>
              <w:jc w:val="left"/>
              <w:rPr>
                <w:rFonts w:ascii="宋体" w:hAnsi="宋体" w:cs="宋体" w:eastAsia="宋体" w:hint="default"/>
                <w:sz w:val="18"/>
                <w:szCs w:val="18"/>
              </w:rPr>
            </w:pPr>
            <w:r>
              <w:rPr>
                <w:rFonts w:ascii="宋体" w:hAnsi="宋体" w:cs="宋体" w:eastAsia="宋体" w:hint="default"/>
                <w:spacing w:val="-7"/>
                <w:sz w:val="18"/>
                <w:szCs w:val="18"/>
              </w:rPr>
              <w:t>巨潮资讯网《</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年第一次临时股 东大会决议公告》</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2017-039</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41"/>
              <w:jc w:val="left"/>
              <w:rPr>
                <w:rFonts w:ascii="宋体" w:hAnsi="宋体" w:cs="宋体" w:eastAsia="宋体" w:hint="default"/>
                <w:sz w:val="18"/>
                <w:szCs w:val="18"/>
              </w:rPr>
            </w:pPr>
            <w:r>
              <w:rPr>
                <w:rFonts w:ascii="宋体" w:hAnsi="宋体" w:cs="宋体" w:eastAsia="宋体" w:hint="default"/>
                <w:spacing w:val="-7"/>
                <w:sz w:val="18"/>
                <w:szCs w:val="18"/>
              </w:rPr>
              <w:t>巨潮资讯网《</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年第二次临时股 东大会决议公告》</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2017-067</w:t>
            </w:r>
            <w:r>
              <w:rPr>
                <w:rFonts w:ascii="宋体" w:hAnsi="宋体" w:cs="宋体" w:eastAsia="宋体" w:hint="default"/>
                <w:sz w:val="18"/>
                <w:szCs w:val="18"/>
              </w:rPr>
              <w:t>）</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41"/>
              <w:jc w:val="left"/>
              <w:rPr>
                <w:rFonts w:ascii="宋体" w:hAnsi="宋体" w:cs="宋体" w:eastAsia="宋体" w:hint="default"/>
                <w:sz w:val="18"/>
                <w:szCs w:val="18"/>
              </w:rPr>
            </w:pPr>
            <w:r>
              <w:rPr>
                <w:rFonts w:ascii="宋体" w:hAnsi="宋体" w:cs="宋体" w:eastAsia="宋体" w:hint="default"/>
                <w:spacing w:val="-7"/>
                <w:sz w:val="18"/>
                <w:szCs w:val="18"/>
              </w:rPr>
              <w:t>巨潮资讯网《</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年第三次临时股 东大会决议公告》</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2017-087</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4"/>
      <w:bookmarkEnd w:id="13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报告期内独立董事履行职责的情况" w:id="135"/>
      <w:bookmarkEnd w:id="135"/>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独立董事出席董事会及股东大会的情况" w:id="136"/>
      <w:bookmarkEnd w:id="13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17" w:right="125"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25" w:right="125"/>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16" w:right="126"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94" w:right="126"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5" w:right="125"/>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6"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朱利民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贠庆怀</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left="1133" w:right="5533"/>
        <w:jc w:val="left"/>
      </w:pPr>
      <w:r>
        <w:rPr/>
        <w:t>连续两次未亲自出席董事会的说明 报告期内，独立董事均未出现连续两次未亲自出席董事会的情形。</w:t>
      </w:r>
    </w:p>
    <w:p>
      <w:pPr>
        <w:spacing w:line="240" w:lineRule="auto" w:before="11"/>
        <w:rPr>
          <w:rFonts w:ascii="宋体" w:hAnsi="宋体" w:cs="宋体" w:eastAsia="宋体" w:hint="default"/>
          <w:sz w:val="19"/>
          <w:szCs w:val="19"/>
        </w:rPr>
      </w:pPr>
    </w:p>
    <w:p>
      <w:pPr>
        <w:pStyle w:val="Heading3"/>
        <w:spacing w:line="240" w:lineRule="auto"/>
        <w:ind w:left="1133" w:right="0"/>
        <w:jc w:val="left"/>
        <w:rPr>
          <w:b w:val="0"/>
          <w:bCs w:val="0"/>
        </w:rPr>
      </w:pPr>
      <w:bookmarkStart w:name="2、独立董事对公司有关事项提出异议的情况" w:id="137"/>
      <w:bookmarkEnd w:id="13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57" w:lineRule="auto" w:before="116"/>
        <w:ind w:left="1133" w:right="6973"/>
        <w:jc w:val="left"/>
      </w:pPr>
      <w:r>
        <w:rPr/>
        <w:t>□ 是 √ 否 报告期内独立董事对公司有关事项未提出异议。</w:t>
      </w:r>
    </w:p>
    <w:p>
      <w:pPr>
        <w:spacing w:line="240" w:lineRule="auto" w:before="1"/>
        <w:rPr>
          <w:rFonts w:ascii="宋体" w:hAnsi="宋体" w:cs="宋体" w:eastAsia="宋体" w:hint="default"/>
          <w:sz w:val="20"/>
          <w:szCs w:val="20"/>
        </w:rPr>
      </w:pPr>
    </w:p>
    <w:p>
      <w:pPr>
        <w:pStyle w:val="Heading3"/>
        <w:spacing w:line="240" w:lineRule="auto"/>
        <w:ind w:left="1133" w:right="0"/>
        <w:jc w:val="left"/>
        <w:rPr>
          <w:b w:val="0"/>
          <w:bCs w:val="0"/>
        </w:rPr>
      </w:pPr>
      <w:bookmarkStart w:name="3、独立董事履行职责的其他说明" w:id="138"/>
      <w:bookmarkEnd w:id="13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独立董事对公司有关建议是否被采纳</w:t>
      </w:r>
    </w:p>
    <w:p>
      <w:pPr>
        <w:pStyle w:val="BodyText"/>
        <w:spacing w:line="357" w:lineRule="auto" w:before="117"/>
        <w:ind w:left="1133" w:right="6793"/>
        <w:jc w:val="left"/>
      </w:pPr>
      <w:r>
        <w:rPr/>
        <w:t>√ 是 □ 否 独立董事对公司有关建议被采纳或未被采纳的说明</w:t>
      </w:r>
    </w:p>
    <w:p>
      <w:pPr>
        <w:pStyle w:val="BodyText"/>
        <w:spacing w:line="316" w:lineRule="auto" w:before="26"/>
        <w:ind w:left="1133" w:right="1130" w:firstLine="360"/>
        <w:jc w:val="both"/>
      </w:pPr>
      <w:r>
        <w:rPr>
          <w:spacing w:val="-5"/>
        </w:rPr>
        <w:t>报告期内，独立董事严格按照《公司章程》、《独立董事工作制度》等的相关规定勤勉履行职责，忠实履行职务，积极参</w:t>
      </w:r>
      <w:r>
        <w:rPr/>
        <w:t> </w:t>
      </w:r>
      <w:r>
        <w:rPr>
          <w:spacing w:val="-2"/>
        </w:rPr>
        <w:t>加历次董事会，审议各项议案。通过出席董事会、股东大会、现场办公等方式，深入了解公司生产经营状况和内部控制的建</w:t>
      </w:r>
      <w:r>
        <w:rPr>
          <w:spacing w:val="-66"/>
        </w:rPr>
        <w:t> </w:t>
      </w:r>
      <w:r>
        <w:rPr>
          <w:spacing w:val="-66"/>
        </w:rPr>
      </w:r>
      <w:r>
        <w:rPr>
          <w:spacing w:val="-2"/>
        </w:rPr>
        <w:t>设及董事会各项决议执行情况，并利用自已的专业优势为公司经营和发展提出了合理化的意见和建议，对公司利润分配、续</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60" w:lineRule="auto" w:before="44"/>
        <w:ind w:left="1494" w:right="1032" w:hanging="360"/>
        <w:jc w:val="left"/>
      </w:pPr>
      <w:r>
        <w:rPr/>
        <w:t>聘审计机构等相关事项发表了客观、公正的独立意见，对董事会决策的公正、公平及保护中小投资者利益起到了积极作用。 报告期内，公司各位独立董事对董事会各项议案及公司其他事项没有提出异议。</w:t>
      </w:r>
    </w:p>
    <w:p>
      <w:pPr>
        <w:spacing w:line="240" w:lineRule="auto" w:before="2"/>
        <w:rPr>
          <w:rFonts w:ascii="宋体" w:hAnsi="宋体" w:cs="宋体" w:eastAsia="宋体" w:hint="default"/>
          <w:sz w:val="18"/>
          <w:szCs w:val="18"/>
        </w:rPr>
      </w:pPr>
    </w:p>
    <w:p>
      <w:pPr>
        <w:pStyle w:val="Heading2"/>
        <w:spacing w:line="240" w:lineRule="auto"/>
        <w:ind w:left="1133" w:right="0"/>
        <w:jc w:val="left"/>
        <w:rPr>
          <w:b w:val="0"/>
          <w:bCs w:val="0"/>
        </w:rPr>
      </w:pPr>
      <w:bookmarkStart w:name="六、董事会下设专门委员会在报告期内履行职责情况" w:id="139"/>
      <w:bookmarkEnd w:id="139"/>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4" w:right="0" w:hanging="360"/>
        <w:jc w:val="left"/>
      </w:pPr>
      <w:r>
        <w:rPr>
          <w:rFonts w:ascii="Times New Roman" w:hAnsi="Times New Roman" w:cs="Times New Roman" w:eastAsia="Times New Roman" w:hint="default"/>
        </w:rPr>
        <w:t>1</w:t>
      </w:r>
      <w:r>
        <w:rPr/>
        <w:t>、董事会审计委员会 </w:t>
      </w:r>
      <w:r>
        <w:rPr>
          <w:spacing w:val="-12"/>
        </w:rPr>
        <w:t>公司董事会审计委员会根据《公司法》、《证券法》、《上市公司治理准则》、公司《审计委员会年报工作规则》、《审计委</w:t>
      </w:r>
    </w:p>
    <w:p>
      <w:pPr>
        <w:pStyle w:val="BodyText"/>
        <w:spacing w:line="316" w:lineRule="auto" w:before="31"/>
        <w:ind w:right="1131"/>
        <w:jc w:val="both"/>
      </w:pPr>
      <w:r>
        <w:rPr>
          <w:spacing w:val="-2"/>
        </w:rPr>
        <w:t>员会议事规则》等有关规定，认真履行职责，持续关注公司情况和重大事项进展，指导公司审计部在内部审计过程中应重点</w:t>
      </w:r>
      <w:r>
        <w:rPr>
          <w:spacing w:val="-66"/>
        </w:rPr>
        <w:t> </w:t>
      </w:r>
      <w:r>
        <w:rPr>
          <w:spacing w:val="-66"/>
        </w:rPr>
      </w:r>
      <w:r>
        <w:rPr>
          <w:spacing w:val="-2"/>
        </w:rPr>
        <w:t>关注和检查的事项，督促公司内部控制的有效执行。与公司聘任的审计机构积极沟通、加强联系，督促其提高审计效率，按</w:t>
      </w:r>
      <w:r>
        <w:rPr>
          <w:spacing w:val="-66"/>
        </w:rPr>
        <w:t> </w:t>
      </w:r>
      <w:r>
        <w:rPr>
          <w:spacing w:val="-66"/>
        </w:rPr>
      </w:r>
      <w:r>
        <w:rPr/>
        <w:t>计划进行审计工作，切实履行了审计委员会的职责。</w:t>
      </w:r>
    </w:p>
    <w:p>
      <w:pPr>
        <w:pStyle w:val="BodyText"/>
        <w:spacing w:line="300" w:lineRule="auto" w:before="19"/>
        <w:ind w:left="1494" w:right="1136" w:hanging="360"/>
        <w:jc w:val="left"/>
      </w:pPr>
      <w:r>
        <w:rPr>
          <w:rFonts w:ascii="Times New Roman" w:hAnsi="Times New Roman" w:cs="Times New Roman" w:eastAsia="Times New Roman" w:hint="default"/>
        </w:rPr>
        <w:t>2</w:t>
      </w:r>
      <w:r>
        <w:rPr/>
        <w:t>、董事会薪酬与考核委员会 </w:t>
      </w:r>
      <w:r>
        <w:rPr>
          <w:spacing w:val="-2"/>
        </w:rPr>
        <w:t>报告期内，公司董事会薪酬与考核委员会严格按照相关法律法规及《公司章程》、公司《董事会薪酬和考核委员会工作</w:t>
      </w:r>
    </w:p>
    <w:p>
      <w:pPr>
        <w:pStyle w:val="BodyText"/>
        <w:spacing w:line="316" w:lineRule="auto" w:before="31"/>
        <w:ind w:right="0"/>
        <w:jc w:val="left"/>
      </w:pPr>
      <w:r>
        <w:rPr>
          <w:spacing w:val="-2"/>
        </w:rPr>
        <w:t>细则》的规定开展相关工作，对公司董事和高级管理人员的薪酬情况进行了考评，并对公司薪酬情况、绩效管理、奖金发放</w:t>
      </w:r>
      <w:r>
        <w:rPr>
          <w:spacing w:val="-66"/>
        </w:rPr>
        <w:t> </w:t>
      </w:r>
      <w:r>
        <w:rPr>
          <w:spacing w:val="-66"/>
        </w:rPr>
      </w:r>
      <w:r>
        <w:rPr/>
        <w:t>提出了建设性意见。</w:t>
      </w:r>
    </w:p>
    <w:p>
      <w:pPr>
        <w:pStyle w:val="BodyText"/>
        <w:spacing w:line="240" w:lineRule="auto" w:before="19"/>
        <w:ind w:right="0"/>
        <w:jc w:val="left"/>
      </w:pPr>
      <w:r>
        <w:rPr>
          <w:rFonts w:ascii="Times New Roman" w:hAnsi="Times New Roman" w:cs="Times New Roman" w:eastAsia="Times New Roman" w:hint="default"/>
        </w:rPr>
        <w:t>3</w:t>
      </w:r>
      <w:r>
        <w:rPr/>
        <w:t>、战略委员会</w:t>
      </w:r>
    </w:p>
    <w:p>
      <w:pPr>
        <w:pStyle w:val="BodyText"/>
        <w:spacing w:line="316" w:lineRule="auto" w:before="63"/>
        <w:ind w:left="1133" w:right="1133" w:firstLine="360"/>
        <w:jc w:val="both"/>
      </w:pPr>
      <w:r>
        <w:rPr>
          <w:spacing w:val="-2"/>
        </w:rPr>
        <w:t>报告期内，公司董事会战略委员会按照相关法律法规及《公司章程》、公司《董事会战略发展委员会工作细则》等相关</w:t>
      </w:r>
      <w:r>
        <w:rPr/>
        <w:t> </w:t>
      </w:r>
      <w:r>
        <w:rPr>
          <w:spacing w:val="-2"/>
        </w:rPr>
        <w:t>制度的规定，深入了解公司的经营情况及发展状况，对未来一段时间内公司所处行业的发展态势进行了研究，积极探讨符合</w:t>
      </w:r>
      <w:r>
        <w:rPr>
          <w:spacing w:val="-66"/>
        </w:rPr>
        <w:t> </w:t>
      </w:r>
      <w:r>
        <w:rPr>
          <w:spacing w:val="-66"/>
        </w:rPr>
      </w:r>
      <w:r>
        <w:rPr/>
        <w:t>公司发展方向的战略布局，为公司实现快速、持续、健康的发展积极出谋划策。</w:t>
      </w:r>
    </w:p>
    <w:p>
      <w:pPr>
        <w:pStyle w:val="BodyText"/>
        <w:spacing w:line="240" w:lineRule="auto" w:before="19"/>
        <w:ind w:left="1133" w:right="0"/>
        <w:jc w:val="left"/>
      </w:pPr>
      <w:r>
        <w:rPr>
          <w:rFonts w:ascii="Times New Roman" w:hAnsi="Times New Roman" w:cs="Times New Roman" w:eastAsia="Times New Roman" w:hint="default"/>
        </w:rPr>
        <w:t>4</w:t>
      </w:r>
      <w:r>
        <w:rPr/>
        <w:t>、提名委员会</w:t>
      </w:r>
    </w:p>
    <w:p>
      <w:pPr>
        <w:pStyle w:val="BodyText"/>
        <w:spacing w:line="316" w:lineRule="auto" w:before="63"/>
        <w:ind w:left="1133" w:right="1140" w:firstLine="360"/>
        <w:jc w:val="both"/>
      </w:pPr>
      <w:r>
        <w:rPr>
          <w:spacing w:val="-2"/>
        </w:rPr>
        <w:t>报告期内，公司董事会提名委员会按照相关法律法规及《公司章程》、公司《董事会提名委员会工作细则》等相关制度</w:t>
      </w:r>
      <w:r>
        <w:rPr/>
        <w:t> 的规定，秉承勤勉尽职的工作原则，在公司董事会、高级管理人员的选任方面提出了建设性的意见。</w:t>
      </w:r>
    </w:p>
    <w:p>
      <w:pPr>
        <w:spacing w:line="240" w:lineRule="auto" w:before="10"/>
        <w:rPr>
          <w:rFonts w:ascii="宋体" w:hAnsi="宋体" w:cs="宋体" w:eastAsia="宋体" w:hint="default"/>
          <w:sz w:val="20"/>
          <w:szCs w:val="20"/>
        </w:rPr>
      </w:pPr>
    </w:p>
    <w:p>
      <w:pPr>
        <w:pStyle w:val="Heading2"/>
        <w:spacing w:line="240" w:lineRule="auto"/>
        <w:ind w:left="1133" w:right="0"/>
        <w:jc w:val="left"/>
        <w:rPr>
          <w:b w:val="0"/>
          <w:bCs w:val="0"/>
        </w:rPr>
      </w:pPr>
      <w:bookmarkStart w:name="七、监事会工作情况" w:id="140"/>
      <w:bookmarkEnd w:id="140"/>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监事会在报告期内的监督活动中发现公司是否存在风险</w:t>
      </w:r>
    </w:p>
    <w:p>
      <w:pPr>
        <w:pStyle w:val="BodyText"/>
        <w:spacing w:line="357" w:lineRule="auto" w:before="117"/>
        <w:ind w:left="1133" w:right="7333"/>
        <w:jc w:val="left"/>
      </w:pPr>
      <w:r>
        <w:rPr/>
        <w:t>□ 是 √ 否 公司监事会对报告期内的监督事项无异议。</w:t>
      </w:r>
    </w:p>
    <w:p>
      <w:pPr>
        <w:spacing w:line="240" w:lineRule="auto" w:before="3"/>
        <w:rPr>
          <w:rFonts w:ascii="宋体" w:hAnsi="宋体" w:cs="宋体" w:eastAsia="宋体" w:hint="default"/>
          <w:sz w:val="18"/>
          <w:szCs w:val="18"/>
        </w:rPr>
      </w:pPr>
    </w:p>
    <w:p>
      <w:pPr>
        <w:pStyle w:val="Heading2"/>
        <w:spacing w:line="240" w:lineRule="auto"/>
        <w:ind w:left="1133" w:right="0"/>
        <w:jc w:val="left"/>
        <w:rPr>
          <w:b w:val="0"/>
          <w:bCs w:val="0"/>
        </w:rPr>
      </w:pPr>
      <w:bookmarkStart w:name="八、高级管理人员的考评及激励情况" w:id="141"/>
      <w:bookmarkEnd w:id="141"/>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31" w:firstLine="360"/>
        <w:jc w:val="both"/>
      </w:pPr>
      <w:r>
        <w:rPr>
          <w:spacing w:val="-2"/>
        </w:rPr>
        <w:t>公司按照《绩效考核制度》，建立了高级管理人员的薪酬与公司业绩挂钩的绩效考核与激励约束机制。根据公司年度盈</w:t>
      </w:r>
      <w:r>
        <w:rPr/>
        <w:t> </w:t>
      </w:r>
      <w:r>
        <w:rPr>
          <w:spacing w:val="-2"/>
        </w:rPr>
        <w:t>利目标的完成情况及高级管理人员的工作成果，由董事会薪酬与考核委员会对高级管理人员进行年度绩效考核。公司根据绩</w:t>
      </w:r>
      <w:r>
        <w:rPr>
          <w:spacing w:val="-64"/>
        </w:rPr>
        <w:t> </w:t>
      </w:r>
      <w:r>
        <w:rPr>
          <w:spacing w:val="-64"/>
        </w:rPr>
      </w:r>
      <w:r>
        <w:rPr/>
        <w:t>效考核结果进行考评。</w:t>
      </w:r>
    </w:p>
    <w:p>
      <w:pPr>
        <w:pStyle w:val="BodyText"/>
        <w:spacing w:line="316" w:lineRule="auto" w:before="19"/>
        <w:ind w:left="1133" w:right="1133" w:firstLine="360"/>
        <w:jc w:val="both"/>
      </w:pPr>
      <w:r>
        <w:rPr>
          <w:spacing w:val="-2"/>
        </w:rPr>
        <w:t>公司通过建立完善的绩效考核管理制度，有效提升了公司的运营效率，充分调动了公司高级管理人员的积极性，提升了</w:t>
      </w:r>
      <w:r>
        <w:rPr/>
        <w:t> 管理效率。</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left="1133" w:right="0"/>
        <w:jc w:val="left"/>
        <w:rPr>
          <w:b w:val="0"/>
          <w:bCs w:val="0"/>
        </w:rPr>
      </w:pPr>
      <w:bookmarkStart w:name="九、内部控制评价报告" w:id="142"/>
      <w:bookmarkEnd w:id="142"/>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发现的内部控制重大缺陷的具体情况" w:id="143"/>
      <w:bookmarkEnd w:id="14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是 √ 否</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内控自我评价报告" w:id="144"/>
      <w:bookmarkEnd w:id="14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5"/>
        <w:gridCol w:w="3323"/>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39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1"/>
              <w:jc w:val="left"/>
              <w:rPr>
                <w:rFonts w:ascii="宋体" w:hAnsi="宋体" w:cs="宋体" w:eastAsia="宋体" w:hint="default"/>
                <w:sz w:val="18"/>
                <w:szCs w:val="18"/>
              </w:rPr>
            </w:pPr>
            <w:r>
              <w:rPr>
                <w:rFonts w:ascii="宋体" w:hAnsi="宋体" w:cs="宋体" w:eastAsia="宋体" w:hint="default"/>
                <w:spacing w:val="-3"/>
                <w:sz w:val="18"/>
                <w:szCs w:val="18"/>
              </w:rPr>
              <w:t>财务报告重大缺陷的迹象包括：</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董事、监事和高级管理人员的舞弊行为；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）公司更正已公布的财务报告；</w:t>
            </w:r>
            <w:r>
              <w:rPr>
                <w:rFonts w:ascii="Times New Roman" w:hAnsi="Times New Roman" w:cs="Times New Roman" w:eastAsia="Times New Roman" w:hint="default"/>
                <w:sz w:val="18"/>
                <w:szCs w:val="18"/>
              </w:rPr>
              <w:t>3</w:t>
            </w:r>
            <w:r>
              <w:rPr>
                <w:rFonts w:ascii="宋体" w:hAnsi="宋体" w:cs="宋体" w:eastAsia="宋体" w:hint="default"/>
                <w:sz w:val="18"/>
                <w:szCs w:val="18"/>
              </w:rPr>
              <w:t>）注 册会计师发现的却未被公司内部控制识 </w:t>
            </w:r>
            <w:r>
              <w:rPr>
                <w:rFonts w:ascii="宋体" w:hAnsi="宋体" w:cs="宋体" w:eastAsia="宋体" w:hint="default"/>
                <w:spacing w:val="-3"/>
                <w:sz w:val="18"/>
                <w:szCs w:val="18"/>
              </w:rPr>
              <w:t>别的财务报告中的重大错报；</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）审计委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员会和审计部门对公司的对外财务报告 和财务报告内部控制监督无效。财务报 </w:t>
            </w:r>
            <w:r>
              <w:rPr>
                <w:rFonts w:ascii="宋体" w:hAnsi="宋体" w:cs="宋体" w:eastAsia="宋体" w:hint="default"/>
                <w:spacing w:val="-3"/>
                <w:sz w:val="18"/>
                <w:szCs w:val="18"/>
              </w:rPr>
              <w:t>告重要缺陷的迹象包括：</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）未依照公认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会计准则选择和应用会计政策；</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）未建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立反舞弊程序和控制措施；</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）对于非常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规或特殊交易的财务处理没有建立相应 的控制机制或没有实施且没有相应的补 </w:t>
            </w:r>
            <w:r>
              <w:rPr>
                <w:rFonts w:ascii="宋体" w:hAnsi="宋体" w:cs="宋体" w:eastAsia="宋体" w:hint="default"/>
                <w:spacing w:val="-3"/>
                <w:sz w:val="18"/>
                <w:szCs w:val="18"/>
              </w:rPr>
              <w:t>偿性控制；</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）对于期末财务报告过程的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控制存在一项或多项缺陷且不能合理保 证编制的财务报表达到真实、完整的目 标。一般缺陷是指除上述重大缺陷、重 要缺陷之外的其他控制缺陷。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4" w:lineRule="auto"/>
              <w:ind w:left="103" w:right="57"/>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 </w:t>
            </w:r>
            <w:r>
              <w:rPr>
                <w:rFonts w:ascii="宋体" w:hAnsi="宋体" w:cs="宋体" w:eastAsia="宋体" w:hint="default"/>
                <w:spacing w:val="-3"/>
                <w:sz w:val="18"/>
                <w:szCs w:val="18"/>
              </w:rPr>
              <w:t>业务流程有效性的影响程度、发生的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可能性作判定。</w:t>
            </w:r>
            <w:r>
              <w:rPr>
                <w:rFonts w:ascii="Times New Roman" w:hAnsi="Times New Roman" w:cs="Times New Roman" w:eastAsia="Times New Roman" w:hint="default"/>
                <w:sz w:val="18"/>
                <w:szCs w:val="18"/>
              </w:rPr>
              <w:t>A</w:t>
            </w:r>
            <w:r>
              <w:rPr>
                <w:rFonts w:ascii="宋体" w:hAnsi="宋体" w:cs="宋体" w:eastAsia="宋体" w:hint="default"/>
                <w:sz w:val="18"/>
                <w:szCs w:val="18"/>
              </w:rPr>
              <w:t>、如果缺陷发生的 可能性较小，会降低工作效率或效 </w:t>
            </w:r>
            <w:r>
              <w:rPr>
                <w:rFonts w:ascii="宋体" w:hAnsi="宋体" w:cs="宋体" w:eastAsia="宋体" w:hint="default"/>
                <w:spacing w:val="-3"/>
                <w:sz w:val="18"/>
                <w:szCs w:val="18"/>
              </w:rPr>
              <w:t>果、或加大效果的不确定性、或使之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偏离预期目标为一般缺陷；</w:t>
            </w:r>
            <w:r>
              <w:rPr>
                <w:rFonts w:ascii="Times New Roman" w:hAnsi="Times New Roman" w:cs="Times New Roman" w:eastAsia="Times New Roman" w:hint="default"/>
                <w:sz w:val="18"/>
                <w:szCs w:val="18"/>
              </w:rPr>
              <w:t>B</w:t>
            </w:r>
            <w:r>
              <w:rPr>
                <w:rFonts w:ascii="宋体" w:hAnsi="宋体" w:cs="宋体" w:eastAsia="宋体" w:hint="default"/>
                <w:sz w:val="18"/>
                <w:szCs w:val="18"/>
              </w:rPr>
              <w:t>、如果 </w:t>
            </w:r>
            <w:r>
              <w:rPr>
                <w:rFonts w:ascii="宋体" w:hAnsi="宋体" w:cs="宋体" w:eastAsia="宋体" w:hint="default"/>
                <w:spacing w:val="-3"/>
                <w:sz w:val="18"/>
                <w:szCs w:val="18"/>
              </w:rPr>
              <w:t>缺陷发生的可能性较高，会显著降低</w:t>
            </w:r>
            <w:r>
              <w:rPr>
                <w:rFonts w:ascii="宋体" w:hAnsi="宋体" w:cs="宋体" w:eastAsia="宋体" w:hint="default"/>
                <w:sz w:val="18"/>
                <w:szCs w:val="18"/>
              </w:rPr>
              <w:t> </w:t>
            </w:r>
            <w:r>
              <w:rPr>
                <w:rFonts w:ascii="宋体" w:hAnsi="宋体" w:cs="宋体" w:eastAsia="宋体" w:hint="default"/>
                <w:spacing w:val="-3"/>
                <w:sz w:val="18"/>
                <w:szCs w:val="18"/>
              </w:rPr>
              <w:t>工作效率或效果、或显著加大效果的</w:t>
            </w:r>
            <w:r>
              <w:rPr>
                <w:rFonts w:ascii="宋体" w:hAnsi="宋体" w:cs="宋体" w:eastAsia="宋体" w:hint="default"/>
                <w:sz w:val="18"/>
                <w:szCs w:val="18"/>
              </w:rPr>
              <w:t> </w:t>
            </w:r>
            <w:r>
              <w:rPr>
                <w:rFonts w:ascii="宋体" w:hAnsi="宋体" w:cs="宋体" w:eastAsia="宋体" w:hint="default"/>
                <w:spacing w:val="-3"/>
                <w:sz w:val="18"/>
                <w:szCs w:val="18"/>
              </w:rPr>
              <w:t>不确定性、或使之显著偏离预期目标</w:t>
            </w:r>
            <w:r>
              <w:rPr>
                <w:rFonts w:ascii="宋体" w:hAnsi="宋体" w:cs="宋体" w:eastAsia="宋体" w:hint="default"/>
                <w:sz w:val="18"/>
                <w:szCs w:val="18"/>
              </w:rPr>
              <w:t> 为重要缺陷；</w:t>
            </w:r>
            <w:r>
              <w:rPr>
                <w:rFonts w:ascii="Times New Roman" w:hAnsi="Times New Roman" w:cs="Times New Roman" w:eastAsia="Times New Roman" w:hint="default"/>
                <w:sz w:val="18"/>
                <w:szCs w:val="18"/>
              </w:rPr>
              <w:t>C</w:t>
            </w:r>
            <w:r>
              <w:rPr>
                <w:rFonts w:ascii="宋体" w:hAnsi="宋体" w:cs="宋体" w:eastAsia="宋体" w:hint="default"/>
                <w:sz w:val="18"/>
                <w:szCs w:val="18"/>
              </w:rPr>
              <w:t>、如果缺陷发生的可 能性高，会严重降低工作效率或效 </w:t>
            </w:r>
            <w:r>
              <w:rPr>
                <w:rFonts w:ascii="宋体" w:hAnsi="宋体" w:cs="宋体" w:eastAsia="宋体" w:hint="default"/>
                <w:spacing w:val="-3"/>
                <w:sz w:val="18"/>
                <w:szCs w:val="18"/>
              </w:rPr>
              <w:t>果、或严重加大效果的不确定性、或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使之严重偏离预期目标为重大缺陷。</w:t>
            </w:r>
          </w:p>
        </w:tc>
      </w:tr>
      <w:tr>
        <w:trPr>
          <w:trHeight w:val="473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定量标准以营业收入、资产总额作为衡 量指标。内部控制缺陷可能导致或导致 的损失与利润表相关的，以营业收入指 标衡量。如果该缺陷单独或连同其他缺 陷可能导致的财务报告错报金额小于营 业收入的</w:t>
            </w:r>
            <w:r>
              <w:rPr>
                <w:rFonts w:ascii="宋体" w:hAnsi="宋体" w:cs="宋体" w:eastAsia="宋体" w:hint="default"/>
                <w:spacing w:val="-37"/>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，则认定为一般缺陷；如果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，则为重 </w:t>
            </w:r>
            <w:r>
              <w:rPr>
                <w:rFonts w:ascii="宋体" w:hAnsi="宋体" w:cs="宋体" w:eastAsia="宋体" w:hint="default"/>
                <w:spacing w:val="-3"/>
                <w:sz w:val="18"/>
                <w:szCs w:val="18"/>
              </w:rPr>
              <w:t>要缺陷；如果超过营业收入的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，则认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定为重大缺陷。内部控制缺陷可能导致 或导致的损失与资产管理相关的，以资 产总额指标衡量。如果该缺陷单独或连 同其他缺陷可能导致的财务报告错报金 额小于资产总额的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 缺陷；如果超过资产总额的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认定为重要缺陷；如果超过资产总额</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316" w:lineRule="auto"/>
              <w:ind w:left="103" w:right="237"/>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 量标准参照财务报告内部控制缺陷 评价的定量标准执行。</w:t>
            </w:r>
          </w:p>
        </w:tc>
      </w:tr>
    </w:tbl>
    <w:p>
      <w:pPr>
        <w:spacing w:after="0" w:line="316" w:lineRule="auto"/>
        <w:jc w:val="both"/>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45"/>
      <w:bookmarkEnd w:id="145"/>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84"/>
              <w:jc w:val="left"/>
              <w:rPr>
                <w:rFonts w:ascii="宋体" w:hAnsi="宋体" w:cs="宋体" w:eastAsia="宋体" w:hint="default"/>
                <w:sz w:val="18"/>
                <w:szCs w:val="18"/>
              </w:rPr>
            </w:pPr>
            <w:r>
              <w:rPr>
                <w:rFonts w:ascii="宋体" w:hAnsi="宋体" w:cs="宋体" w:eastAsia="宋体" w:hint="default"/>
                <w:sz w:val="18"/>
                <w:szCs w:val="18"/>
              </w:rPr>
              <w:t>会计师认为，文化长城按照《企业内部控制基本规范》以及其他控制标准于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 与财务报表编制相关的有效的内部控制。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内部控制鉴证报告全文披露日 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内部控制鉴证报告全文披露索 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60" w:lineRule="auto" w:before="116"/>
        <w:ind w:left="1133" w:right="4633"/>
        <w:jc w:val="left"/>
      </w:pPr>
      <w:r>
        <w:rPr/>
        <w:t>□ 是 √ 否 会计师事务所出具的内部控制鉴证报告与董事会的自我评价报告意见是否一致</w:t>
      </w:r>
    </w:p>
    <w:p>
      <w:pPr>
        <w:pStyle w:val="BodyText"/>
        <w:spacing w:line="240" w:lineRule="auto" w:before="26"/>
        <w:ind w:left="1133" w:right="0"/>
        <w:jc w:val="left"/>
      </w:pPr>
      <w:r>
        <w:rPr/>
        <w:t>√ 是 □ 否</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3"/>
        <w:jc w:val="center"/>
        <w:rPr>
          <w:b w:val="0"/>
          <w:bCs w:val="0"/>
        </w:rPr>
      </w:pPr>
      <w:bookmarkStart w:name="第十节 公司债券相关情况" w:id="146"/>
      <w:bookmarkEnd w:id="146"/>
      <w:r>
        <w:rPr>
          <w:b w:val="0"/>
          <w:bCs w:val="0"/>
        </w:rPr>
      </w:r>
      <w:bookmarkStart w:name="_bookmark9" w:id="147"/>
      <w:bookmarkEnd w:id="147"/>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133"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3"/>
        <w:jc w:val="center"/>
        <w:rPr>
          <w:b w:val="0"/>
          <w:bCs w:val="0"/>
        </w:rPr>
      </w:pPr>
      <w:bookmarkStart w:name="第十一节 财务报告" w:id="148"/>
      <w:bookmarkEnd w:id="148"/>
      <w:r>
        <w:rPr>
          <w:b w:val="0"/>
          <w:bCs w:val="0"/>
        </w:rPr>
      </w:r>
      <w:bookmarkStart w:name="_bookmark10" w:id="149"/>
      <w:bookmarkEnd w:id="14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审计报告" w:id="150"/>
      <w:bookmarkEnd w:id="15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广会审字</w:t>
            </w:r>
            <w:r>
              <w:rPr>
                <w:rFonts w:ascii="Times New Roman" w:hAnsi="Times New Roman" w:cs="Times New Roman" w:eastAsia="Times New Roman" w:hint="default"/>
                <w:sz w:val="18"/>
                <w:szCs w:val="18"/>
              </w:rPr>
              <w:t>[2018]G18002780015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杨文蔚、刘  琪</w:t>
            </w:r>
          </w:p>
        </w:tc>
      </w:tr>
    </w:tbl>
    <w:p>
      <w:pPr>
        <w:pStyle w:val="BodyText"/>
        <w:spacing w:line="240" w:lineRule="auto" w:before="51"/>
        <w:ind w:left="3403" w:right="3402"/>
        <w:jc w:val="center"/>
      </w:pPr>
      <w:r>
        <w:rPr/>
        <w:t>审计报告正文</w:t>
      </w:r>
    </w:p>
    <w:p>
      <w:pPr>
        <w:spacing w:line="240" w:lineRule="auto" w:before="7"/>
        <w:rPr>
          <w:rFonts w:ascii="宋体" w:hAnsi="宋体" w:cs="宋体" w:eastAsia="宋体" w:hint="default"/>
          <w:sz w:val="11"/>
          <w:szCs w:val="11"/>
        </w:rPr>
      </w:pPr>
    </w:p>
    <w:p>
      <w:pPr>
        <w:spacing w:before="44"/>
        <w:ind w:left="1616" w:right="0" w:firstLine="0"/>
        <w:jc w:val="left"/>
        <w:rPr>
          <w:rFonts w:ascii="宋体" w:hAnsi="宋体" w:cs="宋体" w:eastAsia="宋体" w:hint="default"/>
          <w:sz w:val="18"/>
          <w:szCs w:val="18"/>
        </w:rPr>
      </w:pPr>
      <w:r>
        <w:rPr>
          <w:rFonts w:ascii="宋体" w:hAnsi="宋体" w:cs="宋体" w:eastAsia="宋体" w:hint="default"/>
          <w:b/>
          <w:bCs/>
          <w:sz w:val="18"/>
          <w:szCs w:val="18"/>
        </w:rPr>
        <w:t>一、审计意见</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pStyle w:val="BodyText"/>
        <w:spacing w:line="316" w:lineRule="auto"/>
        <w:ind w:left="1133" w:right="1132" w:firstLine="480"/>
        <w:jc w:val="both"/>
      </w:pPr>
      <w:r>
        <w:rPr>
          <w:spacing w:val="-3"/>
        </w:rPr>
        <w:t>我们审计了广东文化长城集团股份有限公司（以下简称“文化长城”）财务报表，包括</w:t>
      </w:r>
      <w:r>
        <w:rPr/>
        <w:t> </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日的合并及母公 </w:t>
      </w:r>
      <w:r>
        <w:rPr>
          <w:spacing w:val="-2"/>
        </w:rPr>
        <w:t>司资产负债表，</w:t>
      </w:r>
      <w:r>
        <w:rPr>
          <w:rFonts w:ascii="宋体" w:hAnsi="宋体" w:cs="宋体" w:eastAsia="宋体" w:hint="default"/>
          <w:spacing w:val="-2"/>
        </w:rPr>
        <w:t>2017</w:t>
      </w:r>
      <w:r>
        <w:rPr>
          <w:spacing w:val="-2"/>
        </w:rPr>
        <w:t>年度的合并及母公司利润表、合并及母公司现金流量表、合并及母公司所有者权益变动表以及相关财务</w:t>
      </w:r>
      <w:r>
        <w:rPr>
          <w:spacing w:val="-62"/>
        </w:rPr>
        <w:t> </w:t>
      </w:r>
      <w:r>
        <w:rPr>
          <w:spacing w:val="-62"/>
        </w:rPr>
      </w:r>
      <w:r>
        <w:rPr/>
        <w:t>报表附注。</w:t>
      </w:r>
    </w:p>
    <w:p>
      <w:pPr>
        <w:pStyle w:val="BodyText"/>
        <w:spacing w:line="316" w:lineRule="auto" w:before="139"/>
        <w:ind w:left="1133" w:right="1130" w:firstLine="480"/>
        <w:jc w:val="both"/>
      </w:pPr>
      <w:r>
        <w:rPr>
          <w:spacing w:val="-1"/>
        </w:rPr>
        <w:t>我们认为，后附的财务报表在所有重大方面按照企业会计准则的规定编制，公允反映了文化长城</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日的财</w:t>
      </w:r>
      <w:r>
        <w:rPr/>
        <w:t> 务状况以及</w:t>
      </w:r>
      <w:r>
        <w:rPr>
          <w:rFonts w:ascii="宋体" w:hAnsi="宋体" w:cs="宋体" w:eastAsia="宋体" w:hint="default"/>
        </w:rPr>
        <w:t>2017</w:t>
      </w:r>
      <w:r>
        <w:rPr/>
        <w:t>年度的经营成果和现金流量。</w:t>
      </w:r>
    </w:p>
    <w:p>
      <w:pPr>
        <w:pStyle w:val="BodyText"/>
        <w:spacing w:line="432" w:lineRule="exact" w:before="3"/>
        <w:ind w:left="1613" w:right="0" w:firstLine="2"/>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1"/>
        </w:rPr>
        <w:t>我们按照中国注册会计师审计准则的规定执行了审计工作。审计报告的“注册会计师对财务报表审计的责任”部分进</w:t>
      </w:r>
    </w:p>
    <w:p>
      <w:pPr>
        <w:pStyle w:val="BodyText"/>
        <w:spacing w:line="316" w:lineRule="auto" w:before="15"/>
        <w:ind w:left="1133" w:right="1133"/>
        <w:jc w:val="both"/>
      </w:pPr>
      <w:r>
        <w:rPr>
          <w:spacing w:val="-2"/>
        </w:rPr>
        <w:t>一步阐述了我们在这些准则下的责任。按照中国注册会计师职业道德守则，我们独立于文化长城，并履行了职业道德方面的</w:t>
      </w:r>
      <w:r>
        <w:rPr>
          <w:spacing w:val="-66"/>
        </w:rPr>
        <w:t> </w:t>
      </w:r>
      <w:r>
        <w:rPr>
          <w:spacing w:val="-66"/>
        </w:rPr>
      </w:r>
      <w:r>
        <w:rPr/>
        <w:t>其他责任。我们相信，我们获取的审计证据是充分、适当的，为发表审计意见提供了基础。</w:t>
      </w:r>
    </w:p>
    <w:p>
      <w:pPr>
        <w:pStyle w:val="BodyText"/>
        <w:spacing w:line="432" w:lineRule="exact" w:before="3"/>
        <w:ind w:left="1613"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240" w:lineRule="auto" w:before="15"/>
        <w:ind w:left="1133" w:right="0"/>
        <w:jc w:val="both"/>
      </w:pPr>
      <w:r>
        <w:rPr/>
        <w:t>行审计并形成审计意见为背景，我们不对这些事项单独发表意见。</w:t>
      </w:r>
    </w:p>
    <w:p>
      <w:pPr>
        <w:spacing w:line="240" w:lineRule="auto" w:before="2"/>
        <w:rPr>
          <w:rFonts w:ascii="宋体" w:hAnsi="宋体" w:cs="宋体" w:eastAsia="宋体" w:hint="default"/>
          <w:sz w:val="24"/>
          <w:szCs w:val="24"/>
        </w:rPr>
      </w:pPr>
    </w:p>
    <w:p>
      <w:pPr>
        <w:pStyle w:val="BodyText"/>
        <w:spacing w:line="240" w:lineRule="auto"/>
        <w:ind w:left="1614" w:right="0"/>
        <w:jc w:val="left"/>
      </w:pPr>
      <w:r>
        <w:rPr/>
        <w:t>（一）商誉减值</w:t>
      </w:r>
    </w:p>
    <w:p>
      <w:pPr>
        <w:pStyle w:val="BodyText"/>
        <w:spacing w:line="550" w:lineRule="atLeast" w:before="15"/>
        <w:ind w:left="1614" w:right="103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事项描述 </w:t>
      </w:r>
      <w:r>
        <w:rPr>
          <w:spacing w:val="-12"/>
        </w:rPr>
        <w:t>请参阅财务报表附注“三、重要会计政策和会计估计（</w:t>
      </w:r>
      <w:r>
        <w:rPr>
          <w:rFonts w:ascii="Times New Roman" w:hAnsi="Times New Roman" w:cs="Times New Roman" w:eastAsia="Times New Roman" w:hint="default"/>
          <w:spacing w:val="-12"/>
        </w:rPr>
        <w:t>20</w:t>
      </w:r>
      <w:r>
        <w:rPr>
          <w:spacing w:val="-12"/>
        </w:rPr>
        <w:t>）”所述的会计政策及“五、合并财务报表主要项目注释（</w:t>
      </w:r>
      <w:r>
        <w:rPr>
          <w:rFonts w:ascii="Times New Roman" w:hAnsi="Times New Roman" w:cs="Times New Roman" w:eastAsia="Times New Roman" w:hint="default"/>
          <w:spacing w:val="-12"/>
        </w:rPr>
        <w:t>15</w:t>
      </w:r>
      <w:r>
        <w:rPr>
          <w:spacing w:val="-12"/>
        </w:rPr>
        <w:t>）”，</w:t>
      </w:r>
    </w:p>
    <w:p>
      <w:pPr>
        <w:pStyle w:val="BodyText"/>
        <w:spacing w:line="316" w:lineRule="auto" w:before="63"/>
        <w:ind w:left="1133" w:right="1130"/>
        <w:jc w:val="both"/>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日文化长城合并财务报表商誉的账面价值为</w:t>
      </w:r>
      <w:r>
        <w:rPr>
          <w:rFonts w:ascii="宋体" w:hAnsi="宋体" w:cs="宋体" w:eastAsia="宋体" w:hint="default"/>
        </w:rPr>
        <w:t>86,741.72</w:t>
      </w:r>
      <w:r>
        <w:rPr/>
        <w:t>万元，占总资产的比例为</w:t>
      </w:r>
      <w:r>
        <w:rPr>
          <w:rFonts w:ascii="宋体" w:hAnsi="宋体" w:cs="宋体" w:eastAsia="宋体" w:hint="default"/>
        </w:rPr>
        <w:t>31.92%</w:t>
      </w:r>
      <w:r>
        <w:rPr/>
        <w:t>。文化长城于资产负债</w:t>
      </w:r>
      <w:r>
        <w:rPr>
          <w:spacing w:val="-84"/>
        </w:rPr>
        <w:t> </w:t>
      </w:r>
      <w:r>
        <w:rPr>
          <w:spacing w:val="-84"/>
        </w:rPr>
      </w:r>
      <w:r>
        <w:rPr>
          <w:spacing w:val="-2"/>
        </w:rPr>
        <w:t>表日判断商誉是否存在减值迹象，并采用折现现金流量模型对商誉进行减值测试。管理层在商誉减值测试中需要确定收入增</w:t>
      </w:r>
      <w:r>
        <w:rPr>
          <w:spacing w:val="-64"/>
        </w:rPr>
        <w:t> </w:t>
      </w:r>
      <w:r>
        <w:rPr>
          <w:spacing w:val="-64"/>
        </w:rPr>
      </w:r>
      <w:r>
        <w:rPr>
          <w:spacing w:val="-2"/>
        </w:rPr>
        <w:t>长率、折现率、毛利率等关键假设。鉴于商誉对文化长城财务报表的重要性及商誉减值测试涉及管理层的重大判断，我们将</w:t>
      </w:r>
      <w:r>
        <w:rPr>
          <w:spacing w:val="-65"/>
        </w:rPr>
        <w:t> </w:t>
      </w:r>
      <w:r>
        <w:rPr>
          <w:spacing w:val="-65"/>
        </w:rPr>
      </w:r>
      <w:r>
        <w:rPr/>
        <w:t>商誉减值识别为关键审计事项。</w:t>
      </w:r>
    </w:p>
    <w:p>
      <w:pPr>
        <w:spacing w:line="240" w:lineRule="auto" w:before="11"/>
        <w:rPr>
          <w:rFonts w:ascii="宋体" w:hAnsi="宋体" w:cs="宋体" w:eastAsia="宋体" w:hint="default"/>
          <w:sz w:val="19"/>
          <w:szCs w:val="19"/>
        </w:rPr>
      </w:pPr>
    </w:p>
    <w:p>
      <w:pPr>
        <w:pStyle w:val="BodyText"/>
        <w:spacing w:line="532" w:lineRule="auto"/>
        <w:ind w:left="1613" w:right="77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审计应对 我们执行的主要审计程序如下：</w:t>
      </w:r>
    </w:p>
    <w:p>
      <w:pPr>
        <w:pStyle w:val="BodyText"/>
        <w:spacing w:line="240" w:lineRule="auto" w:before="97"/>
        <w:ind w:left="1613" w:right="0"/>
        <w:jc w:val="left"/>
      </w:pPr>
      <w:r>
        <w:rPr/>
        <w:t>（</w:t>
      </w:r>
      <w:r>
        <w:rPr>
          <w:rFonts w:ascii="宋体" w:hAnsi="宋体" w:cs="宋体" w:eastAsia="宋体" w:hint="default"/>
        </w:rPr>
        <w:t>1</w:t>
      </w:r>
      <w:r>
        <w:rPr/>
        <w:t>）我们评估与测试了与商誉减值相关的内控设计的合理性以及执行的有效性；</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left="1614" w:right="0"/>
        <w:jc w:val="left"/>
      </w:pPr>
      <w:r>
        <w:rPr/>
        <w:t>（</w:t>
      </w:r>
      <w:r>
        <w:rPr>
          <w:rFonts w:ascii="宋体" w:hAnsi="宋体" w:cs="宋体" w:eastAsia="宋体" w:hint="default"/>
        </w:rPr>
        <w:t>2</w:t>
      </w:r>
      <w:r>
        <w:rPr/>
        <w:t>）我们复核了管理层对商誉减值测试涉及的资产组的认定；</w:t>
      </w:r>
    </w:p>
    <w:p>
      <w:pPr>
        <w:spacing w:line="240" w:lineRule="auto" w:before="2"/>
        <w:rPr>
          <w:rFonts w:ascii="宋体" w:hAnsi="宋体" w:cs="宋体" w:eastAsia="宋体" w:hint="default"/>
          <w:sz w:val="24"/>
          <w:szCs w:val="24"/>
        </w:rPr>
      </w:pPr>
    </w:p>
    <w:p>
      <w:pPr>
        <w:pStyle w:val="BodyText"/>
        <w:spacing w:line="240" w:lineRule="auto"/>
        <w:ind w:left="1614" w:right="0"/>
        <w:jc w:val="left"/>
      </w:pPr>
      <w:r>
        <w:rPr/>
        <w:t>（</w:t>
      </w:r>
      <w:r>
        <w:rPr>
          <w:rFonts w:ascii="宋体" w:hAnsi="宋体" w:cs="宋体" w:eastAsia="宋体" w:hint="default"/>
        </w:rPr>
        <w:t>3</w:t>
      </w:r>
      <w:r>
        <w:rPr/>
        <w:t>）我们分析并复核了管理层在商誉减值中使用的各关键假设、方法；</w:t>
      </w:r>
    </w:p>
    <w:p>
      <w:pPr>
        <w:spacing w:line="240" w:lineRule="auto" w:before="2"/>
        <w:rPr>
          <w:rFonts w:ascii="宋体" w:hAnsi="宋体" w:cs="宋体" w:eastAsia="宋体" w:hint="default"/>
          <w:sz w:val="24"/>
          <w:szCs w:val="24"/>
        </w:rPr>
      </w:pPr>
    </w:p>
    <w:p>
      <w:pPr>
        <w:pStyle w:val="BodyText"/>
        <w:spacing w:line="240" w:lineRule="auto"/>
        <w:ind w:left="1613" w:right="0"/>
        <w:jc w:val="left"/>
      </w:pPr>
      <w:r>
        <w:rPr/>
        <w:t>（</w:t>
      </w:r>
      <w:r>
        <w:rPr>
          <w:rFonts w:ascii="宋体" w:hAnsi="宋体" w:cs="宋体" w:eastAsia="宋体" w:hint="default"/>
        </w:rPr>
        <w:t>4</w:t>
      </w:r>
      <w:r>
        <w:rPr/>
        <w:t>）我们检查了管理层在商誉减值中计算的准确性；</w:t>
      </w:r>
    </w:p>
    <w:p>
      <w:pPr>
        <w:spacing w:line="240" w:lineRule="auto" w:before="3"/>
        <w:rPr>
          <w:rFonts w:ascii="宋体" w:hAnsi="宋体" w:cs="宋体" w:eastAsia="宋体" w:hint="default"/>
          <w:sz w:val="24"/>
          <w:szCs w:val="24"/>
        </w:rPr>
      </w:pPr>
    </w:p>
    <w:p>
      <w:pPr>
        <w:pStyle w:val="BodyText"/>
        <w:spacing w:line="240" w:lineRule="auto"/>
        <w:ind w:left="1614" w:right="0"/>
        <w:jc w:val="left"/>
      </w:pPr>
      <w:r>
        <w:rPr/>
        <w:t>（</w:t>
      </w:r>
      <w:r>
        <w:rPr>
          <w:rFonts w:ascii="宋体" w:hAnsi="宋体" w:cs="宋体" w:eastAsia="宋体" w:hint="default"/>
        </w:rPr>
        <w:t>5</w:t>
      </w:r>
      <w:r>
        <w:rPr/>
        <w:t>）我们分析了并购标的的业绩承诺情况及实际业绩完成情况。</w:t>
      </w:r>
    </w:p>
    <w:p>
      <w:pPr>
        <w:spacing w:line="240" w:lineRule="auto" w:before="2"/>
        <w:rPr>
          <w:rFonts w:ascii="宋体" w:hAnsi="宋体" w:cs="宋体" w:eastAsia="宋体" w:hint="default"/>
          <w:sz w:val="24"/>
          <w:szCs w:val="24"/>
        </w:rPr>
      </w:pPr>
    </w:p>
    <w:p>
      <w:pPr>
        <w:pStyle w:val="BodyText"/>
        <w:spacing w:line="240" w:lineRule="auto"/>
        <w:ind w:left="1613" w:right="0"/>
        <w:jc w:val="left"/>
      </w:pPr>
      <w:r>
        <w:rPr/>
        <w:t>（二）收入的确认</w:t>
      </w:r>
    </w:p>
    <w:p>
      <w:pPr>
        <w:pStyle w:val="BodyText"/>
        <w:spacing w:line="550" w:lineRule="atLeast" w:before="15"/>
        <w:ind w:left="1613" w:right="1032"/>
        <w:jc w:val="left"/>
      </w:pPr>
      <w:r>
        <w:rPr>
          <w:rFonts w:ascii="Times New Roman" w:hAnsi="Times New Roman" w:cs="Times New Roman" w:eastAsia="Times New Roman" w:hint="default"/>
        </w:rPr>
        <w:t>1</w:t>
      </w:r>
      <w:r>
        <w:rPr/>
        <w:t>、事项描述 </w:t>
      </w:r>
      <w:r>
        <w:rPr>
          <w:spacing w:val="-12"/>
        </w:rPr>
        <w:t>请参阅财务报表附注“三、重要会计政策和会计估计（</w:t>
      </w:r>
      <w:r>
        <w:rPr>
          <w:rFonts w:ascii="Times New Roman" w:hAnsi="Times New Roman" w:cs="Times New Roman" w:eastAsia="Times New Roman" w:hint="default"/>
          <w:spacing w:val="-12"/>
        </w:rPr>
        <w:t>25</w:t>
      </w:r>
      <w:r>
        <w:rPr>
          <w:spacing w:val="-12"/>
        </w:rPr>
        <w:t>）”所述的会计政策及“五、合并财务报表主要项目注释（</w:t>
      </w:r>
      <w:r>
        <w:rPr>
          <w:rFonts w:ascii="Times New Roman" w:hAnsi="Times New Roman" w:cs="Times New Roman" w:eastAsia="Times New Roman" w:hint="default"/>
          <w:spacing w:val="-12"/>
        </w:rPr>
        <w:t>36</w:t>
      </w:r>
      <w:r>
        <w:rPr>
          <w:spacing w:val="-12"/>
        </w:rPr>
        <w:t>）”，</w:t>
      </w:r>
    </w:p>
    <w:p>
      <w:pPr>
        <w:pStyle w:val="BodyText"/>
        <w:spacing w:line="309" w:lineRule="auto" w:before="63"/>
        <w:ind w:right="1131"/>
        <w:jc w:val="both"/>
      </w:pPr>
      <w:r>
        <w:rPr>
          <w:spacing w:val="-2"/>
        </w:rPr>
        <w:t>文化长城</w:t>
      </w:r>
      <w:r>
        <w:rPr>
          <w:rFonts w:ascii="宋体" w:hAnsi="宋体" w:cs="宋体" w:eastAsia="宋体" w:hint="default"/>
          <w:spacing w:val="-2"/>
        </w:rPr>
        <w:t>2017</w:t>
      </w:r>
      <w:r>
        <w:rPr>
          <w:spacing w:val="-2"/>
        </w:rPr>
        <w:t>年度营业收入</w:t>
      </w:r>
      <w:r>
        <w:rPr>
          <w:rFonts w:ascii="Times New Roman" w:hAnsi="Times New Roman" w:cs="Times New Roman" w:eastAsia="Times New Roman" w:hint="default"/>
          <w:spacing w:val="-2"/>
        </w:rPr>
        <w:t>54,011.78</w:t>
      </w:r>
      <w:r>
        <w:rPr>
          <w:spacing w:val="-2"/>
        </w:rPr>
        <w:t>万元，主要来源于陶瓷业务板块及教育培训及教育系统集成与运营业务。由于收入是文</w:t>
      </w:r>
      <w:r>
        <w:rPr>
          <w:spacing w:val="-53"/>
        </w:rPr>
        <w:t> </w:t>
      </w:r>
      <w:r>
        <w:rPr>
          <w:spacing w:val="-53"/>
        </w:rPr>
      </w:r>
      <w:r>
        <w:rPr>
          <w:spacing w:val="-2"/>
        </w:rPr>
        <w:t>化长城的关键绩效指标之一，且文化长城收购的广东联汛教育科技有限公司以及河南智游臻龙教育科技有限公司本年尚处于</w:t>
      </w:r>
      <w:r>
        <w:rPr>
          <w:spacing w:val="-64"/>
        </w:rPr>
        <w:t> </w:t>
      </w:r>
      <w:r>
        <w:rPr>
          <w:spacing w:val="-64"/>
        </w:rPr>
      </w:r>
      <w:r>
        <w:rPr/>
        <w:t>业绩承诺期，存在可能操作收入以达到特定目标或预期的固有风险，因此我们将收入的确认认定为关键审计事项。</w:t>
      </w:r>
    </w:p>
    <w:p>
      <w:pPr>
        <w:spacing w:line="240" w:lineRule="auto" w:before="3"/>
        <w:rPr>
          <w:rFonts w:ascii="宋体" w:hAnsi="宋体" w:cs="宋体" w:eastAsia="宋体" w:hint="default"/>
          <w:sz w:val="20"/>
          <w:szCs w:val="20"/>
        </w:rPr>
      </w:pPr>
    </w:p>
    <w:p>
      <w:pPr>
        <w:pStyle w:val="BodyText"/>
        <w:spacing w:line="532" w:lineRule="auto"/>
        <w:ind w:left="1613" w:right="7753"/>
        <w:jc w:val="left"/>
      </w:pPr>
      <w:r>
        <w:rPr>
          <w:rFonts w:ascii="Times New Roman" w:hAnsi="Times New Roman" w:cs="Times New Roman" w:eastAsia="Times New Roman" w:hint="default"/>
        </w:rPr>
        <w:t>2</w:t>
      </w:r>
      <w:r>
        <w:rPr/>
        <w:t>、审计应对 我们执行的主要审计程序如下：</w:t>
      </w:r>
    </w:p>
    <w:p>
      <w:pPr>
        <w:pStyle w:val="BodyText"/>
        <w:spacing w:line="240" w:lineRule="auto" w:before="97"/>
        <w:ind w:left="1613" w:right="0"/>
        <w:jc w:val="left"/>
      </w:pPr>
      <w:r>
        <w:rPr/>
        <w:t>（</w:t>
      </w:r>
      <w:r>
        <w:rPr>
          <w:rFonts w:ascii="宋体" w:hAnsi="宋体" w:cs="宋体" w:eastAsia="宋体" w:hint="default"/>
        </w:rPr>
        <w:t>1</w:t>
      </w:r>
      <w:r>
        <w:rPr/>
        <w:t>）对销售与收款循环内控制度执行控制测试，评价内控制度设计的合理性和执行的有效性；</w:t>
      </w:r>
    </w:p>
    <w:p>
      <w:pPr>
        <w:spacing w:line="240" w:lineRule="auto" w:before="2"/>
        <w:rPr>
          <w:rFonts w:ascii="宋体" w:hAnsi="宋体" w:cs="宋体" w:eastAsia="宋体" w:hint="default"/>
          <w:sz w:val="24"/>
          <w:szCs w:val="24"/>
        </w:rPr>
      </w:pPr>
    </w:p>
    <w:p>
      <w:pPr>
        <w:pStyle w:val="BodyText"/>
        <w:spacing w:line="240" w:lineRule="auto"/>
        <w:ind w:left="1613" w:right="0"/>
        <w:jc w:val="left"/>
      </w:pPr>
      <w:r>
        <w:rPr/>
        <w:t>（</w:t>
      </w:r>
      <w:r>
        <w:rPr>
          <w:rFonts w:ascii="宋体" w:hAnsi="宋体" w:cs="宋体" w:eastAsia="宋体" w:hint="default"/>
        </w:rPr>
        <w:t>2</w:t>
      </w:r>
      <w:r>
        <w:rPr/>
        <w:t>）结合收入类型对销售收入以及毛利率变动情况执行分析程序，判断销售收入和毛利率变动的合理性；</w:t>
      </w:r>
    </w:p>
    <w:p>
      <w:pPr>
        <w:spacing w:line="240" w:lineRule="auto" w:before="3"/>
        <w:rPr>
          <w:rFonts w:ascii="宋体" w:hAnsi="宋体" w:cs="宋体" w:eastAsia="宋体" w:hint="default"/>
          <w:sz w:val="24"/>
          <w:szCs w:val="24"/>
        </w:rPr>
      </w:pPr>
    </w:p>
    <w:p>
      <w:pPr>
        <w:pStyle w:val="BodyText"/>
        <w:spacing w:line="240" w:lineRule="auto"/>
        <w:ind w:left="1613" w:right="0"/>
        <w:jc w:val="left"/>
      </w:pPr>
      <w:r>
        <w:rPr/>
        <w:t>（</w:t>
      </w:r>
      <w:r>
        <w:rPr>
          <w:rFonts w:ascii="宋体" w:hAnsi="宋体" w:cs="宋体" w:eastAsia="宋体" w:hint="default"/>
        </w:rPr>
        <w:t>3</w:t>
      </w:r>
      <w:r>
        <w:rPr/>
        <w:t>）执行细节测试程序，检查收入确认的相关合同、发票、客户对账单、结算单等文件、单据；</w:t>
      </w:r>
    </w:p>
    <w:p>
      <w:pPr>
        <w:spacing w:line="240" w:lineRule="auto" w:before="2"/>
        <w:rPr>
          <w:rFonts w:ascii="宋体" w:hAnsi="宋体" w:cs="宋体" w:eastAsia="宋体" w:hint="default"/>
          <w:sz w:val="24"/>
          <w:szCs w:val="24"/>
        </w:rPr>
      </w:pPr>
    </w:p>
    <w:p>
      <w:pPr>
        <w:pStyle w:val="BodyText"/>
        <w:spacing w:line="240" w:lineRule="auto"/>
        <w:ind w:left="1613" w:right="0"/>
        <w:jc w:val="left"/>
      </w:pPr>
      <w:r>
        <w:rPr/>
        <w:t>（</w:t>
      </w:r>
      <w:r>
        <w:rPr>
          <w:rFonts w:ascii="宋体" w:hAnsi="宋体" w:cs="宋体" w:eastAsia="宋体" w:hint="default"/>
        </w:rPr>
        <w:t>4</w:t>
      </w:r>
      <w:r>
        <w:rPr/>
        <w:t>）对收入进行截止性测试，关注收入是否在恰当的期间确认，是否存在重大跨期、期后是否存在重大调整；</w:t>
      </w:r>
    </w:p>
    <w:p>
      <w:pPr>
        <w:spacing w:line="240" w:lineRule="auto" w:before="2"/>
        <w:rPr>
          <w:rFonts w:ascii="宋体" w:hAnsi="宋体" w:cs="宋体" w:eastAsia="宋体" w:hint="default"/>
          <w:sz w:val="24"/>
          <w:szCs w:val="24"/>
        </w:rPr>
      </w:pPr>
    </w:p>
    <w:p>
      <w:pPr>
        <w:pStyle w:val="BodyText"/>
        <w:spacing w:line="240" w:lineRule="auto"/>
        <w:ind w:left="1613" w:right="0"/>
        <w:jc w:val="left"/>
      </w:pPr>
      <w:r>
        <w:rPr/>
        <w:t>（</w:t>
      </w:r>
      <w:r>
        <w:rPr>
          <w:rFonts w:ascii="宋体" w:hAnsi="宋体" w:cs="宋体" w:eastAsia="宋体" w:hint="default"/>
        </w:rPr>
        <w:t>5</w:t>
      </w:r>
      <w:r>
        <w:rPr/>
        <w:t>）选择样本对销售额以及应收账款（预收款项）余额实施函证程序，对未回函的样本实施替代测试；</w:t>
      </w:r>
    </w:p>
    <w:p>
      <w:pPr>
        <w:spacing w:line="240" w:lineRule="auto" w:before="2"/>
        <w:rPr>
          <w:rFonts w:ascii="宋体" w:hAnsi="宋体" w:cs="宋体" w:eastAsia="宋体" w:hint="default"/>
          <w:sz w:val="24"/>
          <w:szCs w:val="24"/>
        </w:rPr>
      </w:pPr>
    </w:p>
    <w:p>
      <w:pPr>
        <w:pStyle w:val="BodyText"/>
        <w:spacing w:line="564" w:lineRule="auto"/>
        <w:ind w:left="1616" w:right="2623" w:hanging="3"/>
        <w:jc w:val="left"/>
        <w:rPr>
          <w:rFonts w:ascii="宋体" w:hAnsi="宋体" w:cs="宋体" w:eastAsia="宋体" w:hint="default"/>
        </w:rPr>
      </w:pPr>
      <w:r>
        <w:rPr/>
        <w:t>（</w:t>
      </w:r>
      <w:r>
        <w:rPr>
          <w:rFonts w:ascii="宋体" w:hAnsi="宋体" w:cs="宋体" w:eastAsia="宋体" w:hint="default"/>
        </w:rPr>
        <w:t>6</w:t>
      </w:r>
      <w:r>
        <w:rPr/>
        <w:t>）对新增的大客户进行背景了解，执行走访和函证程序，关注交易背景，是否存在关联交易。 </w:t>
      </w:r>
      <w:r>
        <w:rPr>
          <w:rFonts w:ascii="宋体" w:hAnsi="宋体" w:cs="宋体" w:eastAsia="宋体" w:hint="default"/>
          <w:b/>
          <w:bCs/>
        </w:rPr>
        <w:t>四、其他信息</w:t>
      </w:r>
      <w:r>
        <w:rPr>
          <w:rFonts w:ascii="宋体" w:hAnsi="宋体" w:cs="宋体" w:eastAsia="宋体" w:hint="default"/>
        </w:rPr>
      </w:r>
    </w:p>
    <w:p>
      <w:pPr>
        <w:pStyle w:val="BodyText"/>
        <w:spacing w:line="316" w:lineRule="auto" w:before="72"/>
        <w:ind w:left="1133" w:right="0" w:firstLine="480"/>
        <w:jc w:val="left"/>
      </w:pPr>
      <w:r>
        <w:rPr>
          <w:spacing w:val="-1"/>
        </w:rPr>
        <w:t>文化长城管理层（以下简称管理层）对其他信息负责。其他信息包括文化长城</w:t>
      </w:r>
      <w:r>
        <w:rPr>
          <w:rFonts w:ascii="宋体" w:hAnsi="宋体" w:cs="宋体" w:eastAsia="宋体" w:hint="default"/>
          <w:spacing w:val="-1"/>
        </w:rPr>
        <w:t>2017</w:t>
      </w:r>
      <w:r>
        <w:rPr>
          <w:spacing w:val="-1"/>
        </w:rPr>
        <w:t>年度报告中涵盖的信息，但不包括</w:t>
      </w:r>
      <w:r>
        <w:rPr/>
        <w:t> 财务报表和我们的审计报告。</w:t>
      </w:r>
    </w:p>
    <w:p>
      <w:pPr>
        <w:pStyle w:val="BodyText"/>
        <w:spacing w:line="554" w:lineRule="exact" w:before="26"/>
        <w:ind w:left="1613" w:right="0"/>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225" w:lineRule="exact"/>
        <w:ind w:left="1133" w:right="0"/>
        <w:jc w:val="both"/>
      </w:pPr>
      <w:r>
        <w:rPr/>
        <w:t>过程中了解到的情况存在重大不一致或者似乎存在重大错报。</w:t>
      </w:r>
    </w:p>
    <w:p>
      <w:pPr>
        <w:spacing w:line="240" w:lineRule="auto" w:before="4"/>
        <w:rPr>
          <w:rFonts w:ascii="宋体" w:hAnsi="宋体" w:cs="宋体" w:eastAsia="宋体" w:hint="default"/>
          <w:sz w:val="24"/>
          <w:szCs w:val="24"/>
        </w:rPr>
      </w:pPr>
    </w:p>
    <w:p>
      <w:pPr>
        <w:pStyle w:val="BodyText"/>
        <w:spacing w:line="316" w:lineRule="auto"/>
        <w:ind w:right="1118" w:firstLine="480"/>
        <w:jc w:val="left"/>
      </w:pPr>
      <w:r>
        <w:rPr>
          <w:spacing w:val="-1"/>
        </w:rPr>
        <w:t>基于我们已执行的工作，如果我们确定其他信息存在重大错报，我们应当报告该事实。在这方面，我们无任何事项需</w:t>
      </w:r>
      <w:r>
        <w:rPr/>
        <w:t> 要报告。</w:t>
      </w:r>
    </w:p>
    <w:p>
      <w:pPr>
        <w:spacing w:line="240" w:lineRule="auto" w:before="11"/>
        <w:rPr>
          <w:rFonts w:ascii="宋体" w:hAnsi="宋体" w:cs="宋体" w:eastAsia="宋体" w:hint="default"/>
          <w:sz w:val="19"/>
          <w:szCs w:val="19"/>
        </w:rPr>
      </w:pPr>
    </w:p>
    <w:p>
      <w:pPr>
        <w:spacing w:line="561" w:lineRule="auto" w:before="0"/>
        <w:ind w:left="1614" w:right="0" w:firstLine="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管理层负责按照企业会计准则的规定编制财务报表，使其实现公允反映，并设计、执行和维护必要的内部控制，以使</w:t>
      </w:r>
    </w:p>
    <w:p>
      <w:pPr>
        <w:spacing w:after="0" w:line="561"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财务报表不存在由于舞弊或错误导致的重大错报。</w:t>
      </w:r>
    </w:p>
    <w:p>
      <w:pPr>
        <w:spacing w:line="240" w:lineRule="auto" w:before="4"/>
        <w:rPr>
          <w:rFonts w:ascii="宋体" w:hAnsi="宋体" w:cs="宋体" w:eastAsia="宋体" w:hint="default"/>
          <w:sz w:val="24"/>
          <w:szCs w:val="24"/>
        </w:rPr>
      </w:pPr>
    </w:p>
    <w:p>
      <w:pPr>
        <w:pStyle w:val="BodyText"/>
        <w:spacing w:line="316" w:lineRule="auto"/>
        <w:ind w:right="1137" w:firstLine="480"/>
        <w:jc w:val="both"/>
      </w:pPr>
      <w:r>
        <w:rPr>
          <w:spacing w:val="-1"/>
        </w:rPr>
        <w:t>在编制财务报表时，管理层负责评估文化长城的持续经营能力，披露与持续经营相关的事项（如适用），并运用持续</w:t>
      </w:r>
      <w:r>
        <w:rPr/>
        <w:t> 经营假设，除非管理层计划清算文化长城、终止运营或别无其他现实的选择。</w:t>
      </w:r>
    </w:p>
    <w:p>
      <w:pPr>
        <w:spacing w:line="240" w:lineRule="auto" w:before="11"/>
        <w:rPr>
          <w:rFonts w:ascii="宋体" w:hAnsi="宋体" w:cs="宋体" w:eastAsia="宋体" w:hint="default"/>
          <w:sz w:val="19"/>
          <w:szCs w:val="19"/>
        </w:rPr>
      </w:pPr>
    </w:p>
    <w:p>
      <w:pPr>
        <w:spacing w:line="564" w:lineRule="auto" w:before="0"/>
        <w:ind w:left="1616" w:right="6853" w:hanging="3"/>
        <w:jc w:val="left"/>
        <w:rPr>
          <w:rFonts w:ascii="宋体" w:hAnsi="宋体" w:cs="宋体" w:eastAsia="宋体" w:hint="default"/>
          <w:sz w:val="18"/>
          <w:szCs w:val="18"/>
        </w:rPr>
      </w:pPr>
      <w:r>
        <w:rPr>
          <w:rFonts w:ascii="宋体" w:hAnsi="宋体" w:cs="宋体" w:eastAsia="宋体" w:hint="default"/>
          <w:sz w:val="18"/>
          <w:szCs w:val="18"/>
        </w:rPr>
        <w:t>治理层负责监督文化长城的财务报告过程。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72"/>
        <w:ind w:left="1133" w:right="1133" w:firstLine="480"/>
        <w:jc w:val="both"/>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spacing w:line="240" w:lineRule="auto" w:before="10"/>
        <w:rPr>
          <w:rFonts w:ascii="宋体" w:hAnsi="宋体" w:cs="宋体" w:eastAsia="宋体" w:hint="default"/>
          <w:sz w:val="19"/>
          <w:szCs w:val="19"/>
        </w:rPr>
      </w:pPr>
    </w:p>
    <w:p>
      <w:pPr>
        <w:pStyle w:val="BodyText"/>
        <w:spacing w:line="240" w:lineRule="auto"/>
        <w:ind w:left="1614" w:right="0"/>
        <w:jc w:val="left"/>
      </w:pPr>
      <w:r>
        <w:rPr/>
        <w:t>在按照审计准则执行审计工作的过程中，我们运用职业判断，并保持职业怀疑。同时，我们也执行以下工作：</w:t>
      </w:r>
    </w:p>
    <w:p>
      <w:pPr>
        <w:spacing w:line="240" w:lineRule="auto" w:before="4"/>
        <w:rPr>
          <w:rFonts w:ascii="宋体" w:hAnsi="宋体" w:cs="宋体" w:eastAsia="宋体" w:hint="default"/>
          <w:sz w:val="24"/>
          <w:szCs w:val="24"/>
        </w:rPr>
      </w:pPr>
    </w:p>
    <w:p>
      <w:pPr>
        <w:pStyle w:val="BodyText"/>
        <w:spacing w:line="316" w:lineRule="auto"/>
        <w:ind w:left="1133" w:right="1041" w:firstLine="480"/>
        <w:jc w:val="both"/>
      </w:pPr>
      <w:r>
        <w:rPr>
          <w:spacing w:val="-1"/>
        </w:rPr>
        <w:t>（</w:t>
      </w:r>
      <w:r>
        <w:rPr>
          <w:rFonts w:ascii="宋体" w:hAnsi="宋体" w:cs="宋体" w:eastAsia="宋体" w:hint="default"/>
          <w:spacing w:val="-1"/>
        </w:rPr>
        <w:t>1</w:t>
      </w:r>
      <w:r>
        <w:rPr>
          <w:spacing w:val="-1"/>
        </w:rPr>
        <w:t>）识别和评估由于舞弊或错误导致的财务报表重大错报风险，设计和实施审计程序以应对这些风险，并获取充分、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spacing w:line="240" w:lineRule="auto" w:before="10"/>
        <w:rPr>
          <w:rFonts w:ascii="宋体" w:hAnsi="宋体" w:cs="宋体" w:eastAsia="宋体" w:hint="default"/>
          <w:sz w:val="19"/>
          <w:szCs w:val="19"/>
        </w:rPr>
      </w:pPr>
    </w:p>
    <w:p>
      <w:pPr>
        <w:pStyle w:val="BodyText"/>
        <w:spacing w:line="240" w:lineRule="auto"/>
        <w:ind w:left="1613" w:right="0"/>
        <w:jc w:val="left"/>
      </w:pPr>
      <w:r>
        <w:rPr/>
        <w:t>（</w:t>
      </w:r>
      <w:r>
        <w:rPr>
          <w:rFonts w:ascii="宋体" w:hAnsi="宋体" w:cs="宋体" w:eastAsia="宋体" w:hint="default"/>
        </w:rPr>
        <w:t>2</w:t>
      </w:r>
      <w:r>
        <w:rPr/>
        <w:t>）了解与审计相关的内部控制，以设计恰当的审计程序，但目的并非对内部控制的有效性发表意见。</w:t>
      </w:r>
    </w:p>
    <w:p>
      <w:pPr>
        <w:spacing w:line="240" w:lineRule="auto" w:before="2"/>
        <w:rPr>
          <w:rFonts w:ascii="宋体" w:hAnsi="宋体" w:cs="宋体" w:eastAsia="宋体" w:hint="default"/>
          <w:sz w:val="24"/>
          <w:szCs w:val="24"/>
        </w:rPr>
      </w:pPr>
    </w:p>
    <w:p>
      <w:pPr>
        <w:pStyle w:val="BodyText"/>
        <w:spacing w:line="240" w:lineRule="auto"/>
        <w:ind w:left="1613" w:right="0"/>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4"/>
        <w:rPr>
          <w:rFonts w:ascii="宋体" w:hAnsi="宋体" w:cs="宋体" w:eastAsia="宋体" w:hint="default"/>
          <w:sz w:val="24"/>
          <w:szCs w:val="24"/>
        </w:rPr>
      </w:pPr>
    </w:p>
    <w:p>
      <w:pPr>
        <w:pStyle w:val="BodyText"/>
        <w:spacing w:line="316" w:lineRule="auto"/>
        <w:ind w:left="1133" w:right="1132" w:firstLine="480"/>
        <w:jc w:val="both"/>
      </w:pPr>
      <w:r>
        <w:rPr/>
        <w:t>（</w:t>
      </w:r>
      <w:r>
        <w:rPr>
          <w:rFonts w:ascii="宋体" w:hAnsi="宋体" w:cs="宋体" w:eastAsia="宋体" w:hint="default"/>
        </w:rPr>
        <w:t>4</w:t>
      </w:r>
      <w:r>
        <w:rPr/>
        <w:t>）对管理层使用持续经营假设的恰当性得出结论。同时，根据获取的审计证据，就可能导致对文化长城持续经营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基于截至审计报告日可获得的信息。然而，未来的事项或情况可能导致文化长城不能持续经营。</w:t>
      </w:r>
    </w:p>
    <w:p>
      <w:pPr>
        <w:spacing w:line="240" w:lineRule="auto" w:before="10"/>
        <w:rPr>
          <w:rFonts w:ascii="宋体" w:hAnsi="宋体" w:cs="宋体" w:eastAsia="宋体" w:hint="default"/>
          <w:sz w:val="19"/>
          <w:szCs w:val="19"/>
        </w:rPr>
      </w:pPr>
    </w:p>
    <w:p>
      <w:pPr>
        <w:pStyle w:val="BodyText"/>
        <w:spacing w:line="240" w:lineRule="auto"/>
        <w:ind w:left="1613" w:right="0"/>
        <w:jc w:val="left"/>
      </w:pPr>
      <w:r>
        <w:rPr/>
        <w:t>（</w:t>
      </w:r>
      <w:r>
        <w:rPr>
          <w:rFonts w:ascii="宋体" w:hAnsi="宋体" w:cs="宋体" w:eastAsia="宋体" w:hint="default"/>
        </w:rPr>
        <w:t>5</w:t>
      </w:r>
      <w:r>
        <w:rPr/>
        <w:t>）评价财务报表的总体列报、结构和内容（包括披露</w:t>
      </w:r>
      <w:r>
        <w:rPr>
          <w:spacing w:val="-90"/>
        </w:rPr>
        <w:t>）</w:t>
      </w:r>
      <w:r>
        <w:rPr/>
        <w:t>，并评价财务报表是否公允反映相关交易和事项。</w:t>
      </w:r>
    </w:p>
    <w:p>
      <w:pPr>
        <w:spacing w:line="240" w:lineRule="auto" w:before="4"/>
        <w:rPr>
          <w:rFonts w:ascii="宋体" w:hAnsi="宋体" w:cs="宋体" w:eastAsia="宋体" w:hint="default"/>
          <w:sz w:val="24"/>
          <w:szCs w:val="24"/>
        </w:rPr>
      </w:pPr>
    </w:p>
    <w:p>
      <w:pPr>
        <w:pStyle w:val="BodyText"/>
        <w:spacing w:line="316" w:lineRule="auto"/>
        <w:ind w:left="1133" w:right="1137" w:firstLine="480"/>
        <w:jc w:val="both"/>
      </w:pPr>
      <w:r>
        <w:rPr/>
        <w:t>（</w:t>
      </w:r>
      <w:r>
        <w:rPr>
          <w:rFonts w:ascii="宋体" w:hAnsi="宋体" w:cs="宋体" w:eastAsia="宋体" w:hint="default"/>
        </w:rPr>
        <w:t>6</w:t>
      </w:r>
      <w:r>
        <w:rPr/>
        <w:t>）就文化长城中实体或业务活动的财务信息获取充分、适当的审计证据，以对合并财务报表发表审计意见。我们 负责指导、监督和执行集团审计，并对审计意见承担全部责任。</w:t>
      </w:r>
    </w:p>
    <w:p>
      <w:pPr>
        <w:spacing w:line="240" w:lineRule="auto" w:before="11"/>
        <w:rPr>
          <w:rFonts w:ascii="宋体" w:hAnsi="宋体" w:cs="宋体" w:eastAsia="宋体" w:hint="default"/>
          <w:sz w:val="19"/>
          <w:szCs w:val="19"/>
        </w:rPr>
      </w:pPr>
    </w:p>
    <w:p>
      <w:pPr>
        <w:pStyle w:val="BodyText"/>
        <w:spacing w:line="316" w:lineRule="auto"/>
        <w:ind w:right="1133" w:firstLine="480"/>
        <w:jc w:val="both"/>
      </w:pPr>
      <w:r>
        <w:rPr>
          <w:spacing w:val="-1"/>
        </w:rPr>
        <w:t>我们与治理层就计划的审计范围、时间安排和重大审计发现等事项进行沟通，包括沟通我们在审计中识别出的值得关</w:t>
      </w:r>
      <w:r>
        <w:rPr/>
        <w:t> 注的内部控制缺陷。</w:t>
      </w:r>
    </w:p>
    <w:p>
      <w:pPr>
        <w:spacing w:line="240" w:lineRule="auto" w:before="11"/>
        <w:rPr>
          <w:rFonts w:ascii="宋体" w:hAnsi="宋体" w:cs="宋体" w:eastAsia="宋体" w:hint="default"/>
          <w:sz w:val="19"/>
          <w:szCs w:val="19"/>
        </w:rPr>
      </w:pPr>
    </w:p>
    <w:p>
      <w:pPr>
        <w:pStyle w:val="BodyText"/>
        <w:spacing w:line="316" w:lineRule="auto"/>
        <w:ind w:right="1131" w:firstLine="480"/>
        <w:jc w:val="both"/>
      </w:pPr>
      <w:r>
        <w:rPr>
          <w:spacing w:val="-1"/>
        </w:rPr>
        <w:t>我们还就已遵守与独立性相关的职业道德要求向治理层提供声明，并与治理层沟通可能被合理认为影响我们独立性的</w:t>
      </w:r>
      <w:r>
        <w:rPr/>
        <w:t> </w:t>
      </w:r>
      <w:r>
        <w:rPr>
          <w:spacing w:val="-4"/>
        </w:rPr>
        <w:t>所有关系和其他事项，以及相关的防范措施（如适用）。</w:t>
      </w:r>
    </w:p>
    <w:p>
      <w:pPr>
        <w:spacing w:line="240" w:lineRule="auto" w:before="11"/>
        <w:rPr>
          <w:rFonts w:ascii="宋体" w:hAnsi="宋体" w:cs="宋体" w:eastAsia="宋体" w:hint="default"/>
          <w:sz w:val="19"/>
          <w:szCs w:val="19"/>
        </w:rPr>
      </w:pPr>
    </w:p>
    <w:p>
      <w:pPr>
        <w:pStyle w:val="BodyText"/>
        <w:spacing w:line="316" w:lineRule="auto"/>
        <w:ind w:right="1133" w:firstLine="480"/>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10"/>
        <w:rPr>
          <w:rFonts w:ascii="宋体" w:hAnsi="宋体" w:cs="宋体" w:eastAsia="宋体" w:hint="default"/>
          <w:sz w:val="20"/>
          <w:szCs w:val="20"/>
        </w:rPr>
      </w:pPr>
    </w:p>
    <w:p>
      <w:pPr>
        <w:pStyle w:val="Heading2"/>
        <w:spacing w:line="240" w:lineRule="auto"/>
        <w:ind w:left="1133" w:right="0"/>
        <w:jc w:val="left"/>
        <w:rPr>
          <w:b w:val="0"/>
          <w:bCs w:val="0"/>
        </w:rPr>
      </w:pPr>
      <w:bookmarkStart w:name="二、财务报表" w:id="151"/>
      <w:bookmarkEnd w:id="15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财务附注中报表的单位为：人民币元</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1、合并资产负债表" w:id="152"/>
      <w:bookmarkEnd w:id="15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240" w:lineRule="auto" w:before="44"/>
        <w:ind w:right="-20"/>
        <w:jc w:val="left"/>
      </w:pPr>
      <w:r>
        <w:rPr/>
        <w:t>编制单位：广东文化长城集团股份有限公司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61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100" w:bottom="120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552,835,056.08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560,615,295.72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2,421,034.00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181,820,430.77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227,299,476.87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85,251,121.51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26,119,444.10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866,930.21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1,267,557.69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10,797,484.37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32,803,541.20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95,191,612.35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105,579,071.47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3,062,593.54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19,077,410.72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932,246,262.83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972,761,797.77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10,129,436.71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210,118,481.23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107,930,065.54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224,683,337.46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186,286,037.04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1,970,781.39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2,086,153.67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315,586,147.72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300,680,557.78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867,417,152.25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867,417,152.25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4,422,773.15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752,860.16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8,796,453.84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3,432,359.96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131,877,169.81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1,508,750.00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1,788,001,733.56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1,482,093,936.40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2,720,247,996.39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2,454,855,734.17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357,770,000.00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37,013,368.69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35,201,885.77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13,250,629.18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13,145,438.74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8,886,120.39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7,726,575.47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13,482,876.92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9,320,554.42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19,229,406.28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791,969.09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2,016,886.77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10,995,212.66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6,206,949.12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8,627,878.61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370,086,237.35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479,579,514.76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345,332,014.46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4,925,580.54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1,635,933.18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1,395,233.52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1,784,601.01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528,652,828.52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216,420,534.19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898,739,065.87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696,000,048.95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434,800,140.00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434,800,140.00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1,026,574,331.92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1,026,574,331.92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33,481,335.68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30,955,536.44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326,273,427.87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266,207,450.13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1,821,129,235.47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1,758,537,458.49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379,695.05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318,226.73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1,821,508,930.52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1,758,855,685.22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2,720,247,996.39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2,454,855,734.17</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法定代表人：蔡廷祥</w:t>
        <w:tab/>
        <w:t>主管会计工作负责人：罗晨鹏</w:t>
        <w:tab/>
        <w:t>会计机构负责人：杨榕</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母公司资产负债表" w:id="153"/>
      <w:bookmarkEnd w:id="15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465,610,836.59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473,068,374.88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128,394,321.72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120,278,776.20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55,373,804.66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15,726,610.40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771,787.74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1,267,557.69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43,989,996.23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77,915,337.62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48,511,999.62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60,758,676.97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1,243,580.46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800,652,746.56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750,258,914.22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1,646,858,012.20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1,544,669,596.51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91,798,118.08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96,110,161.53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3,593,312.28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3,793,252.56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199,333.21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653,377.54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9,260,676.38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4,750,045.83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54,240,000.00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130,350.00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1,818,949,452.15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1,662,106,783.97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2,619,602,198.71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2,412,365,698.19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357,770,000.00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8,592,260.53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15,780,951.93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636,405.32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2,112,294.72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3,452,464.55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4,236,551.94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444,982.82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136,771.38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19,229,406.28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791,969.09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33,933,921.62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37,880,033.61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336,289,441.12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454,708,572.67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345,332,014.46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2,469,981.11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534,356.16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524,801,995.57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213,534,356.16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861,091,436.69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668,242,928.83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434,800,140.00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434,800,140.00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1,026,574,331.92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1,026,574,331.92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33,481,335.68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30,955,536.44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263,654,954.42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251,792,761.00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1,758,510,762.02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1,744,122,769.36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2,619,602,198.71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2,412,365,698.19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54"/>
      <w:bookmarkEnd w:id="15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540,117,836.79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452,394,179.59</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540,117,836.79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452,394,179.59</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453,289,437.71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407,285,266.32</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271,563,763.75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289,265,790.77</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080"/>
        <w:gridCol w:w="3211"/>
        <w:gridCol w:w="3278"/>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7,391,410.31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6,404,856.82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46,745,855.08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39,155,194.45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75,991,246.91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61,331,650.01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53,051,054.75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1,750,985.60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-1,453,893.09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9,376,788.67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2"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宋体" w:hAnsi="宋体" w:cs="宋体" w:eastAsia="宋体" w:hint="default"/>
                <w:sz w:val="18"/>
                <w:szCs w:val="18"/>
              </w:rPr>
              <w:t> “－”号填列）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-5,598,741.53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96,002,374.09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-7,811,584.31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1,905,445.41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-8,631.45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-56,944.86</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4,682,480.62</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85,903,506.72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141,054,342.50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146,547.48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4,569,380.38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1,922,688.50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2,196,786.99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99"/>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84,127,365.70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143,426,935.89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10,754,120.62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6,666,302.28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73,373,245.08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136,760,633.61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5"/>
              <w:jc w:val="left"/>
              <w:rPr>
                <w:rFonts w:ascii="宋体" w:hAnsi="宋体" w:cs="宋体" w:eastAsia="宋体" w:hint="default"/>
                <w:sz w:val="18"/>
                <w:szCs w:val="18"/>
              </w:rPr>
            </w:pPr>
            <w:r>
              <w:rPr>
                <w:rFonts w:ascii="宋体" w:hAnsi="宋体" w:cs="宋体" w:eastAsia="宋体" w:hint="default"/>
                <w:spacing w:val="-1"/>
                <w:sz w:val="18"/>
                <w:szCs w:val="18"/>
              </w:rPr>
              <w:t>（一）持续经营净利润（净亏损</w:t>
            </w:r>
            <w:r>
              <w:rPr>
                <w:rFonts w:ascii="宋体" w:hAnsi="宋体" w:cs="宋体" w:eastAsia="宋体" w:hint="default"/>
                <w:sz w:val="18"/>
                <w:szCs w:val="18"/>
              </w:rPr>
              <w:t> 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73,373,245.08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136,760,633.61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5"/>
              <w:jc w:val="left"/>
              <w:rPr>
                <w:rFonts w:ascii="宋体" w:hAnsi="宋体" w:cs="宋体" w:eastAsia="宋体" w:hint="default"/>
                <w:sz w:val="18"/>
                <w:szCs w:val="18"/>
              </w:rPr>
            </w:pPr>
            <w:r>
              <w:rPr>
                <w:rFonts w:ascii="宋体" w:hAnsi="宋体" w:cs="宋体" w:eastAsia="宋体" w:hint="default"/>
                <w:spacing w:val="-1"/>
                <w:sz w:val="18"/>
                <w:szCs w:val="18"/>
              </w:rPr>
              <w:t>（二）终止经营净利润（净亏损</w:t>
            </w:r>
            <w:r>
              <w:rPr>
                <w:rFonts w:ascii="宋体" w:hAnsi="宋体" w:cs="宋体" w:eastAsia="宋体" w:hint="default"/>
                <w:sz w:val="18"/>
                <w:szCs w:val="18"/>
              </w:rPr>
              <w:t> 以“－”号填列）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73,461,776.76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136,797,245.91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-88,531.68</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-36,612.30</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 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73,373,245.08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136,760,633.61</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73,461,776.76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136,797,245.91</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-88,531.68</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-36,612.30</w:t>
            </w:r>
            <w:r>
              <w:rPr>
                <w:rFonts w:ascii="Times New Roman"/>
                <w:sz w:val="18"/>
              </w:rPr>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0.35</w:t>
            </w:r>
          </w:p>
        </w:tc>
      </w:tr>
    </w:tbl>
    <w:p>
      <w:pPr>
        <w:pStyle w:val="BodyText"/>
        <w:tabs>
          <w:tab w:pos="4644" w:val="left" w:leader="none"/>
          <w:tab w:pos="8875" w:val="left" w:leader="none"/>
        </w:tabs>
        <w:spacing w:line="592" w:lineRule="auto" w:before="51"/>
        <w:ind w:left="1133"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法定代表人：蔡廷祥</w:t>
        <w:tab/>
        <w:t>主管会计工作负责人：罗晨鹏</w:t>
        <w:tab/>
        <w:t>会计机构负责人：杨榕 </w:t>
      </w:r>
      <w:bookmarkStart w:name="4、母公司利润表" w:id="155"/>
      <w:bookmarkEnd w:id="15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1" w:right="0"/>
              <w:jc w:val="left"/>
              <w:rPr>
                <w:rFonts w:ascii="Times New Roman" w:hAnsi="Times New Roman" w:cs="Times New Roman" w:eastAsia="Times New Roman" w:hint="default"/>
                <w:sz w:val="18"/>
                <w:szCs w:val="18"/>
              </w:rPr>
            </w:pPr>
            <w:r>
              <w:rPr>
                <w:rFonts w:ascii="Times New Roman"/>
                <w:sz w:val="18"/>
              </w:rPr>
              <w:t>248,731,970.63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3" w:right="0"/>
              <w:jc w:val="left"/>
              <w:rPr>
                <w:rFonts w:ascii="Times New Roman" w:hAnsi="Times New Roman" w:cs="Times New Roman" w:eastAsia="Times New Roman" w:hint="default"/>
                <w:sz w:val="18"/>
                <w:szCs w:val="18"/>
              </w:rPr>
            </w:pPr>
            <w:r>
              <w:rPr>
                <w:rFonts w:ascii="Times New Roman"/>
                <w:sz w:val="18"/>
              </w:rPr>
              <w:t>318,406,751.15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179,220,813.60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233,465,689.79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3,185,975.13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3,670,512.76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20,101,196.20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29,951,399.27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32,748,169.19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37,136,073.08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48,829,460.45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5,033,345.44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-3,924,099.46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14,247,562.32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 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51,237,149.93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1,905,445.41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-7,811,584.31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1,905,445.41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-21,792.83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-9,103.28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1,181,284.00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20,967,096.62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-3,201,489.38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110,088.98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3,853,912.92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63,421.78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146,204.00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21,013,763.82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506,219.54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-4,244,228.62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-955,857.47</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25,257,992.44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1,462,077.01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25,257,992.44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1,462,077.01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 的其他综合收益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 划净负债或净资产的变动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 位不能重分类进损益的其他综合收 益中享有的份额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 位以后将重分类进损益的其他综合 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1" w:right="0"/>
              <w:jc w:val="left"/>
              <w:rPr>
                <w:rFonts w:ascii="Times New Roman" w:hAnsi="Times New Roman" w:cs="Times New Roman" w:eastAsia="Times New Roman" w:hint="default"/>
                <w:sz w:val="18"/>
                <w:szCs w:val="18"/>
              </w:rPr>
            </w:pPr>
            <w:r>
              <w:rPr>
                <w:rFonts w:ascii="Times New Roman"/>
                <w:sz w:val="18"/>
              </w:rPr>
              <w:t>25,257,992.44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1,462,077.01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56"/>
      <w:bookmarkEnd w:id="15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33"/>
              <w:jc w:val="righ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64" w:right="0"/>
              <w:jc w:val="left"/>
              <w:rPr>
                <w:rFonts w:ascii="Times New Roman" w:hAnsi="Times New Roman" w:cs="Times New Roman" w:eastAsia="Times New Roman" w:hint="default"/>
                <w:sz w:val="18"/>
                <w:szCs w:val="18"/>
              </w:rPr>
            </w:pPr>
            <w:r>
              <w:rPr>
                <w:rFonts w:ascii="Times New Roman"/>
                <w:sz w:val="18"/>
              </w:rPr>
              <w:t>597,893,360.77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63" w:right="0"/>
              <w:jc w:val="left"/>
              <w:rPr>
                <w:rFonts w:ascii="Times New Roman" w:hAnsi="Times New Roman" w:cs="Times New Roman" w:eastAsia="Times New Roman" w:hint="default"/>
                <w:sz w:val="18"/>
                <w:szCs w:val="18"/>
              </w:rPr>
            </w:pPr>
            <w:r>
              <w:rPr>
                <w:rFonts w:ascii="Times New Roman"/>
                <w:sz w:val="18"/>
              </w:rPr>
              <w:t>494,836,469.95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31"/>
              <w:jc w:val="righ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12,674,694.48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19,110,463.16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12,260,385.37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22,612,751.55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622,828,440.62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536,559,684.66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330,373,822.47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264,546,952.27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76,786,634.94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50,588,617.64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24,891,077.41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15,260,738.56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68,954,925.90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53,314,793.13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501,006,460.72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383,711,101.60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121,821,979.90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152,848,583.06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516,400,000.00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2,212,842.78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68,445.25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301,264.14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520,379,842.78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369,709.39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197,751,353.76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3,653,286.37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586,500,000.00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70,200,000.00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363,710,474.93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810,251,353.76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437,563,761.30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-289,871,510.98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-437,194,051.91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479,880,187.08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457,770,000.00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27,249,095.86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654,399,095.86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937,650,187.08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417,770,000.00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34,105,758.15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23,812,015.24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18,187,184.51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24,835,773.46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470,062,942.66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407,647,788.70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184,336,153.20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530,002,398.38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-1,404,950.41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1,677,078.17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14,881,671.71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247,334,007.70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533,051,546.12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285,717,538.42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547,933,217.83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533,051,546.12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57"/>
      <w:bookmarkEnd w:id="15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4" w:right="0"/>
              <w:jc w:val="left"/>
              <w:rPr>
                <w:rFonts w:ascii="Times New Roman" w:hAnsi="Times New Roman" w:cs="Times New Roman" w:eastAsia="Times New Roman" w:hint="default"/>
                <w:sz w:val="18"/>
                <w:szCs w:val="18"/>
              </w:rPr>
            </w:pPr>
            <w:r>
              <w:rPr>
                <w:rFonts w:ascii="Times New Roman"/>
                <w:sz w:val="18"/>
              </w:rPr>
              <w:t>241,502,230.64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3" w:right="0"/>
              <w:jc w:val="left"/>
              <w:rPr>
                <w:rFonts w:ascii="Times New Roman" w:hAnsi="Times New Roman" w:cs="Times New Roman" w:eastAsia="Times New Roman" w:hint="default"/>
                <w:sz w:val="18"/>
                <w:szCs w:val="18"/>
              </w:rPr>
            </w:pPr>
            <w:r>
              <w:rPr>
                <w:rFonts w:ascii="Times New Roman"/>
                <w:sz w:val="18"/>
              </w:rPr>
              <w:t>379,017,502.58</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6,878,170.67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10,899,955.42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5,173,854.94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8,179,774.52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253,554,256.25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398,097,232.52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194,826,578.60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217,598,846.22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33,979,417.89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41,879,484.99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2,304,019.55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4,879,863.25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34,657,429.04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39,938,071.71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265,767,445.08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304,296,266.17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-12,213,188.83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93,800,966.35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1,048,734.24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121,359.22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369,048,734.24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121,359.22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56,292,677.84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1,850,471.67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381,400,000.00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536,292,677.84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445,250,471.67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-167,243,943.60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-445,129,112.45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479,880,187.08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457,770,000.00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343,000,000.00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11,261,326.26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16,204,850.17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638,261,326.26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953,855,037.25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417,770,000.00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354,000,000.00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34,105,758.15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23,713,258.39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465,475,758.15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377,713,258.39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172,785,568.11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576,141,778.86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-785,973.97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1,484,153.74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-7,457,538.29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226,297,786.50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473,068,374.88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246,770,588.38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465,610,836.59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473,068,374.88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7、合并所有者权益变动表" w:id="158"/>
      <w:bookmarkEnd w:id="15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1,026</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,574,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331.9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30,95</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5,536</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.44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266,2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07,45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318,2</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26.73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1,758</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,855,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685.2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1,026</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,574,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331.9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30,95</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5,536</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.44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266,2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07,45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318,2</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26.73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1,758</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,855,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685.2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2,525</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,799.</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24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60,06</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5,977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61,46</w:t>
            </w:r>
          </w:p>
          <w:p>
            <w:pPr>
              <w:pStyle w:val="TableParagraph"/>
              <w:spacing w:line="240" w:lineRule="auto" w:before="106"/>
              <w:ind w:left="237" w:right="0"/>
              <w:jc w:val="left"/>
              <w:rPr>
                <w:rFonts w:ascii="Times New Roman" w:hAnsi="Times New Roman" w:cs="Times New Roman" w:eastAsia="Times New Roman" w:hint="default"/>
                <w:sz w:val="18"/>
                <w:szCs w:val="18"/>
              </w:rPr>
            </w:pPr>
            <w:r>
              <w:rPr>
                <w:rFonts w:ascii="Times New Roman"/>
                <w:sz w:val="18"/>
              </w:rPr>
              <w:t>8.32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62,65</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3,245</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.30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73,46</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1,776</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-88,5</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31.68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73,37</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3,245</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.08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6"/>
              <w:ind w:left="141"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6"/>
              <w:ind w:left="141" w:right="0"/>
              <w:jc w:val="left"/>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2,525</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,799.</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24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95,79</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-10,8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69,99</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9.78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2,525</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,799.</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24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-2,52</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5,799</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-10,8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69,99</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-10,8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69,99</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9.78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1,026</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,574,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331.9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33,48</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1,335</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326,2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73,42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7.87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379,6</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95.05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1,821</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,508,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930.5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4"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485,8</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94,28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30,80</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9,328</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132,5</w:t>
            </w:r>
          </w:p>
          <w:p>
            <w:pPr>
              <w:pStyle w:val="TableParagraph"/>
              <w:spacing w:line="240" w:lineRule="auto" w:before="104"/>
              <w:ind w:left="166" w:right="0"/>
              <w:jc w:val="left"/>
              <w:rPr>
                <w:rFonts w:ascii="Times New Roman" w:hAnsi="Times New Roman" w:cs="Times New Roman" w:eastAsia="Times New Roman" w:hint="default"/>
                <w:sz w:val="18"/>
                <w:szCs w:val="18"/>
              </w:rPr>
            </w:pPr>
            <w:r>
              <w:rPr>
                <w:rFonts w:ascii="Times New Roman"/>
                <w:sz w:val="18"/>
              </w:rPr>
              <w:t>56,41</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1.92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799,2</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60,02</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5.50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485,8</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94,28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30,80</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9,328</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132,5</w:t>
            </w:r>
          </w:p>
          <w:p>
            <w:pPr>
              <w:pStyle w:val="TableParagraph"/>
              <w:spacing w:line="240" w:lineRule="auto" w:before="104"/>
              <w:ind w:left="166" w:right="0"/>
              <w:jc w:val="left"/>
              <w:rPr>
                <w:rFonts w:ascii="Times New Roman" w:hAnsi="Times New Roman" w:cs="Times New Roman" w:eastAsia="Times New Roman" w:hint="default"/>
                <w:sz w:val="18"/>
                <w:szCs w:val="18"/>
              </w:rPr>
            </w:pPr>
            <w:r>
              <w:rPr>
                <w:rFonts w:ascii="Times New Roman"/>
                <w:sz w:val="18"/>
              </w:rPr>
              <w:t>56,41</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1.92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799,2</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60,02</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5.50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284,</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540,6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80,04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7.08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146,2</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07.70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133,6</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51,03</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8.21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318,2</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26.73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959,5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95,65</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9.72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136,7</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97,24</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5.91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-36,6</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12.30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136,7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60,63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3.61</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59,8</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00,1</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765,6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80,04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7.08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825,4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80,18</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7.08</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59,8</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00,1</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765,6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80,04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7.08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825,4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80,18</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7.08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146,2</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07.70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-3,14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6,207.</w:t>
            </w:r>
          </w:p>
          <w:p>
            <w:pPr>
              <w:pStyle w:val="TableParagraph"/>
              <w:spacing w:line="240" w:lineRule="auto" w:before="106"/>
              <w:ind w:left="282" w:right="0"/>
              <w:jc w:val="center"/>
              <w:rPr>
                <w:rFonts w:ascii="Times New Roman" w:hAnsi="Times New Roman" w:cs="Times New Roman" w:eastAsia="Times New Roman" w:hint="default"/>
                <w:sz w:val="18"/>
                <w:szCs w:val="18"/>
              </w:rPr>
            </w:pPr>
            <w:r>
              <w:rPr>
                <w:rFonts w:ascii="Times New Roman"/>
                <w:sz w:val="18"/>
              </w:rPr>
              <w:t>70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146,2</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07.70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207.7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82" w:right="0"/>
              <w:jc w:val="center"/>
              <w:rPr>
                <w:rFonts w:ascii="Times New Roman" w:hAnsi="Times New Roman" w:cs="Times New Roman" w:eastAsia="Times New Roman" w:hint="default"/>
                <w:sz w:val="18"/>
                <w:szCs w:val="18"/>
              </w:rPr>
            </w:pPr>
            <w:r>
              <w:rPr>
                <w:rFonts w:ascii="Times New Roman"/>
                <w:sz w:val="18"/>
              </w:rPr>
              <w:t>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225,</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-225,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354,8</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39.03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354,8</w:t>
            </w:r>
          </w:p>
          <w:p>
            <w:pPr>
              <w:pStyle w:val="TableParagraph"/>
              <w:spacing w:line="240" w:lineRule="auto" w:before="106"/>
              <w:ind w:left="141" w:right="0"/>
              <w:jc w:val="left"/>
              <w:rPr>
                <w:rFonts w:ascii="Times New Roman" w:hAnsi="Times New Roman" w:cs="Times New Roman" w:eastAsia="Times New Roman" w:hint="default"/>
                <w:sz w:val="18"/>
                <w:szCs w:val="18"/>
              </w:rPr>
            </w:pPr>
            <w:r>
              <w:rPr>
                <w:rFonts w:ascii="Times New Roman"/>
                <w:sz w:val="18"/>
              </w:rPr>
              <w:t>39.03</w:t>
            </w:r>
          </w:p>
        </w:tc>
      </w:tr>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225,</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-225,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354,8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39.03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354,8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39.03</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1,026</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,574,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331.9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30,95</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5,536</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266,2</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07,45</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0.13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318,2</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26.73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1,758</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,855,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685.2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59"/>
      <w:bookmarkEnd w:id="15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434,8</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00,14</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1,026,5</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74,331.</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30,955,</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536.44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251,7</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92,76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1,744,1</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22,769.</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36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434,8</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00,14</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1,026,5</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74,331.</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30,955,</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536.44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251,7</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92,76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1,744,1</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22,769.</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36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3" w:right="101"/>
              <w:jc w:val="left"/>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2,525,7</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99.24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4" w:right="0"/>
              <w:jc w:val="left"/>
              <w:rPr>
                <w:rFonts w:ascii="Times New Roman" w:hAnsi="Times New Roman" w:cs="Times New Roman" w:eastAsia="Times New Roman" w:hint="default"/>
                <w:sz w:val="18"/>
                <w:szCs w:val="18"/>
              </w:rPr>
            </w:pPr>
            <w:r>
              <w:rPr>
                <w:rFonts w:ascii="Times New Roman"/>
                <w:sz w:val="18"/>
              </w:rPr>
              <w:t>11,86</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2,193.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14,387,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992.66</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Times New Roman"/>
                <w:sz w:val="18"/>
              </w:rPr>
              <w:t>42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25,25</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7,992.</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25,257,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992.44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2,525,7</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99.24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95,79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9.02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-10,869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,999.78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2,525,7</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99.24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-2,52</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5,799.</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24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-10,8</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69,99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9.78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-10,869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,999.78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434,8</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00,14</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1,026,5</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74,331.</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33,481,</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335.68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263,6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54,95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1,758,5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10,762.</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02</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3"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485,89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4,284.8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30,809,</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328.74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253,4</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76,89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920,18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0,505.2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485,89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4,284.8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30,809,</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328.74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253,4</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76,89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920,18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0,505.2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284,8</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00,14</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540,68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0,047.0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146,20</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7.70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4,130.</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823,94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2,264.0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1,462,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077.0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1,462,0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77.01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59,80</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0,140.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765,68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0,047.0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825,48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0,187.0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4" w:right="0"/>
              <w:jc w:val="left"/>
              <w:rPr>
                <w:rFonts w:ascii="Times New Roman" w:hAnsi="Times New Roman" w:cs="Times New Roman" w:eastAsia="Times New Roman" w:hint="default"/>
                <w:sz w:val="18"/>
                <w:szCs w:val="18"/>
              </w:rPr>
            </w:pPr>
            <w:r>
              <w:rPr>
                <w:rFonts w:ascii="Times New Roman"/>
                <w:sz w:val="18"/>
              </w:rPr>
              <w:t>59,80</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0,140.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765,68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0,047.0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825,48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0,187.0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146,20</w:t>
            </w:r>
          </w:p>
          <w:p>
            <w:pPr>
              <w:pStyle w:val="TableParagraph"/>
              <w:spacing w:line="240" w:lineRule="auto" w:before="106"/>
              <w:ind w:left="264" w:right="0"/>
              <w:jc w:val="center"/>
              <w:rPr>
                <w:rFonts w:ascii="Times New Roman" w:hAnsi="Times New Roman" w:cs="Times New Roman" w:eastAsia="Times New Roman" w:hint="default"/>
                <w:sz w:val="18"/>
                <w:szCs w:val="18"/>
              </w:rPr>
            </w:pPr>
            <w:r>
              <w:rPr>
                <w:rFonts w:ascii="Times New Roman"/>
                <w:sz w:val="18"/>
              </w:rPr>
              <w:t>7.70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-3,14</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6,207.</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000.00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146,20</w:t>
            </w:r>
          </w:p>
          <w:p>
            <w:pPr>
              <w:pStyle w:val="TableParagraph"/>
              <w:spacing w:line="240" w:lineRule="auto" w:before="106"/>
              <w:ind w:left="264" w:right="0"/>
              <w:jc w:val="center"/>
              <w:rPr>
                <w:rFonts w:ascii="Times New Roman" w:hAnsi="Times New Roman" w:cs="Times New Roman" w:eastAsia="Times New Roman" w:hint="default"/>
                <w:sz w:val="18"/>
                <w:szCs w:val="18"/>
              </w:rPr>
            </w:pPr>
            <w:r>
              <w:rPr>
                <w:rFonts w:ascii="Times New Roman"/>
                <w:sz w:val="18"/>
              </w:rPr>
              <w:t>7.70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207.7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225,0</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-225,00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225,0</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-225,00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434,8</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00,14</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1,026,5</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74,331.</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30,955,</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536.44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251,7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92,76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1,744,1</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22,769.</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36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60"/>
      <w:bookmarkEnd w:id="160"/>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853" w:right="0"/>
        <w:jc w:val="left"/>
        <w:rPr>
          <w:b w:val="0"/>
          <w:bCs w:val="0"/>
        </w:rPr>
      </w:pPr>
      <w:r>
        <w:rPr>
          <w:rFonts w:ascii="Times New Roman" w:hAnsi="Times New Roman" w:cs="Times New Roman" w:eastAsia="Times New Roman" w:hint="default"/>
        </w:rPr>
        <w:t>1</w:t>
      </w:r>
      <w:r>
        <w:rPr/>
        <w:t>、公司概况</w:t>
      </w:r>
      <w:r>
        <w:rPr>
          <w:b w:val="0"/>
          <w:bCs w:val="0"/>
        </w:rPr>
      </w:r>
    </w:p>
    <w:p>
      <w:pPr>
        <w:pStyle w:val="BodyText"/>
        <w:spacing w:line="319" w:lineRule="auto" w:before="166"/>
        <w:ind w:left="1133" w:right="0"/>
        <w:jc w:val="left"/>
      </w:pPr>
      <w:r>
        <w:rPr>
          <w:spacing w:val="-10"/>
        </w:rPr>
        <w:t>广东文化长城集团股份有限公司（以下简称“文化长城”、“长城集团”、“公司”）前身系广东长城集团有限公司，于</w:t>
      </w:r>
      <w:r>
        <w:rPr>
          <w:rFonts w:ascii="宋体" w:hAnsi="宋体" w:cs="宋体" w:eastAsia="宋体" w:hint="default"/>
          <w:spacing w:val="-10"/>
        </w:rPr>
        <w:t>1996</w:t>
      </w:r>
      <w:r>
        <w:rPr>
          <w:spacing w:val="-10"/>
        </w:rPr>
        <w:t>年</w:t>
      </w:r>
      <w:r>
        <w:rPr>
          <w:rFonts w:ascii="宋体" w:hAnsi="宋体" w:cs="宋体" w:eastAsia="宋体" w:hint="default"/>
          <w:spacing w:val="-10"/>
        </w:rPr>
        <w:t>2</w:t>
      </w:r>
      <w:r>
        <w:rPr>
          <w:rFonts w:ascii="宋体" w:hAnsi="宋体" w:cs="宋体" w:eastAsia="宋体" w:hint="default"/>
          <w:spacing w:val="-38"/>
        </w:rPr>
        <w:t> </w:t>
      </w:r>
      <w:r>
        <w:rPr/>
        <w:t>月</w:t>
      </w:r>
      <w:r>
        <w:rPr>
          <w:rFonts w:ascii="宋体" w:hAnsi="宋体" w:cs="宋体" w:eastAsia="宋体" w:hint="default"/>
        </w:rPr>
        <w:t>1</w:t>
      </w:r>
      <w:r>
        <w:rPr/>
        <w:t>日在潮州市工商行政管理局注册成立。</w:t>
      </w:r>
    </w:p>
    <w:p>
      <w:pPr>
        <w:pStyle w:val="BodyText"/>
        <w:spacing w:line="300" w:lineRule="auto" w:before="137"/>
        <w:ind w:left="1133" w:right="1123"/>
        <w:jc w:val="left"/>
      </w:pPr>
      <w:r>
        <w:rPr>
          <w:rFonts w:ascii="Times New Roman" w:hAnsi="Times New Roman" w:cs="Times New Roman" w:eastAsia="Times New Roman" w:hint="default"/>
        </w:rPr>
        <w:t>2008</w:t>
      </w:r>
      <w:r>
        <w:rPr/>
        <w:t>年</w:t>
      </w:r>
      <w:r>
        <w:rPr>
          <w:rFonts w:ascii="宋体" w:hAnsi="宋体" w:cs="宋体" w:eastAsia="宋体" w:hint="default"/>
        </w:rPr>
        <w:t>7</w:t>
      </w:r>
      <w:r>
        <w:rPr/>
        <w:t>月</w:t>
      </w:r>
      <w:r>
        <w:rPr>
          <w:rFonts w:ascii="宋体" w:hAnsi="宋体" w:cs="宋体" w:eastAsia="宋体" w:hint="default"/>
        </w:rPr>
        <w:t>22</w:t>
      </w:r>
      <w:r>
        <w:rPr/>
        <w:t>日，根据广东长城集团有限公司股东会决议和广东长城集团股份有限公司发起人协议书，广东长城集团有限公 司原股东作为发起人，以发起方式将广东长城集团有限公司整体变更为广东长城集团股份有限公司。</w:t>
      </w:r>
    </w:p>
    <w:p>
      <w:pPr>
        <w:pStyle w:val="BodyText"/>
        <w:spacing w:line="240" w:lineRule="auto" w:before="151"/>
        <w:ind w:left="1133" w:right="0"/>
        <w:jc w:val="left"/>
        <w:rPr>
          <w:rFonts w:ascii="宋体" w:hAnsi="宋体" w:cs="宋体" w:eastAsia="宋体" w:hint="default"/>
        </w:rPr>
      </w:pPr>
      <w:r>
        <w:rPr>
          <w:rFonts w:ascii="Times New Roman" w:hAnsi="Times New Roman" w:cs="Times New Roman" w:eastAsia="Times New Roman" w:hint="default"/>
        </w:rPr>
        <w:t>2010</w:t>
      </w:r>
      <w:r>
        <w:rPr/>
        <w:t>年</w:t>
      </w:r>
      <w:r>
        <w:rPr>
          <w:rFonts w:ascii="宋体" w:hAnsi="宋体" w:cs="宋体" w:eastAsia="宋体" w:hint="default"/>
        </w:rPr>
        <w:t>6</w:t>
      </w:r>
      <w:r>
        <w:rPr/>
        <w:t>月</w:t>
      </w:r>
      <w:r>
        <w:rPr>
          <w:rFonts w:ascii="宋体" w:hAnsi="宋体" w:cs="宋体" w:eastAsia="宋体" w:hint="default"/>
        </w:rPr>
        <w:t>1</w:t>
      </w:r>
      <w:r>
        <w:rPr/>
        <w:t>日经中国证券监督管理委员会核</w:t>
      </w:r>
      <w:r>
        <w:rPr>
          <w:spacing w:val="-58"/>
        </w:rPr>
        <w:t>准</w:t>
      </w:r>
      <w:r>
        <w:rPr/>
        <w:t>（证监许可</w:t>
      </w:r>
      <w:r>
        <w:rPr>
          <w:rFonts w:ascii="宋体" w:hAnsi="宋体" w:cs="宋体" w:eastAsia="宋体" w:hint="default"/>
        </w:rPr>
        <w:t>[2010]754</w:t>
      </w:r>
      <w:r>
        <w:rPr/>
        <w:t>号</w:t>
      </w:r>
      <w:r>
        <w:rPr>
          <w:spacing w:val="-90"/>
        </w:rPr>
        <w:t>）</w:t>
      </w:r>
      <w:r>
        <w:rPr>
          <w:spacing w:val="-58"/>
        </w:rPr>
        <w:t>，</w:t>
      </w:r>
      <w:r>
        <w:rPr/>
        <w:t>公司向社会公开发行</w:t>
      </w:r>
      <w:r>
        <w:rPr>
          <w:rFonts w:ascii="宋体" w:hAnsi="宋体" w:cs="宋体" w:eastAsia="宋体" w:hint="default"/>
        </w:rPr>
        <w:t>2,500</w:t>
      </w:r>
      <w:r>
        <w:rPr/>
        <w:t>万股</w:t>
      </w:r>
      <w:r>
        <w:rPr>
          <w:spacing w:val="-58"/>
        </w:rPr>
        <w:t>，</w:t>
      </w:r>
      <w:r>
        <w:rPr/>
        <w:t>股本变更为</w:t>
      </w:r>
      <w:r>
        <w:rPr>
          <w:rFonts w:ascii="宋体" w:hAnsi="宋体" w:cs="宋体" w:eastAsia="宋体" w:hint="default"/>
        </w:rPr>
        <w:t>10,000</w:t>
      </w:r>
    </w:p>
    <w:p>
      <w:pPr>
        <w:spacing w:after="0" w:line="240" w:lineRule="auto"/>
        <w:jc w:val="left"/>
        <w:rPr>
          <w:rFonts w:ascii="宋体" w:hAnsi="宋体" w:cs="宋体" w:eastAsia="宋体" w:hint="default"/>
        </w:rPr>
        <w:sectPr>
          <w:footerReference w:type="default" r:id="rId20"/>
          <w:pgSz w:w="11910" w:h="16840"/>
          <w:pgMar w:footer="1019" w:header="907"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万股，公司股票于</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25</w:t>
      </w:r>
      <w:r>
        <w:rPr/>
        <w:t>日在深圳证券交易所挂牌上市交易，股票代码为</w:t>
      </w:r>
      <w:r>
        <w:rPr>
          <w:rFonts w:ascii="宋体" w:hAnsi="宋体" w:cs="宋体" w:eastAsia="宋体" w:hint="default"/>
        </w:rPr>
        <w:t>300089</w:t>
      </w:r>
      <w:r>
        <w:rPr/>
        <w:t>。</w:t>
      </w:r>
    </w:p>
    <w:p>
      <w:pPr>
        <w:spacing w:line="240" w:lineRule="auto" w:before="0"/>
        <w:rPr>
          <w:rFonts w:ascii="宋体" w:hAnsi="宋体" w:cs="宋体" w:eastAsia="宋体" w:hint="default"/>
          <w:sz w:val="15"/>
          <w:szCs w:val="15"/>
        </w:rPr>
      </w:pPr>
    </w:p>
    <w:p>
      <w:pPr>
        <w:pStyle w:val="BodyText"/>
        <w:spacing w:line="300" w:lineRule="auto"/>
        <w:ind w:left="1133" w:right="0"/>
        <w:jc w:val="left"/>
      </w:pPr>
      <w:r>
        <w:rPr>
          <w:rFonts w:ascii="Times New Roman" w:hAnsi="Times New Roman" w:cs="Times New Roman" w:eastAsia="Times New Roman" w:hint="default"/>
          <w:spacing w:val="-2"/>
        </w:rPr>
        <w:t>2012</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日，根据公司召开的</w:t>
      </w:r>
      <w:r>
        <w:rPr>
          <w:rFonts w:ascii="宋体" w:hAnsi="宋体" w:cs="宋体" w:eastAsia="宋体" w:hint="default"/>
          <w:spacing w:val="-2"/>
        </w:rPr>
        <w:t>2012</w:t>
      </w:r>
      <w:r>
        <w:rPr>
          <w:spacing w:val="-2"/>
        </w:rPr>
        <w:t>年年度股东大会决议及公司章程规定，公司以截至</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100,000,000</w:t>
      </w:r>
      <w:r>
        <w:rPr>
          <w:rFonts w:ascii="宋体" w:hAnsi="宋体" w:cs="宋体" w:eastAsia="宋体" w:hint="default"/>
          <w:spacing w:val="-34"/>
        </w:rPr>
        <w:t> </w:t>
      </w:r>
      <w:r>
        <w:rPr/>
        <w:t>股为基数，以资本公积向全体股东每</w:t>
      </w:r>
      <w:r>
        <w:rPr>
          <w:rFonts w:ascii="宋体" w:hAnsi="宋体" w:cs="宋体" w:eastAsia="宋体" w:hint="default"/>
        </w:rPr>
        <w:t>10</w:t>
      </w:r>
      <w:r>
        <w:rPr/>
        <w:t>股转增</w:t>
      </w:r>
      <w:r>
        <w:rPr>
          <w:rFonts w:ascii="宋体" w:hAnsi="宋体" w:cs="宋体" w:eastAsia="宋体" w:hint="default"/>
        </w:rPr>
        <w:t>5</w:t>
      </w:r>
      <w:r>
        <w:rPr/>
        <w:t>股，变更后公司注册资本及股本为</w:t>
      </w:r>
      <w:r>
        <w:rPr>
          <w:rFonts w:ascii="宋体" w:hAnsi="宋体" w:cs="宋体" w:eastAsia="宋体" w:hint="default"/>
        </w:rPr>
        <w:t>150,000,000</w:t>
      </w:r>
      <w:r>
        <w:rPr/>
        <w:t>元。</w:t>
      </w:r>
    </w:p>
    <w:p>
      <w:pPr>
        <w:pStyle w:val="BodyText"/>
        <w:spacing w:line="309" w:lineRule="auto" w:before="152"/>
        <w:ind w:left="1133" w:right="1118"/>
        <w:jc w:val="left"/>
      </w:pPr>
      <w:r>
        <w:rPr>
          <w:rFonts w:ascii="Times New Roman" w:hAnsi="Times New Roman" w:cs="Times New Roman" w:eastAsia="Times New Roman" w:hint="default"/>
          <w:spacing w:val="-2"/>
        </w:rPr>
        <w:t>2016</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20</w:t>
      </w:r>
      <w:r>
        <w:rPr>
          <w:spacing w:val="-2"/>
        </w:rPr>
        <w:t>日，根据公司召开的</w:t>
      </w:r>
      <w:r>
        <w:rPr>
          <w:rFonts w:ascii="宋体" w:hAnsi="宋体" w:cs="宋体" w:eastAsia="宋体" w:hint="default"/>
          <w:spacing w:val="-2"/>
        </w:rPr>
        <w:t>2015</w:t>
      </w:r>
      <w:r>
        <w:rPr>
          <w:spacing w:val="-2"/>
        </w:rPr>
        <w:t>年年度股东大会决议及公司章程规定，公司以截至</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150,000,000</w:t>
      </w:r>
      <w:r>
        <w:rPr>
          <w:rFonts w:ascii="宋体" w:hAnsi="宋体" w:cs="宋体" w:eastAsia="宋体" w:hint="default"/>
          <w:spacing w:val="-34"/>
        </w:rPr>
        <w:t> </w:t>
      </w:r>
      <w:r>
        <w:rPr/>
        <w:t>股为基数，以资本公积金向全体股东每</w:t>
      </w:r>
      <w:r>
        <w:rPr>
          <w:rFonts w:ascii="宋体" w:hAnsi="宋体" w:cs="宋体" w:eastAsia="宋体" w:hint="default"/>
        </w:rPr>
        <w:t>10</w:t>
      </w:r>
      <w:r>
        <w:rPr/>
        <w:t>股转增</w:t>
      </w:r>
      <w:r>
        <w:rPr>
          <w:rFonts w:ascii="宋体" w:hAnsi="宋体" w:cs="宋体" w:eastAsia="宋体" w:hint="default"/>
        </w:rPr>
        <w:t>15</w:t>
      </w:r>
      <w:r>
        <w:rPr/>
        <w:t>股，合计转增股份</w:t>
      </w:r>
      <w:r>
        <w:rPr>
          <w:rFonts w:ascii="宋体" w:hAnsi="宋体" w:cs="宋体" w:eastAsia="宋体" w:hint="default"/>
        </w:rPr>
        <w:t>225,000,000</w:t>
      </w:r>
      <w:r>
        <w:rPr/>
        <w:t>股，变更后公司注册资本及股本为 </w:t>
      </w:r>
      <w:r>
        <w:rPr>
          <w:rFonts w:ascii="宋体" w:hAnsi="宋体" w:cs="宋体" w:eastAsia="宋体" w:hint="default"/>
        </w:rPr>
        <w:t>375,000,000</w:t>
      </w:r>
      <w:r>
        <w:rPr/>
        <w:t>元。</w:t>
      </w:r>
    </w:p>
    <w:p>
      <w:pPr>
        <w:pStyle w:val="BodyText"/>
        <w:spacing w:line="314" w:lineRule="auto" w:before="144"/>
        <w:ind w:left="1133" w:right="1118"/>
        <w:jc w:val="left"/>
      </w:pPr>
      <w:r>
        <w:rPr>
          <w:rFonts w:ascii="Times New Roman" w:hAnsi="Times New Roman" w:cs="Times New Roman" w:eastAsia="Times New Roman" w:hint="default"/>
          <w:spacing w:val="-2"/>
        </w:rPr>
        <w:t>2016</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9</w:t>
      </w:r>
      <w:r>
        <w:rPr>
          <w:spacing w:val="-2"/>
        </w:rPr>
        <w:t>日，根据公司</w:t>
      </w:r>
      <w:r>
        <w:rPr>
          <w:rFonts w:ascii="宋体" w:hAnsi="宋体" w:cs="宋体" w:eastAsia="宋体" w:hint="default"/>
          <w:spacing w:val="-2"/>
        </w:rPr>
        <w:t>2016</w:t>
      </w:r>
      <w:r>
        <w:rPr>
          <w:spacing w:val="-2"/>
        </w:rPr>
        <w:t>年第一次临时股东大会审议通过的《关于公司符合向特定对象发行股份及支付现金购买资产并</w:t>
      </w:r>
      <w:r>
        <w:rPr>
          <w:spacing w:val="-54"/>
        </w:rPr>
        <w:t> </w:t>
      </w:r>
      <w:r>
        <w:rPr>
          <w:spacing w:val="-54"/>
        </w:rPr>
      </w:r>
      <w:r>
        <w:rPr>
          <w:spacing w:val="-2"/>
        </w:rPr>
        <w:t>募集配套资金条件的议案》，并经中国证券监督管理委员会《关于核准广东文化长城集团股份有限公司向许高镭等发行股份</w:t>
      </w:r>
      <w:r>
        <w:rPr>
          <w:spacing w:val="-72"/>
        </w:rPr>
        <w:t> </w:t>
      </w:r>
      <w:r>
        <w:rPr>
          <w:spacing w:val="-72"/>
        </w:rPr>
      </w:r>
      <w:r>
        <w:rPr>
          <w:spacing w:val="-2"/>
        </w:rPr>
        <w:t>购买资产并募集配套资金的批复》（证监许可</w:t>
      </w:r>
      <w:r>
        <w:rPr>
          <w:rFonts w:ascii="宋体" w:hAnsi="宋体" w:cs="宋体" w:eastAsia="宋体" w:hint="default"/>
          <w:spacing w:val="-2"/>
        </w:rPr>
        <w:t>[2016]1612</w:t>
      </w:r>
      <w:r>
        <w:rPr>
          <w:spacing w:val="-2"/>
        </w:rPr>
        <w:t>号）核准，公司向许高镭发行</w:t>
      </w:r>
      <w:r>
        <w:rPr>
          <w:rFonts w:ascii="宋体" w:hAnsi="宋体" w:cs="宋体" w:eastAsia="宋体" w:hint="default"/>
          <w:spacing w:val="-2"/>
        </w:rPr>
        <w:t>23,772,847</w:t>
      </w:r>
      <w:r>
        <w:rPr>
          <w:spacing w:val="-2"/>
        </w:rPr>
        <w:t>股股份、向广州商融投资</w:t>
      </w:r>
      <w:r>
        <w:rPr>
          <w:spacing w:val="-52"/>
        </w:rPr>
        <w:t> </w:t>
      </w:r>
      <w:r>
        <w:rPr/>
        <w:t>咨询有限公司发行</w:t>
      </w:r>
      <w:r>
        <w:rPr>
          <w:rFonts w:ascii="宋体" w:hAnsi="宋体" w:cs="宋体" w:eastAsia="宋体" w:hint="default"/>
        </w:rPr>
        <w:t>3,038,634</w:t>
      </w:r>
      <w:r>
        <w:rPr/>
        <w:t>股股份，每股面值</w:t>
      </w:r>
      <w:r>
        <w:rPr>
          <w:rFonts w:ascii="宋体" w:hAnsi="宋体" w:cs="宋体" w:eastAsia="宋体" w:hint="default"/>
        </w:rPr>
        <w:t>1</w:t>
      </w:r>
      <w:r>
        <w:rPr/>
        <w:t>元，每股发行价格为</w:t>
      </w:r>
      <w:r>
        <w:rPr>
          <w:rFonts w:ascii="宋体" w:hAnsi="宋体" w:cs="宋体" w:eastAsia="宋体" w:hint="default"/>
        </w:rPr>
        <w:t>12.89</w:t>
      </w:r>
      <w:r>
        <w:rPr/>
        <w:t>元，发行股份后公司注册资本及股本变更为 </w:t>
      </w:r>
      <w:r>
        <w:rPr>
          <w:rFonts w:ascii="宋体" w:hAnsi="宋体" w:cs="宋体" w:eastAsia="宋体" w:hint="default"/>
        </w:rPr>
        <w:t>401,811,481</w:t>
      </w:r>
      <w:r>
        <w:rPr/>
        <w:t>元。</w:t>
      </w:r>
    </w:p>
    <w:p>
      <w:pPr>
        <w:pStyle w:val="BodyText"/>
        <w:spacing w:line="314" w:lineRule="auto" w:before="140"/>
        <w:ind w:left="1133" w:right="1131"/>
        <w:jc w:val="both"/>
      </w:pPr>
      <w:r>
        <w:rPr>
          <w:rFonts w:ascii="Times New Roman" w:hAnsi="Times New Roman" w:cs="Times New Roman" w:eastAsia="Times New Roman" w:hint="default"/>
          <w:spacing w:val="-2"/>
        </w:rPr>
        <w:t>2016</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7</w:t>
      </w:r>
      <w:r>
        <w:rPr>
          <w:spacing w:val="-2"/>
        </w:rPr>
        <w:t>日，根据公司</w:t>
      </w:r>
      <w:r>
        <w:rPr>
          <w:rFonts w:ascii="宋体" w:hAnsi="宋体" w:cs="宋体" w:eastAsia="宋体" w:hint="default"/>
          <w:spacing w:val="-2"/>
        </w:rPr>
        <w:t>2016</w:t>
      </w:r>
      <w:r>
        <w:rPr>
          <w:spacing w:val="-2"/>
        </w:rPr>
        <w:t>年第一次临时股东大会审议通过的《关于公司符合向特定对象发行股份及支付现金购买资产并</w:t>
      </w:r>
      <w:r>
        <w:rPr>
          <w:spacing w:val="-54"/>
        </w:rPr>
        <w:t> </w:t>
      </w:r>
      <w:r>
        <w:rPr>
          <w:spacing w:val="-54"/>
        </w:rPr>
      </w:r>
      <w:r>
        <w:rPr>
          <w:spacing w:val="-2"/>
        </w:rPr>
        <w:t>募集配套资金条件的议案》，并经中国证券监督管理委员会《关于核准广东文化长城集团股份有限公司向许高镭等发行股份</w:t>
      </w:r>
      <w:r>
        <w:rPr>
          <w:spacing w:val="-72"/>
        </w:rPr>
        <w:t> </w:t>
      </w:r>
      <w:r>
        <w:rPr>
          <w:spacing w:val="-72"/>
        </w:rPr>
      </w:r>
      <w:r>
        <w:rPr>
          <w:spacing w:val="-2"/>
        </w:rPr>
        <w:t>购买资产并募集配套资金的批复》（证监许可</w:t>
      </w:r>
      <w:r>
        <w:rPr>
          <w:rFonts w:ascii="宋体" w:hAnsi="宋体" w:cs="宋体" w:eastAsia="宋体" w:hint="default"/>
          <w:spacing w:val="-2"/>
        </w:rPr>
        <w:t>[2016]1612</w:t>
      </w:r>
      <w:r>
        <w:rPr>
          <w:spacing w:val="-2"/>
        </w:rPr>
        <w:t>号）核准，公司向符合中国证监会相关规定条件的特定投资者发行</w:t>
      </w:r>
      <w:r>
        <w:rPr>
          <w:spacing w:val="-62"/>
        </w:rPr>
        <w:t> </w:t>
      </w:r>
      <w:r>
        <w:rPr/>
        <w:t>人民币普通股（</w:t>
      </w:r>
      <w:r>
        <w:rPr>
          <w:rFonts w:ascii="宋体" w:hAnsi="宋体" w:cs="宋体" w:eastAsia="宋体" w:hint="default"/>
        </w:rPr>
        <w:t>A</w:t>
      </w:r>
      <w:r>
        <w:rPr/>
        <w:t>股）</w:t>
      </w:r>
      <w:r>
        <w:rPr>
          <w:rFonts w:ascii="宋体" w:hAnsi="宋体" w:cs="宋体" w:eastAsia="宋体" w:hint="default"/>
        </w:rPr>
        <w:t>32,988,659</w:t>
      </w:r>
      <w:r>
        <w:rPr/>
        <w:t>股，每股发行价格为人民币</w:t>
      </w:r>
      <w:r>
        <w:rPr>
          <w:rFonts w:ascii="宋体" w:hAnsi="宋体" w:cs="宋体" w:eastAsia="宋体" w:hint="default"/>
        </w:rPr>
        <w:t>14.99</w:t>
      </w:r>
      <w:r>
        <w:rPr/>
        <w:t>元，发行股份后公司注册资本及股本变更为</w:t>
      </w:r>
      <w:r>
        <w:rPr>
          <w:rFonts w:ascii="宋体" w:hAnsi="宋体" w:cs="宋体" w:eastAsia="宋体" w:hint="default"/>
        </w:rPr>
        <w:t>434,800,140 </w:t>
      </w:r>
      <w:r>
        <w:rPr/>
        <w:t>元。</w:t>
      </w:r>
    </w:p>
    <w:p>
      <w:pPr>
        <w:pStyle w:val="Heading3"/>
        <w:spacing w:line="240" w:lineRule="auto" w:before="115"/>
        <w:ind w:left="1853" w:right="0"/>
        <w:jc w:val="left"/>
        <w:rPr>
          <w:b w:val="0"/>
          <w:bCs w:val="0"/>
        </w:rPr>
      </w:pPr>
      <w:r>
        <w:rPr>
          <w:rFonts w:ascii="Times New Roman" w:hAnsi="Times New Roman" w:cs="Times New Roman" w:eastAsia="Times New Roman" w:hint="default"/>
        </w:rPr>
        <w:t>2</w:t>
      </w:r>
      <w:r>
        <w:rPr/>
        <w:t>、业务性质</w:t>
      </w:r>
      <w:r>
        <w:rPr>
          <w:b w:val="0"/>
          <w:bCs w:val="0"/>
        </w:rPr>
      </w:r>
    </w:p>
    <w:p>
      <w:pPr>
        <w:pStyle w:val="BodyText"/>
        <w:spacing w:line="240" w:lineRule="auto" w:before="166"/>
        <w:ind w:right="0"/>
        <w:jc w:val="left"/>
      </w:pPr>
      <w:r>
        <w:rPr/>
        <w:t>公司属于陶瓷制品业。</w:t>
      </w:r>
    </w:p>
    <w:p>
      <w:pPr>
        <w:spacing w:line="240" w:lineRule="auto" w:before="1"/>
        <w:rPr>
          <w:rFonts w:ascii="宋体" w:hAnsi="宋体" w:cs="宋体" w:eastAsia="宋体" w:hint="default"/>
          <w:sz w:val="13"/>
          <w:szCs w:val="13"/>
        </w:rPr>
      </w:pPr>
    </w:p>
    <w:p>
      <w:pPr>
        <w:pStyle w:val="Heading3"/>
        <w:spacing w:line="240" w:lineRule="auto"/>
        <w:ind w:left="1853" w:right="0"/>
        <w:jc w:val="left"/>
        <w:rPr>
          <w:b w:val="0"/>
          <w:bCs w:val="0"/>
        </w:rPr>
      </w:pPr>
      <w:r>
        <w:rPr>
          <w:rFonts w:ascii="Times New Roman" w:hAnsi="Times New Roman" w:cs="Times New Roman" w:eastAsia="Times New Roman" w:hint="default"/>
        </w:rPr>
        <w:t>3</w:t>
      </w:r>
      <w:r>
        <w:rPr/>
        <w:t>、经营范围及主要产品</w:t>
      </w:r>
      <w:r>
        <w:rPr>
          <w:b w:val="0"/>
          <w:bCs w:val="0"/>
        </w:rPr>
      </w:r>
    </w:p>
    <w:p>
      <w:pPr>
        <w:pStyle w:val="BodyText"/>
        <w:spacing w:line="316" w:lineRule="auto" w:before="167"/>
        <w:ind w:right="0"/>
        <w:jc w:val="left"/>
      </w:pPr>
      <w:r>
        <w:rPr/>
        <w:t>（</w:t>
      </w:r>
      <w:r>
        <w:rPr>
          <w:rFonts w:ascii="宋体" w:hAnsi="宋体" w:cs="宋体" w:eastAsia="宋体" w:hint="default"/>
        </w:rPr>
        <w:t>1</w:t>
      </w:r>
      <w:r>
        <w:rPr/>
        <w:t>）公司经营范围：生产、销售：工艺陶瓷、骨质瓷、抗菌镁质瓷、电子功能陶瓷（电感陶瓷、电阻陶瓷、电容陶瓷、光</w:t>
      </w:r>
      <w:r>
        <w:rPr>
          <w:spacing w:val="-83"/>
        </w:rPr>
        <w:t> </w:t>
      </w:r>
      <w:r>
        <w:rPr>
          <w:spacing w:val="-83"/>
        </w:rPr>
      </w:r>
      <w:r>
        <w:rPr>
          <w:spacing w:val="-5"/>
        </w:rPr>
        <w:t>纤连接器陶瓷插芯、陶瓷基板、新能源陶瓷、结构陶瓷）及其它各类陶瓷产品，电子产品（不含电子出版物），包装制品（不</w:t>
      </w:r>
      <w:r>
        <w:rPr>
          <w:spacing w:val="-81"/>
        </w:rPr>
        <w:t> </w:t>
      </w:r>
      <w:r>
        <w:rPr>
          <w:spacing w:val="-81"/>
        </w:rPr>
      </w:r>
      <w:r>
        <w:rPr>
          <w:spacing w:val="-2"/>
        </w:rPr>
        <w:t>含印刷）及陶瓷相关配套的藤、竹、木、铁、布、革、树脂、聚酯、橡胶、玻璃、五金、塑料、不锈钢制品；手机、计算机</w:t>
      </w:r>
      <w:r>
        <w:rPr>
          <w:spacing w:val="-66"/>
        </w:rPr>
        <w:t> </w:t>
      </w:r>
      <w:r>
        <w:rPr>
          <w:spacing w:val="-66"/>
        </w:rPr>
      </w:r>
      <w:r>
        <w:rPr>
          <w:spacing w:val="-4"/>
        </w:rPr>
        <w:t>软件开发、销售；销售：机械设备（不含汽车），五金交电，化工产品（不含危险化学品），家具，建筑材料，针、纺织品，</w:t>
      </w:r>
      <w:r>
        <w:rPr>
          <w:spacing w:val="-50"/>
        </w:rPr>
        <w:t> </w:t>
      </w:r>
      <w:r>
        <w:rPr>
          <w:spacing w:val="-50"/>
        </w:rPr>
      </w:r>
      <w:r>
        <w:rPr>
          <w:spacing w:val="-2"/>
        </w:rPr>
        <w:t>金属材料，家居用品，日用百货，文化艺术品（不含文物）；设计、策划、代理、发布各类广告；商务信息咨询（不含限制</w:t>
      </w:r>
      <w:r>
        <w:rPr>
          <w:spacing w:val="-65"/>
        </w:rPr>
        <w:t> </w:t>
      </w:r>
      <w:r>
        <w:rPr>
          <w:spacing w:val="-65"/>
        </w:rPr>
      </w:r>
      <w:r>
        <w:rPr>
          <w:spacing w:val="-5"/>
        </w:rPr>
        <w:t>项目）；市场建设项目投资与资产管理；货物进出口、技术进出口。（法律、行政法规、国务院决定规定应经许可的、未获许</w:t>
      </w:r>
      <w:r>
        <w:rPr>
          <w:spacing w:val="-85"/>
        </w:rPr>
        <w:t> </w:t>
      </w:r>
      <w:r>
        <w:rPr>
          <w:spacing w:val="-85"/>
        </w:rPr>
      </w:r>
      <w:r>
        <w:rPr/>
        <w:t>可不得生产经营）</w:t>
      </w:r>
    </w:p>
    <w:p>
      <w:pPr>
        <w:pStyle w:val="BodyText"/>
        <w:spacing w:line="240" w:lineRule="auto" w:before="139"/>
        <w:ind w:right="0"/>
        <w:jc w:val="left"/>
      </w:pPr>
      <w:r>
        <w:rPr/>
        <w:t>（</w:t>
      </w:r>
      <w:r>
        <w:rPr>
          <w:rFonts w:ascii="宋体" w:hAnsi="宋体" w:cs="宋体" w:eastAsia="宋体" w:hint="default"/>
        </w:rPr>
        <w:t>2</w:t>
      </w:r>
      <w:r>
        <w:rPr/>
        <w:t>）公司的主要产品：日用陶瓷、艺术陶瓷。</w:t>
      </w:r>
    </w:p>
    <w:p>
      <w:pPr>
        <w:spacing w:line="240" w:lineRule="auto" w:before="1"/>
        <w:rPr>
          <w:rFonts w:ascii="宋体" w:hAnsi="宋体" w:cs="宋体" w:eastAsia="宋体" w:hint="default"/>
          <w:sz w:val="13"/>
          <w:szCs w:val="13"/>
        </w:rPr>
      </w:pPr>
    </w:p>
    <w:p>
      <w:pPr>
        <w:pStyle w:val="Heading3"/>
        <w:spacing w:line="240" w:lineRule="auto"/>
        <w:ind w:left="1853" w:right="0"/>
        <w:jc w:val="left"/>
        <w:rPr>
          <w:b w:val="0"/>
          <w:bCs w:val="0"/>
        </w:rPr>
      </w:pPr>
      <w:r>
        <w:rPr>
          <w:rFonts w:ascii="Times New Roman" w:hAnsi="Times New Roman" w:cs="Times New Roman" w:eastAsia="Times New Roman" w:hint="default"/>
        </w:rPr>
        <w:t>4</w:t>
      </w:r>
      <w:r>
        <w:rPr/>
        <w:t>、公司注册地、总部地址和组织形式</w:t>
      </w:r>
      <w:r>
        <w:rPr>
          <w:b w:val="0"/>
          <w:bCs w:val="0"/>
        </w:rPr>
      </w:r>
    </w:p>
    <w:p>
      <w:pPr>
        <w:pStyle w:val="BodyText"/>
        <w:spacing w:line="240" w:lineRule="auto" w:before="166"/>
        <w:ind w:left="1133" w:right="0"/>
        <w:jc w:val="left"/>
      </w:pPr>
      <w:r>
        <w:rPr/>
        <w:t>（</w:t>
      </w:r>
      <w:r>
        <w:rPr>
          <w:rFonts w:ascii="宋体" w:hAnsi="宋体" w:cs="宋体" w:eastAsia="宋体" w:hint="default"/>
        </w:rPr>
        <w:t>1</w:t>
      </w:r>
      <w:r>
        <w:rPr/>
        <w:t>）公司注册地址：广东省潮州市枫溪区蔡陇大道；</w:t>
      </w:r>
    </w:p>
    <w:p>
      <w:pPr>
        <w:spacing w:line="240" w:lineRule="auto" w:before="0"/>
        <w:rPr>
          <w:rFonts w:ascii="宋体" w:hAnsi="宋体" w:cs="宋体" w:eastAsia="宋体" w:hint="default"/>
          <w:sz w:val="15"/>
          <w:szCs w:val="15"/>
        </w:rPr>
      </w:pPr>
    </w:p>
    <w:p>
      <w:pPr>
        <w:pStyle w:val="BodyText"/>
        <w:spacing w:line="240" w:lineRule="auto"/>
        <w:ind w:right="0"/>
        <w:jc w:val="left"/>
      </w:pPr>
      <w:r>
        <w:rPr/>
        <w:t>（</w:t>
      </w:r>
      <w:r>
        <w:rPr>
          <w:rFonts w:ascii="宋体" w:hAnsi="宋体" w:cs="宋体" w:eastAsia="宋体" w:hint="default"/>
        </w:rPr>
        <w:t>2</w:t>
      </w:r>
      <w:r>
        <w:rPr/>
        <w:t>）公司总部地址：广东省潮州市枫溪区蔡陇大道；</w:t>
      </w:r>
    </w:p>
    <w:p>
      <w:pPr>
        <w:spacing w:line="240" w:lineRule="auto" w:before="0"/>
        <w:rPr>
          <w:rFonts w:ascii="宋体" w:hAnsi="宋体" w:cs="宋体" w:eastAsia="宋体" w:hint="default"/>
          <w:sz w:val="15"/>
          <w:szCs w:val="15"/>
        </w:rPr>
      </w:pPr>
    </w:p>
    <w:p>
      <w:pPr>
        <w:pStyle w:val="BodyText"/>
        <w:spacing w:line="316" w:lineRule="auto"/>
        <w:ind w:right="1122"/>
        <w:jc w:val="left"/>
      </w:pPr>
      <w:r>
        <w:rPr/>
        <w:t>（</w:t>
      </w:r>
      <w:r>
        <w:rPr>
          <w:rFonts w:ascii="宋体" w:hAnsi="宋体" w:cs="宋体" w:eastAsia="宋体" w:hint="default"/>
        </w:rPr>
        <w:t>3</w:t>
      </w:r>
      <w:r>
        <w:rPr/>
        <w:t>）组织形式：公司已根据《公司法》和《公司章程》的规定，设置了股东大会、董事会、监事会、总经理等组织机构， 股东大会是公司的最高权力机构；董事会负责执行股东大会决议及公司日常管理经营的决策，并向股东大会负责；总经理 负责公司的日常经营管理事务。</w:t>
      </w:r>
    </w:p>
    <w:p>
      <w:pPr>
        <w:pStyle w:val="Heading3"/>
        <w:spacing w:line="240" w:lineRule="auto" w:before="113"/>
        <w:ind w:left="1853" w:right="0"/>
        <w:jc w:val="left"/>
        <w:rPr>
          <w:b w:val="0"/>
          <w:bCs w:val="0"/>
        </w:rPr>
      </w:pPr>
      <w:r>
        <w:rPr>
          <w:rFonts w:ascii="Times New Roman" w:hAnsi="Times New Roman" w:cs="Times New Roman" w:eastAsia="Times New Roman" w:hint="default"/>
        </w:rPr>
        <w:t>5</w:t>
      </w:r>
      <w:r>
        <w:rPr/>
        <w:t>、财务报告的批准报出</w:t>
      </w:r>
      <w:r>
        <w:rPr>
          <w:b w:val="0"/>
          <w:bCs w:val="0"/>
        </w:rPr>
      </w:r>
    </w:p>
    <w:p>
      <w:pPr>
        <w:pStyle w:val="BodyText"/>
        <w:spacing w:line="240" w:lineRule="auto" w:before="167"/>
        <w:ind w:right="0"/>
        <w:jc w:val="left"/>
      </w:pPr>
      <w:r>
        <w:rPr/>
        <w:t>本财务报告于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20</w:t>
      </w:r>
      <w:r>
        <w:rPr/>
        <w:t>日经公司董事会批准报出。</w:t>
      </w:r>
    </w:p>
    <w:p>
      <w:pPr>
        <w:spacing w:after="0" w:line="240" w:lineRule="auto"/>
        <w:jc w:val="left"/>
        <w:sectPr>
          <w:footerReference w:type="default" r:id="rId21"/>
          <w:pgSz w:w="11910" w:h="16840"/>
          <w:pgMar w:footer="1019" w:header="907" w:top="1100" w:bottom="1200" w:left="0" w:right="0"/>
          <w:pgNumType w:start="101"/>
        </w:sectPr>
      </w:pPr>
    </w:p>
    <w:p>
      <w:pPr>
        <w:spacing w:line="240" w:lineRule="auto" w:before="12"/>
        <w:rPr>
          <w:rFonts w:ascii="宋体" w:hAnsi="宋体" w:cs="宋体" w:eastAsia="宋体" w:hint="default"/>
          <w:sz w:val="26"/>
          <w:szCs w:val="26"/>
        </w:rPr>
      </w:pPr>
    </w:p>
    <w:p>
      <w:pPr>
        <w:spacing w:line="7140" w:lineRule="exact"/>
        <w:ind w:left="1134" w:right="0" w:firstLine="0"/>
        <w:rPr>
          <w:rFonts w:ascii="宋体" w:hAnsi="宋体" w:cs="宋体" w:eastAsia="宋体" w:hint="default"/>
          <w:sz w:val="20"/>
          <w:szCs w:val="20"/>
        </w:rPr>
      </w:pPr>
      <w:r>
        <w:rPr>
          <w:rFonts w:ascii="宋体" w:hAnsi="宋体" w:cs="宋体" w:eastAsia="宋体" w:hint="default"/>
          <w:position w:val="-142"/>
          <w:sz w:val="20"/>
          <w:szCs w:val="20"/>
        </w:rPr>
        <w:drawing>
          <wp:inline distT="0" distB="0" distL="0" distR="0">
            <wp:extent cx="5433612" cy="453390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2" cstate="print"/>
                    <a:stretch>
                      <a:fillRect/>
                    </a:stretch>
                  </pic:blipFill>
                  <pic:spPr>
                    <a:xfrm>
                      <a:off x="0" y="0"/>
                      <a:ext cx="5433612" cy="4533900"/>
                    </a:xfrm>
                    <a:prstGeom prst="rect">
                      <a:avLst/>
                    </a:prstGeom>
                  </pic:spPr>
                </pic:pic>
              </a:graphicData>
            </a:graphic>
          </wp:inline>
        </w:drawing>
      </w:r>
      <w:r>
        <w:rPr>
          <w:rFonts w:ascii="宋体" w:hAnsi="宋体" w:cs="宋体" w:eastAsia="宋体" w:hint="default"/>
          <w:position w:val="-142"/>
          <w:sz w:val="20"/>
          <w:szCs w:val="20"/>
        </w:rPr>
      </w:r>
    </w:p>
    <w:p>
      <w:pPr>
        <w:pStyle w:val="BodyText"/>
        <w:spacing w:line="240" w:lineRule="auto" w:before="69"/>
        <w:ind w:left="1133" w:right="0"/>
        <w:jc w:val="both"/>
      </w:pPr>
      <w:r>
        <w:rPr/>
        <w:t>本期合并财务报表范围及其变化具体情况详见本财务报表附注“八、合并范围的变更”和“九、在其他主体中的权益</w:t>
      </w:r>
      <w:r>
        <w:rPr>
          <w:spacing w:val="-90"/>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2"/>
        <w:spacing w:line="240" w:lineRule="auto"/>
        <w:ind w:left="1133" w:right="0"/>
        <w:jc w:val="both"/>
        <w:rPr>
          <w:b w:val="0"/>
          <w:bCs w:val="0"/>
        </w:rPr>
      </w:pPr>
      <w:bookmarkStart w:name="四、财务报表的编制基础" w:id="161"/>
      <w:bookmarkEnd w:id="16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1、编制基础" w:id="162"/>
      <w:bookmarkEnd w:id="16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32"/>
        <w:jc w:val="both"/>
      </w:pPr>
      <w:r>
        <w:rPr/>
        <w:t>本公司财务报表以持续经营假设为基础</w:t>
      </w:r>
      <w:r>
        <w:rPr>
          <w:spacing w:val="-44"/>
        </w:rPr>
        <w:t>，</w:t>
      </w:r>
      <w:r>
        <w:rPr/>
        <w:t>根据实际发生的交易和事项</w:t>
      </w:r>
      <w:r>
        <w:rPr>
          <w:spacing w:val="-44"/>
        </w:rPr>
        <w:t>，</w:t>
      </w:r>
      <w:r>
        <w:rPr/>
        <w:t>按照财政部发布</w:t>
      </w:r>
      <w:r>
        <w:rPr>
          <w:spacing w:val="-44"/>
        </w:rPr>
        <w:t>的</w:t>
      </w:r>
      <w:r>
        <w:rPr/>
        <w:t>《企业会计准</w:t>
      </w:r>
      <w:r>
        <w:rPr>
          <w:spacing w:val="1"/>
        </w:rPr>
        <w:t>则</w:t>
      </w:r>
      <w:r>
        <w:rPr/>
        <w:t>—</w:t>
      </w:r>
      <w:r>
        <w:rPr>
          <w:spacing w:val="-1"/>
        </w:rPr>
        <w:t>—</w:t>
      </w:r>
      <w:r>
        <w:rPr/>
        <w:t>基本准则</w:t>
      </w:r>
      <w:r>
        <w:rPr>
          <w:spacing w:val="-134"/>
        </w:rPr>
        <w:t>》</w:t>
      </w:r>
      <w:r>
        <w:rPr/>
        <w:t>（财</w:t>
      </w:r>
      <w:r>
        <w:rPr/>
        <w:t> 政部令第</w:t>
      </w:r>
      <w:r>
        <w:rPr>
          <w:rFonts w:ascii="宋体" w:hAnsi="宋体" w:cs="宋体" w:eastAsia="宋体" w:hint="default"/>
        </w:rPr>
        <w:t>33</w:t>
      </w:r>
      <w:r>
        <w:rPr/>
        <w:t>号发布</w:t>
      </w:r>
      <w:r>
        <w:rPr>
          <w:spacing w:val="-28"/>
        </w:rPr>
        <w:t>、</w:t>
      </w:r>
      <w:r>
        <w:rPr/>
        <w:t>财政部令第</w:t>
      </w:r>
      <w:r>
        <w:rPr>
          <w:rFonts w:ascii="宋体" w:hAnsi="宋体" w:cs="宋体" w:eastAsia="宋体" w:hint="default"/>
        </w:rPr>
        <w:t>7</w:t>
      </w:r>
      <w:r>
        <w:rPr>
          <w:rFonts w:ascii="宋体" w:hAnsi="宋体" w:cs="宋体" w:eastAsia="宋体" w:hint="default"/>
          <w:spacing w:val="-1"/>
        </w:rPr>
        <w:t>6</w:t>
      </w:r>
      <w:r>
        <w:rPr/>
        <w:t>号修订</w:t>
      </w:r>
      <w:r>
        <w:rPr>
          <w:spacing w:val="-90"/>
        </w:rPr>
        <w:t>）</w:t>
      </w:r>
      <w:r>
        <w:rPr>
          <w:spacing w:val="-28"/>
        </w:rPr>
        <w:t>、</w:t>
      </w:r>
      <w:r>
        <w:rPr/>
        <w:t>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41</w:t>
      </w:r>
      <w:r>
        <w:rPr/>
        <w:t>项具体会计准则</w:t>
      </w:r>
      <w:r>
        <w:rPr>
          <w:spacing w:val="-28"/>
        </w:rPr>
        <w:t>、</w:t>
      </w:r>
      <w:r>
        <w:rPr/>
        <w:t>企业会计准则应用指</w:t>
      </w:r>
      <w:r>
        <w:rPr/>
        <w:t> 南</w:t>
      </w:r>
      <w:r>
        <w:rPr>
          <w:spacing w:val="-17"/>
        </w:rPr>
        <w:t>、</w:t>
      </w:r>
      <w:r>
        <w:rPr/>
        <w:t>企业会计准则解释及其他相关规</w:t>
      </w:r>
      <w:r>
        <w:rPr>
          <w:spacing w:val="-17"/>
        </w:rPr>
        <w:t>定</w:t>
      </w:r>
      <w:r>
        <w:rPr/>
        <w:t>（以下合</w:t>
      </w:r>
      <w:r>
        <w:rPr>
          <w:spacing w:val="-17"/>
        </w:rPr>
        <w:t>称</w:t>
      </w:r>
      <w:r>
        <w:rPr/>
        <w:t>“企业会计准则</w:t>
      </w:r>
      <w:r>
        <w:rPr>
          <w:spacing w:val="-90"/>
        </w:rPr>
        <w:t>”）</w:t>
      </w:r>
      <w:r>
        <w:rPr>
          <w:spacing w:val="-17"/>
        </w:rPr>
        <w:t>，</w:t>
      </w:r>
      <w:r>
        <w:rPr/>
        <w:t>以及中国证券监督管理委员</w:t>
      </w:r>
      <w:r>
        <w:rPr>
          <w:spacing w:val="-17"/>
        </w:rPr>
        <w:t>会</w:t>
      </w:r>
      <w:r>
        <w:rPr/>
        <w:t>《公开发行证券的</w:t>
      </w:r>
      <w:r>
        <w:rPr>
          <w:spacing w:val="1"/>
        </w:rPr>
        <w:t>公</w:t>
      </w:r>
      <w:r>
        <w:rPr/>
        <w:t>司</w:t>
      </w:r>
      <w:r>
        <w:rPr/>
        <w:t> 信息披露编报规则第</w:t>
      </w:r>
      <w:r>
        <w:rPr>
          <w:rFonts w:ascii="宋体" w:hAnsi="宋体" w:cs="宋体" w:eastAsia="宋体" w:hint="default"/>
        </w:rPr>
        <w:t>15</w:t>
      </w:r>
      <w:r>
        <w:rPr/>
        <w:t>号——财务报告的一般规定</w:t>
      </w:r>
      <w:r>
        <w:rPr>
          <w:spacing w:val="-90"/>
        </w:rPr>
        <w:t>》</w:t>
      </w:r>
      <w:r>
        <w:rPr/>
        <w:t>（</w:t>
      </w:r>
      <w:r>
        <w:rPr>
          <w:rFonts w:ascii="宋体" w:hAnsi="宋体" w:cs="宋体" w:eastAsia="宋体" w:hint="default"/>
        </w:rPr>
        <w:t>2015</w:t>
      </w:r>
      <w:r>
        <w:rPr/>
        <w:t>年修订）的披露规定编制。</w:t>
      </w:r>
    </w:p>
    <w:p>
      <w:pPr>
        <w:spacing w:line="240" w:lineRule="auto" w:before="7"/>
        <w:rPr>
          <w:rFonts w:ascii="宋体" w:hAnsi="宋体" w:cs="宋体" w:eastAsia="宋体" w:hint="default"/>
          <w:sz w:val="22"/>
          <w:szCs w:val="22"/>
        </w:rPr>
      </w:pPr>
    </w:p>
    <w:p>
      <w:pPr>
        <w:pStyle w:val="Heading3"/>
        <w:spacing w:line="240" w:lineRule="auto"/>
        <w:ind w:left="1133" w:right="0"/>
        <w:jc w:val="both"/>
        <w:rPr>
          <w:b w:val="0"/>
          <w:bCs w:val="0"/>
        </w:rPr>
      </w:pPr>
      <w:bookmarkStart w:name="2、持续经营" w:id="163"/>
      <w:bookmarkEnd w:id="16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both"/>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left="1133" w:right="0"/>
        <w:jc w:val="both"/>
        <w:rPr>
          <w:b w:val="0"/>
          <w:bCs w:val="0"/>
        </w:rPr>
      </w:pPr>
      <w:bookmarkStart w:name="五、重要会计政策及会计估计" w:id="164"/>
      <w:bookmarkEnd w:id="164"/>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3" w:right="7693"/>
        <w:jc w:val="left"/>
      </w:pPr>
      <w:r>
        <w:rPr/>
        <w:t>公司是否需要遵守特殊行业的披露要求 否</w:t>
      </w:r>
    </w:p>
    <w:p>
      <w:pPr>
        <w:pStyle w:val="BodyText"/>
        <w:spacing w:line="240" w:lineRule="auto" w:before="29"/>
        <w:ind w:right="0"/>
        <w:jc w:val="both"/>
      </w:pPr>
      <w:r>
        <w:rPr/>
        <w:t>具体会计政策和会计估计提示：</w:t>
      </w:r>
    </w:p>
    <w:p>
      <w:pPr>
        <w:spacing w:after="0" w:line="240"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133"/>
        <w:jc w:val="both"/>
      </w:pPr>
      <w:r>
        <w:rPr>
          <w:spacing w:val="-2"/>
        </w:rPr>
        <w:t>公司及各子公司销售各类陶瓷制品。公司及各子公司根据实际经营特点，依据相关企业会计准则的规定，对收入确认等交易</w:t>
      </w:r>
      <w:r>
        <w:rPr>
          <w:spacing w:val="-66"/>
        </w:rPr>
        <w:t> </w:t>
      </w:r>
      <w:r>
        <w:rPr>
          <w:spacing w:val="-66"/>
        </w:rPr>
      </w:r>
      <w:r>
        <w:rPr/>
        <w:t>和事项制定了若干项具体会计政策和会计估计，详见本附注五、</w:t>
      </w:r>
      <w:r>
        <w:rPr>
          <w:rFonts w:ascii="Times New Roman" w:hAnsi="Times New Roman" w:cs="Times New Roman" w:eastAsia="Times New Roman" w:hint="default"/>
        </w:rPr>
        <w:t>25</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各项描述。</w:t>
      </w:r>
    </w:p>
    <w:p>
      <w:pPr>
        <w:spacing w:line="240" w:lineRule="auto" w:before="13"/>
        <w:rPr>
          <w:rFonts w:ascii="宋体" w:hAnsi="宋体" w:cs="宋体" w:eastAsia="宋体" w:hint="default"/>
          <w:sz w:val="20"/>
          <w:szCs w:val="20"/>
        </w:rPr>
      </w:pPr>
    </w:p>
    <w:p>
      <w:pPr>
        <w:pStyle w:val="Heading3"/>
        <w:spacing w:line="240" w:lineRule="auto"/>
        <w:ind w:left="1133" w:right="0"/>
        <w:jc w:val="both"/>
        <w:rPr>
          <w:b w:val="0"/>
          <w:bCs w:val="0"/>
        </w:rPr>
      </w:pPr>
      <w:bookmarkStart w:name="1、遵循企业会计准则的声明" w:id="165"/>
      <w:bookmarkEnd w:id="16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9"/>
        <w:jc w:val="both"/>
      </w:pPr>
      <w:r>
        <w:rPr>
          <w:spacing w:val="-2"/>
        </w:rPr>
        <w:t>公司根据实际发生的交易和事项，遵循《企业会计准则</w:t>
      </w:r>
      <w:r>
        <w:rPr>
          <w:rFonts w:ascii="Times New Roman" w:hAnsi="Times New Roman" w:cs="Times New Roman" w:eastAsia="Times New Roman" w:hint="default"/>
          <w:spacing w:val="-2"/>
        </w:rPr>
        <w:t>—</w:t>
      </w:r>
      <w:r>
        <w:rPr>
          <w:spacing w:val="-2"/>
        </w:rPr>
        <w:t>基本准则》、各项具体会计准则及解释的规定进行确认和计量，并</w:t>
      </w:r>
      <w:r>
        <w:rPr>
          <w:spacing w:val="-72"/>
        </w:rPr>
        <w:t> </w:t>
      </w:r>
      <w:r>
        <w:rPr>
          <w:spacing w:val="-72"/>
        </w:rPr>
      </w:r>
      <w:r>
        <w:rPr/>
        <w:t>在此基础上编制财务报表，真实、完整地反映了公司的财务状况、经营成果和现金流量等有关信息。</w:t>
      </w:r>
    </w:p>
    <w:p>
      <w:pPr>
        <w:spacing w:line="240" w:lineRule="auto" w:before="6"/>
        <w:rPr>
          <w:rFonts w:ascii="宋体" w:hAnsi="宋体" w:cs="宋体" w:eastAsia="宋体" w:hint="default"/>
          <w:sz w:val="23"/>
          <w:szCs w:val="23"/>
        </w:rPr>
      </w:pPr>
    </w:p>
    <w:p>
      <w:pPr>
        <w:spacing w:line="547" w:lineRule="auto" w:before="0"/>
        <w:ind w:left="1133" w:right="7153" w:firstLine="0"/>
        <w:jc w:val="left"/>
        <w:rPr>
          <w:rFonts w:ascii="宋体" w:hAnsi="宋体" w:cs="宋体" w:eastAsia="宋体" w:hint="default"/>
          <w:sz w:val="21"/>
          <w:szCs w:val="21"/>
        </w:rPr>
      </w:pPr>
      <w:bookmarkStart w:name="2、会计期间" w:id="166"/>
      <w:bookmarkEnd w:id="16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公司会计年度自公历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bookmarkStart w:name="3、营业周期" w:id="167"/>
      <w:bookmarkEnd w:id="16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9"/>
        <w:ind w:left="1133" w:right="0"/>
        <w:jc w:val="both"/>
      </w:pPr>
      <w:r>
        <w:rPr/>
        <w:t>公司以</w:t>
      </w:r>
      <w:r>
        <w:rPr>
          <w:rFonts w:ascii="Times New Roman" w:hAnsi="Times New Roman" w:cs="Times New Roman" w:eastAsia="Times New Roman" w:hint="default"/>
        </w:rPr>
        <w:t>12</w:t>
      </w:r>
      <w:r>
        <w:rPr/>
        <w:t>个月为一个营业周期，并以其作为资产和负债的流动性划分标准。</w:t>
      </w:r>
    </w:p>
    <w:p>
      <w:pPr>
        <w:spacing w:line="240" w:lineRule="auto" w:before="11"/>
        <w:rPr>
          <w:rFonts w:ascii="宋体" w:hAnsi="宋体" w:cs="宋体" w:eastAsia="宋体" w:hint="default"/>
          <w:sz w:val="25"/>
          <w:szCs w:val="25"/>
        </w:rPr>
      </w:pPr>
    </w:p>
    <w:p>
      <w:pPr>
        <w:pStyle w:val="Heading3"/>
        <w:spacing w:line="240" w:lineRule="auto"/>
        <w:ind w:left="1133" w:right="0"/>
        <w:jc w:val="both"/>
        <w:rPr>
          <w:b w:val="0"/>
          <w:bCs w:val="0"/>
        </w:rPr>
      </w:pPr>
      <w:bookmarkStart w:name="4、记账本位币" w:id="168"/>
      <w:bookmarkEnd w:id="16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both"/>
      </w:pPr>
      <w:r>
        <w:rPr/>
        <w:t>公司以人民币作为记账本位币。</w:t>
      </w:r>
    </w:p>
    <w:p>
      <w:pPr>
        <w:spacing w:line="240" w:lineRule="auto" w:before="12"/>
        <w:rPr>
          <w:rFonts w:ascii="宋体" w:hAnsi="宋体" w:cs="宋体" w:eastAsia="宋体" w:hint="default"/>
          <w:sz w:val="26"/>
          <w:szCs w:val="26"/>
        </w:rPr>
      </w:pPr>
    </w:p>
    <w:p>
      <w:pPr>
        <w:pStyle w:val="Heading3"/>
        <w:spacing w:line="240" w:lineRule="auto"/>
        <w:ind w:left="1133" w:right="0"/>
        <w:jc w:val="both"/>
        <w:rPr>
          <w:b w:val="0"/>
          <w:bCs w:val="0"/>
        </w:rPr>
      </w:pPr>
      <w:bookmarkStart w:name="5、同一控制下和非同一控制下企业合并的会计处理方法" w:id="169"/>
      <w:bookmarkEnd w:id="16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both"/>
      </w:pPr>
      <w:bookmarkStart w:name="（1）同一控制下的企业合并" w:id="170"/>
      <w:bookmarkEnd w:id="170"/>
      <w:r>
        <w:rPr/>
      </w:r>
      <w:r>
        <w:rPr/>
        <w:t>（</w:t>
      </w:r>
      <w:r>
        <w:rPr>
          <w:rFonts w:ascii="宋体" w:hAnsi="宋体" w:cs="宋体" w:eastAsia="宋体" w:hint="default"/>
        </w:rPr>
        <w:t>1</w:t>
      </w:r>
      <w:r>
        <w:rPr/>
        <w:t>）同一控制下的企业合并</w:t>
      </w:r>
    </w:p>
    <w:p>
      <w:pPr>
        <w:spacing w:line="240" w:lineRule="auto" w:before="0"/>
        <w:rPr>
          <w:rFonts w:ascii="宋体" w:hAnsi="宋体" w:cs="宋体" w:eastAsia="宋体" w:hint="default"/>
          <w:sz w:val="18"/>
          <w:szCs w:val="18"/>
        </w:rPr>
      </w:pPr>
    </w:p>
    <w:p>
      <w:pPr>
        <w:pStyle w:val="BodyText"/>
        <w:spacing w:line="319" w:lineRule="auto" w:before="142"/>
        <w:ind w:right="1131"/>
        <w:jc w:val="both"/>
      </w:pPr>
      <w:bookmarkStart w:name="对于同一控制下的企业合并，公司在企业合并中取得的资产和负债，按取得被合并方所有者" w:id="171"/>
      <w:bookmarkEnd w:id="171"/>
      <w:r>
        <w:rPr/>
      </w:r>
      <w:r>
        <w:rPr>
          <w:spacing w:val="-2"/>
        </w:rPr>
        <w:t>对于同一控制下的企业合并，公司在企业合并中取得的资产和负债，按取得被合并方所有者权益在最终控制方合并财务报表</w:t>
      </w:r>
      <w:r>
        <w:rPr>
          <w:spacing w:val="-64"/>
        </w:rPr>
        <w:t> </w:t>
      </w:r>
      <w:r>
        <w:rPr>
          <w:spacing w:val="-64"/>
        </w:rPr>
      </w:r>
      <w:r>
        <w:rPr>
          <w:spacing w:val="-2"/>
        </w:rPr>
        <w:t>中的账面价值的份额计量。公司取得的净资产账面价值与支付的合并对价账面价值（或发行股份面值总额）的差额，调整资</w:t>
      </w:r>
      <w:r>
        <w:rPr>
          <w:spacing w:val="-66"/>
        </w:rPr>
        <w:t> </w:t>
      </w:r>
      <w:r>
        <w:rPr>
          <w:spacing w:val="-66"/>
        </w:rPr>
      </w:r>
      <w:r>
        <w:rPr/>
        <w:t>本公积；资本公积不足冲减的，调整留存收益。</w:t>
      </w:r>
    </w:p>
    <w:p>
      <w:pPr>
        <w:spacing w:line="240" w:lineRule="auto" w:before="4"/>
        <w:rPr>
          <w:rFonts w:ascii="宋体" w:hAnsi="宋体" w:cs="宋体" w:eastAsia="宋体" w:hint="default"/>
          <w:sz w:val="24"/>
          <w:szCs w:val="24"/>
        </w:rPr>
      </w:pPr>
    </w:p>
    <w:p>
      <w:pPr>
        <w:pStyle w:val="BodyText"/>
        <w:spacing w:line="240" w:lineRule="auto"/>
        <w:ind w:right="0"/>
        <w:jc w:val="both"/>
      </w:pPr>
      <w:bookmarkStart w:name="（2）非同一控制下的企业合并" w:id="172"/>
      <w:bookmarkEnd w:id="172"/>
      <w:r>
        <w:rPr/>
      </w:r>
      <w:r>
        <w:rPr/>
        <w:t>（</w:t>
      </w:r>
      <w:r>
        <w:rPr>
          <w:rFonts w:ascii="宋体" w:hAnsi="宋体" w:cs="宋体" w:eastAsia="宋体" w:hint="default"/>
        </w:rPr>
        <w:t>2</w:t>
      </w:r>
      <w:r>
        <w:rPr/>
        <w:t>）非同一控制下的企业合并</w:t>
      </w:r>
    </w:p>
    <w:p>
      <w:pPr>
        <w:spacing w:line="240" w:lineRule="auto" w:before="0"/>
        <w:rPr>
          <w:rFonts w:ascii="宋体" w:hAnsi="宋体" w:cs="宋体" w:eastAsia="宋体" w:hint="default"/>
          <w:sz w:val="18"/>
          <w:szCs w:val="18"/>
        </w:rPr>
      </w:pPr>
    </w:p>
    <w:p>
      <w:pPr>
        <w:pStyle w:val="BodyText"/>
        <w:spacing w:line="319" w:lineRule="auto" w:before="142"/>
        <w:ind w:right="1043"/>
        <w:jc w:val="both"/>
      </w:pPr>
      <w:bookmarkStart w:name="对于非同一控制下的企业合并，合并成本为购买方在购买日为取得对被购买方的控制权而付" w:id="173"/>
      <w:bookmarkEnd w:id="173"/>
      <w:r>
        <w:rPr/>
      </w:r>
      <w:r>
        <w:rPr>
          <w:spacing w:val="-2"/>
        </w:rPr>
        <w:t>对于非同一控制下的企业合并，合并成本为购买方在购买日为取得对被购买方的控制权而付出的资产、发生或承担的负债以</w:t>
      </w:r>
      <w:r>
        <w:rPr>
          <w:spacing w:val="-64"/>
        </w:rPr>
        <w:t> </w:t>
      </w:r>
      <w:r>
        <w:rPr>
          <w:spacing w:val="-64"/>
        </w:rPr>
      </w:r>
      <w:r>
        <w:rPr>
          <w:spacing w:val="-2"/>
        </w:rPr>
        <w:t>及发行的权益性证券的公允价值。通过多次交换交易分步实现的企业合并，合并成本为每一单项交易成本之和。公司为进行</w:t>
      </w:r>
      <w:r>
        <w:rPr>
          <w:spacing w:val="-66"/>
        </w:rPr>
        <w:t> </w:t>
      </w:r>
      <w:r>
        <w:rPr>
          <w:spacing w:val="-66"/>
        </w:rPr>
      </w:r>
      <w:r>
        <w:rPr>
          <w:spacing w:val="-2"/>
        </w:rPr>
        <w:t>企业合并发生的各项直接相关费用计入当期损益。购买日是指公司实际取得对被购买方控制权的日期。公司对合并成本大于</w:t>
      </w:r>
      <w:r>
        <w:rPr>
          <w:spacing w:val="-64"/>
        </w:rPr>
        <w:t> </w:t>
      </w:r>
      <w:r>
        <w:rPr>
          <w:spacing w:val="-64"/>
        </w:rPr>
      </w:r>
      <w:r>
        <w:rPr>
          <w:spacing w:val="-2"/>
        </w:rPr>
        <w:t>合并中取得的被购买方可辨认净资产公允价值份额的差额，确认为商誉。公司对合并成本小于合并中取得的被购买方可辨认</w:t>
      </w:r>
      <w:r>
        <w:rPr>
          <w:spacing w:val="-64"/>
        </w:rPr>
        <w:t> </w:t>
      </w:r>
      <w:r>
        <w:rPr>
          <w:spacing w:val="-64"/>
        </w:rPr>
      </w:r>
      <w:r>
        <w:rPr>
          <w:spacing w:val="-4"/>
        </w:rPr>
        <w:t>净资产公允价值份额的，经复核后合并成本仍小于合并中取得的被购买方可辨认净资产公允价值份额的差额，计入当期损益。</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jc w:val="both"/>
      </w:pPr>
      <w:r>
        <w:rPr>
          <w:spacing w:val="-2"/>
        </w:rPr>
        <w:t>公司将拥有实际控制权的子公司和特殊目的主体纳入合并财务报表范围。编制合并报表时，在合并范围内所有重大内部交易</w:t>
      </w:r>
      <w:r>
        <w:rPr>
          <w:spacing w:val="-64"/>
        </w:rPr>
        <w:t> </w:t>
      </w:r>
      <w:r>
        <w:rPr>
          <w:spacing w:val="-64"/>
        </w:rPr>
      </w:r>
      <w:r>
        <w:rPr/>
        <w:t>和往来全部抵销的基础上逐项合并</w:t>
      </w:r>
      <w:r>
        <w:rPr>
          <w:rFonts w:ascii="Times New Roman" w:hAnsi="Times New Roman" w:cs="Times New Roman" w:eastAsia="Times New Roman" w:hint="default"/>
        </w:rPr>
        <w:t>,</w:t>
      </w:r>
      <w:r>
        <w:rPr/>
        <w:t>子公司的所有者权益中不属于母公司所拥有的部分作为少数所有者权益在合并财务报表</w:t>
      </w:r>
      <w:r>
        <w:rPr>
          <w:spacing w:val="-45"/>
        </w:rPr>
        <w:t> </w:t>
      </w:r>
      <w:r>
        <w:rPr>
          <w:spacing w:val="-45"/>
        </w:rPr>
      </w:r>
      <w:r>
        <w:rPr/>
        <w:t>中所有者权益项下单独列示。</w:t>
      </w:r>
    </w:p>
    <w:p>
      <w:pPr>
        <w:pStyle w:val="BodyText"/>
        <w:spacing w:line="316" w:lineRule="auto" w:before="144"/>
        <w:ind w:right="1131"/>
        <w:jc w:val="both"/>
      </w:pPr>
      <w:r>
        <w:rPr>
          <w:spacing w:val="-2"/>
        </w:rPr>
        <w:t>子公司与公司采用的会计政策或会计期间不一致的，在编制合并财务报表时，按照公司的会计政策或会计期间对子公司财务</w:t>
      </w:r>
      <w:r>
        <w:rPr>
          <w:spacing w:val="-64"/>
        </w:rPr>
        <w:t> </w:t>
      </w:r>
      <w:r>
        <w:rPr>
          <w:spacing w:val="-64"/>
        </w:rPr>
      </w:r>
      <w:r>
        <w:rPr/>
        <w:t>报表进行必要的调整。</w:t>
      </w:r>
    </w:p>
    <w:p>
      <w:pPr>
        <w:pStyle w:val="BodyText"/>
        <w:spacing w:line="240" w:lineRule="auto" w:before="139"/>
        <w:ind w:right="0"/>
        <w:jc w:val="both"/>
      </w:pPr>
      <w:r>
        <w:rPr/>
        <w:t>对于非同一控制下企业合并取得的子公司，在编制合并财务报表时，以购买日可辨认净资产公允价值为基础对其个别财务报</w:t>
      </w:r>
    </w:p>
    <w:p>
      <w:pPr>
        <w:spacing w:after="0" w:line="240"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133"/>
        <w:jc w:val="both"/>
      </w:pPr>
      <w:r>
        <w:rPr>
          <w:spacing w:val="-2"/>
        </w:rPr>
        <w:t>表进行调整；对于同一控制下企业合并取得的子公司，视同该公司合并于合并当期的年初已经发生，从合并当期的年初起将</w:t>
      </w:r>
      <w:r>
        <w:rPr>
          <w:spacing w:val="-66"/>
        </w:rPr>
        <w:t> </w:t>
      </w:r>
      <w:r>
        <w:rPr>
          <w:spacing w:val="-66"/>
        </w:rPr>
      </w:r>
      <w:r>
        <w:rPr/>
        <w:t>其资产、负债、经营成果和现金流量纳入合并财务报表。</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75"/>
      <w:bookmarkEnd w:id="17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w:t>
      </w:r>
      <w:r>
        <w:rPr>
          <w:rFonts w:ascii="Times New Roman" w:hAnsi="Times New Roman" w:cs="Times New Roman" w:eastAsia="Times New Roman" w:hint="default"/>
        </w:rPr>
        <w:t>1</w:t>
      </w:r>
      <w:r>
        <w:rPr/>
        <w:t>）合营安排的分类</w:t>
      </w:r>
    </w:p>
    <w:p>
      <w:pPr>
        <w:spacing w:line="240" w:lineRule="auto" w:before="13"/>
        <w:rPr>
          <w:rFonts w:ascii="宋体" w:hAnsi="宋体" w:cs="宋体" w:eastAsia="宋体" w:hint="default"/>
          <w:sz w:val="13"/>
          <w:szCs w:val="13"/>
        </w:rPr>
      </w:pPr>
    </w:p>
    <w:p>
      <w:pPr>
        <w:pStyle w:val="BodyText"/>
        <w:spacing w:line="316" w:lineRule="auto"/>
        <w:ind w:right="1131"/>
        <w:jc w:val="both"/>
      </w:pPr>
      <w:r>
        <w:rPr>
          <w:spacing w:val="-2"/>
        </w:rPr>
        <w:t>本公司根据合营安排的结构、法律形式以及合营安排中约定的条款、其他相关事实和情况等因素，将合营安排分为共同经营</w:t>
      </w:r>
      <w:r>
        <w:rPr>
          <w:spacing w:val="-65"/>
        </w:rPr>
        <w:t> </w:t>
      </w:r>
      <w:r>
        <w:rPr>
          <w:spacing w:val="-65"/>
        </w:rPr>
      </w:r>
      <w:r>
        <w:rPr>
          <w:spacing w:val="-2"/>
        </w:rPr>
        <w:t>和合营企业。未通过单独主体达成的合营安排，划分为共同经营；通过单独主体达成的合营安排，通常划分为合营企业；但</w:t>
      </w:r>
      <w:r>
        <w:rPr>
          <w:spacing w:val="-66"/>
        </w:rPr>
        <w:t> </w:t>
      </w:r>
      <w:r>
        <w:rPr>
          <w:spacing w:val="-66"/>
        </w:rPr>
      </w:r>
      <w:r>
        <w:rPr/>
        <w:t>有确凿证据表明满足下列任一条件并且符合相关法律法规规定的合营安排划分为共同经营：</w:t>
      </w:r>
    </w:p>
    <w:p>
      <w:pPr>
        <w:pStyle w:val="BodyText"/>
        <w:spacing w:line="240" w:lineRule="auto" w:before="139"/>
        <w:ind w:left="1133" w:right="0"/>
        <w:jc w:val="both"/>
      </w:pPr>
      <w:r>
        <w:rPr/>
        <w:t>①</w:t>
      </w:r>
      <w:r>
        <w:rPr>
          <w:spacing w:val="-19"/>
        </w:rPr>
        <w:t> </w:t>
      </w:r>
      <w:r>
        <w:rPr/>
        <w:t>合营安排的法律形式表明，合营方对该安排中的相关资产和负债分别享有权利和承担义务。</w:t>
      </w:r>
    </w:p>
    <w:p>
      <w:pPr>
        <w:spacing w:line="240" w:lineRule="auto" w:before="0"/>
        <w:rPr>
          <w:rFonts w:ascii="宋体" w:hAnsi="宋体" w:cs="宋体" w:eastAsia="宋体" w:hint="default"/>
          <w:sz w:val="15"/>
          <w:szCs w:val="15"/>
        </w:rPr>
      </w:pPr>
    </w:p>
    <w:p>
      <w:pPr>
        <w:pStyle w:val="BodyText"/>
        <w:spacing w:line="240" w:lineRule="auto"/>
        <w:ind w:left="1133" w:right="0"/>
        <w:jc w:val="both"/>
      </w:pPr>
      <w:r>
        <w:rPr/>
        <w:t>②</w:t>
      </w:r>
      <w:r>
        <w:rPr>
          <w:spacing w:val="-19"/>
        </w:rPr>
        <w:t> </w:t>
      </w:r>
      <w:r>
        <w:rPr/>
        <w:t>合营安排的合同条款约定，合营方对该安排中的相关资产和负债分别享有权利和承担义务。</w:t>
      </w:r>
    </w:p>
    <w:p>
      <w:pPr>
        <w:spacing w:line="240" w:lineRule="auto" w:before="0"/>
        <w:rPr>
          <w:rFonts w:ascii="宋体" w:hAnsi="宋体" w:cs="宋体" w:eastAsia="宋体" w:hint="default"/>
          <w:sz w:val="15"/>
          <w:szCs w:val="15"/>
        </w:rPr>
      </w:pPr>
    </w:p>
    <w:p>
      <w:pPr>
        <w:pStyle w:val="BodyText"/>
        <w:spacing w:line="316" w:lineRule="auto"/>
        <w:ind w:right="1158"/>
        <w:jc w:val="both"/>
      </w:pPr>
      <w:r>
        <w:rPr/>
        <w:t>③</w:t>
      </w:r>
      <w:r>
        <w:rPr>
          <w:spacing w:val="-19"/>
        </w:rPr>
        <w:t> </w:t>
      </w:r>
      <w:r>
        <w:rPr/>
        <w:t>其他相关事实和情况表明，合营方对该安排中的相关资产和负债分别享有权利和承担义务，如合营方享有与合营安排相</w:t>
      </w:r>
      <w:r>
        <w:rPr/>
        <w:t> 关的几乎所有产出，并且该安排中负债的清偿持续依赖于合营方的支持。</w:t>
      </w:r>
    </w:p>
    <w:p>
      <w:pPr>
        <w:pStyle w:val="BodyText"/>
        <w:spacing w:line="415" w:lineRule="auto" w:before="139"/>
        <w:ind w:right="2112"/>
        <w:jc w:val="left"/>
      </w:pPr>
      <w:r>
        <w:rPr/>
        <w:t>（</w:t>
      </w:r>
      <w:r>
        <w:rPr>
          <w:rFonts w:ascii="Times New Roman" w:hAnsi="Times New Roman" w:cs="Times New Roman" w:eastAsia="Times New Roman" w:hint="default"/>
        </w:rPr>
        <w:t>2</w:t>
      </w:r>
      <w:r>
        <w:rPr/>
        <w:t>）共同经营会计处理方法 本公司确认共同经营中利益份额中与本公司相关的下列项目，并按照相关企业会计准则的规定进行会计处理：</w:t>
      </w:r>
    </w:p>
    <w:p>
      <w:pPr>
        <w:pStyle w:val="BodyText"/>
        <w:spacing w:line="240" w:lineRule="auto" w:before="65"/>
        <w:ind w:left="1133" w:right="0"/>
        <w:jc w:val="both"/>
      </w:pPr>
      <w:r>
        <w:rPr/>
        <w:t>①</w:t>
      </w:r>
      <w:r>
        <w:rPr>
          <w:spacing w:val="-19"/>
        </w:rPr>
        <w:t> </w:t>
      </w:r>
      <w:r>
        <w:rPr/>
        <w:t>确认单独所持有的资产，以及按其份额确认共同持有的资产；</w:t>
      </w:r>
    </w:p>
    <w:p>
      <w:pPr>
        <w:spacing w:line="240" w:lineRule="auto" w:before="0"/>
        <w:rPr>
          <w:rFonts w:ascii="宋体" w:hAnsi="宋体" w:cs="宋体" w:eastAsia="宋体" w:hint="default"/>
          <w:sz w:val="15"/>
          <w:szCs w:val="15"/>
        </w:rPr>
      </w:pPr>
    </w:p>
    <w:p>
      <w:pPr>
        <w:pStyle w:val="BodyText"/>
        <w:spacing w:line="240" w:lineRule="auto"/>
        <w:ind w:left="1133" w:right="0"/>
        <w:jc w:val="both"/>
      </w:pPr>
      <w:r>
        <w:rPr/>
        <w:t>②</w:t>
      </w:r>
      <w:r>
        <w:rPr>
          <w:spacing w:val="-19"/>
        </w:rPr>
        <w:t> </w:t>
      </w:r>
      <w:r>
        <w:rPr/>
        <w:t>确认单独所承担的负债，以及按其份额确认共同承担的负债；</w:t>
      </w:r>
    </w:p>
    <w:p>
      <w:pPr>
        <w:spacing w:line="240" w:lineRule="auto" w:before="0"/>
        <w:rPr>
          <w:rFonts w:ascii="宋体" w:hAnsi="宋体" w:cs="宋体" w:eastAsia="宋体" w:hint="default"/>
          <w:sz w:val="15"/>
          <w:szCs w:val="15"/>
        </w:rPr>
      </w:pPr>
    </w:p>
    <w:p>
      <w:pPr>
        <w:pStyle w:val="BodyText"/>
        <w:spacing w:line="240" w:lineRule="auto"/>
        <w:ind w:left="1133" w:right="0"/>
        <w:jc w:val="both"/>
      </w:pPr>
      <w:r>
        <w:rPr/>
        <w:t>③</w:t>
      </w:r>
      <w:r>
        <w:rPr>
          <w:spacing w:val="-19"/>
        </w:rPr>
        <w:t> </w:t>
      </w:r>
      <w:r>
        <w:rPr/>
        <w:t>确认出售其享有的共同经营产出份额所产生的收入；</w:t>
      </w:r>
    </w:p>
    <w:p>
      <w:pPr>
        <w:spacing w:line="240" w:lineRule="auto" w:before="1"/>
        <w:rPr>
          <w:rFonts w:ascii="宋体" w:hAnsi="宋体" w:cs="宋体" w:eastAsia="宋体" w:hint="default"/>
          <w:sz w:val="15"/>
          <w:szCs w:val="15"/>
        </w:rPr>
      </w:pPr>
    </w:p>
    <w:p>
      <w:pPr>
        <w:pStyle w:val="BodyText"/>
        <w:spacing w:line="240" w:lineRule="auto"/>
        <w:ind w:left="1133" w:right="0"/>
        <w:jc w:val="both"/>
      </w:pPr>
      <w:r>
        <w:rPr/>
        <w:t>④</w:t>
      </w:r>
      <w:r>
        <w:rPr>
          <w:spacing w:val="-19"/>
        </w:rPr>
        <w:t> </w:t>
      </w:r>
      <w:r>
        <w:rPr/>
        <w:t>按其份额确认共同经营因出售产出所产生的收入；</w:t>
      </w:r>
    </w:p>
    <w:p>
      <w:pPr>
        <w:spacing w:line="240" w:lineRule="auto" w:before="0"/>
        <w:rPr>
          <w:rFonts w:ascii="宋体" w:hAnsi="宋体" w:cs="宋体" w:eastAsia="宋体" w:hint="default"/>
          <w:sz w:val="15"/>
          <w:szCs w:val="15"/>
        </w:rPr>
      </w:pPr>
    </w:p>
    <w:p>
      <w:pPr>
        <w:pStyle w:val="BodyText"/>
        <w:spacing w:line="240" w:lineRule="auto"/>
        <w:ind w:left="1133" w:right="0"/>
        <w:jc w:val="both"/>
      </w:pPr>
      <w:r>
        <w:rPr/>
        <w:t>⑤</w:t>
      </w:r>
      <w:r>
        <w:rPr>
          <w:spacing w:val="-19"/>
        </w:rPr>
        <w:t> </w:t>
      </w:r>
      <w:r>
        <w:rPr/>
        <w:t>确认单独所发生的费用，以及按其份额确认共同经营发生的费用。</w:t>
      </w:r>
    </w:p>
    <w:p>
      <w:pPr>
        <w:spacing w:line="240" w:lineRule="auto" w:before="0"/>
        <w:rPr>
          <w:rFonts w:ascii="宋体" w:hAnsi="宋体" w:cs="宋体" w:eastAsia="宋体" w:hint="default"/>
          <w:sz w:val="15"/>
          <w:szCs w:val="15"/>
        </w:rPr>
      </w:pPr>
    </w:p>
    <w:p>
      <w:pPr>
        <w:pStyle w:val="BodyText"/>
        <w:spacing w:line="309" w:lineRule="auto"/>
        <w:ind w:left="1133" w:right="1132"/>
        <w:jc w:val="both"/>
      </w:pPr>
      <w:r>
        <w:rPr>
          <w:spacing w:val="-2"/>
        </w:rPr>
        <w:t>本公司向共同经营投出或出售资产等（该资产构成业务的除外），在该资产等由共同经营出售给第三方之前，仅确认因该交</w:t>
      </w:r>
      <w:r>
        <w:rPr>
          <w:spacing w:val="-72"/>
        </w:rPr>
        <w:t> </w:t>
      </w:r>
      <w:r>
        <w:rPr>
          <w:spacing w:val="-72"/>
        </w:rPr>
      </w:r>
      <w:r>
        <w:rPr/>
        <w:t>易产生的损益中归属于共同经营其他参与方的部分。投出或出售的资产发生符合《企业会计准则第</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spacing w:val="-3"/>
        </w:rPr>
        <w:t>号</w:t>
      </w:r>
      <w:r>
        <w:rPr>
          <w:rFonts w:ascii="Times New Roman" w:hAnsi="Times New Roman" w:cs="Times New Roman" w:eastAsia="Times New Roman" w:hint="default"/>
          <w:spacing w:val="-3"/>
        </w:rPr>
        <w:t>——</w:t>
      </w:r>
      <w:r>
        <w:rPr>
          <w:spacing w:val="-3"/>
        </w:rPr>
        <w:t>资产减值》等规</w:t>
      </w:r>
      <w:r>
        <w:rPr/>
        <w:t> 定的资产减值损失的，本公司全额确认该损失。</w:t>
      </w:r>
    </w:p>
    <w:p>
      <w:pPr>
        <w:pStyle w:val="BodyText"/>
        <w:spacing w:line="309" w:lineRule="auto" w:before="144"/>
        <w:ind w:left="1133" w:right="1131"/>
        <w:jc w:val="both"/>
      </w:pPr>
      <w:r>
        <w:rPr>
          <w:spacing w:val="-2"/>
        </w:rPr>
        <w:t>本公司自共同经营购买资产等（该资产构成业务的除外），在将该资产等出售给第三方之前，仅确认因该交易产生的损益中</w:t>
      </w:r>
      <w:r>
        <w:rPr>
          <w:spacing w:val="-72"/>
        </w:rPr>
        <w:t> </w:t>
      </w:r>
      <w:r>
        <w:rPr>
          <w:spacing w:val="-72"/>
        </w:rPr>
      </w:r>
      <w:r>
        <w:rPr/>
        <w:t>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 本公司按承担的份额确认该部分损失。</w:t>
      </w:r>
    </w:p>
    <w:p>
      <w:pPr>
        <w:pStyle w:val="BodyText"/>
        <w:spacing w:line="316" w:lineRule="auto" w:before="144"/>
        <w:ind w:left="1133" w:right="1131"/>
        <w:jc w:val="both"/>
      </w:pPr>
      <w:r>
        <w:rPr>
          <w:spacing w:val="-2"/>
        </w:rPr>
        <w:t>本公司对共同经营不享有共同控制，如果本公司享有该共同经营相关资产且承担该共同经营相关负债的，仍按上述原则进行</w:t>
      </w:r>
      <w:r>
        <w:rPr>
          <w:spacing w:val="-64"/>
        </w:rPr>
        <w:t> </w:t>
      </w:r>
      <w:r>
        <w:rPr>
          <w:spacing w:val="-64"/>
        </w:rPr>
      </w:r>
      <w:r>
        <w:rPr/>
        <w:t>会计处理，否则，应当按照相关企业会计准则的规定进行会计处理。</w:t>
      </w:r>
    </w:p>
    <w:p>
      <w:pPr>
        <w:spacing w:line="240" w:lineRule="auto" w:before="7"/>
        <w:rPr>
          <w:rFonts w:ascii="宋体" w:hAnsi="宋体" w:cs="宋体" w:eastAsia="宋体" w:hint="default"/>
          <w:sz w:val="22"/>
          <w:szCs w:val="22"/>
        </w:rPr>
      </w:pPr>
    </w:p>
    <w:p>
      <w:pPr>
        <w:pStyle w:val="Heading3"/>
        <w:spacing w:line="240" w:lineRule="auto"/>
        <w:ind w:left="1133" w:right="0"/>
        <w:jc w:val="both"/>
        <w:rPr>
          <w:b w:val="0"/>
          <w:bCs w:val="0"/>
        </w:rPr>
      </w:pPr>
      <w:bookmarkStart w:name="8、现金及现金等价物的确定标准" w:id="176"/>
      <w:bookmarkEnd w:id="17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jc w:val="both"/>
      </w:pPr>
      <w:r>
        <w:rPr>
          <w:spacing w:val="-4"/>
        </w:rPr>
        <w:t>公司根据《企业会计准则</w:t>
      </w:r>
      <w:r>
        <w:rPr>
          <w:rFonts w:ascii="Times New Roman" w:hAnsi="Times New Roman" w:cs="Times New Roman" w:eastAsia="Times New Roman" w:hint="default"/>
          <w:spacing w:val="-4"/>
        </w:rPr>
        <w:t>——</w:t>
      </w:r>
      <w:r>
        <w:rPr>
          <w:spacing w:val="-4"/>
        </w:rPr>
        <w:t>现金流量表》的规定，对持有时间短（一般不超过</w:t>
      </w:r>
      <w:r>
        <w:rPr>
          <w:rFonts w:ascii="Times New Roman" w:hAnsi="Times New Roman" w:cs="Times New Roman" w:eastAsia="Times New Roman" w:hint="default"/>
          <w:spacing w:val="-4"/>
        </w:rPr>
        <w:t>3</w:t>
      </w:r>
      <w:r>
        <w:rPr>
          <w:spacing w:val="-4"/>
        </w:rPr>
        <w:t>个月）、流动性强、易于转换为已知金额现</w:t>
      </w:r>
      <w:r>
        <w:rPr>
          <w:spacing w:val="-46"/>
        </w:rPr>
        <w:t> </w:t>
      </w:r>
      <w:r>
        <w:rPr>
          <w:spacing w:val="-46"/>
        </w:rPr>
      </w:r>
      <w:r>
        <w:rPr/>
        <w:t>金、价值变动风险很小的投资，确认为现金等价物。</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w:t>
      </w:r>
      <w:r>
        <w:rPr>
          <w:rFonts w:ascii="Times New Roman" w:hAnsi="Times New Roman" w:cs="Times New Roman" w:eastAsia="Times New Roman" w:hint="default"/>
        </w:rPr>
        <w:t>1</w:t>
      </w:r>
      <w:r>
        <w:rPr/>
        <w:t>）外币交易</w:t>
      </w:r>
    </w:p>
    <w:p>
      <w:pPr>
        <w:spacing w:line="240" w:lineRule="auto" w:before="13"/>
        <w:rPr>
          <w:rFonts w:ascii="宋体" w:hAnsi="宋体" w:cs="宋体" w:eastAsia="宋体" w:hint="default"/>
          <w:sz w:val="13"/>
          <w:szCs w:val="13"/>
        </w:rPr>
      </w:pPr>
    </w:p>
    <w:p>
      <w:pPr>
        <w:pStyle w:val="BodyText"/>
        <w:spacing w:line="316" w:lineRule="auto"/>
        <w:ind w:left="1133" w:right="1132"/>
        <w:jc w:val="both"/>
      </w:pPr>
      <w:r>
        <w:rPr>
          <w:spacing w:val="-2"/>
        </w:rPr>
        <w:t>公司发生的外币交易在初始确认时，按交易日的即期汇率或即期汇率的近似汇率（通常指中国人民银行公布的当日外汇牌价</w:t>
      </w:r>
      <w:r>
        <w:rPr>
          <w:spacing w:val="-64"/>
        </w:rPr>
        <w:t> </w:t>
      </w:r>
      <w:r>
        <w:rPr>
          <w:spacing w:val="-64"/>
        </w:rPr>
      </w:r>
      <w:r>
        <w:rPr>
          <w:spacing w:val="-2"/>
        </w:rPr>
        <w:t>的中间价，下同）折算为记账本位币金额。在资产负债表日，对于外币货币性项目采用资产负债表日即期汇率折算，由此产</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2" w:lineRule="auto" w:before="44"/>
        <w:ind w:left="1133" w:right="0"/>
        <w:jc w:val="left"/>
      </w:pPr>
      <w:r>
        <w:rPr/>
        <w:t>生的汇兑差额，除了按照《企业会计准则第</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借款费用》的规定，与购建或生产符合资本化条件的资产相关的外币借款 </w:t>
      </w:r>
      <w:r>
        <w:rPr>
          <w:spacing w:val="-4"/>
        </w:rPr>
        <w:t>产生的汇兑差额予以资本化外，均计入当期损益。以历史成本计量的外币非货币性项目，仍采用交易发生日的即期汇率折算，</w:t>
      </w:r>
      <w:r>
        <w:rPr>
          <w:spacing w:val="-44"/>
        </w:rPr>
        <w:t> </w:t>
      </w:r>
      <w:r>
        <w:rPr>
          <w:spacing w:val="-44"/>
        </w:rPr>
      </w:r>
      <w:r>
        <w:rPr>
          <w:spacing w:val="-2"/>
        </w:rPr>
        <w:t>不改变其记账本位币金额。以公允价值计量的外币非货币性项目，采用公允价值确定日的即期汇率折算，由此产生的汇兑差</w:t>
      </w:r>
      <w:r>
        <w:rPr>
          <w:spacing w:val="-66"/>
        </w:rPr>
        <w:t> </w:t>
      </w:r>
      <w:r>
        <w:rPr>
          <w:spacing w:val="-66"/>
        </w:rPr>
      </w:r>
      <w:r>
        <w:rPr/>
        <w:t>额计入当期损益或资本公积。</w:t>
      </w:r>
    </w:p>
    <w:p>
      <w:pPr>
        <w:pStyle w:val="BodyText"/>
        <w:spacing w:line="240" w:lineRule="auto" w:before="143"/>
        <w:ind w:left="1133" w:right="0"/>
        <w:jc w:val="both"/>
      </w:pPr>
      <w:r>
        <w:rPr/>
        <w:t>（</w:t>
      </w:r>
      <w:r>
        <w:rPr>
          <w:rFonts w:ascii="Times New Roman" w:hAnsi="Times New Roman" w:cs="Times New Roman" w:eastAsia="Times New Roman" w:hint="default"/>
        </w:rPr>
        <w:t>2</w:t>
      </w:r>
      <w:r>
        <w:rPr/>
        <w:t>）外币财务报表的折算方法</w:t>
      </w:r>
    </w:p>
    <w:p>
      <w:pPr>
        <w:spacing w:line="240" w:lineRule="auto" w:before="13"/>
        <w:rPr>
          <w:rFonts w:ascii="宋体" w:hAnsi="宋体" w:cs="宋体" w:eastAsia="宋体" w:hint="default"/>
          <w:sz w:val="13"/>
          <w:szCs w:val="13"/>
        </w:rPr>
      </w:pPr>
    </w:p>
    <w:p>
      <w:pPr>
        <w:pStyle w:val="BodyText"/>
        <w:spacing w:line="312" w:lineRule="auto"/>
        <w:ind w:left="1133" w:right="1130"/>
        <w:jc w:val="both"/>
      </w:pPr>
      <w:r>
        <w:rPr>
          <w:spacing w:val="-2"/>
        </w:rPr>
        <w:t>资产负债表中的所有资产、负债类项目均按照资产负债表日国家外汇市场汇率中间价折算为人民币金额；所有者权益类项目</w:t>
      </w:r>
      <w:r>
        <w:rPr>
          <w:spacing w:val="-63"/>
        </w:rPr>
        <w:t> </w:t>
      </w:r>
      <w:r>
        <w:rPr>
          <w:spacing w:val="-63"/>
        </w:rPr>
      </w:r>
      <w:r>
        <w:rPr>
          <w:spacing w:val="-1"/>
        </w:rPr>
        <w:t>除</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项目外，均按发生时的国家外汇市场汇率中间价折算为人民币金额；</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项目按折算后的所有者权</w:t>
      </w:r>
      <w:r>
        <w:rPr>
          <w:spacing w:val="-78"/>
        </w:rPr>
        <w:t> </w:t>
      </w:r>
      <w:r>
        <w:rPr>
          <w:spacing w:val="-2"/>
        </w:rPr>
        <w:t>益变动表中的其他各项目的金额计算列示。产生的外币财务报表折算差额，在编制合并财务报表时，在合并资产负债表中所</w:t>
      </w:r>
      <w:r>
        <w:rPr>
          <w:spacing w:val="-66"/>
        </w:rPr>
        <w:t> </w:t>
      </w:r>
      <w:r>
        <w:rPr>
          <w:spacing w:val="-66"/>
        </w:rPr>
      </w:r>
      <w:r>
        <w:rPr/>
        <w:t>有者权益项目下</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项目列示。</w:t>
      </w:r>
    </w:p>
    <w:p>
      <w:pPr>
        <w:pStyle w:val="BodyText"/>
        <w:spacing w:line="300" w:lineRule="auto" w:before="123"/>
        <w:ind w:left="1133" w:right="1130"/>
        <w:jc w:val="both"/>
      </w:pPr>
      <w:r>
        <w:rPr/>
        <w:t>利润表中所有项目和所有者权益变动表中有关反映发生数的项目采用平均汇率折算为人民币金额；所有者权益变动表中</w:t>
      </w:r>
      <w:r>
        <w:rPr>
          <w:rFonts w:ascii="Times New Roman" w:hAnsi="Times New Roman" w:cs="Times New Roman" w:eastAsia="Times New Roman" w:hint="default"/>
        </w:rPr>
        <w:t>“</w:t>
      </w:r>
      <w:r>
        <w:rPr/>
        <w:t>年</w:t>
      </w:r>
      <w:r>
        <w:rPr>
          <w:spacing w:val="-73"/>
        </w:rPr>
        <w:t> </w:t>
      </w:r>
      <w:r>
        <w:rPr/>
        <w:t>初未分配利润</w:t>
      </w:r>
      <w:r>
        <w:rPr>
          <w:rFonts w:ascii="Times New Roman" w:hAnsi="Times New Roman" w:cs="Times New Roman" w:eastAsia="Times New Roman" w:hint="default"/>
        </w:rPr>
        <w:t>”</w:t>
      </w:r>
      <w:r>
        <w:rPr/>
        <w:t>项目以上一年折算后的年末</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项目的金额列示；</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项目按折算后的所有者权益变动表</w:t>
      </w:r>
      <w:r>
        <w:rPr>
          <w:spacing w:val="-43"/>
        </w:rPr>
        <w:t> </w:t>
      </w:r>
      <w:r>
        <w:rPr>
          <w:spacing w:val="-43"/>
        </w:rPr>
      </w:r>
      <w:r>
        <w:rPr/>
        <w:t>中的其他各项目的金额计算列示。</w:t>
      </w:r>
    </w:p>
    <w:p>
      <w:pPr>
        <w:pStyle w:val="BodyText"/>
        <w:spacing w:line="316" w:lineRule="auto" w:before="151"/>
        <w:ind w:left="1133" w:right="1132"/>
        <w:jc w:val="both"/>
      </w:pPr>
      <w:r>
        <w:rPr>
          <w:spacing w:val="-2"/>
        </w:rPr>
        <w:t>外币现金流量采用现金流量发生日中国人民银行授权中国外汇交易中心公布的中间价折算。汇率变动对现金的影响额，在现</w:t>
      </w:r>
      <w:r>
        <w:rPr>
          <w:spacing w:val="-64"/>
        </w:rPr>
        <w:t> </w:t>
      </w:r>
      <w:r>
        <w:rPr>
          <w:spacing w:val="-64"/>
        </w:rPr>
      </w:r>
      <w:r>
        <w:rPr/>
        <w:t>金流量表中单独列示。</w:t>
      </w:r>
    </w:p>
    <w:p>
      <w:pPr>
        <w:spacing w:line="240" w:lineRule="auto" w:before="7"/>
        <w:rPr>
          <w:rFonts w:ascii="宋体" w:hAnsi="宋体" w:cs="宋体" w:eastAsia="宋体" w:hint="default"/>
          <w:sz w:val="22"/>
          <w:szCs w:val="22"/>
        </w:rPr>
      </w:pPr>
    </w:p>
    <w:p>
      <w:pPr>
        <w:pStyle w:val="Heading3"/>
        <w:spacing w:line="240" w:lineRule="auto"/>
        <w:ind w:left="1133" w:right="0"/>
        <w:jc w:val="both"/>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w:t>
      </w:r>
      <w:r>
        <w:rPr>
          <w:rFonts w:ascii="Times New Roman" w:hAnsi="Times New Roman" w:cs="Times New Roman" w:eastAsia="Times New Roman" w:hint="default"/>
        </w:rPr>
        <w:t>1</w:t>
      </w:r>
      <w:r>
        <w:rPr/>
        <w:t>）按照投资目的和经济实质本公司将拥有的金融资产划分为四类：</w:t>
      </w:r>
    </w:p>
    <w:p>
      <w:pPr>
        <w:spacing w:line="240" w:lineRule="auto" w:before="13"/>
        <w:rPr>
          <w:rFonts w:ascii="宋体" w:hAnsi="宋体" w:cs="宋体" w:eastAsia="宋体" w:hint="default"/>
          <w:sz w:val="13"/>
          <w:szCs w:val="13"/>
        </w:rPr>
      </w:pPr>
    </w:p>
    <w:p>
      <w:pPr>
        <w:pStyle w:val="BodyText"/>
        <w:spacing w:line="316" w:lineRule="auto"/>
        <w:ind w:left="1133" w:right="1131"/>
        <w:jc w:val="both"/>
      </w:pPr>
      <w:r>
        <w:rPr>
          <w:spacing w:val="-2"/>
        </w:rPr>
        <w:t>以公允价值计量且其变动计入当期损益的金融资产，包括交易性金融资产和指定为以公允价值计量且其变动计入当期损益的</w:t>
      </w:r>
      <w:r>
        <w:rPr>
          <w:spacing w:val="-64"/>
        </w:rPr>
        <w:t> </w:t>
      </w:r>
      <w:r>
        <w:rPr>
          <w:spacing w:val="-64"/>
        </w:rPr>
      </w:r>
      <w:r>
        <w:rPr/>
        <w:t>金融资产；持有至到期投资；应收款项；可供出售金融资产等。</w:t>
      </w:r>
    </w:p>
    <w:p>
      <w:pPr>
        <w:pStyle w:val="BodyText"/>
        <w:spacing w:line="240" w:lineRule="auto" w:before="139"/>
        <w:ind w:right="0"/>
        <w:jc w:val="both"/>
      </w:pPr>
      <w:r>
        <w:rPr/>
        <w:t>（</w:t>
      </w:r>
      <w:r>
        <w:rPr>
          <w:rFonts w:ascii="Times New Roman" w:hAnsi="Times New Roman" w:cs="Times New Roman" w:eastAsia="Times New Roman" w:hint="default"/>
        </w:rPr>
        <w:t>2</w:t>
      </w:r>
      <w:r>
        <w:rPr/>
        <w:t>）按照经济实质将承担的金融负债再划分为两类：</w:t>
      </w:r>
    </w:p>
    <w:p>
      <w:pPr>
        <w:spacing w:line="240" w:lineRule="auto" w:before="13"/>
        <w:rPr>
          <w:rFonts w:ascii="宋体" w:hAnsi="宋体" w:cs="宋体" w:eastAsia="宋体" w:hint="default"/>
          <w:sz w:val="13"/>
          <w:szCs w:val="13"/>
        </w:rPr>
      </w:pPr>
    </w:p>
    <w:p>
      <w:pPr>
        <w:pStyle w:val="BodyText"/>
        <w:spacing w:line="316" w:lineRule="auto"/>
        <w:ind w:right="1131"/>
        <w:jc w:val="both"/>
      </w:pPr>
      <w:r>
        <w:rPr>
          <w:spacing w:val="-2"/>
        </w:rPr>
        <w:t>以公允价值计量且其变动计入当期损益的金融负债，包括交易性金融负债和指定为以公允价值计量且其变动计入当期损益的</w:t>
      </w:r>
      <w:r>
        <w:rPr>
          <w:spacing w:val="-64"/>
        </w:rPr>
        <w:t> </w:t>
      </w:r>
      <w:r>
        <w:rPr>
          <w:spacing w:val="-64"/>
        </w:rPr>
      </w:r>
      <w:r>
        <w:rPr/>
        <w:t>金融负债；其他金融负债。</w:t>
      </w:r>
    </w:p>
    <w:p>
      <w:pPr>
        <w:pStyle w:val="BodyText"/>
        <w:spacing w:line="240" w:lineRule="auto" w:before="139"/>
        <w:ind w:right="0"/>
        <w:jc w:val="both"/>
      </w:pPr>
      <w:r>
        <w:rPr/>
        <w:t>（</w:t>
      </w:r>
      <w:r>
        <w:rPr>
          <w:rFonts w:ascii="Times New Roman" w:hAnsi="Times New Roman" w:cs="Times New Roman" w:eastAsia="Times New Roman" w:hint="default"/>
        </w:rPr>
        <w:t>3</w:t>
      </w:r>
      <w:r>
        <w:rPr/>
        <w:t>）金融工具确认依据和计量方法</w:t>
      </w:r>
    </w:p>
    <w:p>
      <w:pPr>
        <w:spacing w:line="240" w:lineRule="auto" w:before="13"/>
        <w:rPr>
          <w:rFonts w:ascii="宋体" w:hAnsi="宋体" w:cs="宋体" w:eastAsia="宋体" w:hint="default"/>
          <w:sz w:val="13"/>
          <w:szCs w:val="13"/>
        </w:rPr>
      </w:pPr>
    </w:p>
    <w:p>
      <w:pPr>
        <w:pStyle w:val="BodyText"/>
        <w:spacing w:line="316" w:lineRule="auto"/>
        <w:ind w:left="1133" w:right="1132"/>
        <w:jc w:val="both"/>
      </w:pPr>
      <w:r>
        <w:rPr>
          <w:spacing w:val="-2"/>
        </w:rPr>
        <w:t>当公司成为金融工具合同的一方时，确认一项金融资产或金融负债。当收取该金融资产现金流量的合同权利终止、金融资产</w:t>
      </w:r>
      <w:r>
        <w:rPr>
          <w:spacing w:val="-66"/>
        </w:rPr>
        <w:t> </w:t>
      </w:r>
      <w:r>
        <w:rPr>
          <w:spacing w:val="-66"/>
        </w:rPr>
      </w:r>
      <w:r>
        <w:rPr>
          <w:spacing w:val="-2"/>
        </w:rPr>
        <w:t>已转移且符合规定的终止确认条件的金融资产应当终止确认。当金融负债的现时义务全部或部分已解除的，终止确认该金融</w:t>
      </w:r>
      <w:r>
        <w:rPr>
          <w:spacing w:val="-64"/>
        </w:rPr>
        <w:t> </w:t>
      </w:r>
      <w:r>
        <w:rPr>
          <w:spacing w:val="-64"/>
        </w:rPr>
      </w:r>
      <w:r>
        <w:rPr/>
        <w:t>负债或其一部分。</w:t>
      </w:r>
    </w:p>
    <w:p>
      <w:pPr>
        <w:pStyle w:val="BodyText"/>
        <w:spacing w:line="316" w:lineRule="auto" w:before="139"/>
        <w:ind w:left="1133" w:right="1050"/>
        <w:jc w:val="both"/>
      </w:pPr>
      <w:r>
        <w:rPr>
          <w:spacing w:val="-2"/>
        </w:rPr>
        <w:t>公司初始确认的金融资产或金融负债，按照公允价值计量。对于以公允价值计量且其变动计入当期损益的金融资产或金融负</w:t>
      </w:r>
      <w:r>
        <w:rPr>
          <w:spacing w:val="-64"/>
        </w:rPr>
        <w:t> </w:t>
      </w:r>
      <w:r>
        <w:rPr>
          <w:spacing w:val="-64"/>
        </w:rPr>
      </w:r>
      <w:r>
        <w:rPr/>
        <w:t>债，相关交易费用直接计入当期损益；对于其他类别的金融资产或金融负债，相关交易费用计入初始确认金额。</w:t>
      </w:r>
    </w:p>
    <w:p>
      <w:pPr>
        <w:pStyle w:val="BodyText"/>
        <w:spacing w:line="439" w:lineRule="auto" w:before="139"/>
        <w:ind w:right="1050"/>
        <w:jc w:val="both"/>
      </w:pPr>
      <w:r>
        <w:rPr/>
        <w:t>公司按照公允价值对金融资产进行后续计量，且不扣除将来处置该金融资产时可能发生的交易费用。但是，下列情况除外： 持有至到期投资和应收款项，采用实际利率法，按摊余成本计量；</w:t>
      </w:r>
    </w:p>
    <w:p>
      <w:pPr>
        <w:pStyle w:val="BodyText"/>
        <w:spacing w:line="316" w:lineRule="auto" w:before="47"/>
        <w:ind w:right="1131"/>
        <w:jc w:val="both"/>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39"/>
        <w:ind w:right="1133"/>
        <w:jc w:val="both"/>
      </w:pPr>
      <w:r>
        <w:rPr>
          <w:spacing w:val="-2"/>
        </w:rPr>
        <w:t>对因持有意图或能力发生改变，或公允价值不再能够可靠计量等情况，使金融资产不再适合按照公允价值计量时，公司改按</w:t>
      </w:r>
      <w:r>
        <w:rPr>
          <w:spacing w:val="-66"/>
        </w:rPr>
        <w:t> </w:t>
      </w:r>
      <w:r>
        <w:rPr>
          <w:spacing w:val="-66"/>
        </w:rPr>
      </w:r>
      <w:r>
        <w:rPr/>
        <w:t>成本计量，该成本为重分类日该金融资产的公允价值。</w:t>
      </w:r>
    </w:p>
    <w:p>
      <w:pPr>
        <w:pStyle w:val="BodyText"/>
        <w:spacing w:line="439" w:lineRule="auto" w:before="139"/>
        <w:ind w:left="1133" w:right="1033"/>
        <w:jc w:val="left"/>
      </w:pPr>
      <w:r>
        <w:rPr/>
        <w:t>公司采用实际利率法，按摊余成本对金融负债进行后续计量。但是，下列情况除外： 以公允价值计量且变动计入当期损益的金融负债，按照公允价值计量，且不扣除将来结清金融负债时可能发生的交易费用； </w:t>
      </w:r>
      <w:r>
        <w:rPr>
          <w:spacing w:val="-2"/>
        </w:rPr>
        <w:t>因持有意图或能力发生改变，或公允价值不再能够可靠计量等情况，使金融负债不再适合按照公允价值计量时，公司改按成</w:t>
      </w:r>
    </w:p>
    <w:p>
      <w:pPr>
        <w:spacing w:after="0" w:line="439"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both"/>
      </w:pPr>
      <w:r>
        <w:rPr/>
        <w:t>本计量，该成本为重分类日该金融负债的账面价值；</w:t>
      </w:r>
    </w:p>
    <w:p>
      <w:pPr>
        <w:spacing w:line="240" w:lineRule="auto" w:before="0"/>
        <w:rPr>
          <w:rFonts w:ascii="宋体" w:hAnsi="宋体" w:cs="宋体" w:eastAsia="宋体" w:hint="default"/>
          <w:sz w:val="15"/>
          <w:szCs w:val="15"/>
        </w:rPr>
      </w:pPr>
    </w:p>
    <w:p>
      <w:pPr>
        <w:pStyle w:val="BodyText"/>
        <w:spacing w:line="316" w:lineRule="auto"/>
        <w:ind w:right="1131"/>
        <w:jc w:val="both"/>
      </w:pPr>
      <w:r>
        <w:rPr>
          <w:spacing w:val="-2"/>
        </w:rPr>
        <w:t>与在活跃的市场中没有报价、公允价值不能可靠计量的权益工具挂钩并须通过交付该权益工具结算的衍生金融负债，按照成</w:t>
      </w:r>
      <w:r>
        <w:rPr>
          <w:spacing w:val="-64"/>
        </w:rPr>
        <w:t> </w:t>
      </w:r>
      <w:r>
        <w:rPr>
          <w:spacing w:val="-64"/>
        </w:rPr>
      </w:r>
      <w:r>
        <w:rPr/>
        <w:t>本计量；</w:t>
      </w:r>
    </w:p>
    <w:p>
      <w:pPr>
        <w:pStyle w:val="BodyText"/>
        <w:spacing w:line="316" w:lineRule="auto" w:before="139"/>
        <w:ind w:right="1131"/>
        <w:jc w:val="both"/>
      </w:pPr>
      <w:r>
        <w:rPr>
          <w:spacing w:val="-2"/>
        </w:rPr>
        <w:t>不属于指定为以公允价值计量且其变动计入当期损益的金融负债的财务担保合同，或没有指定为以公允价值计量且其变动计</w:t>
      </w:r>
      <w:r>
        <w:rPr>
          <w:spacing w:val="-64"/>
        </w:rPr>
        <w:t> </w:t>
      </w:r>
      <w:r>
        <w:rPr>
          <w:spacing w:val="-64"/>
        </w:rPr>
      </w:r>
      <w:r>
        <w:rPr>
          <w:spacing w:val="-2"/>
        </w:rPr>
        <w:t>入当期损益并将以低于市场利率贷款的贷款承诺，应当在初始确认后按照下列两项金额之中的较高者进行后续计量：按照或</w:t>
      </w:r>
      <w:r>
        <w:rPr>
          <w:spacing w:val="-64"/>
        </w:rPr>
        <w:t> </w:t>
      </w:r>
      <w:r>
        <w:rPr>
          <w:spacing w:val="-64"/>
        </w:rPr>
      </w:r>
      <w:r>
        <w:rPr/>
        <w:t>有事项准则确定的金额；初始确认金额扣除按照收入准则确定的累计摊销后的余额。</w:t>
      </w:r>
    </w:p>
    <w:p>
      <w:pPr>
        <w:pStyle w:val="BodyText"/>
        <w:spacing w:line="439" w:lineRule="auto" w:before="139"/>
        <w:ind w:right="1049"/>
        <w:jc w:val="both"/>
      </w:pPr>
      <w:r>
        <w:rPr/>
        <w:t>公司对金融资产或金融负债公允价值变动形成的利得或损失，除与套期保值有关外，按照下列规定处理： 以公允价值计量且其变动计入当期损益的金融资产或金融负债，公允价值变动形成的利得或损失，计入当期损益；</w:t>
      </w:r>
    </w:p>
    <w:p>
      <w:pPr>
        <w:pStyle w:val="BodyText"/>
        <w:spacing w:line="316" w:lineRule="auto" w:before="47"/>
        <w:ind w:right="1049"/>
        <w:jc w:val="both"/>
      </w:pPr>
      <w:r>
        <w:rPr/>
        <w:t>可供出售金融资产公允价值变动形成的利得或损失，除减值损失和外币货币性金融资产形成的汇兑差额外，计入资本公积， 在该金融资产终止确认时转出，计入当期损益。</w:t>
      </w:r>
    </w:p>
    <w:p>
      <w:pPr>
        <w:pStyle w:val="BodyText"/>
        <w:spacing w:line="316" w:lineRule="auto" w:before="139"/>
        <w:ind w:right="1050"/>
        <w:jc w:val="both"/>
      </w:pPr>
      <w:r>
        <w:rPr/>
        <w:t>公司对以摊余成本计量的金融资产或金融负债，除与套期保值有关外，在终止确认、发生减值或摊销时产生的利得或损失， 计入当期损益。</w:t>
      </w:r>
    </w:p>
    <w:p>
      <w:pPr>
        <w:pStyle w:val="BodyText"/>
        <w:spacing w:line="240" w:lineRule="auto" w:before="139"/>
        <w:ind w:right="0"/>
        <w:jc w:val="both"/>
      </w:pPr>
      <w:r>
        <w:rPr/>
        <w:t>公司在相同会计期间将套期工具和被套期项目的公允价值变动的抵消结果计入当期损益。</w:t>
      </w:r>
    </w:p>
    <w:p>
      <w:pPr>
        <w:spacing w:line="240" w:lineRule="auto" w:before="0"/>
        <w:rPr>
          <w:rFonts w:ascii="宋体" w:hAnsi="宋体" w:cs="宋体" w:eastAsia="宋体" w:hint="default"/>
          <w:sz w:val="15"/>
          <w:szCs w:val="15"/>
        </w:rPr>
      </w:pPr>
    </w:p>
    <w:p>
      <w:pPr>
        <w:pStyle w:val="BodyText"/>
        <w:spacing w:line="240" w:lineRule="auto"/>
        <w:ind w:right="0"/>
        <w:jc w:val="both"/>
      </w:pPr>
      <w:r>
        <w:rPr/>
        <w:t>（</w:t>
      </w:r>
      <w:r>
        <w:rPr>
          <w:rFonts w:ascii="Times New Roman" w:hAnsi="Times New Roman" w:cs="Times New Roman" w:eastAsia="Times New Roman" w:hint="default"/>
        </w:rPr>
        <w:t>4</w:t>
      </w:r>
      <w:r>
        <w:rPr/>
        <w:t>）金融资产转移的确认依据和计量方法</w:t>
      </w:r>
    </w:p>
    <w:p>
      <w:pPr>
        <w:spacing w:line="240" w:lineRule="auto" w:before="13"/>
        <w:rPr>
          <w:rFonts w:ascii="宋体" w:hAnsi="宋体" w:cs="宋体" w:eastAsia="宋体" w:hint="default"/>
          <w:sz w:val="13"/>
          <w:szCs w:val="13"/>
        </w:rPr>
      </w:pPr>
    </w:p>
    <w:p>
      <w:pPr>
        <w:pStyle w:val="BodyText"/>
        <w:spacing w:line="316" w:lineRule="auto"/>
        <w:ind w:left="1133" w:right="1131"/>
        <w:jc w:val="both"/>
      </w:pP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w:t>
      </w:r>
    </w:p>
    <w:p>
      <w:pPr>
        <w:pStyle w:val="BodyText"/>
        <w:spacing w:line="319" w:lineRule="auto" w:before="139"/>
        <w:ind w:left="1133" w:right="1131"/>
        <w:jc w:val="both"/>
      </w:pP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产整体转移和部分转移。金融资产整体转移满足终止确认条件的，将下列两项金额的差额计入当期损益：①</w:t>
      </w:r>
      <w:r>
        <w:rPr>
          <w:spacing w:val="-18"/>
        </w:rPr>
        <w:t> </w:t>
      </w:r>
      <w:r>
        <w:rPr/>
        <w:t>所转移金融资</w:t>
      </w:r>
      <w:r>
        <w:rPr/>
        <w:t> 产的账面价值；②</w:t>
      </w:r>
      <w:r>
        <w:rPr>
          <w:spacing w:val="-19"/>
        </w:rPr>
        <w:t> </w:t>
      </w:r>
      <w:r>
        <w:rPr/>
        <w:t>因转移而收到的对价，与原直接计入所有者权益的公允价值变动累计额（涉及转移的金融资产为可供出</w:t>
      </w:r>
      <w:r>
        <w:rPr/>
        <w:t> 售金融资产的情形）之和。</w:t>
      </w:r>
    </w:p>
    <w:p>
      <w:pPr>
        <w:pStyle w:val="BodyText"/>
        <w:spacing w:line="316" w:lineRule="auto" w:before="137"/>
        <w:ind w:left="1133" w:right="1132"/>
        <w:jc w:val="both"/>
      </w:pPr>
      <w:r>
        <w:rPr>
          <w:spacing w:val="-2"/>
        </w:rPr>
        <w:t>金融资产部分转移满足终止确认条件的，将所转移金融资产整体的账面价值，在终止确认部分和未终止确认部分之间，按照</w:t>
      </w:r>
      <w:r>
        <w:rPr>
          <w:spacing w:val="-66"/>
        </w:rPr>
        <w:t> </w:t>
      </w:r>
      <w:r>
        <w:rPr>
          <w:spacing w:val="-66"/>
        </w:rPr>
      </w:r>
      <w:r>
        <w:rPr/>
        <w:t>各自的相对公允价值进行分摊，并将下列两项金额的差额计入当期损益：①</w:t>
      </w:r>
      <w:r>
        <w:rPr>
          <w:spacing w:val="-41"/>
        </w:rPr>
        <w:t> </w:t>
      </w:r>
      <w:r>
        <w:rPr/>
        <w:t>终止确认部分的账面价值；②</w:t>
      </w:r>
      <w:r>
        <w:rPr>
          <w:spacing w:val="-41"/>
        </w:rPr>
        <w:t> </w:t>
      </w:r>
      <w:r>
        <w:rPr/>
        <w:t>终止确认部分的</w:t>
      </w:r>
      <w:r>
        <w:rPr/>
        <w:t> </w:t>
      </w:r>
      <w:r>
        <w:rPr>
          <w:spacing w:val="-2"/>
        </w:rPr>
        <w:t>对价，与原直接计入所有者权益的公允价值变动累计额中对应终止确认部分的金额（涉及转移的金融资产为可供出售金融资</w:t>
      </w:r>
      <w:r>
        <w:rPr>
          <w:spacing w:val="-64"/>
        </w:rPr>
        <w:t> </w:t>
      </w:r>
      <w:r>
        <w:rPr>
          <w:spacing w:val="-64"/>
        </w:rPr>
      </w:r>
      <w:r>
        <w:rPr/>
        <w:t>产的情形）之和。</w:t>
      </w:r>
    </w:p>
    <w:p>
      <w:pPr>
        <w:pStyle w:val="BodyText"/>
        <w:spacing w:line="240" w:lineRule="auto" w:before="139"/>
        <w:ind w:left="1133" w:right="0"/>
        <w:jc w:val="both"/>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5"/>
          <w:szCs w:val="15"/>
        </w:rPr>
      </w:pPr>
    </w:p>
    <w:p>
      <w:pPr>
        <w:pStyle w:val="BodyText"/>
        <w:spacing w:line="240" w:lineRule="auto"/>
        <w:ind w:left="1133" w:right="0"/>
        <w:jc w:val="both"/>
      </w:pPr>
      <w:r>
        <w:rPr/>
        <w:t>（</w:t>
      </w:r>
      <w:r>
        <w:rPr>
          <w:rFonts w:ascii="Times New Roman" w:hAnsi="Times New Roman" w:cs="Times New Roman" w:eastAsia="Times New Roman" w:hint="default"/>
        </w:rPr>
        <w:t>5</w:t>
      </w:r>
      <w:r>
        <w:rPr/>
        <w:t>）金融负债终止确认条件</w:t>
      </w:r>
    </w:p>
    <w:p>
      <w:pPr>
        <w:spacing w:line="240" w:lineRule="auto" w:before="13"/>
        <w:rPr>
          <w:rFonts w:ascii="宋体" w:hAnsi="宋体" w:cs="宋体" w:eastAsia="宋体" w:hint="default"/>
          <w:sz w:val="13"/>
          <w:szCs w:val="13"/>
        </w:rPr>
      </w:pPr>
    </w:p>
    <w:p>
      <w:pPr>
        <w:pStyle w:val="BodyText"/>
        <w:spacing w:line="316" w:lineRule="auto"/>
        <w:ind w:left="1133" w:right="1132"/>
        <w:jc w:val="both"/>
      </w:pPr>
      <w:r>
        <w:rPr>
          <w:spacing w:val="-2"/>
        </w:rPr>
        <w:t>金融负债的现时义务全部或部分已经解除的，则终止确认该金融负债或其一部分；公司若与债权人签定协议，以承担新金融</w:t>
      </w:r>
      <w:r>
        <w:rPr>
          <w:spacing w:val="-66"/>
        </w:rPr>
        <w:t> </w:t>
      </w:r>
      <w:r>
        <w:rPr>
          <w:spacing w:val="-66"/>
        </w:rPr>
      </w:r>
      <w:r>
        <w:rPr>
          <w:spacing w:val="-2"/>
        </w:rPr>
        <w:t>负债方式替换现存金融负债，且新金融负债与现存金融负债的合同条款实质上不同的，则终止确认现存金融负债，并同时确</w:t>
      </w:r>
      <w:r>
        <w:rPr>
          <w:spacing w:val="-66"/>
        </w:rPr>
        <w:t> </w:t>
      </w:r>
      <w:r>
        <w:rPr>
          <w:spacing w:val="-66"/>
        </w:rPr>
      </w:r>
      <w:r>
        <w:rPr/>
        <w:t>认新金融负债。</w:t>
      </w:r>
    </w:p>
    <w:p>
      <w:pPr>
        <w:pStyle w:val="BodyText"/>
        <w:spacing w:line="316" w:lineRule="auto" w:before="139"/>
        <w:ind w:right="1050"/>
        <w:jc w:val="both"/>
      </w:pP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w:t>
      </w:r>
    </w:p>
    <w:p>
      <w:pPr>
        <w:pStyle w:val="BodyText"/>
        <w:spacing w:line="316" w:lineRule="auto" w:before="139"/>
        <w:ind w:right="1050"/>
        <w:jc w:val="both"/>
      </w:pPr>
      <w:r>
        <w:rPr/>
        <w:t>金融负债全部或部分终止确认时，终止确认的金融负债账面价值与支付对价（包括转出的非现金资产或承担的新金融负债） 之间的差额，计入当期损益。</w:t>
      </w:r>
    </w:p>
    <w:p>
      <w:pPr>
        <w:pStyle w:val="BodyText"/>
        <w:spacing w:line="319" w:lineRule="auto" w:before="139"/>
        <w:ind w:right="1131"/>
        <w:jc w:val="both"/>
      </w:pPr>
      <w:r>
        <w:rPr>
          <w:spacing w:val="-2"/>
        </w:rPr>
        <w:t>公司若回购部分金融负债的，在回购日按照继续确认部分与终止确认部分的相对公允价值，将该金融负债整体的账面价值进</w:t>
      </w:r>
      <w:r>
        <w:rPr>
          <w:spacing w:val="-64"/>
        </w:rPr>
        <w:t> </w:t>
      </w:r>
      <w:r>
        <w:rPr>
          <w:spacing w:val="-64"/>
        </w:rPr>
      </w:r>
      <w:r>
        <w:rPr>
          <w:spacing w:val="-2"/>
        </w:rPr>
        <w:t>行分配。分配给终止确认部分的账面价值与支付的对价（包括转出的非现金资产或承担的新金融负债）之间的差额，计入当</w:t>
      </w:r>
      <w:r>
        <w:rPr>
          <w:spacing w:val="-66"/>
        </w:rPr>
        <w:t> </w:t>
      </w:r>
      <w:r>
        <w:rPr>
          <w:spacing w:val="-66"/>
        </w:rPr>
      </w:r>
      <w:r>
        <w:rPr/>
        <w:t>期损益。</w:t>
      </w:r>
    </w:p>
    <w:p>
      <w:pPr>
        <w:pStyle w:val="BodyText"/>
        <w:spacing w:line="240" w:lineRule="auto" w:before="137"/>
        <w:ind w:left="1133" w:right="0"/>
        <w:jc w:val="both"/>
      </w:pPr>
      <w:r>
        <w:rPr/>
        <w:t>（</w:t>
      </w:r>
      <w:r>
        <w:rPr>
          <w:rFonts w:ascii="Times New Roman" w:hAnsi="Times New Roman" w:cs="Times New Roman" w:eastAsia="Times New Roman" w:hint="default"/>
        </w:rPr>
        <w:t>6</w:t>
      </w:r>
      <w:r>
        <w:rPr/>
        <w:t>）金融资产、金融负债的公允价值的确定</w:t>
      </w:r>
    </w:p>
    <w:p>
      <w:pPr>
        <w:spacing w:after="0" w:line="240"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0"/>
        <w:jc w:val="left"/>
      </w:pPr>
      <w:r>
        <w:rPr>
          <w:spacing w:val="-4"/>
        </w:rPr>
        <w:t>存在活跃市场的金融资产或金融负债，以活跃市场的报价确定其公允价值，活跃市场的报价包括易于定期从交易所、经纪商、</w:t>
      </w:r>
      <w:r>
        <w:rPr>
          <w:spacing w:val="-44"/>
        </w:rPr>
        <w:t> </w:t>
      </w:r>
      <w:r>
        <w:rPr>
          <w:spacing w:val="-44"/>
        </w:rPr>
      </w:r>
      <w:r>
        <w:rPr>
          <w:spacing w:val="-2"/>
        </w:rPr>
        <w:t>行业协会、定价服务机构等获得的价格，且代表了在公平交易中实际发生的市场交易的价格；不存在活跃市场的金融资产或</w:t>
      </w:r>
      <w:r>
        <w:rPr>
          <w:spacing w:val="-66"/>
        </w:rPr>
        <w:t> </w:t>
      </w:r>
      <w:r>
        <w:rPr>
          <w:spacing w:val="-66"/>
        </w:rPr>
      </w:r>
      <w:r>
        <w:rPr>
          <w:spacing w:val="-4"/>
        </w:rPr>
        <w:t>金融负债，采用估值技术确定其公允价值。估值技术包括参考熟悉情况并自愿交易的各方最近进行的市场交易中使用的价格、</w:t>
      </w:r>
      <w:r>
        <w:rPr>
          <w:spacing w:val="-44"/>
        </w:rPr>
        <w:t> </w:t>
      </w:r>
      <w:r>
        <w:rPr>
          <w:spacing w:val="-44"/>
        </w:rPr>
      </w:r>
      <w:r>
        <w:rPr/>
        <w:t>参照实质上相同的其他金融资产或金融负债的当前公允价值、现金流量折现法和期权定价模型等。</w:t>
      </w:r>
    </w:p>
    <w:p>
      <w:pPr>
        <w:pStyle w:val="BodyText"/>
        <w:spacing w:line="240" w:lineRule="auto" w:before="139"/>
        <w:ind w:left="1133" w:right="0"/>
        <w:jc w:val="both"/>
      </w:pPr>
      <w:r>
        <w:rPr/>
        <w:t>（</w:t>
      </w:r>
      <w:r>
        <w:rPr>
          <w:rFonts w:ascii="Times New Roman" w:hAnsi="Times New Roman" w:cs="Times New Roman" w:eastAsia="Times New Roman" w:hint="default"/>
        </w:rPr>
        <w:t>7</w:t>
      </w:r>
      <w:r>
        <w:rPr/>
        <w:t>）金融资产的减值准备</w:t>
      </w:r>
    </w:p>
    <w:p>
      <w:pPr>
        <w:spacing w:line="240" w:lineRule="auto" w:before="13"/>
        <w:rPr>
          <w:rFonts w:ascii="宋体" w:hAnsi="宋体" w:cs="宋体" w:eastAsia="宋体" w:hint="default"/>
          <w:sz w:val="13"/>
          <w:szCs w:val="13"/>
        </w:rPr>
      </w:pPr>
    </w:p>
    <w:p>
      <w:pPr>
        <w:pStyle w:val="BodyText"/>
        <w:spacing w:line="316" w:lineRule="auto"/>
        <w:ind w:left="1133" w:right="1131"/>
        <w:jc w:val="both"/>
      </w:pPr>
      <w:r>
        <w:rPr>
          <w:spacing w:val="-2"/>
        </w:rPr>
        <w:t>公司期末对以公允价值计量且其变动计入当期损益的金融资产以外的金融资产的账面价值进行检查，有客观证据表明该金融</w:t>
      </w:r>
      <w:r>
        <w:rPr>
          <w:spacing w:val="-64"/>
        </w:rPr>
        <w:t> </w:t>
      </w:r>
      <w:r>
        <w:rPr>
          <w:spacing w:val="-64"/>
        </w:rPr>
      </w:r>
      <w:r>
        <w:rPr>
          <w:spacing w:val="-2"/>
        </w:rPr>
        <w:t>资产发生减值的，计提减值准备。计提减值准备时，对单项金额重大的进行单独减值测试；对单项金额不重大的，在具有类</w:t>
      </w:r>
      <w:r>
        <w:rPr>
          <w:spacing w:val="-66"/>
        </w:rPr>
        <w:t> </w:t>
      </w:r>
      <w:r>
        <w:rPr>
          <w:spacing w:val="-66"/>
        </w:rPr>
      </w:r>
      <w:r>
        <w:rPr/>
        <w:t>似信用风险特征的金融资产组中进行减值测试。主要金融资产计提减值准备的具体方法分别如下：</w:t>
      </w:r>
    </w:p>
    <w:p>
      <w:pPr>
        <w:pStyle w:val="BodyText"/>
        <w:spacing w:line="316" w:lineRule="auto" w:before="139"/>
        <w:ind w:left="1133" w:right="1131"/>
        <w:jc w:val="both"/>
      </w:pPr>
      <w:r>
        <w:rPr>
          <w:spacing w:val="-2"/>
        </w:rPr>
        <w:t>可供出售金融资产能以公允价值可靠计量的，以公允价值低于账面价值部分计提减值准备，计入当期损益；可供出售金融资</w:t>
      </w:r>
      <w:r>
        <w:rPr>
          <w:spacing w:val="-66"/>
        </w:rPr>
        <w:t> </w:t>
      </w:r>
      <w:r>
        <w:rPr>
          <w:spacing w:val="-66"/>
        </w:rPr>
      </w:r>
      <w:r>
        <w:rPr>
          <w:spacing w:val="-2"/>
        </w:rPr>
        <w:t>产以公允价值不能可靠计量的，以预计未来现金流量（不包括尚未发生的未来信用损失）现值低于账面价值部分计提减值准</w:t>
      </w:r>
      <w:r>
        <w:rPr>
          <w:spacing w:val="-66"/>
        </w:rPr>
        <w:t> </w:t>
      </w:r>
      <w:r>
        <w:rPr>
          <w:spacing w:val="-66"/>
        </w:rPr>
      </w:r>
      <w:r>
        <w:rPr>
          <w:spacing w:val="-2"/>
        </w:rPr>
        <w:t>备，计入当期损益。可供出售金融资产发生减值时，即使该金融资产没有终止确认，原直接计入所有者权益的因公允价值下</w:t>
      </w:r>
      <w:r>
        <w:rPr>
          <w:spacing w:val="-66"/>
        </w:rPr>
        <w:t> </w:t>
      </w:r>
      <w:r>
        <w:rPr>
          <w:spacing w:val="-66"/>
        </w:rPr>
      </w:r>
      <w:r>
        <w:rPr/>
        <w:t>降形成的累计损失，应当予以转出，计入当期损益。</w:t>
      </w:r>
    </w:p>
    <w:p>
      <w:pPr>
        <w:pStyle w:val="BodyText"/>
        <w:spacing w:line="316" w:lineRule="auto" w:before="139"/>
        <w:ind w:right="1133"/>
        <w:jc w:val="both"/>
      </w:pPr>
      <w:r>
        <w:rPr>
          <w:spacing w:val="-2"/>
        </w:rPr>
        <w:t>持有至到期的投资以预计未来现金流量（不包括尚未发生的未来信用损失）现值低于账面价值部分计提减值准备，计入当期</w:t>
      </w:r>
      <w:r>
        <w:rPr>
          <w:spacing w:val="-66"/>
        </w:rPr>
        <w:t> </w:t>
      </w:r>
      <w:r>
        <w:rPr>
          <w:spacing w:val="-66"/>
        </w:rPr>
      </w:r>
      <w:r>
        <w:rPr/>
        <w:t>损益。</w:t>
      </w:r>
    </w:p>
    <w:p>
      <w:pPr>
        <w:pStyle w:val="BodyText"/>
        <w:spacing w:line="240" w:lineRule="auto" w:before="139"/>
        <w:ind w:right="0"/>
        <w:jc w:val="both"/>
      </w:pPr>
      <w:r>
        <w:rPr/>
        <w:t>（</w:t>
      </w:r>
      <w:r>
        <w:rPr>
          <w:rFonts w:ascii="Times New Roman" w:hAnsi="Times New Roman" w:cs="Times New Roman" w:eastAsia="Times New Roman" w:hint="default"/>
        </w:rPr>
        <w:t>8</w:t>
      </w:r>
      <w:r>
        <w:rPr/>
        <w:t>）将尚未到期的持有至到期投资重分类为可供出售金融资产的，持有意图或能力发生改变的依据：</w:t>
      </w:r>
    </w:p>
    <w:p>
      <w:pPr>
        <w:spacing w:line="240" w:lineRule="auto" w:before="13"/>
        <w:rPr>
          <w:rFonts w:ascii="宋体" w:hAnsi="宋体" w:cs="宋体" w:eastAsia="宋体" w:hint="default"/>
          <w:sz w:val="13"/>
          <w:szCs w:val="13"/>
        </w:rPr>
      </w:pPr>
    </w:p>
    <w:p>
      <w:pPr>
        <w:pStyle w:val="BodyText"/>
        <w:spacing w:line="316" w:lineRule="auto"/>
        <w:ind w:left="1133" w:right="1132"/>
        <w:jc w:val="both"/>
      </w:pPr>
      <w:r>
        <w:rPr>
          <w:spacing w:val="-2"/>
        </w:rPr>
        <w:t>因持有至到期投资部分出售或重分类的金额较大，且不属于企业会计准则所允许的例外情况，使该投资的剩余部分不再适合</w:t>
      </w:r>
      <w:r>
        <w:rPr>
          <w:spacing w:val="-64"/>
        </w:rPr>
        <w:t> </w:t>
      </w:r>
      <w:r>
        <w:rPr>
          <w:spacing w:val="-64"/>
        </w:rPr>
      </w:r>
      <w:r>
        <w:rPr/>
        <w:t>划分为持有至到期投资的，公司将该投资的剩余部分重分类为可供出售金融资产，并以公允价值进行后续计量。</w:t>
      </w:r>
    </w:p>
    <w:p>
      <w:pPr>
        <w:pStyle w:val="BodyText"/>
        <w:spacing w:line="316" w:lineRule="auto" w:before="139"/>
        <w:ind w:left="1133" w:right="1132"/>
        <w:jc w:val="both"/>
      </w:pPr>
      <w:r>
        <w:rPr>
          <w:spacing w:val="-2"/>
        </w:rPr>
        <w:t>重分类日，该投资剩余部分的账面价值与其公允价值之间的差额计入所有者权益，在该可供出售金融资产发生减值或终止确</w:t>
      </w:r>
      <w:r>
        <w:rPr>
          <w:spacing w:val="-64"/>
        </w:rPr>
        <w:t> </w:t>
      </w:r>
      <w:r>
        <w:rPr>
          <w:spacing w:val="-64"/>
        </w:rPr>
      </w:r>
      <w:r>
        <w:rPr/>
        <w:t>认时转出，计入当期损益。</w:t>
      </w:r>
    </w:p>
    <w:p>
      <w:pPr>
        <w:spacing w:line="240" w:lineRule="auto" w:before="7"/>
        <w:rPr>
          <w:rFonts w:ascii="宋体" w:hAnsi="宋体" w:cs="宋体" w:eastAsia="宋体" w:hint="default"/>
          <w:sz w:val="22"/>
          <w:szCs w:val="22"/>
        </w:rPr>
      </w:pPr>
    </w:p>
    <w:p>
      <w:pPr>
        <w:pStyle w:val="Heading3"/>
        <w:spacing w:line="240" w:lineRule="auto"/>
        <w:ind w:left="1133" w:right="0"/>
        <w:jc w:val="both"/>
        <w:rPr>
          <w:b w:val="0"/>
          <w:bCs w:val="0"/>
        </w:rPr>
      </w:pPr>
      <w:bookmarkStart w:name="11、应收款项" w:id="179"/>
      <w:bookmarkEnd w:id="179"/>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单项金额重大并单独计提坏账准备的应收款项" w:id="180"/>
      <w:bookmarkEnd w:id="18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w:t>
            </w:r>
          </w:p>
        </w:tc>
      </w:tr>
      <w:tr>
        <w:trPr>
          <w:trHeight w:val="258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期末对单项金额重大的应收款项单独进行减值测试，如有 客观证据表明其发生了减值的，当应收款项的预计未来现 金流量（不包括尚未发生的未来信用损失）按原实际利率 折现的现值低于其账面价值时，将该应收款项的账面价值 减记至该现值，减记的金额确认为资产减值损失，计提坏 账准备。单独测试未发生减值的单项金额重大应收款项， 包括在具有类似信用风险特征的应收款项组合中，以账龄 为信用风险组合计提坏账准备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1"/>
      <w:bookmarkEnd w:id="18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6"/>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57" w:lineRule="auto" w:before="117"/>
        <w:ind w:right="7512"/>
        <w:jc w:val="left"/>
      </w:pPr>
      <w:r>
        <w:rPr/>
        <w:t>□ 适用 √ 不适用 组合中，采用其他方法计提坏账准备的：</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单项金额不重大但单独计提坏账准备的应收款项" w:id="182"/>
      <w:bookmarkEnd w:id="18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期末有客观证据表明应收款项发生减值</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当应收款项的预计未来现金流量（不包括尚未发生的未来 信用损失）按原实际利率折现的现值低于其账面价值时， 将该应收款项的账面价值减记至该现值，减记的金额确认 为资产减值损失，计提坏账准备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3"/>
      <w:bookmarkEnd w:id="183"/>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439" w:lineRule="auto" w:before="108"/>
        <w:ind w:right="4632"/>
        <w:jc w:val="left"/>
      </w:pPr>
      <w:r>
        <w:rPr/>
        <w:t>（</w:t>
      </w:r>
      <w:r>
        <w:rPr>
          <w:rFonts w:ascii="宋体" w:hAnsi="宋体" w:cs="宋体" w:eastAsia="宋体" w:hint="default"/>
        </w:rPr>
        <w:t>1</w:t>
      </w:r>
      <w:r>
        <w:rPr/>
        <w:t>）存货的分类 存货分为：原材料、包装物、低值易耗品、在产品、库存商品和发出商品等。</w:t>
      </w:r>
    </w:p>
    <w:p>
      <w:pPr>
        <w:pStyle w:val="BodyText"/>
        <w:spacing w:line="439" w:lineRule="auto" w:before="47"/>
        <w:ind w:right="3552"/>
        <w:jc w:val="left"/>
      </w:pPr>
      <w:r>
        <w:rPr/>
        <w:t>（</w:t>
      </w:r>
      <w:r>
        <w:rPr>
          <w:rFonts w:ascii="宋体" w:hAnsi="宋体" w:cs="宋体" w:eastAsia="宋体" w:hint="default"/>
        </w:rPr>
        <w:t>2</w:t>
      </w:r>
      <w:r>
        <w:rPr/>
        <w:t>）存货的核算 购入原材料、包装物、低值易耗品等按实际成本入账，发出时的成本采用加权平均法核算。</w:t>
      </w:r>
    </w:p>
    <w:p>
      <w:pPr>
        <w:pStyle w:val="BodyText"/>
        <w:spacing w:line="316" w:lineRule="auto" w:before="47"/>
        <w:ind w:left="1133" w:right="0"/>
        <w:jc w:val="left"/>
      </w:pPr>
      <w:r>
        <w:rPr>
          <w:spacing w:val="-2"/>
        </w:rPr>
        <w:t>（</w:t>
      </w:r>
      <w:r>
        <w:rPr>
          <w:rFonts w:ascii="宋体" w:hAnsi="宋体" w:cs="宋体" w:eastAsia="宋体" w:hint="default"/>
          <w:spacing w:val="-2"/>
        </w:rPr>
        <w:t>3</w:t>
      </w:r>
      <w:r>
        <w:rPr>
          <w:spacing w:val="-2"/>
        </w:rPr>
        <w:t>）存货可变现净值的确定依据及存货跌价准备的计提方法：公司于每年中期期末及期末在对存货进行全面盘点的基础上，</w:t>
      </w:r>
      <w:r>
        <w:rPr>
          <w:spacing w:val="-62"/>
        </w:rPr>
        <w:t> </w:t>
      </w:r>
      <w:r>
        <w:rPr>
          <w:spacing w:val="-62"/>
        </w:rPr>
      </w:r>
      <w:r>
        <w:rPr/>
        <w:t>对遭受损失，全部或部分陈旧过时或销售价格低于成本的存货，根据存货成本与可变现净值孰低计量。</w:t>
      </w:r>
    </w:p>
    <w:p>
      <w:pPr>
        <w:pStyle w:val="BodyText"/>
        <w:spacing w:line="316" w:lineRule="auto" w:before="139"/>
        <w:ind w:left="1133" w:right="0"/>
        <w:jc w:val="left"/>
      </w:pPr>
      <w:r>
        <w:rPr>
          <w:spacing w:val="-2"/>
        </w:rPr>
        <w:t>存货跌价准备按单个存货项目的成本与可变现净值计量，但如果某些存货与在同一地区生产和销售的产品系列相关、具有相</w:t>
      </w:r>
      <w:r>
        <w:rPr>
          <w:spacing w:val="-64"/>
        </w:rPr>
        <w:t> </w:t>
      </w:r>
      <w:r>
        <w:rPr>
          <w:spacing w:val="-64"/>
        </w:rPr>
      </w:r>
      <w:r>
        <w:rPr>
          <w:spacing w:val="-4"/>
        </w:rPr>
        <w:t>同或类似最终用途或目的，且难以与其他项目分开计量，可以合并计量成本与可变现净值；对于数量繁多、单价较低的存货，</w:t>
      </w:r>
      <w:r>
        <w:rPr>
          <w:spacing w:val="-46"/>
        </w:rPr>
        <w:t> </w:t>
      </w:r>
      <w:r>
        <w:rPr>
          <w:spacing w:val="-46"/>
        </w:rPr>
      </w:r>
      <w:r>
        <w:rPr/>
        <w:t>可以按照存货类别计量成本与可变现净值。</w:t>
      </w:r>
    </w:p>
    <w:p>
      <w:pPr>
        <w:pStyle w:val="BodyText"/>
        <w:spacing w:line="319" w:lineRule="auto" w:before="139"/>
        <w:ind w:left="1133" w:right="1132"/>
        <w:jc w:val="both"/>
      </w:pPr>
      <w:r>
        <w:rPr>
          <w:spacing w:val="-2"/>
        </w:rPr>
        <w:t>可直接用于出售的存货，其可变现净值按该等存货的估计售价减去估计的销售费用和相关税费后的金额确定；用于生产而持</w:t>
      </w:r>
      <w:r>
        <w:rPr>
          <w:spacing w:val="-64"/>
        </w:rPr>
        <w:t> </w:t>
      </w:r>
      <w:r>
        <w:rPr>
          <w:spacing w:val="-64"/>
        </w:rPr>
      </w:r>
      <w:r>
        <w:rPr>
          <w:spacing w:val="-2"/>
        </w:rPr>
        <w:t>有的存货，其可变现净值按所生产的产成品的估计售价减去至完工时估计将要发生的成本、估计的销售费用和相关税费后的</w:t>
      </w:r>
      <w:r>
        <w:rPr>
          <w:spacing w:val="-64"/>
        </w:rPr>
        <w:t> </w:t>
      </w:r>
      <w:r>
        <w:rPr>
          <w:spacing w:val="-64"/>
        </w:rPr>
      </w:r>
      <w:r>
        <w:rPr>
          <w:spacing w:val="-2"/>
        </w:rPr>
        <w:t>金额确定；为执行销售合同或者劳务合同而持有的存货，其可变现净值以合同价格为基础计算；企业持有存货的数量多于销</w:t>
      </w:r>
      <w:r>
        <w:rPr>
          <w:spacing w:val="-66"/>
        </w:rPr>
        <w:t> </w:t>
      </w:r>
      <w:r>
        <w:rPr>
          <w:spacing w:val="-66"/>
        </w:rPr>
      </w:r>
      <w:r>
        <w:rPr>
          <w:spacing w:val="-2"/>
        </w:rPr>
        <w:t>售合同订购数量的，超出部分的存货可变现净值以一般销售价格为基础计算。对于存货因遭受毁损、全部或部分陈旧过时或</w:t>
      </w:r>
      <w:r>
        <w:rPr>
          <w:spacing w:val="-66"/>
        </w:rPr>
        <w:t> </w:t>
      </w:r>
      <w:r>
        <w:rPr>
          <w:spacing w:val="-66"/>
        </w:rPr>
      </w:r>
      <w:r>
        <w:rPr/>
        <w:t>销售价格低于成本等原因，预计其成本不可收回的部分，提取存货跌价准备。</w:t>
      </w:r>
    </w:p>
    <w:p>
      <w:pPr>
        <w:spacing w:after="0" w:line="319"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both"/>
      </w:pPr>
      <w:r>
        <w:rPr/>
        <w:t>（</w:t>
      </w:r>
      <w:r>
        <w:rPr>
          <w:rFonts w:ascii="宋体" w:hAnsi="宋体" w:cs="宋体" w:eastAsia="宋体" w:hint="default"/>
        </w:rPr>
        <w:t>4</w:t>
      </w:r>
      <w:r>
        <w:rPr/>
        <w:t>）存货的盘存制度</w:t>
      </w:r>
    </w:p>
    <w:p>
      <w:pPr>
        <w:spacing w:line="240" w:lineRule="auto" w:before="0"/>
        <w:rPr>
          <w:rFonts w:ascii="宋体" w:hAnsi="宋体" w:cs="宋体" w:eastAsia="宋体" w:hint="default"/>
          <w:sz w:val="15"/>
          <w:szCs w:val="15"/>
        </w:rPr>
      </w:pPr>
    </w:p>
    <w:p>
      <w:pPr>
        <w:pStyle w:val="BodyText"/>
        <w:spacing w:line="316" w:lineRule="auto"/>
        <w:ind w:right="1118"/>
        <w:jc w:val="left"/>
      </w:pPr>
      <w:r>
        <w:rPr>
          <w:spacing w:val="-2"/>
        </w:rPr>
        <w:t>采用永续盘存制。存货定期盘点，盘点结果如果与账面记录不符，于期末前查明原因，并根据企业的管理权限，在期末结账</w:t>
      </w:r>
      <w:r>
        <w:rPr>
          <w:spacing w:val="-66"/>
        </w:rPr>
        <w:t> </w:t>
      </w:r>
      <w:r>
        <w:rPr>
          <w:spacing w:val="-66"/>
        </w:rPr>
      </w:r>
      <w:r>
        <w:rPr/>
        <w:t>前处理完毕。</w:t>
      </w:r>
    </w:p>
    <w:p>
      <w:pPr>
        <w:pStyle w:val="BodyText"/>
        <w:spacing w:line="439" w:lineRule="auto" w:before="139"/>
        <w:ind w:right="8052"/>
        <w:jc w:val="left"/>
      </w:pPr>
      <w:r>
        <w:rPr/>
        <w:t>（</w:t>
      </w:r>
      <w:r>
        <w:rPr>
          <w:rFonts w:ascii="宋体" w:hAnsi="宋体" w:cs="宋体" w:eastAsia="宋体" w:hint="default"/>
        </w:rPr>
        <w:t>5</w:t>
      </w:r>
      <w:r>
        <w:rPr/>
        <w:t>）低值易耗品的摊销方法： 低值易耗品采用一次摊销法摊销。</w:t>
      </w:r>
    </w:p>
    <w:p>
      <w:pPr>
        <w:pStyle w:val="BodyText"/>
        <w:spacing w:line="316" w:lineRule="auto" w:before="47"/>
        <w:ind w:right="8412"/>
        <w:jc w:val="left"/>
      </w:pPr>
      <w:r>
        <w:rPr/>
        <w:t>（</w:t>
      </w:r>
      <w:r>
        <w:rPr>
          <w:rFonts w:ascii="宋体" w:hAnsi="宋体" w:cs="宋体" w:eastAsia="宋体" w:hint="default"/>
        </w:rPr>
        <w:t>6</w:t>
      </w:r>
      <w:r>
        <w:rPr/>
        <w:t>）包装物的摊销方法： 包装物采用一次摊销法摊销。</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3、持有待售资产" w:id="184"/>
      <w:bookmarkEnd w:id="184"/>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公司在存在同时满足下列条件的非流动资产或处置组时划分为持有待售类别：</w:t>
      </w:r>
    </w:p>
    <w:p>
      <w:pPr>
        <w:spacing w:line="240" w:lineRule="auto" w:before="0"/>
        <w:rPr>
          <w:rFonts w:ascii="宋体" w:hAnsi="宋体" w:cs="宋体" w:eastAsia="宋体" w:hint="default"/>
          <w:sz w:val="15"/>
          <w:szCs w:val="15"/>
        </w:rPr>
      </w:pPr>
    </w:p>
    <w:p>
      <w:pPr>
        <w:pStyle w:val="BodyText"/>
        <w:spacing w:line="240" w:lineRule="auto"/>
        <w:ind w:left="1133" w:right="0"/>
        <w:jc w:val="both"/>
      </w:pPr>
      <w:r>
        <w:rPr/>
        <w:t>（</w:t>
      </w:r>
      <w:r>
        <w:rPr>
          <w:rFonts w:ascii="宋体" w:hAnsi="宋体" w:cs="宋体" w:eastAsia="宋体" w:hint="default"/>
        </w:rPr>
        <w:t>1</w:t>
      </w:r>
      <w:r>
        <w:rPr/>
        <w:t>）根据类似交易中出售此类资产或处置组的惯例，在当前状况下即可立即出售；</w:t>
      </w:r>
    </w:p>
    <w:p>
      <w:pPr>
        <w:spacing w:line="240" w:lineRule="auto" w:before="0"/>
        <w:rPr>
          <w:rFonts w:ascii="宋体" w:hAnsi="宋体" w:cs="宋体" w:eastAsia="宋体" w:hint="default"/>
          <w:sz w:val="15"/>
          <w:szCs w:val="15"/>
        </w:rPr>
      </w:pPr>
    </w:p>
    <w:p>
      <w:pPr>
        <w:pStyle w:val="BodyText"/>
        <w:spacing w:line="316" w:lineRule="auto"/>
        <w:ind w:left="1133" w:right="1123"/>
        <w:jc w:val="left"/>
      </w:pPr>
      <w:r>
        <w:rPr/>
        <w:t>（</w:t>
      </w:r>
      <w:r>
        <w:rPr>
          <w:rFonts w:ascii="宋体" w:hAnsi="宋体" w:cs="宋体" w:eastAsia="宋体" w:hint="default"/>
        </w:rPr>
        <w:t>2</w:t>
      </w:r>
      <w:r>
        <w:rPr/>
        <w:t>）出售极可能发生，即本公司已经就一项出售计划作出决议且获得确定的购买承诺，预计出售将在一年内完成。有关规</w:t>
      </w:r>
      <w:r>
        <w:rPr>
          <w:spacing w:val="-83"/>
        </w:rPr>
        <w:t> </w:t>
      </w:r>
      <w:r>
        <w:rPr>
          <w:spacing w:val="-83"/>
        </w:rPr>
      </w:r>
      <w:r>
        <w:rPr/>
        <w:t>定要求本公司相关权力机构或者监管部门批准后方可出售的，已经获得批准。</w:t>
      </w:r>
    </w:p>
    <w:p>
      <w:pPr>
        <w:pStyle w:val="BodyText"/>
        <w:spacing w:line="316" w:lineRule="auto" w:before="139"/>
        <w:ind w:left="1133" w:right="0"/>
        <w:jc w:val="left"/>
      </w:pPr>
      <w:r>
        <w:rPr>
          <w:spacing w:val="-2"/>
        </w:rPr>
        <w:t>确定的购买承诺，是指企业与其他方签订的具有法律约束力的购买协议，该协议包含交易价格、时间和足够严厉的违约惩罚</w:t>
      </w:r>
      <w:r>
        <w:rPr>
          <w:spacing w:val="-66"/>
        </w:rPr>
        <w:t> </w:t>
      </w:r>
      <w:r>
        <w:rPr>
          <w:spacing w:val="-66"/>
        </w:rPr>
      </w:r>
      <w:r>
        <w:rPr/>
        <w:t>等重要条款，使协议出现重大调整或者撤销的可能性极小。</w:t>
      </w:r>
    </w:p>
    <w:p>
      <w:pPr>
        <w:pStyle w:val="BodyText"/>
        <w:spacing w:line="240" w:lineRule="auto" w:before="139"/>
        <w:ind w:right="0"/>
        <w:jc w:val="both"/>
      </w:pPr>
      <w:r>
        <w:rPr/>
        <w:t>终止经营是满足下列条件之一的已被公司处置或被公司划分为持有待售类别的、能够单独区分的组成部分：</w:t>
      </w:r>
    </w:p>
    <w:p>
      <w:pPr>
        <w:spacing w:line="240" w:lineRule="auto" w:before="0"/>
        <w:rPr>
          <w:rFonts w:ascii="宋体" w:hAnsi="宋体" w:cs="宋体" w:eastAsia="宋体" w:hint="default"/>
          <w:sz w:val="15"/>
          <w:szCs w:val="15"/>
        </w:rPr>
      </w:pPr>
    </w:p>
    <w:p>
      <w:pPr>
        <w:pStyle w:val="BodyText"/>
        <w:spacing w:line="240" w:lineRule="auto"/>
        <w:ind w:left="1133" w:right="0"/>
        <w:jc w:val="both"/>
      </w:pPr>
      <w:r>
        <w:rPr/>
        <w:t>（</w:t>
      </w:r>
      <w:r>
        <w:rPr>
          <w:rFonts w:ascii="宋体" w:hAnsi="宋体" w:cs="宋体" w:eastAsia="宋体" w:hint="default"/>
        </w:rPr>
        <w:t>1</w:t>
      </w:r>
      <w:r>
        <w:rPr/>
        <w:t>）该组成部分代表一项独立的主要业务或一个单独的主要经营地区；</w:t>
      </w:r>
    </w:p>
    <w:p>
      <w:pPr>
        <w:spacing w:line="240" w:lineRule="auto" w:before="1"/>
        <w:rPr>
          <w:rFonts w:ascii="宋体" w:hAnsi="宋体" w:cs="宋体" w:eastAsia="宋体" w:hint="default"/>
          <w:sz w:val="15"/>
          <w:szCs w:val="15"/>
        </w:rPr>
      </w:pPr>
    </w:p>
    <w:p>
      <w:pPr>
        <w:pStyle w:val="BodyText"/>
        <w:spacing w:line="240" w:lineRule="auto"/>
        <w:ind w:left="1133" w:right="0"/>
        <w:jc w:val="both"/>
      </w:pPr>
      <w:r>
        <w:rPr/>
        <w:t>（</w:t>
      </w:r>
      <w:r>
        <w:rPr>
          <w:rFonts w:ascii="宋体" w:hAnsi="宋体" w:cs="宋体" w:eastAsia="宋体" w:hint="default"/>
        </w:rPr>
        <w:t>2</w:t>
      </w:r>
      <w:r>
        <w:rPr/>
        <w:t>）该组成部分是拟对一项独立的主要业务或一个单独的主要经营地区进行处置的一项相关联计划的一部分；</w:t>
      </w:r>
    </w:p>
    <w:p>
      <w:pPr>
        <w:pStyle w:val="BodyText"/>
        <w:spacing w:line="240" w:lineRule="auto" w:before="76"/>
        <w:ind w:left="1133" w:right="0"/>
        <w:jc w:val="both"/>
      </w:pPr>
      <w:r>
        <w:rPr/>
        <w:t>（</w:t>
      </w:r>
      <w:r>
        <w:rPr>
          <w:rFonts w:ascii="宋体" w:hAnsi="宋体" w:cs="宋体" w:eastAsia="宋体" w:hint="default"/>
        </w:rPr>
        <w:t>3</w:t>
      </w:r>
      <w:r>
        <w:rPr/>
        <w:t>）该组成部分是专为转售而取得的子公司。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both"/>
        <w:rPr>
          <w:b w:val="0"/>
          <w:bCs w:val="0"/>
        </w:rPr>
      </w:pPr>
      <w:bookmarkStart w:name="14、长期股权投资" w:id="185"/>
      <w:bookmarkEnd w:id="18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right="4812"/>
        <w:jc w:val="left"/>
      </w:pPr>
      <w:r>
        <w:rPr/>
        <w:t>（</w:t>
      </w:r>
      <w:r>
        <w:rPr>
          <w:rFonts w:ascii="宋体" w:hAnsi="宋体" w:cs="宋体" w:eastAsia="宋体" w:hint="default"/>
        </w:rPr>
        <w:t>1</w:t>
      </w:r>
      <w:r>
        <w:rPr/>
        <w:t>）长期股权投资的分类 公司的长期股权投资包括对子公司的投资和对合营企业、联营企业的投资。</w:t>
      </w:r>
    </w:p>
    <w:p>
      <w:pPr>
        <w:pStyle w:val="BodyText"/>
        <w:spacing w:line="240" w:lineRule="auto" w:before="47"/>
        <w:ind w:left="1133" w:right="0"/>
        <w:jc w:val="both"/>
      </w:pPr>
      <w:r>
        <w:rPr/>
        <w:t>（</w:t>
      </w:r>
      <w:r>
        <w:rPr>
          <w:rFonts w:ascii="宋体" w:hAnsi="宋体" w:cs="宋体" w:eastAsia="宋体" w:hint="default"/>
        </w:rPr>
        <w:t>2</w:t>
      </w:r>
      <w:r>
        <w:rPr/>
        <w:t>）投资成本的确定</w:t>
      </w:r>
    </w:p>
    <w:p>
      <w:pPr>
        <w:spacing w:line="240" w:lineRule="auto" w:before="0"/>
        <w:rPr>
          <w:rFonts w:ascii="宋体" w:hAnsi="宋体" w:cs="宋体" w:eastAsia="宋体" w:hint="default"/>
          <w:sz w:val="15"/>
          <w:szCs w:val="15"/>
        </w:rPr>
      </w:pPr>
    </w:p>
    <w:p>
      <w:pPr>
        <w:pStyle w:val="BodyText"/>
        <w:spacing w:line="316" w:lineRule="auto"/>
        <w:ind w:left="1133" w:right="1131"/>
        <w:jc w:val="both"/>
      </w:pPr>
      <w:r>
        <w:rPr>
          <w:spacing w:val="-2"/>
        </w:rPr>
        <w:t>①同一控制下的企业合并形成的，合并方以支付现金、转让非现金资产、承担债务或发行权益性证券作为合并对价的，在合</w:t>
      </w:r>
      <w:r>
        <w:rPr>
          <w:spacing w:val="-66"/>
        </w:rPr>
        <w:t> </w:t>
      </w:r>
      <w:r>
        <w:rPr>
          <w:spacing w:val="-66"/>
        </w:rPr>
      </w:r>
      <w:r>
        <w:rPr>
          <w:spacing w:val="-2"/>
        </w:rPr>
        <w:t>并日按照取得被合并方所有者权益在最终控制方合并财务报表中的账面价值的份额作为其初始投资成本。长期股权投资初始</w:t>
      </w:r>
      <w:r>
        <w:rPr>
          <w:spacing w:val="-64"/>
        </w:rPr>
        <w:t> </w:t>
      </w:r>
      <w:r>
        <w:rPr>
          <w:spacing w:val="-64"/>
        </w:rPr>
      </w:r>
      <w:r>
        <w:rPr>
          <w:spacing w:val="-2"/>
        </w:rPr>
        <w:t>投资成本与支付的现金、转让的非现金资产以及所承担债务账面价值之间的差额调整资本公积；资本公积不足冲减的，调整</w:t>
      </w:r>
      <w:r>
        <w:rPr>
          <w:spacing w:val="-66"/>
        </w:rPr>
        <w:t> </w:t>
      </w:r>
      <w:r>
        <w:rPr>
          <w:spacing w:val="-66"/>
        </w:rPr>
      </w:r>
      <w:r>
        <w:rPr/>
        <w:t>留存收益。</w:t>
      </w:r>
    </w:p>
    <w:p>
      <w:pPr>
        <w:pStyle w:val="BodyText"/>
        <w:spacing w:line="316" w:lineRule="auto" w:before="139"/>
        <w:ind w:left="1133" w:right="1131"/>
        <w:jc w:val="both"/>
      </w:pPr>
      <w:r>
        <w:rPr>
          <w:spacing w:val="-2"/>
        </w:rPr>
        <w:t>公司通过多次交易分步实现同一控制下企业合并形成的长期股权投资，在个别财务报表和合并财务报表中，将按持股比例享</w:t>
      </w:r>
      <w:r>
        <w:rPr>
          <w:spacing w:val="-64"/>
        </w:rPr>
        <w:t> </w:t>
      </w:r>
      <w:r>
        <w:rPr>
          <w:spacing w:val="-64"/>
        </w:rPr>
      </w:r>
      <w:r>
        <w:rPr>
          <w:spacing w:val="-2"/>
        </w:rPr>
        <w:t>有在合并日被合并方所有者权益账面价值的份额作为初始投资成本。合并日之前所持被合并方的股权投资账面价值加上合并</w:t>
      </w:r>
      <w:r>
        <w:rPr>
          <w:spacing w:val="-64"/>
        </w:rPr>
        <w:t> </w:t>
      </w:r>
      <w:r>
        <w:rPr>
          <w:spacing w:val="-64"/>
        </w:rPr>
      </w:r>
      <w:r>
        <w:rPr/>
        <w:t>日新增投资成本，与长期股权投资初始投资成本之间的差额调整资本公积；资本公积不足冲减的，调整留存收益。</w:t>
      </w:r>
    </w:p>
    <w:p>
      <w:pPr>
        <w:pStyle w:val="BodyText"/>
        <w:spacing w:line="316" w:lineRule="auto" w:before="139"/>
        <w:ind w:left="1133" w:right="1129"/>
        <w:jc w:val="both"/>
      </w:pPr>
      <w:r>
        <w:rPr>
          <w:spacing w:val="-2"/>
        </w:rPr>
        <w:t>②非同一控制下的企业合并形成的，在购买日按照支付的合并对价的公允价值作为其初始投资成本。公司通过多次交易分步</w:t>
      </w:r>
      <w:r>
        <w:rPr>
          <w:spacing w:val="-64"/>
        </w:rPr>
        <w:t> </w:t>
      </w:r>
      <w:r>
        <w:rPr>
          <w:spacing w:val="-64"/>
        </w:rPr>
      </w:r>
      <w:r>
        <w:rPr/>
        <w:t>实现非同一控制下企业合并形成的长期股权投资，区分个别财务报表和合并财务报表进行相关会计处理：</w:t>
      </w:r>
      <w:r>
        <w:rPr>
          <w:rFonts w:ascii="宋体" w:hAnsi="宋体" w:cs="宋体" w:eastAsia="宋体" w:hint="default"/>
        </w:rPr>
        <w:t>A</w:t>
      </w:r>
      <w:r>
        <w:rPr/>
        <w:t>、在个别财务报</w:t>
      </w:r>
      <w:r>
        <w:rPr>
          <w:spacing w:val="-81"/>
        </w:rPr>
        <w:t> </w:t>
      </w:r>
      <w:r>
        <w:rPr>
          <w:spacing w:val="-81"/>
        </w:rPr>
      </w:r>
      <w:r>
        <w:rPr>
          <w:spacing w:val="-2"/>
        </w:rPr>
        <w:t>表中，以购买日之前所持被购买方的股权投资的账面价值与购买日新增投资成本之和，作为该项投资的初始投资成本；购买</w:t>
      </w:r>
      <w:r>
        <w:rPr>
          <w:spacing w:val="-66"/>
        </w:rPr>
        <w:t> </w:t>
      </w:r>
      <w:r>
        <w:rPr>
          <w:spacing w:val="-66"/>
        </w:rPr>
      </w:r>
      <w:r>
        <w:rPr/>
        <w:t>日之前持有的被购买方的股权涉及其他综合收益的，在处置该项投资时将与其相关的其他综合收益转入当期投资收益。</w:t>
      </w:r>
      <w:r>
        <w:rPr>
          <w:rFonts w:ascii="宋体" w:hAnsi="宋体" w:cs="宋体" w:eastAsia="宋体" w:hint="default"/>
        </w:rPr>
        <w:t>B</w:t>
      </w:r>
      <w:r>
        <w:rPr/>
        <w:t>、</w:t>
      </w:r>
      <w:r>
        <w:rPr>
          <w:spacing w:val="-83"/>
        </w:rPr>
        <w:t> </w:t>
      </w:r>
      <w:r>
        <w:rPr>
          <w:spacing w:val="-2"/>
        </w:rPr>
        <w:t>在合并财务报表中，对于购买日之前持有的被购买方的股权，按照该股权在购买日的公允价值进行重新计量，公允价值与其</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0"/>
        <w:jc w:val="left"/>
      </w:pPr>
      <w:r>
        <w:rPr>
          <w:spacing w:val="-2"/>
        </w:rPr>
        <w:t>账面价值的差额计入当期投资收益；购买日之前持有的被购买方的股权涉及其他综合收益的，与其相关的其他综合收益转为</w:t>
      </w:r>
      <w:r>
        <w:rPr>
          <w:spacing w:val="-64"/>
        </w:rPr>
        <w:t> </w:t>
      </w:r>
      <w:r>
        <w:rPr>
          <w:spacing w:val="-64"/>
        </w:rPr>
      </w:r>
      <w:r>
        <w:rPr/>
        <w:t>购买日所属当期投资收益。</w:t>
      </w:r>
    </w:p>
    <w:p>
      <w:pPr>
        <w:pStyle w:val="BodyText"/>
        <w:spacing w:line="319" w:lineRule="auto" w:before="139"/>
        <w:ind w:right="1131"/>
        <w:jc w:val="both"/>
      </w:pPr>
      <w:r>
        <w:rPr>
          <w:spacing w:val="-2"/>
        </w:rPr>
        <w:t>③除企业合并形成以外的：以支付现金取得的长期股权投资，按照实际支付的购买价款作为投资成本。投资成本包括与取得</w:t>
      </w:r>
      <w:r>
        <w:rPr>
          <w:spacing w:val="-66"/>
        </w:rPr>
        <w:t> </w:t>
      </w:r>
      <w:r>
        <w:rPr>
          <w:spacing w:val="-66"/>
        </w:rPr>
      </w:r>
      <w:r>
        <w:rPr>
          <w:spacing w:val="-2"/>
        </w:rPr>
        <w:t>长期股权投资直接相关的费用、税金及其他必要支出；发行权益性证券取得的长期股权投资，按照发行权益性证券的公允价</w:t>
      </w:r>
      <w:r>
        <w:rPr>
          <w:spacing w:val="-66"/>
        </w:rPr>
        <w:t> </w:t>
      </w:r>
      <w:r>
        <w:rPr>
          <w:spacing w:val="-66"/>
        </w:rPr>
      </w:r>
      <w:r>
        <w:rPr>
          <w:spacing w:val="-2"/>
        </w:rPr>
        <w:t>值作为投资成本；通过非货币性资产交换（该项交换具有商业实质）取得的长期股权投资，其投资成本以该项投资的公允价</w:t>
      </w:r>
      <w:r>
        <w:rPr>
          <w:spacing w:val="-66"/>
        </w:rPr>
        <w:t> </w:t>
      </w:r>
      <w:r>
        <w:rPr>
          <w:spacing w:val="-66"/>
        </w:rPr>
      </w:r>
      <w:r>
        <w:rPr>
          <w:spacing w:val="-2"/>
        </w:rPr>
        <w:t>值和应支付的相关税费作为换入资产的成本；通过债务重组取得的长期股权投资，债权人将享有股份的公允价值确认为对债</w:t>
      </w:r>
      <w:r>
        <w:rPr>
          <w:spacing w:val="-64"/>
        </w:rPr>
        <w:t> </w:t>
      </w:r>
      <w:r>
        <w:rPr>
          <w:spacing w:val="-64"/>
        </w:rPr>
      </w:r>
      <w:r>
        <w:rPr/>
        <w:t>务人的投资。</w:t>
      </w:r>
    </w:p>
    <w:p>
      <w:pPr>
        <w:pStyle w:val="BodyText"/>
        <w:spacing w:line="439" w:lineRule="auto" w:before="137"/>
        <w:ind w:right="0"/>
        <w:jc w:val="left"/>
      </w:pPr>
      <w:r>
        <w:rPr/>
        <w:t>（</w:t>
      </w:r>
      <w:r>
        <w:rPr>
          <w:rFonts w:ascii="宋体" w:hAnsi="宋体" w:cs="宋体" w:eastAsia="宋体" w:hint="default"/>
        </w:rPr>
        <w:t>3</w:t>
      </w:r>
      <w:r>
        <w:rPr/>
        <w:t>）后续计量及损益确认方法 </w:t>
      </w:r>
      <w:r>
        <w:rPr>
          <w:spacing w:val="-4"/>
        </w:rPr>
        <w:t>对被投资单位能够实施控制的长期股权投资采用成本法核算；对具有共同控制、重大影响的长期股权投资，采用权益法核算。</w:t>
      </w:r>
    </w:p>
    <w:p>
      <w:pPr>
        <w:pStyle w:val="BodyText"/>
        <w:spacing w:line="240" w:lineRule="auto" w:before="47"/>
        <w:ind w:right="0"/>
        <w:jc w:val="both"/>
      </w:pPr>
      <w:r>
        <w:rPr/>
        <w:t>（</w:t>
      </w:r>
      <w:r>
        <w:rPr>
          <w:rFonts w:ascii="宋体" w:hAnsi="宋体" w:cs="宋体" w:eastAsia="宋体" w:hint="default"/>
        </w:rPr>
        <w:t>4</w:t>
      </w:r>
      <w:r>
        <w:rPr/>
        <w:t>）确定对被投资单位具有共同控制、重大影响的依据</w:t>
      </w:r>
    </w:p>
    <w:p>
      <w:pPr>
        <w:spacing w:line="240" w:lineRule="auto" w:before="0"/>
        <w:rPr>
          <w:rFonts w:ascii="宋体" w:hAnsi="宋体" w:cs="宋体" w:eastAsia="宋体" w:hint="default"/>
          <w:sz w:val="15"/>
          <w:szCs w:val="15"/>
        </w:rPr>
      </w:pPr>
    </w:p>
    <w:p>
      <w:pPr>
        <w:pStyle w:val="BodyText"/>
        <w:spacing w:line="316" w:lineRule="auto"/>
        <w:ind w:right="1118"/>
        <w:jc w:val="left"/>
      </w:pPr>
      <w:r>
        <w:rPr>
          <w:spacing w:val="-2"/>
        </w:rPr>
        <w:t>共同控制，是指按照相关约定对某项安排所共有的控制，并且该安排的相关活动必须经过分享控制权的参与方一致同意后才</w:t>
      </w:r>
      <w:r>
        <w:rPr>
          <w:spacing w:val="-64"/>
        </w:rPr>
        <w:t> </w:t>
      </w:r>
      <w:r>
        <w:rPr>
          <w:spacing w:val="-64"/>
        </w:rPr>
      </w:r>
      <w:r>
        <w:rPr/>
        <w:t>能决策。</w:t>
      </w:r>
    </w:p>
    <w:p>
      <w:pPr>
        <w:pStyle w:val="BodyText"/>
        <w:spacing w:line="316" w:lineRule="auto" w:before="139"/>
        <w:ind w:right="1118"/>
        <w:jc w:val="left"/>
      </w:pPr>
      <w:r>
        <w:rPr>
          <w:spacing w:val="-2"/>
        </w:rPr>
        <w:t>重大影响，是指对一个企业的财务和经营政策有参与决策的权力，但并不能够控制或者与其他方一起共同控制这些政策的制</w:t>
      </w:r>
      <w:r>
        <w:rPr>
          <w:spacing w:val="-64"/>
        </w:rPr>
        <w:t> </w:t>
      </w:r>
      <w:r>
        <w:rPr>
          <w:spacing w:val="-64"/>
        </w:rPr>
      </w:r>
      <w:r>
        <w:rPr/>
        <w:t>定。</w:t>
      </w:r>
    </w:p>
    <w:p>
      <w:pPr>
        <w:pStyle w:val="BodyText"/>
        <w:spacing w:line="439" w:lineRule="auto" w:before="139"/>
        <w:ind w:right="7620"/>
        <w:jc w:val="left"/>
      </w:pPr>
      <w:r>
        <w:rPr/>
        <w:t>（</w:t>
      </w:r>
      <w:r>
        <w:rPr>
          <w:rFonts w:ascii="宋体" w:hAnsi="宋体" w:cs="宋体" w:eastAsia="宋体" w:hint="default"/>
        </w:rPr>
        <w:t>5</w:t>
      </w:r>
      <w:r>
        <w:rPr/>
        <w:t>）减值测试方法及减值准备计提方法 详见本财务报表附注五</w:t>
      </w:r>
      <w:r>
        <w:rPr>
          <w:rFonts w:ascii="宋体" w:hAnsi="宋体" w:cs="宋体" w:eastAsia="宋体" w:hint="default"/>
        </w:rPr>
        <w:t>-20</w:t>
      </w:r>
      <w:r>
        <w:rPr/>
        <w:t>。</w:t>
      </w:r>
    </w:p>
    <w:p>
      <w:pPr>
        <w:pStyle w:val="BodyText"/>
        <w:spacing w:line="240" w:lineRule="auto" w:before="47"/>
        <w:ind w:right="0"/>
        <w:jc w:val="both"/>
      </w:pPr>
      <w:r>
        <w:rPr/>
        <w:t>（</w:t>
      </w:r>
      <w:r>
        <w:rPr>
          <w:rFonts w:ascii="宋体" w:hAnsi="宋体" w:cs="宋体" w:eastAsia="宋体" w:hint="default"/>
        </w:rPr>
        <w:t>6</w:t>
      </w:r>
      <w:r>
        <w:rPr/>
        <w:t>）确定对被投资单位具有共同控制、重大影响的依据</w:t>
      </w:r>
    </w:p>
    <w:p>
      <w:pPr>
        <w:spacing w:line="240" w:lineRule="auto" w:before="0"/>
        <w:rPr>
          <w:rFonts w:ascii="宋体" w:hAnsi="宋体" w:cs="宋体" w:eastAsia="宋体" w:hint="default"/>
          <w:sz w:val="15"/>
          <w:szCs w:val="15"/>
        </w:rPr>
      </w:pPr>
    </w:p>
    <w:p>
      <w:pPr>
        <w:pStyle w:val="BodyText"/>
        <w:spacing w:line="319" w:lineRule="auto"/>
        <w:ind w:left="1133" w:right="0"/>
        <w:jc w:val="left"/>
      </w:pPr>
      <w:r>
        <w:rPr>
          <w:spacing w:val="-2"/>
        </w:rPr>
        <w:t>如果本公司按照相关约定与其他参与方集体控制某项安排，并且对该安排回报具有重大影响的活动决策，需要经过分享控制</w:t>
      </w:r>
      <w:r>
        <w:rPr>
          <w:spacing w:val="-64"/>
        </w:rPr>
        <w:t> </w:t>
      </w:r>
      <w:r>
        <w:rPr>
          <w:spacing w:val="-64"/>
        </w:rPr>
      </w:r>
      <w:r>
        <w:rPr/>
        <w:t>权的参与方一致同意时才存在，则视为本公司与其他参与方共同控制某项安排，该安排即属于合营安排。</w:t>
      </w:r>
    </w:p>
    <w:p>
      <w:pPr>
        <w:pStyle w:val="BodyText"/>
        <w:spacing w:line="316" w:lineRule="auto" w:before="137"/>
        <w:ind w:left="1133" w:right="1033"/>
        <w:jc w:val="left"/>
      </w:pPr>
      <w:r>
        <w:rPr/>
        <w:t>合营安排通过单独主体达成的，根据相关约定判断本公司对该单独主体的净资产享有权利时，将该单独主体作为合营企业， </w:t>
      </w:r>
      <w:r>
        <w:rPr>
          <w:spacing w:val="-2"/>
        </w:rPr>
        <w:t>采用权益法核算。若根据相关约定判断本公司并非对该单独主体的净资产享有权利时，该单独主体作为共同经营，本公司确</w:t>
      </w:r>
      <w:r>
        <w:rPr>
          <w:spacing w:val="-66"/>
        </w:rPr>
        <w:t> </w:t>
      </w:r>
      <w:r>
        <w:rPr>
          <w:spacing w:val="-66"/>
        </w:rPr>
      </w:r>
      <w:r>
        <w:rPr/>
        <w:t>认与共同经营利益份额相关的项目，并按照相关企业会计准则的规定进行会计处理。 </w:t>
      </w:r>
      <w:r>
        <w:rPr>
          <w:spacing w:val="-2"/>
        </w:rPr>
        <w:t>重大影响，是指投资方对被投资单位的财务和经营政策有参与决策的权力，但并不能够控制或者与其他方一起共同控制这些</w:t>
      </w:r>
      <w:r>
        <w:rPr>
          <w:spacing w:val="-64"/>
        </w:rPr>
        <w:t> </w:t>
      </w:r>
      <w:r>
        <w:rPr>
          <w:spacing w:val="-64"/>
        </w:rPr>
      </w:r>
      <w:r>
        <w:rPr>
          <w:spacing w:val="-2"/>
        </w:rPr>
        <w:t>政策的制定。本公司通过以下一种或多种情形，并综合考虑所有事实和情况后，判断对被投资单位具有重大影响：①在被投</w:t>
      </w:r>
      <w:r>
        <w:rPr>
          <w:spacing w:val="-65"/>
        </w:rPr>
        <w:t> </w:t>
      </w:r>
      <w:r>
        <w:rPr>
          <w:spacing w:val="-65"/>
        </w:rPr>
      </w:r>
      <w:r>
        <w:rPr>
          <w:spacing w:val="-2"/>
        </w:rPr>
        <w:t>资单位的董事会或类似权力机构中派有代表；②参与被投资单位财务和经营政策制定过程；③与被投资单位之间发生重要交</w:t>
      </w:r>
      <w:r>
        <w:rPr>
          <w:spacing w:val="-65"/>
        </w:rPr>
        <w:t> </w:t>
      </w:r>
      <w:r>
        <w:rPr>
          <w:spacing w:val="-65"/>
        </w:rPr>
      </w:r>
      <w:r>
        <w:rPr/>
        <w:t>易；④向被投资单位派出管理人员；⑤向被投资单位提供关键技术资料。</w:t>
      </w:r>
    </w:p>
    <w:p>
      <w:pPr>
        <w:spacing w:line="240" w:lineRule="auto" w:before="7"/>
        <w:rPr>
          <w:rFonts w:ascii="宋体" w:hAnsi="宋体" w:cs="宋体" w:eastAsia="宋体" w:hint="default"/>
          <w:sz w:val="22"/>
          <w:szCs w:val="22"/>
        </w:rPr>
      </w:pPr>
    </w:p>
    <w:p>
      <w:pPr>
        <w:pStyle w:val="Heading3"/>
        <w:spacing w:line="240" w:lineRule="auto"/>
        <w:ind w:left="1133" w:right="0"/>
        <w:jc w:val="both"/>
        <w:rPr>
          <w:b w:val="0"/>
          <w:bCs w:val="0"/>
        </w:rPr>
      </w:pPr>
      <w:bookmarkStart w:name="15、投资性房地产" w:id="186"/>
      <w:bookmarkEnd w:id="18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316" w:lineRule="auto" w:before="105"/>
        <w:ind w:right="1131"/>
        <w:jc w:val="both"/>
      </w:pPr>
      <w:r>
        <w:rPr>
          <w:spacing w:val="-2"/>
        </w:rPr>
        <w:t>投资性房地产包括已出租的土地使用权、持有并准备增值后转让的土地使用权以及已出租的建筑物。当公司能够取得与投资</w:t>
      </w:r>
      <w:r>
        <w:rPr>
          <w:spacing w:val="-64"/>
        </w:rPr>
        <w:t> </w:t>
      </w:r>
      <w:r>
        <w:rPr>
          <w:spacing w:val="-64"/>
        </w:rPr>
      </w:r>
      <w:r>
        <w:rPr>
          <w:spacing w:val="-2"/>
        </w:rPr>
        <w:t>性房地产相关的租金收入或增值收益以及投资性房地产的成本能够可靠计量时，公司按购置或建造的实际支出对其进行初始</w:t>
      </w:r>
      <w:r>
        <w:rPr>
          <w:spacing w:val="-64"/>
        </w:rPr>
        <w:t> </w:t>
      </w:r>
      <w:r>
        <w:rPr>
          <w:spacing w:val="-64"/>
        </w:rPr>
      </w:r>
      <w:r>
        <w:rPr/>
        <w:t>计量。</w:t>
      </w:r>
    </w:p>
    <w:p>
      <w:pPr>
        <w:pStyle w:val="BodyText"/>
        <w:spacing w:line="316" w:lineRule="auto" w:before="139"/>
        <w:ind w:right="1131"/>
        <w:jc w:val="both"/>
      </w:pPr>
      <w:r>
        <w:rPr>
          <w:spacing w:val="-2"/>
        </w:rPr>
        <w:t>一般情况下，公司对投资性房地产的后续支出采用成本模式进行后续计量，按照固定资产或无形资产的会计政策，计提折旧</w:t>
      </w:r>
      <w:r>
        <w:rPr>
          <w:spacing w:val="-66"/>
        </w:rPr>
        <w:t> </w:t>
      </w:r>
      <w:r>
        <w:rPr>
          <w:spacing w:val="-66"/>
        </w:rPr>
      </w:r>
      <w:r>
        <w:rPr>
          <w:spacing w:val="-2"/>
        </w:rPr>
        <w:t>或进行摊销。资产负债表日，有迹象表明投资性房地产发生减值的，计提投资性房地产减值准备。投资性房地产减值损失一</w:t>
      </w:r>
      <w:r>
        <w:rPr>
          <w:spacing w:val="-66"/>
        </w:rPr>
        <w:t> </w:t>
      </w:r>
      <w:r>
        <w:rPr>
          <w:spacing w:val="-66"/>
        </w:rPr>
      </w:r>
      <w:r>
        <w:rPr/>
        <w:t>经确认，在以后会计期间不再转回。</w:t>
      </w:r>
    </w:p>
    <w:p>
      <w:pPr>
        <w:spacing w:after="0" w:line="316" w:lineRule="auto"/>
        <w:jc w:val="both"/>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16、固定资产" w:id="187"/>
      <w:bookmarkEnd w:id="18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使用年限超过一年以上的房屋建筑物、机械设备、运输设备以及其他与生产经营有关的设备、器具、工具等；单位价值在</w:t>
      </w:r>
    </w:p>
    <w:p>
      <w:pPr>
        <w:pStyle w:val="BodyText"/>
        <w:spacing w:line="240" w:lineRule="auto" w:before="77"/>
        <w:ind w:right="0"/>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元以上，并且使用期限超过两年的不属于生产经营主要设备的物品。</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15.83%-9.50%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3" w:right="4993"/>
        <w:jc w:val="left"/>
      </w:pPr>
      <w:r>
        <w:rPr/>
        <w:t>融资租赁是指实质上转移了与资产所有权有关的全部风险和报酬的租赁。 满足以下一项或数项标准的租赁，应当认定为融资租赁：</w:t>
      </w:r>
    </w:p>
    <w:p>
      <w:pPr>
        <w:pStyle w:val="BodyText"/>
        <w:spacing w:line="240" w:lineRule="auto" w:before="28"/>
        <w:ind w:right="0"/>
        <w:jc w:val="both"/>
      </w:pPr>
      <w:r>
        <w:rPr/>
        <w:t>①在租赁期届满时，租赁资产的所有权转移给承租人；</w:t>
      </w:r>
    </w:p>
    <w:p>
      <w:pPr>
        <w:pStyle w:val="BodyText"/>
        <w:spacing w:line="319" w:lineRule="auto" w:before="116"/>
        <w:ind w:right="0"/>
        <w:jc w:val="left"/>
      </w:pPr>
      <w:r>
        <w:rPr>
          <w:spacing w:val="-2"/>
        </w:rPr>
        <w:t>②承租人有购买租赁资产的选择权，所订立的购买价款预计将远低于行使选择权时租赁资产的公允价值，因而在租赁开始日</w:t>
      </w:r>
      <w:r>
        <w:rPr>
          <w:spacing w:val="-64"/>
        </w:rPr>
        <w:t> </w:t>
      </w:r>
      <w:r>
        <w:rPr>
          <w:spacing w:val="-64"/>
        </w:rPr>
      </w:r>
      <w:r>
        <w:rPr/>
        <w:t>就可以合理确定承租人将会行使这种选择权。</w:t>
      </w:r>
    </w:p>
    <w:p>
      <w:pPr>
        <w:pStyle w:val="BodyText"/>
        <w:spacing w:line="302" w:lineRule="auto" w:before="55"/>
        <w:ind w:right="1168"/>
        <w:jc w:val="left"/>
      </w:pPr>
      <w:r>
        <w:rPr/>
        <w:t>③即使资产的所有权不转移，但租赁期占租赁资产使用寿命的大部分，通常是租赁期大于、等于资产使用年限的</w:t>
      </w:r>
      <w:r>
        <w:rPr>
          <w:spacing w:val="-46"/>
        </w:rPr>
        <w:t> </w:t>
      </w:r>
      <w:r>
        <w:rPr>
          <w:rFonts w:ascii="Times New Roman" w:hAnsi="Times New Roman" w:cs="Times New Roman" w:eastAsia="Times New Roman" w:hint="default"/>
        </w:rPr>
        <w:t>75</w:t>
      </w:r>
      <w:r>
        <w:rPr/>
        <w:t>％，但 若标的物系在租赁开始日已使用期限达到可使用期限</w:t>
      </w:r>
      <w:r>
        <w:rPr>
          <w:spacing w:val="-45"/>
        </w:rPr>
        <w:t> </w:t>
      </w:r>
      <w:r>
        <w:rPr>
          <w:rFonts w:ascii="Times New Roman" w:hAnsi="Times New Roman" w:cs="Times New Roman" w:eastAsia="Times New Roman" w:hint="default"/>
        </w:rPr>
        <w:t>75%</w:t>
      </w:r>
      <w:r>
        <w:rPr/>
        <w:t>以上的旧资产则不适用此标准；</w:t>
      </w:r>
    </w:p>
    <w:p>
      <w:pPr>
        <w:pStyle w:val="BodyText"/>
        <w:spacing w:line="319" w:lineRule="auto" w:before="49"/>
        <w:ind w:right="0"/>
        <w:jc w:val="left"/>
      </w:pPr>
      <w:r>
        <w:rPr>
          <w:spacing w:val="-2"/>
        </w:rPr>
        <w:t>④承租人在租赁开始日的最低租赁付款额现值，几乎相当于租赁开始日租赁资产公允价值；出租人在租赁开始日的最低租赁</w:t>
      </w:r>
      <w:r>
        <w:rPr>
          <w:spacing w:val="-64"/>
        </w:rPr>
        <w:t> </w:t>
      </w:r>
      <w:r>
        <w:rPr>
          <w:spacing w:val="-64"/>
        </w:rPr>
      </w:r>
      <w:r>
        <w:rPr/>
        <w:t>收款额现值，几乎相当于租赁开始日租赁资产公允价值。通常是租赁最低付款额的现值大于、等于资产公允价值的</w:t>
      </w:r>
      <w:r>
        <w:rPr>
          <w:spacing w:val="-45"/>
        </w:rPr>
        <w:t> </w:t>
      </w:r>
      <w:r>
        <w:rPr>
          <w:rFonts w:ascii="Times New Roman" w:hAnsi="Times New Roman" w:cs="Times New Roman" w:eastAsia="Times New Roman" w:hint="default"/>
        </w:rPr>
        <w:t>90</w:t>
      </w:r>
      <w:r>
        <w:rPr/>
        <w:t>％；</w:t>
      </w:r>
    </w:p>
    <w:p>
      <w:pPr>
        <w:pStyle w:val="BodyText"/>
        <w:spacing w:line="357" w:lineRule="auto" w:before="38"/>
        <w:ind w:left="1133" w:right="5533"/>
        <w:jc w:val="left"/>
      </w:pPr>
      <w:r>
        <w:rPr/>
        <w:t>⑤租赁资产性质特殊，如果不作较大改造，只有承租人才能使用。 融资租入固定资产的计价方法</w:t>
      </w:r>
    </w:p>
    <w:p>
      <w:pPr>
        <w:pStyle w:val="BodyText"/>
        <w:spacing w:line="319" w:lineRule="auto" w:before="26"/>
        <w:ind w:left="1133" w:right="1132"/>
        <w:jc w:val="both"/>
      </w:pPr>
      <w:r>
        <w:rPr>
          <w:spacing w:val="-2"/>
        </w:rPr>
        <w:t>按照实质重于法律形式的要求，企业应将融资租入资产作为一项固定资产计价入账，同时确认相应的负债，并计提固定资产</w:t>
      </w:r>
      <w:r>
        <w:rPr>
          <w:spacing w:val="-66"/>
        </w:rPr>
        <w:t> </w:t>
      </w:r>
      <w:r>
        <w:rPr>
          <w:spacing w:val="-66"/>
        </w:rPr>
      </w:r>
      <w:r>
        <w:rPr>
          <w:spacing w:val="-2"/>
        </w:rPr>
        <w:t>的折旧。在租赁期开始日，承租人应当将租赁开始日租赁资产公允价值与最低租赁付款额现值两者中较低者作为租入资产的</w:t>
      </w:r>
      <w:r>
        <w:rPr>
          <w:spacing w:val="-64"/>
        </w:rPr>
        <w:t> </w:t>
      </w:r>
      <w:r>
        <w:rPr>
          <w:spacing w:val="-64"/>
        </w:rPr>
      </w:r>
      <w:r>
        <w:rPr>
          <w:spacing w:val="-2"/>
        </w:rPr>
        <w:t>入账价值；承租人在租赁谈判和签订租赁合同过程中发生的，可归属于租赁项目的手续费、律师费、差旅费、印花税等初始</w:t>
      </w:r>
      <w:r>
        <w:rPr>
          <w:spacing w:val="-66"/>
        </w:rPr>
        <w:t> </w:t>
      </w:r>
      <w:r>
        <w:rPr>
          <w:spacing w:val="-66"/>
        </w:rPr>
      </w:r>
      <w:r>
        <w:rPr/>
        <w:t>直接费用也计入资产的价值。</w:t>
      </w:r>
    </w:p>
    <w:p>
      <w:pPr>
        <w:spacing w:line="240" w:lineRule="auto" w:before="4"/>
        <w:rPr>
          <w:rFonts w:ascii="宋体" w:hAnsi="宋体" w:cs="宋体" w:eastAsia="宋体" w:hint="default"/>
          <w:sz w:val="22"/>
          <w:szCs w:val="22"/>
        </w:rPr>
      </w:pPr>
    </w:p>
    <w:p>
      <w:pPr>
        <w:pStyle w:val="Heading3"/>
        <w:spacing w:line="240" w:lineRule="auto"/>
        <w:ind w:left="1133" w:right="0"/>
        <w:jc w:val="both"/>
        <w:rPr>
          <w:b w:val="0"/>
          <w:bCs w:val="0"/>
        </w:rPr>
      </w:pPr>
      <w:bookmarkStart w:name="17、在建工程" w:id="191"/>
      <w:bookmarkEnd w:id="19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240" w:lineRule="auto" w:before="105"/>
        <w:ind w:right="0"/>
        <w:jc w:val="both"/>
      </w:pPr>
      <w:r>
        <w:rPr/>
        <w:t>（</w:t>
      </w:r>
      <w:r>
        <w:rPr>
          <w:rFonts w:ascii="宋体" w:hAnsi="宋体" w:cs="宋体" w:eastAsia="宋体" w:hint="default"/>
        </w:rPr>
        <w:t>1</w:t>
      </w:r>
      <w:r>
        <w:rPr/>
        <w:t>）在建工程的类别：公司在建工程包括建筑工程、安装工程、技术改造工程和大修理工程等。</w:t>
      </w:r>
    </w:p>
    <w:p>
      <w:pPr>
        <w:spacing w:line="240" w:lineRule="auto" w:before="0"/>
        <w:rPr>
          <w:rFonts w:ascii="宋体" w:hAnsi="宋体" w:cs="宋体" w:eastAsia="宋体" w:hint="default"/>
          <w:sz w:val="15"/>
          <w:szCs w:val="15"/>
        </w:rPr>
      </w:pPr>
    </w:p>
    <w:p>
      <w:pPr>
        <w:pStyle w:val="BodyText"/>
        <w:spacing w:line="316" w:lineRule="auto"/>
        <w:ind w:right="0"/>
        <w:jc w:val="left"/>
      </w:pPr>
      <w:r>
        <w:rPr>
          <w:spacing w:val="-2"/>
        </w:rPr>
        <w:t>（</w:t>
      </w:r>
      <w:r>
        <w:rPr>
          <w:rFonts w:ascii="宋体" w:hAnsi="宋体" w:cs="宋体" w:eastAsia="宋体" w:hint="default"/>
          <w:spacing w:val="-2"/>
        </w:rPr>
        <w:t>2</w:t>
      </w:r>
      <w:r>
        <w:rPr>
          <w:spacing w:val="-2"/>
        </w:rPr>
        <w:t>）在建工程的计量：在建工程按实际成本计价，实际成本由建造该项资产达到预定可使用状态前所发生的必要支出构成，</w:t>
      </w:r>
      <w:r>
        <w:rPr>
          <w:spacing w:val="-64"/>
        </w:rPr>
        <w:t> </w:t>
      </w:r>
      <w:r>
        <w:rPr>
          <w:spacing w:val="-64"/>
        </w:rPr>
      </w:r>
      <w:r>
        <w:rPr/>
        <w:t>包括所发生的直接建筑、安装成本及所借入款项的实际承担的利息支出、汇兑损益等。</w:t>
      </w:r>
    </w:p>
    <w:p>
      <w:pPr>
        <w:pStyle w:val="BodyText"/>
        <w:spacing w:line="240" w:lineRule="auto" w:before="139"/>
        <w:ind w:left="1133" w:right="0"/>
        <w:jc w:val="both"/>
      </w:pPr>
      <w:r>
        <w:rPr/>
        <w:t>（</w:t>
      </w:r>
      <w:r>
        <w:rPr>
          <w:rFonts w:ascii="宋体" w:hAnsi="宋体" w:cs="宋体" w:eastAsia="宋体" w:hint="default"/>
        </w:rPr>
        <w:t>3</w:t>
      </w:r>
      <w:r>
        <w:rPr/>
        <w:t>）在建工程结转为固定资产的时点：在建工程按各项工程所发生的实际支出核算，在达到预定可使用状态时转作固定资</w:t>
      </w:r>
    </w:p>
    <w:p>
      <w:pPr>
        <w:spacing w:after="0" w:line="240"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0"/>
        <w:jc w:val="left"/>
      </w:pPr>
      <w:r>
        <w:rPr>
          <w:spacing w:val="-4"/>
        </w:rPr>
        <w:t>产。所建造的固定资产已达到预定可使用状态，但尚未办理竣工决算手续的，自达到预定可使用状态之日起，根据工程预算、</w:t>
      </w:r>
      <w:r>
        <w:rPr>
          <w:spacing w:val="-46"/>
        </w:rPr>
        <w:t> </w:t>
      </w:r>
      <w:r>
        <w:rPr>
          <w:spacing w:val="-46"/>
        </w:rPr>
      </w:r>
      <w:r>
        <w:rPr>
          <w:spacing w:val="-2"/>
        </w:rPr>
        <w:t>造价或者工程实际成本等，按估计的价值转入固定资产，并计提固定资产的折旧，待办理了竣工决算手续后再对原估计值进</w:t>
      </w:r>
      <w:r>
        <w:rPr>
          <w:spacing w:val="-66"/>
        </w:rPr>
        <w:t> </w:t>
      </w:r>
      <w:r>
        <w:rPr>
          <w:spacing w:val="-66"/>
        </w:rPr>
      </w:r>
      <w:r>
        <w:rPr>
          <w:spacing w:val="-2"/>
        </w:rPr>
        <w:t>行调整。购建或者生产符合资本化条件的资产而借入的专门借款或占用了一般借款发生的借款利息以及专门借款发生的辅助</w:t>
      </w:r>
      <w:r>
        <w:rPr>
          <w:spacing w:val="-64"/>
        </w:rPr>
        <w:t> </w:t>
      </w:r>
      <w:r>
        <w:rPr>
          <w:spacing w:val="-64"/>
        </w:rPr>
      </w:r>
      <w:r>
        <w:rPr/>
        <w:t>费用，在所购建或者生产的符合资本化条件的资产达到预定可使用或者可销售状态之前根据其发生额予以资本化。</w:t>
      </w:r>
    </w:p>
    <w:p>
      <w:pPr>
        <w:pStyle w:val="BodyText"/>
        <w:spacing w:line="439" w:lineRule="auto" w:before="139"/>
        <w:ind w:right="6720"/>
        <w:jc w:val="left"/>
      </w:pPr>
      <w:r>
        <w:rPr/>
        <w:t>（</w:t>
      </w:r>
      <w:r>
        <w:rPr>
          <w:rFonts w:ascii="宋体" w:hAnsi="宋体" w:cs="宋体" w:eastAsia="宋体" w:hint="default"/>
        </w:rPr>
        <w:t>4</w:t>
      </w:r>
      <w:r>
        <w:rPr/>
        <w:t>）在建工程的减值测试方法、减值准备计提方法 详见本财务报表附注五</w:t>
      </w:r>
      <w:r>
        <w:rPr>
          <w:rFonts w:ascii="宋体" w:hAnsi="宋体" w:cs="宋体" w:eastAsia="宋体" w:hint="default"/>
        </w:rPr>
        <w:t>-20</w:t>
      </w:r>
      <w:r>
        <w:rPr/>
        <w:t>。</w:t>
      </w:r>
    </w:p>
    <w:p>
      <w:pPr>
        <w:spacing w:line="240" w:lineRule="auto" w:before="7"/>
        <w:rPr>
          <w:rFonts w:ascii="宋体" w:hAnsi="宋体" w:cs="宋体" w:eastAsia="宋体" w:hint="default"/>
          <w:sz w:val="15"/>
          <w:szCs w:val="15"/>
        </w:rPr>
      </w:pPr>
    </w:p>
    <w:p>
      <w:pPr>
        <w:pStyle w:val="Heading3"/>
        <w:spacing w:line="240" w:lineRule="auto"/>
        <w:ind w:right="0"/>
        <w:jc w:val="both"/>
        <w:rPr>
          <w:b w:val="0"/>
          <w:bCs w:val="0"/>
        </w:rPr>
      </w:pPr>
      <w:bookmarkStart w:name="18、借款费用" w:id="192"/>
      <w:bookmarkEnd w:id="192"/>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w:t>
      </w:r>
      <w:r>
        <w:rPr>
          <w:rFonts w:ascii="宋体" w:hAnsi="宋体" w:cs="宋体" w:eastAsia="宋体" w:hint="default"/>
        </w:rPr>
        <w:t>1</w:t>
      </w:r>
      <w:r>
        <w:rPr/>
        <w:t>）借款费用资本化的确认原则</w:t>
      </w:r>
    </w:p>
    <w:p>
      <w:pPr>
        <w:spacing w:line="240" w:lineRule="auto" w:before="0"/>
        <w:rPr>
          <w:rFonts w:ascii="宋体" w:hAnsi="宋体" w:cs="宋体" w:eastAsia="宋体" w:hint="default"/>
          <w:sz w:val="15"/>
          <w:szCs w:val="15"/>
        </w:rPr>
      </w:pPr>
    </w:p>
    <w:p>
      <w:pPr>
        <w:pStyle w:val="BodyText"/>
        <w:spacing w:line="316" w:lineRule="auto"/>
        <w:ind w:left="1133" w:right="1131"/>
        <w:jc w:val="both"/>
      </w:pPr>
      <w:r>
        <w:rPr>
          <w:spacing w:val="-2"/>
        </w:rPr>
        <w:t>借款费用包括借款利息、折价或者溢价的摊销、辅助费用以及因外币借款而发生的汇兑差额等。公司发生的借款费用，可直</w:t>
      </w:r>
      <w:r>
        <w:rPr>
          <w:spacing w:val="-66"/>
        </w:rPr>
        <w:t> </w:t>
      </w:r>
      <w:r>
        <w:rPr>
          <w:spacing w:val="-66"/>
        </w:rPr>
      </w:r>
      <w:r>
        <w:rPr>
          <w:spacing w:val="-2"/>
        </w:rPr>
        <w:t>接归属于符合资本化条件的资产的购建或者生产的，予以资本化，计入相关资产成本；其他借款费用，在发生时根据其发生</w:t>
      </w:r>
      <w:r>
        <w:rPr>
          <w:spacing w:val="-66"/>
        </w:rPr>
        <w:t> </w:t>
      </w:r>
      <w:r>
        <w:rPr>
          <w:spacing w:val="-66"/>
        </w:rPr>
      </w:r>
      <w:r>
        <w:rPr/>
        <w:t>额确认为费用，计入当期损益。</w:t>
      </w:r>
    </w:p>
    <w:p>
      <w:pPr>
        <w:pStyle w:val="BodyText"/>
        <w:spacing w:line="316" w:lineRule="auto" w:before="139"/>
        <w:ind w:left="1133" w:right="1131"/>
        <w:jc w:val="both"/>
      </w:pPr>
      <w:r>
        <w:rPr>
          <w:spacing w:val="-2"/>
        </w:rPr>
        <w:t>借款费用同时满足下列条件的才能开始资本化：①资产支出已经发生，资产支出包括为购建或者生产符合资本化条件的资产</w:t>
      </w:r>
      <w:r>
        <w:rPr>
          <w:spacing w:val="-64"/>
        </w:rPr>
        <w:t> </w:t>
      </w:r>
      <w:r>
        <w:rPr>
          <w:spacing w:val="-64"/>
        </w:rPr>
      </w:r>
      <w:r>
        <w:rPr>
          <w:spacing w:val="-2"/>
        </w:rPr>
        <w:t>而以支付现金、转移非现金资产或者承担带息债务形式发生的支出；②借款费用已经发生；③为使资产达到预定可使用或者</w:t>
      </w:r>
      <w:r>
        <w:rPr>
          <w:spacing w:val="-67"/>
        </w:rPr>
        <w:t> </w:t>
      </w:r>
      <w:r>
        <w:rPr>
          <w:spacing w:val="-67"/>
        </w:rPr>
      </w:r>
      <w:r>
        <w:rPr/>
        <w:t>可销售状态所必要的购建或者生产活动已经开始。</w:t>
      </w:r>
    </w:p>
    <w:p>
      <w:pPr>
        <w:pStyle w:val="BodyText"/>
        <w:spacing w:line="240" w:lineRule="auto" w:before="139"/>
        <w:ind w:left="1133" w:right="0"/>
        <w:jc w:val="both"/>
      </w:pPr>
      <w:r>
        <w:rPr/>
        <w:t>（</w:t>
      </w:r>
      <w:r>
        <w:rPr>
          <w:rFonts w:ascii="宋体" w:hAnsi="宋体" w:cs="宋体" w:eastAsia="宋体" w:hint="default"/>
        </w:rPr>
        <w:t>2</w:t>
      </w:r>
      <w:r>
        <w:rPr/>
        <w:t>）借款费用资本化期间</w:t>
      </w:r>
    </w:p>
    <w:p>
      <w:pPr>
        <w:spacing w:line="240" w:lineRule="auto" w:before="0"/>
        <w:rPr>
          <w:rFonts w:ascii="宋体" w:hAnsi="宋体" w:cs="宋体" w:eastAsia="宋体" w:hint="default"/>
          <w:sz w:val="15"/>
          <w:szCs w:val="15"/>
        </w:rPr>
      </w:pPr>
    </w:p>
    <w:p>
      <w:pPr>
        <w:pStyle w:val="BodyText"/>
        <w:spacing w:line="319" w:lineRule="auto"/>
        <w:ind w:right="1132"/>
        <w:jc w:val="both"/>
      </w:pPr>
      <w:r>
        <w:rPr>
          <w:spacing w:val="-2"/>
        </w:rPr>
        <w:t>资本化期间，指从借款费用开始资本化时点到停止资本化时点的期间，借款费用暂停资本化的期间不包括在内。当购建或者</w:t>
      </w:r>
      <w:r>
        <w:rPr>
          <w:spacing w:val="-66"/>
        </w:rPr>
        <w:t> </w:t>
      </w:r>
      <w:r>
        <w:rPr>
          <w:spacing w:val="-66"/>
        </w:rPr>
      </w:r>
      <w:r>
        <w:rPr>
          <w:spacing w:val="-2"/>
        </w:rPr>
        <w:t>生产符合资本化条件的资产达到预定可使用或者可销售状态时，借款费用停止资本化。当购建或者生产符合资本化条件的资</w:t>
      </w:r>
      <w:r>
        <w:rPr>
          <w:spacing w:val="-64"/>
        </w:rPr>
        <w:t> </w:t>
      </w:r>
      <w:r>
        <w:rPr>
          <w:spacing w:val="-64"/>
        </w:rPr>
      </w:r>
      <w:r>
        <w:rPr>
          <w:spacing w:val="-2"/>
        </w:rPr>
        <w:t>产中部分项目分别完工且可单独使用时，该部分资产借款费用停止资本化。购建或者生产的资产的各部分分别完工，但必须</w:t>
      </w:r>
      <w:r>
        <w:rPr>
          <w:spacing w:val="-66"/>
        </w:rPr>
        <w:t> </w:t>
      </w:r>
      <w:r>
        <w:rPr>
          <w:spacing w:val="-66"/>
        </w:rPr>
      </w:r>
      <w:r>
        <w:rPr/>
        <w:t>等到整体完工后才可使用或可对外销售的，在该资产整体完工时停止借款费用资本化。</w:t>
      </w:r>
    </w:p>
    <w:p>
      <w:pPr>
        <w:pStyle w:val="BodyText"/>
        <w:spacing w:line="240" w:lineRule="auto" w:before="137"/>
        <w:ind w:left="1133" w:right="0"/>
        <w:jc w:val="both"/>
      </w:pPr>
      <w:r>
        <w:rPr/>
        <w:t>（</w:t>
      </w:r>
      <w:r>
        <w:rPr>
          <w:rFonts w:ascii="宋体" w:hAnsi="宋体" w:cs="宋体" w:eastAsia="宋体" w:hint="default"/>
        </w:rPr>
        <w:t>3</w:t>
      </w:r>
      <w:r>
        <w:rPr/>
        <w:t>）暂停资本化期间</w:t>
      </w:r>
    </w:p>
    <w:p>
      <w:pPr>
        <w:spacing w:line="240" w:lineRule="auto" w:before="0"/>
        <w:rPr>
          <w:rFonts w:ascii="宋体" w:hAnsi="宋体" w:cs="宋体" w:eastAsia="宋体" w:hint="default"/>
          <w:sz w:val="15"/>
          <w:szCs w:val="15"/>
        </w:rPr>
      </w:pPr>
    </w:p>
    <w:p>
      <w:pPr>
        <w:pStyle w:val="BodyText"/>
        <w:spacing w:line="316" w:lineRule="auto"/>
        <w:ind w:left="1133" w:right="1123"/>
        <w:jc w:val="left"/>
      </w:pPr>
      <w:r>
        <w:rPr/>
        <w:t>符合资本化条件的资产在购建或生产过程中发生的非正常中断、且中断时间连续超过</w:t>
      </w:r>
      <w:r>
        <w:rPr>
          <w:rFonts w:ascii="宋体" w:hAnsi="宋体" w:cs="宋体" w:eastAsia="宋体" w:hint="default"/>
        </w:rPr>
        <w:t>3</w:t>
      </w:r>
      <w:r>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BodyText"/>
        <w:spacing w:line="439" w:lineRule="auto" w:before="139"/>
        <w:ind w:right="2832"/>
        <w:jc w:val="left"/>
      </w:pPr>
      <w:r>
        <w:rPr/>
        <w:t>（</w:t>
      </w:r>
      <w:r>
        <w:rPr>
          <w:rFonts w:ascii="宋体" w:hAnsi="宋体" w:cs="宋体" w:eastAsia="宋体" w:hint="default"/>
        </w:rPr>
        <w:t>4</w:t>
      </w:r>
      <w:r>
        <w:rPr/>
        <w:t>）借款费用资本化金额的计算方法 在资本化期间内，每一会计期间的利息（包括折价或溢价的摊销）资本化金额，按照下列规定确定：</w:t>
      </w:r>
    </w:p>
    <w:p>
      <w:pPr>
        <w:pStyle w:val="BodyText"/>
        <w:spacing w:line="316" w:lineRule="auto" w:before="47"/>
        <w:ind w:right="0"/>
        <w:jc w:val="left"/>
      </w:pPr>
      <w:r>
        <w:rPr>
          <w:spacing w:val="-2"/>
        </w:rPr>
        <w:t>①为购建或者生产符合资本化条件的资产而借入专门借款的，以专门借款当期实际发生的利息费用，减去将尚未动用的借款</w:t>
      </w:r>
      <w:r>
        <w:rPr>
          <w:spacing w:val="-64"/>
        </w:rPr>
        <w:t> </w:t>
      </w:r>
      <w:r>
        <w:rPr>
          <w:spacing w:val="-64"/>
        </w:rPr>
      </w:r>
      <w:r>
        <w:rPr/>
        <w:t>资金存入银行取得的利息收入或进行暂时性投资取得的投资收益后的金额确定。</w:t>
      </w:r>
    </w:p>
    <w:p>
      <w:pPr>
        <w:pStyle w:val="BodyText"/>
        <w:spacing w:line="316" w:lineRule="auto" w:before="139"/>
        <w:ind w:right="1032"/>
        <w:jc w:val="left"/>
      </w:pPr>
      <w:r>
        <w:rPr>
          <w:spacing w:val="-2"/>
        </w:rPr>
        <w:t>②购建或者生产符合资本化条件的资产而占用了一般借款的，根据累计资产支出超过专门借款部分的资产支出加权平均数乘</w:t>
      </w:r>
      <w:r>
        <w:rPr>
          <w:spacing w:val="-64"/>
        </w:rPr>
        <w:t> </w:t>
      </w:r>
      <w:r>
        <w:rPr>
          <w:spacing w:val="-64"/>
        </w:rPr>
      </w:r>
      <w:r>
        <w:rPr/>
        <w:t>以所占用一般借款的资本化率，计算确定一般借款应予资本化的利息金额。资本化率根据一般借款加权平均利率计算确定。</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9、无形资产" w:id="193"/>
      <w:bookmarkEnd w:id="193"/>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计价方法、使用寿命、减值测试" w:id="194"/>
      <w:bookmarkEnd w:id="19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240" w:lineRule="auto" w:before="105"/>
        <w:ind w:right="0"/>
        <w:jc w:val="both"/>
      </w:pPr>
      <w:r>
        <w:rPr/>
        <w:t>（</w:t>
      </w:r>
      <w:r>
        <w:rPr>
          <w:rFonts w:ascii="宋体" w:hAnsi="宋体" w:cs="宋体" w:eastAsia="宋体" w:hint="default"/>
        </w:rPr>
        <w:t>1</w:t>
      </w:r>
      <w:r>
        <w:rPr/>
        <w:t>）无形资产计价：</w:t>
      </w:r>
    </w:p>
    <w:p>
      <w:pPr>
        <w:spacing w:after="0" w:line="240"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①外购无形资产的成本，按使该项资产达到预定用途所发生的实际支出计价。</w:t>
      </w:r>
    </w:p>
    <w:p>
      <w:pPr>
        <w:spacing w:line="240" w:lineRule="auto" w:before="0"/>
        <w:rPr>
          <w:rFonts w:ascii="宋体" w:hAnsi="宋体" w:cs="宋体" w:eastAsia="宋体" w:hint="default"/>
          <w:sz w:val="15"/>
          <w:szCs w:val="15"/>
        </w:rPr>
      </w:pPr>
    </w:p>
    <w:p>
      <w:pPr>
        <w:pStyle w:val="BodyText"/>
        <w:spacing w:line="240" w:lineRule="auto"/>
        <w:ind w:left="1133" w:right="0"/>
        <w:jc w:val="left"/>
      </w:pPr>
      <w:r>
        <w:rPr/>
        <w:t>②公司内部研究开发项目的支出，区分研究阶段支出与开发阶段支出。</w:t>
      </w:r>
    </w:p>
    <w:p>
      <w:pPr>
        <w:spacing w:line="240" w:lineRule="auto" w:before="0"/>
        <w:rPr>
          <w:rFonts w:ascii="宋体" w:hAnsi="宋体" w:cs="宋体" w:eastAsia="宋体" w:hint="default"/>
          <w:sz w:val="15"/>
          <w:szCs w:val="15"/>
        </w:rPr>
      </w:pPr>
    </w:p>
    <w:p>
      <w:pPr>
        <w:pStyle w:val="BodyText"/>
        <w:spacing w:line="240" w:lineRule="auto"/>
        <w:ind w:left="1133" w:right="0"/>
        <w:jc w:val="left"/>
      </w:pPr>
      <w:r>
        <w:rPr/>
        <w:t>③投资者投入的无形资产，按照投资合同或协议约定的价值作为成本，但合同或协议约定价值不公允的除外。</w:t>
      </w:r>
    </w:p>
    <w:p>
      <w:pPr>
        <w:spacing w:line="240" w:lineRule="auto" w:before="1"/>
        <w:rPr>
          <w:rFonts w:ascii="宋体" w:hAnsi="宋体" w:cs="宋体" w:eastAsia="宋体" w:hint="default"/>
          <w:sz w:val="15"/>
          <w:szCs w:val="15"/>
        </w:rPr>
      </w:pPr>
    </w:p>
    <w:p>
      <w:pPr>
        <w:pStyle w:val="BodyText"/>
        <w:spacing w:line="240" w:lineRule="auto"/>
        <w:ind w:left="1133" w:right="0"/>
        <w:jc w:val="left"/>
      </w:pPr>
      <w:r>
        <w:rPr/>
        <w:t>④接受债务人以非现金资产抵偿债务方式取得的无形资产</w:t>
      </w:r>
      <w:r>
        <w:rPr>
          <w:spacing w:val="-87"/>
        </w:rPr>
        <w:t>，</w:t>
      </w:r>
      <w:r>
        <w:rPr/>
        <w:t>或以应收债权换入无形资产的</w:t>
      </w:r>
      <w:r>
        <w:rPr>
          <w:spacing w:val="-87"/>
        </w:rPr>
        <w:t>，</w:t>
      </w:r>
      <w:r>
        <w:rPr/>
        <w:t>按换入无形资产的公允价值入账。</w:t>
      </w:r>
    </w:p>
    <w:p>
      <w:pPr>
        <w:spacing w:line="240" w:lineRule="auto" w:before="0"/>
        <w:rPr>
          <w:rFonts w:ascii="宋体" w:hAnsi="宋体" w:cs="宋体" w:eastAsia="宋体" w:hint="default"/>
          <w:sz w:val="15"/>
          <w:szCs w:val="15"/>
        </w:rPr>
      </w:pPr>
    </w:p>
    <w:p>
      <w:pPr>
        <w:pStyle w:val="BodyText"/>
        <w:spacing w:line="240" w:lineRule="auto"/>
        <w:ind w:right="0"/>
        <w:jc w:val="left"/>
      </w:pPr>
      <w:r>
        <w:rPr/>
        <w:t>⑤非货币性交易投入的无形资产，以该项无形资产的公允价值和应支付的相关税费作为入账成本。</w:t>
      </w:r>
    </w:p>
    <w:p>
      <w:pPr>
        <w:pStyle w:val="BodyText"/>
        <w:spacing w:line="316" w:lineRule="auto" w:before="76"/>
        <w:ind w:right="0"/>
        <w:jc w:val="left"/>
      </w:pPr>
      <w:r>
        <w:rPr>
          <w:spacing w:val="-2"/>
        </w:rPr>
        <w:t>⑥接受捐赠的无形资产，捐赠方提供了有关凭据的，按凭据上标明的金额加上应支付的相关税费计价；捐赠方没有提供有关</w:t>
      </w:r>
      <w:r>
        <w:rPr>
          <w:spacing w:val="-66"/>
        </w:rPr>
        <w:t> </w:t>
      </w:r>
      <w:r>
        <w:rPr>
          <w:spacing w:val="-66"/>
        </w:rPr>
      </w:r>
      <w:r>
        <w:rPr>
          <w:spacing w:val="-4"/>
        </w:rPr>
        <w:t>凭据的，如果同类或类似无形资产存在活跃市场的，按同类或类似无形资产的市场价格估计的金额，加上应支付的相关税费，</w:t>
      </w:r>
      <w:r>
        <w:rPr>
          <w:spacing w:val="-44"/>
        </w:rPr>
        <w:t> </w:t>
      </w:r>
      <w:r>
        <w:rPr>
          <w:spacing w:val="-44"/>
        </w:rPr>
      </w:r>
      <w:r>
        <w:rPr>
          <w:spacing w:val="-2"/>
        </w:rPr>
        <w:t>作为实际成本；如果同类或类似无形资产不存在活跃市场的，按接受捐赠的无形资产的预计未来现金流量现值，作为实际成</w:t>
      </w:r>
      <w:r>
        <w:rPr>
          <w:spacing w:val="-66"/>
        </w:rPr>
        <w:t> </w:t>
      </w:r>
      <w:r>
        <w:rPr>
          <w:spacing w:val="-66"/>
        </w:rPr>
      </w:r>
      <w:r>
        <w:rPr/>
        <w:t>本；自行开发并按法律程序申请取得的无形资产，按依法取得时发生的注册费，聘请律师费等费用，作为实际成本。</w:t>
      </w:r>
    </w:p>
    <w:p>
      <w:pPr>
        <w:pStyle w:val="BodyText"/>
        <w:spacing w:line="240" w:lineRule="auto" w:before="139"/>
        <w:ind w:left="1133" w:right="0"/>
        <w:jc w:val="left"/>
      </w:pPr>
      <w:r>
        <w:rPr/>
        <w:t>（</w:t>
      </w:r>
      <w:r>
        <w:rPr>
          <w:rFonts w:ascii="宋体" w:hAnsi="宋体" w:cs="宋体" w:eastAsia="宋体" w:hint="default"/>
        </w:rPr>
        <w:t>2</w:t>
      </w:r>
      <w:r>
        <w:rPr/>
        <w:t>）无形资产的后续计量</w:t>
      </w:r>
    </w:p>
    <w:p>
      <w:pPr>
        <w:spacing w:line="240" w:lineRule="auto" w:before="0"/>
        <w:rPr>
          <w:rFonts w:ascii="宋体" w:hAnsi="宋体" w:cs="宋体" w:eastAsia="宋体" w:hint="default"/>
          <w:sz w:val="15"/>
          <w:szCs w:val="15"/>
        </w:rPr>
      </w:pPr>
    </w:p>
    <w:p>
      <w:pPr>
        <w:pStyle w:val="BodyText"/>
        <w:spacing w:line="240" w:lineRule="auto"/>
        <w:ind w:right="0"/>
        <w:jc w:val="left"/>
      </w:pPr>
      <w:r>
        <w:rPr/>
        <w:t>①无形资产使用寿命的估计</w:t>
      </w:r>
    </w:p>
    <w:p>
      <w:pPr>
        <w:spacing w:line="240" w:lineRule="auto" w:before="0"/>
        <w:rPr>
          <w:rFonts w:ascii="宋体" w:hAnsi="宋体" w:cs="宋体" w:eastAsia="宋体" w:hint="default"/>
          <w:sz w:val="15"/>
          <w:szCs w:val="15"/>
        </w:rPr>
      </w:pPr>
    </w:p>
    <w:p>
      <w:pPr>
        <w:pStyle w:val="BodyText"/>
        <w:spacing w:line="316" w:lineRule="auto"/>
        <w:ind w:right="1032"/>
        <w:jc w:val="left"/>
      </w:pPr>
      <w:r>
        <w:rPr/>
        <w:t>公司拥有或者控制的来源于合同性权利或其他法定权利的无形资产，其使用寿命不超过合同性权利或其他法定权利的期限； 合同性权利或其他法定权利在到期时因续约等延续、且有证据表明公司续约不需要付出大额成本的，续约期计入使用寿命； </w:t>
      </w:r>
      <w:r>
        <w:rPr>
          <w:spacing w:val="-2"/>
        </w:rPr>
        <w:t>合同或法律没有规定使用寿命的，无形资产的使用寿命参考历史经验或聘请相关专家进行论证等确定。按照上述方法仍无法</w:t>
      </w:r>
      <w:r>
        <w:rPr>
          <w:spacing w:val="-64"/>
        </w:rPr>
        <w:t> </w:t>
      </w:r>
      <w:r>
        <w:rPr>
          <w:spacing w:val="-64"/>
        </w:rPr>
      </w:r>
      <w:r>
        <w:rPr/>
        <w:t>合理确定无形资产为公司带来经济利益期限的，公司将该项无形资产作为使用寿命不确定的无形资产。</w:t>
      </w:r>
    </w:p>
    <w:p>
      <w:pPr>
        <w:pStyle w:val="BodyText"/>
        <w:spacing w:line="439" w:lineRule="auto" w:before="139"/>
        <w:ind w:right="3372"/>
        <w:jc w:val="left"/>
      </w:pPr>
      <w:r>
        <w:rPr/>
        <w:t>②无形资产使用寿命的复核 公司至少于每年年度终了时，对无形资产的使用寿命及摊销方法进行复核。必要时进行调整。</w:t>
      </w:r>
    </w:p>
    <w:p>
      <w:pPr>
        <w:pStyle w:val="BodyText"/>
        <w:spacing w:line="240" w:lineRule="auto" w:before="47"/>
        <w:ind w:left="1133" w:right="0"/>
        <w:jc w:val="left"/>
      </w:pPr>
      <w:r>
        <w:rPr/>
        <w:t>③无形资产的摊销</w:t>
      </w:r>
    </w:p>
    <w:p>
      <w:pPr>
        <w:spacing w:line="240" w:lineRule="auto" w:before="1"/>
        <w:rPr>
          <w:rFonts w:ascii="宋体" w:hAnsi="宋体" w:cs="宋体" w:eastAsia="宋体" w:hint="default"/>
          <w:sz w:val="15"/>
          <w:szCs w:val="15"/>
        </w:rPr>
      </w:pPr>
    </w:p>
    <w:p>
      <w:pPr>
        <w:pStyle w:val="BodyText"/>
        <w:spacing w:line="316" w:lineRule="auto"/>
        <w:ind w:right="1131"/>
        <w:jc w:val="both"/>
      </w:pPr>
      <w:r>
        <w:rPr>
          <w:spacing w:val="-2"/>
        </w:rPr>
        <w:t>公司对于使用寿命有限的无形资产，自取得当月起在预计使用寿命内采用直线法分期摊销。使用寿命不确定的无形资产不摊</w:t>
      </w:r>
      <w:r>
        <w:rPr>
          <w:spacing w:val="-64"/>
        </w:rPr>
        <w:t> </w:t>
      </w:r>
      <w:r>
        <w:rPr>
          <w:spacing w:val="-64"/>
        </w:rPr>
      </w:r>
      <w:r>
        <w:rPr>
          <w:spacing w:val="-2"/>
        </w:rPr>
        <w:t>销，每年末均进行减值测试。无形资产的应摊销金额为其成本扣除预计残值后的金额。已计提减值准备的无形资产，还应扣</w:t>
      </w:r>
      <w:r>
        <w:rPr>
          <w:spacing w:val="-66"/>
        </w:rPr>
        <w:t> </w:t>
      </w:r>
      <w:r>
        <w:rPr>
          <w:spacing w:val="-66"/>
        </w:rPr>
      </w:r>
      <w:r>
        <w:rPr>
          <w:spacing w:val="-2"/>
        </w:rPr>
        <w:t>除已计提的无形资产减值准备累计金额。无形资产的摊销金额计入当期损益。使用寿命不确定的无形资产不摊销，期末进行</w:t>
      </w:r>
      <w:r>
        <w:rPr>
          <w:spacing w:val="-66"/>
        </w:rPr>
        <w:t> </w:t>
      </w:r>
      <w:r>
        <w:rPr>
          <w:spacing w:val="-66"/>
        </w:rPr>
      </w:r>
      <w:r>
        <w:rPr/>
        <w:t>减值测试。</w:t>
      </w:r>
    </w:p>
    <w:p>
      <w:pPr>
        <w:pStyle w:val="BodyText"/>
        <w:spacing w:line="439" w:lineRule="auto" w:before="139"/>
        <w:ind w:right="8520"/>
        <w:jc w:val="left"/>
      </w:pPr>
      <w:r>
        <w:rPr/>
        <w:t>（</w:t>
      </w:r>
      <w:r>
        <w:rPr>
          <w:rFonts w:ascii="宋体" w:hAnsi="宋体" w:cs="宋体" w:eastAsia="宋体" w:hint="default"/>
        </w:rPr>
        <w:t>3</w:t>
      </w:r>
      <w:r>
        <w:rPr/>
        <w:t>）无形资产减值准备 详见本财务报表附注五</w:t>
      </w:r>
      <w:r>
        <w:rPr>
          <w:rFonts w:ascii="宋体" w:hAnsi="宋体" w:cs="宋体" w:eastAsia="宋体" w:hint="default"/>
        </w:rPr>
        <w:t>-20</w:t>
      </w:r>
      <w:r>
        <w:rPr/>
        <w:t>。</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内部研究开发支出会计政策" w:id="195"/>
      <w:bookmarkEnd w:id="1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w:t>
      </w:r>
      <w:r>
        <w:rPr>
          <w:rFonts w:ascii="宋体" w:hAnsi="宋体" w:cs="宋体" w:eastAsia="宋体" w:hint="default"/>
        </w:rPr>
        <w:t>1</w:t>
      </w:r>
      <w:r>
        <w:rPr/>
        <w:t>）划分公司内部研究开发项目的研究阶段和开发阶段具体标准</w:t>
      </w:r>
    </w:p>
    <w:p>
      <w:pPr>
        <w:spacing w:line="240" w:lineRule="auto" w:before="0"/>
        <w:rPr>
          <w:rFonts w:ascii="宋体" w:hAnsi="宋体" w:cs="宋体" w:eastAsia="宋体" w:hint="default"/>
          <w:sz w:val="15"/>
          <w:szCs w:val="15"/>
        </w:rPr>
      </w:pPr>
    </w:p>
    <w:p>
      <w:pPr>
        <w:pStyle w:val="BodyText"/>
        <w:spacing w:line="316" w:lineRule="auto"/>
        <w:ind w:left="1133" w:right="0"/>
        <w:jc w:val="left"/>
      </w:pPr>
      <w:r>
        <w:rPr>
          <w:spacing w:val="-2"/>
        </w:rPr>
        <w:t>研究阶段支出是指公司为获取并理解新的科学或技术知识而进行的独创性的有计划调查而发生的支出。公司内部研究开发项</w:t>
      </w:r>
      <w:r>
        <w:rPr>
          <w:spacing w:val="-64"/>
        </w:rPr>
        <w:t> </w:t>
      </w:r>
      <w:r>
        <w:rPr>
          <w:spacing w:val="-64"/>
        </w:rPr>
      </w:r>
      <w:r>
        <w:rPr/>
        <w:t>目研究阶段的支出，于发生时计入当期损益。</w:t>
      </w:r>
    </w:p>
    <w:p>
      <w:pPr>
        <w:pStyle w:val="BodyText"/>
        <w:spacing w:line="316" w:lineRule="auto" w:before="139"/>
        <w:ind w:left="1133" w:right="0"/>
        <w:jc w:val="left"/>
      </w:pPr>
      <w:r>
        <w:rPr>
          <w:spacing w:val="-2"/>
        </w:rPr>
        <w:t>开发阶段支出是指在进行商业性生产或使用前，将研究成果或其他知识应用于某项计划或设计，以生产出新的或具有实质性</w:t>
      </w:r>
      <w:r>
        <w:rPr>
          <w:spacing w:val="-64"/>
        </w:rPr>
        <w:t> </w:t>
      </w:r>
      <w:r>
        <w:rPr>
          <w:spacing w:val="-64"/>
        </w:rPr>
      </w:r>
      <w:r>
        <w:rPr/>
        <w:t>改进的材料、装置、产品等发生的支出。</w:t>
      </w:r>
    </w:p>
    <w:p>
      <w:pPr>
        <w:pStyle w:val="BodyText"/>
        <w:spacing w:line="319" w:lineRule="auto" w:before="139"/>
        <w:ind w:right="0"/>
        <w:jc w:val="left"/>
      </w:pPr>
      <w:r>
        <w:rPr/>
        <w:t>（</w:t>
      </w:r>
      <w:r>
        <w:rPr>
          <w:rFonts w:ascii="宋体" w:hAnsi="宋体" w:cs="宋体" w:eastAsia="宋体" w:hint="default"/>
        </w:rPr>
        <w:t>2</w:t>
      </w:r>
      <w:r>
        <w:rPr/>
        <w:t>）开发阶段支出符合资本化的具体标准 </w:t>
      </w:r>
      <w:r>
        <w:rPr>
          <w:spacing w:val="-2"/>
        </w:rPr>
        <w:t>开发阶段的支出，只有在同时满足下列条件时，才能予以资本化，即：①完成该无形资产以使其能够使用或出售在技术上具</w:t>
      </w:r>
      <w:r>
        <w:rPr>
          <w:spacing w:val="-65"/>
        </w:rPr>
        <w:t> </w:t>
      </w:r>
      <w:r>
        <w:rPr>
          <w:spacing w:val="-65"/>
        </w:rPr>
      </w:r>
      <w:r>
        <w:rPr>
          <w:spacing w:val="-2"/>
        </w:rPr>
        <w:t>有可行性；②具有完成该无形资产并使用或出售的意图；③无形资产产生经济利益的方式，包括能够证明运用该无形资产生</w:t>
      </w:r>
      <w:r>
        <w:rPr>
          <w:spacing w:val="-68"/>
        </w:rPr>
        <w:t> </w:t>
      </w:r>
      <w:r>
        <w:rPr>
          <w:spacing w:val="-68"/>
        </w:rPr>
      </w:r>
      <w:r>
        <w:rPr>
          <w:spacing w:val="-2"/>
        </w:rPr>
        <w:t>产的产品存在市场或无形资产自身存在市场，无形资产将在内部使用的，证明其有用性；④有足够的技术、财务资源和其他</w:t>
      </w:r>
      <w:r>
        <w:rPr>
          <w:spacing w:val="-65"/>
        </w:rPr>
        <w:t> </w:t>
      </w:r>
      <w:r>
        <w:rPr>
          <w:spacing w:val="-65"/>
        </w:rPr>
      </w:r>
      <w:r>
        <w:rPr>
          <w:spacing w:val="-2"/>
        </w:rPr>
        <w:t>资源支持，以完成该无形资产的开发，并有能力使用或出售该无形资产；⑤归属于该无形资产开发阶段的支出能够可靠地计</w:t>
      </w:r>
    </w:p>
    <w:p>
      <w:pPr>
        <w:spacing w:after="0" w:line="319"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both"/>
      </w:pPr>
      <w:r>
        <w:rPr/>
        <w:t>量。不满足上述条件的开发支出，于发生时计入当期损益。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both"/>
        <w:rPr>
          <w:b w:val="0"/>
          <w:bCs w:val="0"/>
        </w:rPr>
      </w:pPr>
      <w:bookmarkStart w:name="20、长期资产减值" w:id="196"/>
      <w:bookmarkEnd w:id="196"/>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w:t>
      </w:r>
      <w:r>
        <w:rPr>
          <w:rFonts w:ascii="宋体" w:hAnsi="宋体" w:cs="宋体" w:eastAsia="宋体" w:hint="default"/>
        </w:rPr>
        <w:t>1</w:t>
      </w:r>
      <w:r>
        <w:rPr/>
        <w:t>）适用范围</w:t>
      </w:r>
    </w:p>
    <w:p>
      <w:pPr>
        <w:spacing w:line="240" w:lineRule="auto" w:before="0"/>
        <w:rPr>
          <w:rFonts w:ascii="宋体" w:hAnsi="宋体" w:cs="宋体" w:eastAsia="宋体" w:hint="default"/>
          <w:sz w:val="15"/>
          <w:szCs w:val="15"/>
        </w:rPr>
      </w:pPr>
    </w:p>
    <w:p>
      <w:pPr>
        <w:pStyle w:val="BodyText"/>
        <w:spacing w:line="316" w:lineRule="auto"/>
        <w:ind w:left="1133" w:right="1140"/>
        <w:jc w:val="both"/>
      </w:pPr>
      <w:r>
        <w:rPr/>
        <w:t>长期资产减值主要包括长期股权投资、投资性房地产（不含以公允价值模式计量的投资性房地产</w:t>
      </w:r>
      <w:r>
        <w:rPr>
          <w:spacing w:val="-90"/>
        </w:rPr>
        <w:t>）</w:t>
      </w:r>
      <w:r>
        <w:rPr/>
        <w:t>、固定资产、在建工程、</w:t>
      </w:r>
      <w:r>
        <w:rPr/>
        <w:t> 工程物资；无形资产（包括资本化的开发支出</w:t>
      </w:r>
      <w:r>
        <w:rPr>
          <w:spacing w:val="-90"/>
        </w:rPr>
        <w:t>）</w:t>
      </w:r>
      <w:r>
        <w:rPr/>
        <w:t>、资产组和资产组组合、商誉等。</w:t>
      </w:r>
    </w:p>
    <w:p>
      <w:pPr>
        <w:pStyle w:val="BodyText"/>
        <w:spacing w:line="240" w:lineRule="auto" w:before="139"/>
        <w:ind w:left="1133" w:right="0"/>
        <w:jc w:val="both"/>
      </w:pPr>
      <w:r>
        <w:rPr/>
        <w:t>（</w:t>
      </w:r>
      <w:r>
        <w:rPr>
          <w:rFonts w:ascii="宋体" w:hAnsi="宋体" w:cs="宋体" w:eastAsia="宋体" w:hint="default"/>
        </w:rPr>
        <w:t>2</w:t>
      </w:r>
      <w:r>
        <w:rPr/>
        <w:t>）可能发生减值资产的认定</w:t>
      </w:r>
    </w:p>
    <w:p>
      <w:pPr>
        <w:spacing w:line="240" w:lineRule="auto" w:before="0"/>
        <w:rPr>
          <w:rFonts w:ascii="宋体" w:hAnsi="宋体" w:cs="宋体" w:eastAsia="宋体" w:hint="default"/>
          <w:sz w:val="15"/>
          <w:szCs w:val="15"/>
        </w:rPr>
      </w:pPr>
    </w:p>
    <w:p>
      <w:pPr>
        <w:pStyle w:val="BodyText"/>
        <w:spacing w:line="316" w:lineRule="auto"/>
        <w:ind w:right="1133"/>
        <w:jc w:val="both"/>
      </w:pPr>
      <w:r>
        <w:rPr>
          <w:spacing w:val="-2"/>
        </w:rPr>
        <w:t>在资产负债表日，公司判断资产是否存在可能发生减值的迹象。因企业合并所形成的商誉和使用寿命不确定的无形资产，无</w:t>
      </w:r>
      <w:r>
        <w:rPr>
          <w:spacing w:val="-66"/>
        </w:rPr>
        <w:t> </w:t>
      </w:r>
      <w:r>
        <w:rPr>
          <w:spacing w:val="-66"/>
        </w:rPr>
      </w:r>
      <w:r>
        <w:rPr/>
        <w:t>论是否存在减值迹象，每年均进行减值测试。存在下列迹象的，表明资产可能发生了减值：</w:t>
      </w:r>
    </w:p>
    <w:p>
      <w:pPr>
        <w:pStyle w:val="BodyText"/>
        <w:spacing w:line="316" w:lineRule="auto" w:before="139"/>
        <w:ind w:left="1133" w:right="1130"/>
        <w:jc w:val="both"/>
      </w:pPr>
      <w:r>
        <w:rPr>
          <w:spacing w:val="-2"/>
        </w:rPr>
        <w:t>①资产的市价当期大幅度下跌，其跌幅明显高于因时间的推移或者正常使用而预计的下跌。②公司经营所处的经济、技术或</w:t>
      </w:r>
      <w:r>
        <w:rPr>
          <w:spacing w:val="-65"/>
        </w:rPr>
        <w:t> </w:t>
      </w:r>
      <w:r>
        <w:rPr>
          <w:spacing w:val="-65"/>
        </w:rPr>
      </w:r>
      <w:r>
        <w:rPr>
          <w:spacing w:val="-2"/>
        </w:rPr>
        <w:t>者法律等环境以及资产所处的市场在当期或者将在近期发生重大变化，从而对公司产生不利影响。③市场利率或者其他市场</w:t>
      </w:r>
      <w:r>
        <w:rPr>
          <w:spacing w:val="-63"/>
        </w:rPr>
        <w:t> </w:t>
      </w:r>
      <w:r>
        <w:rPr>
          <w:spacing w:val="-63"/>
        </w:rPr>
      </w:r>
      <w:r>
        <w:rPr>
          <w:spacing w:val="-2"/>
        </w:rPr>
        <w:t>投资报酬率在当期已经提高，从而影响公司计算资产预计未来现金流量现值的折现率，导致资产可收回金额大幅度降低。④</w:t>
      </w:r>
      <w:r>
        <w:rPr>
          <w:spacing w:val="-65"/>
        </w:rPr>
        <w:t> </w:t>
      </w:r>
      <w:r>
        <w:rPr>
          <w:spacing w:val="-65"/>
        </w:rPr>
      </w:r>
      <w:r>
        <w:rPr>
          <w:spacing w:val="-2"/>
        </w:rPr>
        <w:t>有证据表明资产已经陈旧过时或者其实体已经损坏。⑤资产已经或者将被闲置、终止使用或者计划提前处置。⑥公司内部报</w:t>
      </w:r>
      <w:r>
        <w:rPr>
          <w:spacing w:val="-66"/>
        </w:rPr>
        <w:t> </w:t>
      </w:r>
      <w:r>
        <w:rPr>
          <w:spacing w:val="-66"/>
        </w:rPr>
      </w:r>
      <w:r>
        <w:rPr>
          <w:spacing w:val="-2"/>
        </w:rPr>
        <w:t>告的证据表明资产的经济绩效已经低于或者将低于预期，如资产所创造的净现金流量或者实现的营业利润（或者亏损）远远</w:t>
      </w:r>
      <w:r>
        <w:rPr>
          <w:spacing w:val="-66"/>
        </w:rPr>
        <w:t> </w:t>
      </w:r>
      <w:r>
        <w:rPr>
          <w:spacing w:val="-66"/>
        </w:rPr>
      </w:r>
      <w:r>
        <w:rPr/>
        <w:t>低于（或者高于）预计金额等。⑦其他表明资产可能已经发生减值的迹象。</w:t>
      </w:r>
    </w:p>
    <w:p>
      <w:pPr>
        <w:pStyle w:val="BodyText"/>
        <w:spacing w:line="240" w:lineRule="auto" w:before="139"/>
        <w:ind w:left="1133" w:right="0"/>
        <w:jc w:val="both"/>
      </w:pPr>
      <w:r>
        <w:rPr/>
        <w:t>（</w:t>
      </w:r>
      <w:r>
        <w:rPr>
          <w:rFonts w:ascii="宋体" w:hAnsi="宋体" w:cs="宋体" w:eastAsia="宋体" w:hint="default"/>
        </w:rPr>
        <w:t>3</w:t>
      </w:r>
      <w:r>
        <w:rPr/>
        <w:t>）资产可收回金额的计量</w:t>
      </w:r>
    </w:p>
    <w:p>
      <w:pPr>
        <w:spacing w:line="240" w:lineRule="auto" w:before="0"/>
        <w:rPr>
          <w:rFonts w:ascii="宋体" w:hAnsi="宋体" w:cs="宋体" w:eastAsia="宋体" w:hint="default"/>
          <w:sz w:val="15"/>
          <w:szCs w:val="15"/>
        </w:rPr>
      </w:pPr>
    </w:p>
    <w:p>
      <w:pPr>
        <w:pStyle w:val="BodyText"/>
        <w:spacing w:line="316" w:lineRule="auto"/>
        <w:ind w:right="1132"/>
        <w:jc w:val="both"/>
      </w:pPr>
      <w:r>
        <w:rPr>
          <w:spacing w:val="-2"/>
        </w:rPr>
        <w:t>资产存在减值迹象的，估计其可收回金额。可收回金额根据资产的公允价值减去处置费用后的净额与资产预计未来现金流量</w:t>
      </w:r>
      <w:r>
        <w:rPr>
          <w:spacing w:val="-64"/>
        </w:rPr>
        <w:t> </w:t>
      </w:r>
      <w:r>
        <w:rPr>
          <w:spacing w:val="-64"/>
        </w:rPr>
      </w:r>
      <w:r>
        <w:rPr/>
        <w:t>的现值两者之间较高者确定。</w:t>
      </w:r>
    </w:p>
    <w:p>
      <w:pPr>
        <w:pStyle w:val="BodyText"/>
        <w:spacing w:line="240" w:lineRule="auto" w:before="139"/>
        <w:ind w:right="0"/>
        <w:jc w:val="both"/>
      </w:pPr>
      <w:r>
        <w:rPr/>
        <w:t>（</w:t>
      </w:r>
      <w:r>
        <w:rPr>
          <w:rFonts w:ascii="宋体" w:hAnsi="宋体" w:cs="宋体" w:eastAsia="宋体" w:hint="default"/>
        </w:rPr>
        <w:t>4</w:t>
      </w:r>
      <w:r>
        <w:rPr/>
        <w:t>）资产减值损失的确定</w:t>
      </w:r>
    </w:p>
    <w:p>
      <w:pPr>
        <w:spacing w:line="240" w:lineRule="auto" w:before="0"/>
        <w:rPr>
          <w:rFonts w:ascii="宋体" w:hAnsi="宋体" w:cs="宋体" w:eastAsia="宋体" w:hint="default"/>
          <w:sz w:val="15"/>
          <w:szCs w:val="15"/>
        </w:rPr>
      </w:pPr>
    </w:p>
    <w:p>
      <w:pPr>
        <w:pStyle w:val="BodyText"/>
        <w:spacing w:line="316" w:lineRule="auto"/>
        <w:ind w:right="1131"/>
        <w:jc w:val="both"/>
      </w:pPr>
      <w:r>
        <w:rPr>
          <w:spacing w:val="-2"/>
        </w:rPr>
        <w:t>可收回金额的计量结果表明，资产的可收回金额低于其账面价值的，将资产的账面价值减记至可收回金额，减记的金额确认</w:t>
      </w:r>
      <w:r>
        <w:rPr>
          <w:spacing w:val="-66"/>
        </w:rPr>
        <w:t> </w:t>
      </w:r>
      <w:r>
        <w:rPr>
          <w:spacing w:val="-66"/>
        </w:rPr>
      </w:r>
      <w:r>
        <w:rPr>
          <w:spacing w:val="-2"/>
        </w:rPr>
        <w:t>为资产减值损失，计入当期损益，同时计提相应的资产减值准备。资产减值损失确认后，减值资产的折旧或者摊销费用在未</w:t>
      </w:r>
      <w:r>
        <w:rPr>
          <w:spacing w:val="-66"/>
        </w:rPr>
        <w:t> </w:t>
      </w:r>
      <w:r>
        <w:rPr>
          <w:spacing w:val="-66"/>
        </w:rPr>
      </w:r>
      <w:r>
        <w:rPr>
          <w:spacing w:val="-2"/>
        </w:rPr>
        <w:t>来期间作相应调整，以使该资产在剩余使用寿命内，系统地分摊调整后的资产账面价值（扣除预计净残值）。资产减值损失</w:t>
      </w:r>
      <w:r>
        <w:rPr>
          <w:spacing w:val="-72"/>
        </w:rPr>
        <w:t> </w:t>
      </w:r>
      <w:r>
        <w:rPr>
          <w:spacing w:val="-72"/>
        </w:rPr>
      </w:r>
      <w:r>
        <w:rPr/>
        <w:t>一经确认，在以后会计期间不再转回。</w:t>
      </w:r>
    </w:p>
    <w:p>
      <w:pPr>
        <w:pStyle w:val="BodyText"/>
        <w:spacing w:line="240" w:lineRule="auto" w:before="139"/>
        <w:ind w:right="0"/>
        <w:jc w:val="both"/>
      </w:pPr>
      <w:r>
        <w:rPr/>
        <w:t>（</w:t>
      </w:r>
      <w:r>
        <w:rPr>
          <w:rFonts w:ascii="宋体" w:hAnsi="宋体" w:cs="宋体" w:eastAsia="宋体" w:hint="default"/>
        </w:rPr>
        <w:t>5</w:t>
      </w:r>
      <w:r>
        <w:rPr/>
        <w:t>）资产组的认定及减值处理</w:t>
      </w:r>
    </w:p>
    <w:p>
      <w:pPr>
        <w:spacing w:line="240" w:lineRule="auto" w:before="0"/>
        <w:rPr>
          <w:rFonts w:ascii="宋体" w:hAnsi="宋体" w:cs="宋体" w:eastAsia="宋体" w:hint="default"/>
          <w:sz w:val="15"/>
          <w:szCs w:val="15"/>
        </w:rPr>
      </w:pPr>
    </w:p>
    <w:p>
      <w:pPr>
        <w:pStyle w:val="BodyText"/>
        <w:spacing w:line="316" w:lineRule="auto"/>
        <w:ind w:right="1130"/>
        <w:jc w:val="both"/>
      </w:pPr>
      <w:r>
        <w:rPr>
          <w:spacing w:val="-2"/>
        </w:rPr>
        <w:t>有迹象表明一项资产可能发生减值的，公司以单项资产为基础估计其可收回金额。公司难以对单项资产的可收回金额进行估</w:t>
      </w:r>
      <w:r>
        <w:rPr>
          <w:spacing w:val="-63"/>
        </w:rPr>
        <w:t> </w:t>
      </w:r>
      <w:r>
        <w:rPr>
          <w:spacing w:val="-63"/>
        </w:rPr>
      </w:r>
      <w:r>
        <w:rPr>
          <w:spacing w:val="-2"/>
        </w:rPr>
        <w:t>计的，以该资产所属的资产组为基础确定资产组的可收回金额。资产组的认定，以资产组产生的主要现金流入是否独立于其</w:t>
      </w:r>
      <w:r>
        <w:rPr>
          <w:spacing w:val="-66"/>
        </w:rPr>
        <w:t> </w:t>
      </w:r>
      <w:r>
        <w:rPr>
          <w:spacing w:val="-66"/>
        </w:rPr>
      </w:r>
      <w:r>
        <w:rPr/>
        <w:t>他资产或者资产组的现金流入为依据。</w:t>
      </w:r>
    </w:p>
    <w:p>
      <w:pPr>
        <w:pStyle w:val="BodyText"/>
        <w:spacing w:line="316" w:lineRule="auto" w:before="139"/>
        <w:ind w:right="1132"/>
        <w:jc w:val="both"/>
      </w:pPr>
      <w:r>
        <w:rPr>
          <w:spacing w:val="-2"/>
        </w:rPr>
        <w:t>资产组或者资产组组合的可收回金额低于其账面价值的（总部资产和商誉分摊至某资产组或者资产组组合的，该资产组或者</w:t>
      </w:r>
      <w:r>
        <w:rPr>
          <w:spacing w:val="-64"/>
        </w:rPr>
        <w:t> </w:t>
      </w:r>
      <w:r>
        <w:rPr>
          <w:spacing w:val="-64"/>
        </w:rPr>
      </w:r>
      <w:r>
        <w:rPr>
          <w:spacing w:val="-2"/>
        </w:rPr>
        <w:t>资产组组合的账面价值应当包括相关总部资产和商誉的分摊额），确认相应的减值损失。减值损失金额先抵减分摊至资产组</w:t>
      </w:r>
      <w:r>
        <w:rPr>
          <w:spacing w:val="-72"/>
        </w:rPr>
        <w:t> </w:t>
      </w:r>
      <w:r>
        <w:rPr>
          <w:spacing w:val="-72"/>
        </w:rPr>
      </w:r>
      <w:r>
        <w:rPr>
          <w:spacing w:val="-2"/>
        </w:rPr>
        <w:t>或者资产组组合中商誉的账面价值，再根据资产组或者资产组组合中除商誉之外的其他各项资产的账面价值所占比重，按比</w:t>
      </w:r>
      <w:r>
        <w:rPr>
          <w:spacing w:val="-64"/>
        </w:rPr>
        <w:t> </w:t>
      </w:r>
      <w:r>
        <w:rPr>
          <w:spacing w:val="-64"/>
        </w:rPr>
      </w:r>
      <w:r>
        <w:rPr/>
        <w:t>例抵减其他各项资产的账面价值。</w:t>
      </w:r>
    </w:p>
    <w:p>
      <w:pPr>
        <w:pStyle w:val="BodyText"/>
        <w:spacing w:line="240" w:lineRule="auto" w:before="139"/>
        <w:ind w:left="1133" w:right="0"/>
        <w:jc w:val="both"/>
      </w:pPr>
      <w:r>
        <w:rPr/>
        <w:t>（</w:t>
      </w:r>
      <w:r>
        <w:rPr>
          <w:rFonts w:ascii="宋体" w:hAnsi="宋体" w:cs="宋体" w:eastAsia="宋体" w:hint="default"/>
        </w:rPr>
        <w:t>6</w:t>
      </w:r>
      <w:r>
        <w:rPr/>
        <w:t>）商誉减值</w:t>
      </w:r>
    </w:p>
    <w:p>
      <w:pPr>
        <w:spacing w:line="240" w:lineRule="auto" w:before="0"/>
        <w:rPr>
          <w:rFonts w:ascii="宋体" w:hAnsi="宋体" w:cs="宋体" w:eastAsia="宋体" w:hint="default"/>
          <w:sz w:val="15"/>
          <w:szCs w:val="15"/>
        </w:rPr>
      </w:pPr>
    </w:p>
    <w:p>
      <w:pPr>
        <w:pStyle w:val="BodyText"/>
        <w:spacing w:line="319" w:lineRule="auto"/>
        <w:ind w:left="1133" w:right="1033"/>
        <w:jc w:val="left"/>
      </w:pPr>
      <w:r>
        <w:rPr>
          <w:spacing w:val="-2"/>
        </w:rPr>
        <w:t>公司因企业合并所形成的商誉，至少在每年年度终了进行减值测试。对于因合并形成的商誉的账面价值，自购买日起按照合</w:t>
      </w:r>
      <w:r>
        <w:rPr>
          <w:spacing w:val="-66"/>
        </w:rPr>
        <w:t> </w:t>
      </w:r>
      <w:r>
        <w:rPr>
          <w:spacing w:val="-66"/>
        </w:rPr>
      </w:r>
      <w:r>
        <w:rPr/>
        <w:t>理的方法分摊至相关的资产组；难以分摊至相关的资产组的，将其分摊至相关的资产组组合。相关的资产组或资产组组合， 是能够从企业合并的协同效应中受益的资产组或者资产组组合，且不大于公司确定的报告分部。 </w:t>
      </w:r>
      <w:r>
        <w:rPr>
          <w:spacing w:val="-2"/>
        </w:rPr>
        <w:t>在对包含商誉的相关资产组或者资产组组合进行减值测试时，如与商誉相关的资产组或者资产组组合存在减值迹象的，应当</w:t>
      </w:r>
      <w:r>
        <w:rPr>
          <w:spacing w:val="-64"/>
        </w:rPr>
        <w:t> </w:t>
      </w:r>
      <w:r>
        <w:rPr>
          <w:spacing w:val="-64"/>
        </w:rPr>
      </w:r>
      <w:r>
        <w:rPr>
          <w:spacing w:val="-4"/>
        </w:rPr>
        <w:t>先对不包含商誉的资产组或者资产组组合进行减值测试，计算可收回金额，并与相关账面价值相比较，确认相应的减值损失。</w:t>
      </w:r>
    </w:p>
    <w:p>
      <w:pPr>
        <w:spacing w:after="0" w:line="319"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032"/>
        <w:jc w:val="left"/>
      </w:pP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并按照本附注所述资产组减值的规定进行处理。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1、长期待摊费用" w:id="197"/>
      <w:bookmarkEnd w:id="197"/>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jc w:val="both"/>
      </w:pPr>
      <w:r>
        <w:rPr>
          <w:spacing w:val="-2"/>
        </w:rPr>
        <w:t>长期待摊费用是公司已经发生但应由本期和以后各期分担的分摊期限在一年以上的各项费用，以实际发生的支出入账并在其</w:t>
      </w:r>
      <w:r>
        <w:rPr>
          <w:spacing w:val="-64"/>
        </w:rPr>
        <w:t> </w:t>
      </w:r>
      <w:r>
        <w:rPr>
          <w:spacing w:val="-64"/>
        </w:rPr>
      </w:r>
      <w:r>
        <w:rPr>
          <w:spacing w:val="-2"/>
        </w:rPr>
        <w:t>预计受益期内按直线法平均进行摊销。如果长期待摊费用项目不能使以后会计期间受益的，则将尚未摊销的该项目的摊余价</w:t>
      </w:r>
      <w:r>
        <w:rPr>
          <w:spacing w:val="-63"/>
        </w:rPr>
        <w:t> </w:t>
      </w:r>
      <w:r>
        <w:rPr>
          <w:spacing w:val="-63"/>
        </w:rPr>
      </w:r>
      <w:r>
        <w:rPr/>
        <w:t>值全部转入当期损益。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2、职工薪酬" w:id="198"/>
      <w:bookmarkEnd w:id="198"/>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99"/>
      <w:bookmarkEnd w:id="19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33"/>
        <w:jc w:val="both"/>
      </w:pPr>
      <w:r>
        <w:rPr>
          <w:spacing w:val="-2"/>
        </w:rPr>
        <w:t>短期薪酬主要包括工资、奖金、津贴和补贴、职工福利费、医疗保险费、生育保险费、工伤保险费、住房公积金、工会经费</w:t>
      </w:r>
      <w:r>
        <w:rPr>
          <w:spacing w:val="-67"/>
        </w:rPr>
        <w:t> </w:t>
      </w:r>
      <w:r>
        <w:rPr>
          <w:spacing w:val="-67"/>
        </w:rPr>
      </w:r>
      <w:r>
        <w:rPr>
          <w:spacing w:val="-2"/>
        </w:rPr>
        <w:t>和职工教育经费、非货币性福利等。本公司在职工为本公司提供服务的会计期间将实际发生的短期职工薪酬确认为负债，并</w:t>
      </w:r>
      <w:r>
        <w:rPr>
          <w:spacing w:val="-66"/>
        </w:rPr>
        <w:t> </w:t>
      </w:r>
      <w:r>
        <w:rPr>
          <w:spacing w:val="-66"/>
        </w:rPr>
      </w:r>
      <w:r>
        <w:rPr/>
        <w:t>计入当期损益或相关资产成本。其中非货币性福利按公允价值计量。</w:t>
      </w:r>
    </w:p>
    <w:p>
      <w:pPr>
        <w:pStyle w:val="BodyText"/>
        <w:spacing w:line="316" w:lineRule="auto" w:before="139"/>
        <w:ind w:left="1133" w:right="0"/>
        <w:jc w:val="left"/>
      </w:pPr>
      <w:r>
        <w:rPr>
          <w:spacing w:val="-2"/>
        </w:rPr>
        <w:t>离职后福利主要包括设定提存计划。设定提存计划主要包括基本养老保险、失业保险，相应的应缴存金额于发生时计入相关</w:t>
      </w:r>
      <w:r>
        <w:rPr>
          <w:spacing w:val="-66"/>
        </w:rPr>
        <w:t> </w:t>
      </w:r>
      <w:r>
        <w:rPr>
          <w:spacing w:val="-66"/>
        </w:rPr>
      </w:r>
      <w:r>
        <w:rPr/>
        <w:t>资产成本或当期损益。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133" w:right="0"/>
        <w:jc w:val="left"/>
        <w:rPr>
          <w:b w:val="0"/>
          <w:bCs w:val="0"/>
        </w:rPr>
      </w:pPr>
      <w:bookmarkStart w:name="（2）离职后福利的会计处理方法" w:id="200"/>
      <w:bookmarkEnd w:id="20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033"/>
        <w:jc w:val="left"/>
      </w:pPr>
      <w:r>
        <w:rPr>
          <w:spacing w:val="-2"/>
        </w:rPr>
        <w:t>在职工劳动合同到期之前解除与职工的劳动关系，或为鼓励职工自愿接受裁减而提出给予补偿的建议，在本公司不能单方面</w:t>
      </w:r>
      <w:r>
        <w:rPr>
          <w:spacing w:val="-64"/>
        </w:rPr>
        <w:t> </w:t>
      </w:r>
      <w:r>
        <w:rPr>
          <w:spacing w:val="-64"/>
        </w:rPr>
      </w:r>
      <w:r>
        <w:rPr/>
        <w:t>撤回因解除劳动关系计划或裁减建议所提供的辞退福利时，和本公司确认与涉及支付辞退福利的重组相关的成本两者孰早 日，确认辞退福利产生的职工薪酬负债，并计入当期损益。但辞退福利预期在年度报告期结束后十二个月不能完全支付的， 按照其他长期职工薪酬处理。</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3）辞退福利的会计处理方法" w:id="201"/>
      <w:bookmarkEnd w:id="20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15"/>
        <w:jc w:val="left"/>
      </w:pPr>
      <w:r>
        <w:rPr/>
        <w:t>职工内部退休计划采用上述辞退福利相同的原则处理</w:t>
      </w:r>
      <w:r>
        <w:rPr>
          <w:spacing w:val="-82"/>
        </w:rPr>
        <w:t>。</w:t>
      </w:r>
      <w:r>
        <w:rPr/>
        <w:t>本公司将自职工停止提供服务日至正常退休日的期间拟支付的内退人</w:t>
      </w:r>
      <w:r>
        <w:rPr/>
        <w:t> 员工资和缴纳的社会保险费等，在符合预计负债确认条件时，计入当期损益（辞退福利</w:t>
      </w:r>
      <w:r>
        <w:rPr>
          <w:spacing w:val="-90"/>
        </w:rPr>
        <w:t>）</w:t>
      </w:r>
      <w:r>
        <w:rPr/>
        <w:t>。</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4）其他长期职工福利的会计处理方法" w:id="202"/>
      <w:bookmarkEnd w:id="20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0"/>
        <w:jc w:val="left"/>
      </w:pPr>
      <w:r>
        <w:rPr>
          <w:spacing w:val="-2"/>
        </w:rPr>
        <w:t>本公司向职工提供的其他长期职工福利，符合设定提存计划的，按照设定提存计划进行会计处理，除此之外按照设定收益计</w:t>
      </w:r>
      <w:r>
        <w:rPr>
          <w:spacing w:val="-66"/>
        </w:rPr>
        <w:t> </w:t>
      </w:r>
      <w:r>
        <w:rPr>
          <w:spacing w:val="-66"/>
        </w:rPr>
      </w:r>
      <w:r>
        <w:rPr/>
        <w:t>划进行会计处理。</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3、预计负债" w:id="203"/>
      <w:bookmarkEnd w:id="203"/>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w:t>
      </w:r>
      <w:r>
        <w:rPr>
          <w:rFonts w:ascii="宋体" w:hAnsi="宋体" w:cs="宋体" w:eastAsia="宋体" w:hint="default"/>
        </w:rPr>
        <w:t>1</w:t>
      </w:r>
      <w:r>
        <w:rPr/>
        <w:t>）预计负债的确认标准</w:t>
      </w:r>
    </w:p>
    <w:p>
      <w:pPr>
        <w:spacing w:line="240" w:lineRule="auto" w:before="0"/>
        <w:rPr>
          <w:rFonts w:ascii="宋体" w:hAnsi="宋体" w:cs="宋体" w:eastAsia="宋体" w:hint="default"/>
          <w:sz w:val="15"/>
          <w:szCs w:val="15"/>
        </w:rPr>
      </w:pPr>
    </w:p>
    <w:p>
      <w:pPr>
        <w:pStyle w:val="BodyText"/>
        <w:spacing w:line="316" w:lineRule="auto"/>
        <w:ind w:right="0"/>
        <w:jc w:val="left"/>
      </w:pPr>
      <w:r>
        <w:rPr>
          <w:spacing w:val="-2"/>
        </w:rPr>
        <w:t>当与对外担保、未决诉讼或仲裁、产品质量保证、裁员计划、亏损合同、重组义务、固定资产弃置义务等或有事项相关的业</w:t>
      </w:r>
      <w:r>
        <w:rPr>
          <w:spacing w:val="-68"/>
        </w:rPr>
        <w:t> </w:t>
      </w:r>
      <w:r>
        <w:rPr>
          <w:spacing w:val="-68"/>
        </w:rPr>
      </w:r>
      <w:r>
        <w:rPr/>
        <w:t>务同时符合以下条件时，确认为负债：</w:t>
      </w:r>
    </w:p>
    <w:p>
      <w:pPr>
        <w:pStyle w:val="BodyText"/>
        <w:spacing w:line="240" w:lineRule="auto" w:before="139"/>
        <w:ind w:right="0"/>
        <w:jc w:val="left"/>
      </w:pPr>
      <w:r>
        <w:rPr/>
        <w:t>该义务是公司承担的现时义务；</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439" w:lineRule="auto" w:before="44"/>
        <w:ind w:right="7152"/>
        <w:jc w:val="left"/>
      </w:pPr>
      <w:r>
        <w:rPr/>
        <w:t>该义务的履行很可能导致经济利益流出企业； 该义务的金额能够可靠地计量。</w:t>
      </w:r>
    </w:p>
    <w:p>
      <w:pPr>
        <w:pStyle w:val="BodyText"/>
        <w:spacing w:line="240" w:lineRule="auto" w:before="47"/>
        <w:ind w:right="0"/>
        <w:jc w:val="both"/>
      </w:pPr>
      <w:r>
        <w:rPr/>
        <w:t>（</w:t>
      </w:r>
      <w:r>
        <w:rPr>
          <w:rFonts w:ascii="宋体" w:hAnsi="宋体" w:cs="宋体" w:eastAsia="宋体" w:hint="default"/>
        </w:rPr>
        <w:t>2</w:t>
      </w:r>
      <w:r>
        <w:rPr/>
        <w:t>）预计负债的计量方法</w:t>
      </w:r>
    </w:p>
    <w:p>
      <w:pPr>
        <w:spacing w:line="240" w:lineRule="auto" w:before="1"/>
        <w:rPr>
          <w:rFonts w:ascii="宋体" w:hAnsi="宋体" w:cs="宋体" w:eastAsia="宋体" w:hint="default"/>
          <w:sz w:val="15"/>
          <w:szCs w:val="15"/>
        </w:rPr>
      </w:pPr>
    </w:p>
    <w:p>
      <w:pPr>
        <w:pStyle w:val="BodyText"/>
        <w:spacing w:line="316" w:lineRule="auto"/>
        <w:ind w:left="1133" w:right="0"/>
        <w:jc w:val="left"/>
      </w:pPr>
      <w:r>
        <w:rPr>
          <w:spacing w:val="-2"/>
        </w:rPr>
        <w:t>预计负债按照履行现时义务所需支出的最佳估计数进行精算并初始计量。所需支出存在一个连续范围，且该范围内各种结果</w:t>
      </w:r>
      <w:r>
        <w:rPr>
          <w:spacing w:val="-64"/>
        </w:rPr>
        <w:t> </w:t>
      </w:r>
      <w:r>
        <w:rPr>
          <w:spacing w:val="-64"/>
        </w:rPr>
      </w:r>
      <w:r>
        <w:rPr/>
        <w:t>发生的可能性相同的最佳估计数按该范围的中间值确定；在其他情况下，最佳估计数按如下方法确定：</w:t>
      </w:r>
    </w:p>
    <w:p>
      <w:pPr>
        <w:pStyle w:val="BodyText"/>
        <w:spacing w:line="439" w:lineRule="auto" w:before="139"/>
        <w:ind w:left="1133" w:right="0"/>
        <w:jc w:val="left"/>
      </w:pPr>
      <w:r>
        <w:rPr/>
        <w:t>或有事项涉及单个项目时，最佳估计数按最可能发生金额确定； 或有事项涉及多个项目时，最佳估计数按各种可能发生额及其发生概率计算确定。</w:t>
      </w:r>
    </w:p>
    <w:p>
      <w:pPr>
        <w:pStyle w:val="BodyText"/>
        <w:spacing w:line="316" w:lineRule="auto" w:before="47"/>
        <w:ind w:left="1133" w:right="0"/>
        <w:jc w:val="left"/>
      </w:pPr>
      <w:r>
        <w:rPr>
          <w:spacing w:val="-4"/>
        </w:rPr>
        <w:t>公司清偿预计负债所需支出全部或部分预期由第三方或其他方补偿的，则补偿金额在基本确定能收到时，作为资产单独确认。</w:t>
      </w:r>
      <w:r>
        <w:rPr>
          <w:spacing w:val="-44"/>
        </w:rPr>
        <w:t> </w:t>
      </w:r>
      <w:r>
        <w:rPr>
          <w:spacing w:val="-44"/>
        </w:rPr>
      </w:r>
      <w:r>
        <w:rPr/>
        <w:t>确认的补偿金额不超过所确认预计负债的账面价值。</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4、股份支付" w:id="204"/>
      <w:bookmarkEnd w:id="204"/>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w:t>
      </w:r>
      <w:r>
        <w:rPr>
          <w:rFonts w:ascii="宋体" w:hAnsi="宋体" w:cs="宋体" w:eastAsia="宋体" w:hint="default"/>
        </w:rPr>
        <w:t>1</w:t>
      </w:r>
      <w:r>
        <w:rPr/>
        <w:t>）股份支付的种类：</w:t>
      </w:r>
    </w:p>
    <w:p>
      <w:pPr>
        <w:spacing w:line="240" w:lineRule="auto" w:before="0"/>
        <w:rPr>
          <w:rFonts w:ascii="宋体" w:hAnsi="宋体" w:cs="宋体" w:eastAsia="宋体" w:hint="default"/>
          <w:sz w:val="15"/>
          <w:szCs w:val="15"/>
        </w:rPr>
      </w:pPr>
    </w:p>
    <w:p>
      <w:pPr>
        <w:pStyle w:val="BodyText"/>
        <w:spacing w:line="316" w:lineRule="auto"/>
        <w:ind w:right="1132"/>
        <w:jc w:val="both"/>
      </w:pPr>
      <w:r>
        <w:rPr>
          <w:spacing w:val="-2"/>
        </w:rPr>
        <w:t>对于以权益结算的涉及职工的股份支付，按照授予日权益工具的公允价值计入成本费用和资本公积（其他资本公积），不确</w:t>
      </w:r>
      <w:r>
        <w:rPr>
          <w:spacing w:val="-72"/>
        </w:rPr>
        <w:t> </w:t>
      </w:r>
      <w:r>
        <w:rPr>
          <w:spacing w:val="-72"/>
        </w:rPr>
      </w:r>
      <w:r>
        <w:rPr>
          <w:spacing w:val="-2"/>
        </w:rPr>
        <w:t>认其后续公允价值变动；在可行权之后不再对已确认的成本费用和所有者权益总额进行调整。按照行权情况，确认股本和股</w:t>
      </w:r>
      <w:r>
        <w:rPr>
          <w:spacing w:val="-66"/>
        </w:rPr>
        <w:t> </w:t>
      </w:r>
      <w:r>
        <w:rPr>
          <w:spacing w:val="-66"/>
        </w:rPr>
      </w:r>
      <w:r>
        <w:rPr>
          <w:spacing w:val="-2"/>
        </w:rPr>
        <w:t>本溢价，同时结转等待期内确认的资本公积（其他资本公积）。其中：对于换取职工服务的股份支付，在等待期内的每个资</w:t>
      </w:r>
      <w:r>
        <w:rPr>
          <w:spacing w:val="-72"/>
        </w:rPr>
        <w:t> </w:t>
      </w:r>
      <w:r>
        <w:rPr>
          <w:spacing w:val="-72"/>
        </w:rPr>
      </w:r>
      <w:r>
        <w:rPr>
          <w:spacing w:val="-2"/>
        </w:rPr>
        <w:t>产负债表日，以对可行权权益工具数量的最佳估计为基础，按照权益工具在授予日的公允价值，计入相关资产成本或当期费</w:t>
      </w:r>
      <w:r>
        <w:rPr>
          <w:spacing w:val="-66"/>
        </w:rPr>
        <w:t> </w:t>
      </w:r>
      <w:r>
        <w:rPr>
          <w:spacing w:val="-66"/>
        </w:rPr>
      </w:r>
      <w:r>
        <w:rPr>
          <w:spacing w:val="-2"/>
        </w:rPr>
        <w:t>用，同时计入资本公积（其他资本公积）；对于换取其他方服务的股份支付，以所换取其他方服务的公允价值计量。如果该</w:t>
      </w:r>
      <w:r>
        <w:rPr>
          <w:spacing w:val="-72"/>
        </w:rPr>
        <w:t> </w:t>
      </w:r>
      <w:r>
        <w:rPr>
          <w:spacing w:val="-72"/>
        </w:rPr>
      </w:r>
      <w:r>
        <w:rPr>
          <w:spacing w:val="-2"/>
        </w:rPr>
        <w:t>公允价值不能可靠计量的，但权益工具的公允价值能够可靠计量的，则按权益工具在服务取得日的公允价值计量，计入相关</w:t>
      </w:r>
      <w:r>
        <w:rPr>
          <w:spacing w:val="-66"/>
        </w:rPr>
        <w:t> </w:t>
      </w:r>
      <w:r>
        <w:rPr>
          <w:spacing w:val="-66"/>
        </w:rPr>
      </w:r>
      <w:r>
        <w:rPr>
          <w:spacing w:val="-4"/>
        </w:rPr>
        <w:t>资产成本或费用，同时计入资本公积（其他资本公积）。</w:t>
      </w:r>
    </w:p>
    <w:p>
      <w:pPr>
        <w:pStyle w:val="BodyText"/>
        <w:spacing w:line="316" w:lineRule="auto" w:before="139"/>
        <w:ind w:right="1032"/>
        <w:jc w:val="left"/>
      </w:pPr>
      <w:r>
        <w:rPr>
          <w:spacing w:val="-2"/>
        </w:rPr>
        <w:t>对于以现金结算的涉及职工的股份支付，按照每个资产负债表日权益工具的公允价值重新计量，确定成本费用和应付职工薪</w:t>
      </w:r>
      <w:r>
        <w:rPr>
          <w:spacing w:val="-64"/>
        </w:rPr>
        <w:t> </w:t>
      </w:r>
      <w:r>
        <w:rPr>
          <w:spacing w:val="-64"/>
        </w:rPr>
      </w:r>
      <w:r>
        <w:rPr>
          <w:spacing w:val="-2"/>
        </w:rPr>
        <w:t>酬。在等待期内的每个资产负债表日，以对可行权权益工具数量的最佳估计为基础，按照承担的以股份或其他权益工具为基</w:t>
      </w:r>
      <w:r>
        <w:rPr>
          <w:spacing w:val="-66"/>
        </w:rPr>
        <w:t> </w:t>
      </w:r>
      <w:r>
        <w:rPr>
          <w:spacing w:val="-66"/>
        </w:rPr>
      </w:r>
      <w:r>
        <w:rPr/>
        <w:t>础计算确定的负债的公允价值计量，计入相关资产成本或费用，同时计入应付职工薪酬。在可行权之后不再确认成本费用， 对应付职工薪酬的公允价值重新计量，将其变动计入公允价值变动损益。</w:t>
      </w:r>
    </w:p>
    <w:p>
      <w:pPr>
        <w:pStyle w:val="BodyText"/>
        <w:spacing w:line="240" w:lineRule="auto" w:before="139"/>
        <w:ind w:left="1133" w:right="0"/>
        <w:jc w:val="both"/>
      </w:pPr>
      <w:r>
        <w:rPr/>
        <w:t>（</w:t>
      </w:r>
      <w:r>
        <w:rPr>
          <w:rFonts w:ascii="宋体" w:hAnsi="宋体" w:cs="宋体" w:eastAsia="宋体" w:hint="default"/>
        </w:rPr>
        <w:t>2</w:t>
      </w:r>
      <w:r>
        <w:rPr/>
        <w:t>）权益工具公允价值的确定方法：</w:t>
      </w:r>
    </w:p>
    <w:p>
      <w:pPr>
        <w:spacing w:line="240" w:lineRule="auto" w:before="0"/>
        <w:rPr>
          <w:rFonts w:ascii="宋体" w:hAnsi="宋体" w:cs="宋体" w:eastAsia="宋体" w:hint="default"/>
          <w:sz w:val="15"/>
          <w:szCs w:val="15"/>
        </w:rPr>
      </w:pPr>
    </w:p>
    <w:p>
      <w:pPr>
        <w:pStyle w:val="BodyText"/>
        <w:spacing w:line="316" w:lineRule="auto"/>
        <w:ind w:left="1133" w:right="1130"/>
        <w:jc w:val="both"/>
      </w:pPr>
      <w:r>
        <w:rPr>
          <w:spacing w:val="-2"/>
        </w:rPr>
        <w:t>对于授予的期权等权益工具存在活跃市场的，按照活跃市场中的报价确定其公允价值。对于授予的期权等权益工具不存在活</w:t>
      </w:r>
      <w:r>
        <w:rPr>
          <w:spacing w:val="-64"/>
        </w:rPr>
        <w:t> </w:t>
      </w:r>
      <w:r>
        <w:rPr>
          <w:spacing w:val="-64"/>
        </w:rPr>
      </w:r>
      <w:r>
        <w:rPr>
          <w:spacing w:val="-2"/>
        </w:rPr>
        <w:t>跃市场的，采用期权定价模型等确定其公允价值，选用的期权定价模型至少应当考虑以下因素：①期权的行权价格；②期权</w:t>
      </w:r>
      <w:r>
        <w:rPr>
          <w:spacing w:val="-67"/>
        </w:rPr>
        <w:t> </w:t>
      </w:r>
      <w:r>
        <w:rPr>
          <w:spacing w:val="-67"/>
        </w:rPr>
      </w:r>
      <w:r>
        <w:rPr>
          <w:spacing w:val="-2"/>
        </w:rPr>
        <w:t>的有效期；③标的股份的现行价格；④股价预计波动率；⑤股份的预计股利；⑥期权有效期内的无风险利率；⑦分期行权的</w:t>
      </w:r>
      <w:r>
        <w:rPr>
          <w:spacing w:val="-71"/>
        </w:rPr>
        <w:t> </w:t>
      </w:r>
      <w:r>
        <w:rPr>
          <w:spacing w:val="-71"/>
        </w:rPr>
      </w:r>
      <w:r>
        <w:rPr/>
        <w:t>股份支付。</w:t>
      </w:r>
    </w:p>
    <w:p>
      <w:pPr>
        <w:pStyle w:val="BodyText"/>
        <w:spacing w:line="240" w:lineRule="auto" w:before="139"/>
        <w:ind w:left="1133" w:right="0"/>
        <w:jc w:val="both"/>
      </w:pPr>
      <w:r>
        <w:rPr/>
        <w:t>（</w:t>
      </w:r>
      <w:r>
        <w:rPr>
          <w:rFonts w:ascii="宋体" w:hAnsi="宋体" w:cs="宋体" w:eastAsia="宋体" w:hint="default"/>
        </w:rPr>
        <w:t>3</w:t>
      </w:r>
      <w:r>
        <w:rPr/>
        <w:t>）确认可行权权益工具最佳估计的依据：</w:t>
      </w:r>
    </w:p>
    <w:p>
      <w:pPr>
        <w:spacing w:line="240" w:lineRule="auto" w:before="0"/>
        <w:rPr>
          <w:rFonts w:ascii="宋体" w:hAnsi="宋体" w:cs="宋体" w:eastAsia="宋体" w:hint="default"/>
          <w:sz w:val="15"/>
          <w:szCs w:val="15"/>
        </w:rPr>
      </w:pPr>
    </w:p>
    <w:p>
      <w:pPr>
        <w:pStyle w:val="BodyText"/>
        <w:spacing w:line="316" w:lineRule="auto"/>
        <w:ind w:left="1133" w:right="0"/>
        <w:jc w:val="left"/>
      </w:pPr>
      <w:r>
        <w:rPr>
          <w:spacing w:val="-2"/>
        </w:rPr>
        <w:t>等待期内每个资产负债表日，公司根据最新取得的可行权职工人数变动等后续信息作出最佳估计，修正预计可行权的权益工</w:t>
      </w:r>
      <w:r>
        <w:rPr>
          <w:spacing w:val="-64"/>
        </w:rPr>
        <w:t> </w:t>
      </w:r>
      <w:r>
        <w:rPr>
          <w:spacing w:val="-64"/>
        </w:rPr>
      </w:r>
      <w:r>
        <w:rPr/>
        <w:t>具数量。在可行权日，最终预计可行权权益工具的数量应当与实际可行权数量一致。</w:t>
      </w:r>
    </w:p>
    <w:p>
      <w:pPr>
        <w:pStyle w:val="BodyText"/>
        <w:spacing w:line="316" w:lineRule="auto" w:before="139"/>
        <w:ind w:left="1133" w:right="0"/>
        <w:jc w:val="left"/>
      </w:pPr>
      <w:r>
        <w:rPr>
          <w:spacing w:val="-2"/>
        </w:rPr>
        <w:t>根据上述权益工具的公允价值和预计可行权的权益工具数量，计算截至当期累计应确认的成本费用金额，再减去前期累计已</w:t>
      </w:r>
      <w:r>
        <w:rPr>
          <w:spacing w:val="-64"/>
        </w:rPr>
        <w:t> </w:t>
      </w:r>
      <w:r>
        <w:rPr>
          <w:spacing w:val="-64"/>
        </w:rPr>
      </w:r>
      <w:r>
        <w:rPr/>
        <w:t>确认金额，作为当期应确认的成本费用金额。</w:t>
      </w:r>
    </w:p>
    <w:p>
      <w:pPr>
        <w:pStyle w:val="BodyText"/>
        <w:spacing w:line="240" w:lineRule="auto" w:before="139"/>
        <w:ind w:left="1133" w:right="0"/>
        <w:jc w:val="both"/>
      </w:pPr>
      <w:r>
        <w:rPr/>
        <w:t>（</w:t>
      </w:r>
      <w:r>
        <w:rPr>
          <w:rFonts w:ascii="宋体" w:hAnsi="宋体" w:cs="宋体" w:eastAsia="宋体" w:hint="default"/>
        </w:rPr>
        <w:t>4</w:t>
      </w:r>
      <w:r>
        <w:rPr/>
        <w:t>）实施、修改、终止股份支付计划的相关会计处理：</w:t>
      </w:r>
    </w:p>
    <w:p>
      <w:pPr>
        <w:spacing w:line="240" w:lineRule="auto" w:before="1"/>
        <w:rPr>
          <w:rFonts w:ascii="宋体" w:hAnsi="宋体" w:cs="宋体" w:eastAsia="宋体" w:hint="default"/>
          <w:sz w:val="15"/>
          <w:szCs w:val="15"/>
        </w:rPr>
      </w:pPr>
    </w:p>
    <w:p>
      <w:pPr>
        <w:pStyle w:val="BodyText"/>
        <w:spacing w:line="240" w:lineRule="auto"/>
        <w:ind w:right="0"/>
        <w:jc w:val="both"/>
      </w:pPr>
      <w:r>
        <w:rPr/>
        <w:t>①以权益结算的股份支付</w:t>
      </w:r>
    </w:p>
    <w:p>
      <w:pPr>
        <w:spacing w:line="240" w:lineRule="auto" w:before="0"/>
        <w:rPr>
          <w:rFonts w:ascii="宋体" w:hAnsi="宋体" w:cs="宋体" w:eastAsia="宋体" w:hint="default"/>
          <w:sz w:val="15"/>
          <w:szCs w:val="15"/>
        </w:rPr>
      </w:pPr>
    </w:p>
    <w:p>
      <w:pPr>
        <w:pStyle w:val="BodyText"/>
        <w:spacing w:line="316" w:lineRule="auto"/>
        <w:ind w:right="0"/>
        <w:jc w:val="left"/>
      </w:pPr>
      <w:r>
        <w:rPr>
          <w:spacing w:val="-2"/>
        </w:rPr>
        <w:t>授予后立即可行权的换取职工服务的以权益结算的股份支付，在授予日按照权益工具的公允价值计入相关成本或费用，相应</w:t>
      </w:r>
      <w:r>
        <w:rPr>
          <w:spacing w:val="-63"/>
        </w:rPr>
        <w:t> </w:t>
      </w:r>
      <w:r>
        <w:rPr>
          <w:spacing w:val="-63"/>
        </w:rPr>
      </w:r>
      <w:r>
        <w:rPr>
          <w:spacing w:val="-2"/>
        </w:rPr>
        <w:t>调整资本公积。完成等待期内的服务或达到规定业绩条件才可行权的换取职工服务的以权益结算的股份支付，在等待期内的</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132"/>
        <w:jc w:val="both"/>
      </w:pPr>
      <w:r>
        <w:rPr>
          <w:spacing w:val="-2"/>
        </w:rPr>
        <w:t>每个资产负债表日，以对可行权权益工具数量的最佳估计为基础，按权益工具授予日的公允价值，将当期取得的服务计入相</w:t>
      </w:r>
      <w:r>
        <w:rPr>
          <w:spacing w:val="-66"/>
        </w:rPr>
        <w:t> </w:t>
      </w:r>
      <w:r>
        <w:rPr>
          <w:spacing w:val="-66"/>
        </w:rPr>
      </w:r>
      <w:r>
        <w:rPr/>
        <w:t>关成本或费用，相应调整资本公积。</w:t>
      </w:r>
    </w:p>
    <w:p>
      <w:pPr>
        <w:pStyle w:val="BodyText"/>
        <w:spacing w:line="319" w:lineRule="auto" w:before="139"/>
        <w:ind w:right="1132"/>
        <w:jc w:val="both"/>
      </w:pPr>
      <w:r>
        <w:rPr>
          <w:spacing w:val="-2"/>
        </w:rPr>
        <w:t>换取其他方服务的权益结算的股份支付，如果其他方服务的公允价值能够可靠计量的，按照其他方服务在取得日的公允价值</w:t>
      </w:r>
      <w:r>
        <w:rPr>
          <w:spacing w:val="-64"/>
        </w:rPr>
        <w:t> </w:t>
      </w:r>
      <w:r>
        <w:rPr>
          <w:spacing w:val="-64"/>
        </w:rPr>
      </w:r>
      <w:r>
        <w:rPr>
          <w:spacing w:val="-2"/>
        </w:rPr>
        <w:t>计量；如果其他方服务的公允价值不能可靠计量，但权益工具的公允价值能够可靠计量的，按照权益工具在服务取得日的公</w:t>
      </w:r>
      <w:r>
        <w:rPr>
          <w:spacing w:val="-66"/>
        </w:rPr>
        <w:t> </w:t>
      </w:r>
      <w:r>
        <w:rPr>
          <w:spacing w:val="-66"/>
        </w:rPr>
      </w:r>
      <w:r>
        <w:rPr/>
        <w:t>允价值计量，计入相关成本或费用，相应增加所有者权益。</w:t>
      </w:r>
    </w:p>
    <w:p>
      <w:pPr>
        <w:pStyle w:val="BodyText"/>
        <w:spacing w:line="240" w:lineRule="auto" w:before="137"/>
        <w:ind w:right="0"/>
        <w:jc w:val="both"/>
      </w:pPr>
      <w:r>
        <w:rPr/>
        <w:t>②以现金结算的股份支付</w:t>
      </w:r>
    </w:p>
    <w:p>
      <w:pPr>
        <w:spacing w:line="240" w:lineRule="auto" w:before="0"/>
        <w:rPr>
          <w:rFonts w:ascii="宋体" w:hAnsi="宋体" w:cs="宋体" w:eastAsia="宋体" w:hint="default"/>
          <w:sz w:val="15"/>
          <w:szCs w:val="15"/>
        </w:rPr>
      </w:pPr>
    </w:p>
    <w:p>
      <w:pPr>
        <w:pStyle w:val="BodyText"/>
        <w:spacing w:line="316" w:lineRule="auto"/>
        <w:ind w:right="1132"/>
        <w:jc w:val="both"/>
      </w:pPr>
      <w:r>
        <w:rPr>
          <w:spacing w:val="-2"/>
        </w:rPr>
        <w:t>授予后立即可行权的换取职工服务的以现金结算的股份支付，在授予日按公司承担负债的公允价值计入相关成本或费用，相</w:t>
      </w:r>
      <w:r>
        <w:rPr>
          <w:spacing w:val="-64"/>
        </w:rPr>
        <w:t> </w:t>
      </w:r>
      <w:r>
        <w:rPr>
          <w:spacing w:val="-64"/>
        </w:rPr>
      </w:r>
      <w:r>
        <w:rPr>
          <w:spacing w:val="-2"/>
        </w:rPr>
        <w:t>应增加负债。完成等待期内的服务或达到规定业绩条件才可行权的换取职工服务的以现金结算的股份支付，在等待期内的每</w:t>
      </w:r>
      <w:r>
        <w:rPr>
          <w:spacing w:val="-64"/>
        </w:rPr>
        <w:t> </w:t>
      </w:r>
      <w:r>
        <w:rPr>
          <w:spacing w:val="-64"/>
        </w:rPr>
      </w:r>
      <w:r>
        <w:rPr>
          <w:spacing w:val="-2"/>
        </w:rPr>
        <w:t>个资产负债表日，以对可行权情况的最佳估计为基础，按公司承担负债的公允价值，将当期取得的服务计入相关成本或费用</w:t>
      </w:r>
      <w:r>
        <w:rPr>
          <w:spacing w:val="-66"/>
        </w:rPr>
        <w:t> </w:t>
      </w:r>
      <w:r>
        <w:rPr>
          <w:spacing w:val="-66"/>
        </w:rPr>
      </w:r>
      <w:r>
        <w:rPr/>
        <w:t>和相应的负债。</w:t>
      </w:r>
    </w:p>
    <w:p>
      <w:pPr>
        <w:pStyle w:val="BodyText"/>
        <w:spacing w:line="240" w:lineRule="auto" w:before="139"/>
        <w:ind w:left="1133" w:right="0"/>
        <w:jc w:val="both"/>
      </w:pPr>
      <w:r>
        <w:rPr/>
        <w:t>③修改、终止股份支付计划</w:t>
      </w:r>
    </w:p>
    <w:p>
      <w:pPr>
        <w:spacing w:line="240" w:lineRule="auto" w:before="0"/>
        <w:rPr>
          <w:rFonts w:ascii="宋体" w:hAnsi="宋体" w:cs="宋体" w:eastAsia="宋体" w:hint="default"/>
          <w:sz w:val="15"/>
          <w:szCs w:val="15"/>
        </w:rPr>
      </w:pPr>
    </w:p>
    <w:p>
      <w:pPr>
        <w:pStyle w:val="BodyText"/>
        <w:spacing w:line="316" w:lineRule="auto"/>
        <w:ind w:right="0"/>
        <w:jc w:val="left"/>
      </w:pPr>
      <w:r>
        <w:rPr>
          <w:spacing w:val="-2"/>
        </w:rPr>
        <w:t>如果修改增加了所授予的权益工具的公允价值，公司按照权益工具公允价值的增加相应地确认取得服务的增加；如果修改增</w:t>
      </w:r>
      <w:r>
        <w:rPr>
          <w:spacing w:val="-63"/>
        </w:rPr>
        <w:t> </w:t>
      </w:r>
      <w:r>
        <w:rPr>
          <w:spacing w:val="-63"/>
        </w:rPr>
      </w:r>
      <w:r>
        <w:rPr>
          <w:spacing w:val="-2"/>
        </w:rPr>
        <w:t>加了所授予的权益工具的数量，公司将增加的权益工具的公允价值相应地确认为取得服务的增加；如果公司按照有利于职工</w:t>
      </w:r>
      <w:r>
        <w:rPr>
          <w:spacing w:val="-64"/>
        </w:rPr>
        <w:t> </w:t>
      </w:r>
      <w:r>
        <w:rPr>
          <w:spacing w:val="-64"/>
        </w:rPr>
      </w:r>
      <w:r>
        <w:rPr>
          <w:spacing w:val="-4"/>
        </w:rPr>
        <w:t>的方式修改可行权条件，公司在处理可行权条件时，考虑修改后的可行权条件。如果修改减少了授予的权益工具的公允价值，</w:t>
      </w:r>
      <w:r>
        <w:rPr>
          <w:spacing w:val="-44"/>
        </w:rPr>
        <w:t> </w:t>
      </w:r>
      <w:r>
        <w:rPr>
          <w:spacing w:val="-44"/>
        </w:rPr>
      </w:r>
      <w:r>
        <w:rPr>
          <w:spacing w:val="-2"/>
        </w:rPr>
        <w:t>公司继续以权益工具在授予日的公允价值为基础，确认取得服务的金额，而不考虑权益工具公允价值的减少；如果修改减少</w:t>
      </w:r>
      <w:r>
        <w:rPr>
          <w:spacing w:val="-66"/>
        </w:rPr>
        <w:t> </w:t>
      </w:r>
      <w:r>
        <w:rPr>
          <w:spacing w:val="-66"/>
        </w:rPr>
      </w:r>
      <w:r>
        <w:rPr>
          <w:spacing w:val="-2"/>
        </w:rPr>
        <w:t>了授予的权益工具的数量，公司将减少部分作为已授予的权益工具的取消来进行处理；如果以不利于职工的方式修改了可行</w:t>
      </w:r>
      <w:r>
        <w:rPr>
          <w:spacing w:val="-64"/>
        </w:rPr>
        <w:t> </w:t>
      </w:r>
      <w:r>
        <w:rPr>
          <w:spacing w:val="-64"/>
        </w:rPr>
      </w:r>
      <w:r>
        <w:rPr/>
        <w:t>权条件，在处理可行权条件时，不考虑修改后的可行权条件。</w:t>
      </w:r>
    </w:p>
    <w:p>
      <w:pPr>
        <w:pStyle w:val="BodyText"/>
        <w:spacing w:line="316" w:lineRule="auto" w:before="139"/>
        <w:ind w:left="1133" w:right="1129"/>
        <w:jc w:val="both"/>
      </w:pPr>
      <w:r>
        <w:rPr>
          <w:spacing w:val="-2"/>
        </w:rPr>
        <w:t>如果公司在等待期内取消了所授予的权益工具或结算了所授予的权益工具（因未满足可行权条件而被取消的除外），则将取</w:t>
      </w:r>
      <w:r>
        <w:rPr>
          <w:spacing w:val="-67"/>
        </w:rPr>
        <w:t> </w:t>
      </w:r>
      <w:r>
        <w:rPr>
          <w:spacing w:val="-67"/>
        </w:rPr>
      </w:r>
      <w:r>
        <w:rPr>
          <w:spacing w:val="-2"/>
        </w:rPr>
        <w:t>消或结算作为加速可行权处理，立即确认原本在剩余等待期内确认的金额。在取消或结算时支付给职工的所有款项均应作为</w:t>
      </w:r>
      <w:r>
        <w:rPr>
          <w:spacing w:val="-64"/>
        </w:rPr>
        <w:t> </w:t>
      </w:r>
      <w:r>
        <w:rPr>
          <w:spacing w:val="-64"/>
        </w:rPr>
      </w:r>
      <w:r>
        <w:rPr/>
        <w:t>权益的回购处理</w:t>
      </w:r>
      <w:r>
        <w:rPr>
          <w:rFonts w:ascii="宋体" w:hAnsi="宋体" w:cs="宋体" w:eastAsia="宋体" w:hint="default"/>
        </w:rPr>
        <w:t>,</w:t>
      </w:r>
      <w:r>
        <w:rPr/>
        <w:t>回购支付的金额高于该权益工具在回购日公允价值的部分</w:t>
      </w:r>
      <w:r>
        <w:rPr>
          <w:rFonts w:ascii="宋体" w:hAnsi="宋体" w:cs="宋体" w:eastAsia="宋体" w:hint="default"/>
        </w:rPr>
        <w:t>,</w:t>
      </w:r>
      <w:r>
        <w:rPr/>
        <w:t>计入当期费用。如果向职工授予新的权益工具</w:t>
      </w:r>
      <w:r>
        <w:rPr>
          <w:rFonts w:ascii="宋体" w:hAnsi="宋体" w:cs="宋体" w:eastAsia="宋体" w:hint="default"/>
        </w:rPr>
        <w:t>,</w:t>
      </w:r>
      <w:r>
        <w:rPr>
          <w:rFonts w:ascii="宋体" w:hAnsi="宋体" w:cs="宋体" w:eastAsia="宋体" w:hint="default"/>
          <w:spacing w:val="-83"/>
        </w:rPr>
        <w:t> </w:t>
      </w:r>
      <w:r>
        <w:rPr/>
        <w:t>并在新权益工具授予日认定所授予的新权益工具是用于替代被取消的权益工具的</w:t>
      </w:r>
      <w:r>
        <w:rPr>
          <w:rFonts w:ascii="宋体" w:hAnsi="宋体" w:cs="宋体" w:eastAsia="宋体" w:hint="default"/>
        </w:rPr>
        <w:t>,</w:t>
      </w:r>
      <w:r>
        <w:rPr/>
        <w:t>以处理原权益工具条款和条件修改相同的</w:t>
      </w:r>
      <w:r>
        <w:rPr>
          <w:spacing w:val="-82"/>
        </w:rPr>
        <w:t> </w:t>
      </w:r>
      <w:r>
        <w:rPr>
          <w:spacing w:val="-82"/>
        </w:rPr>
      </w:r>
      <w:r>
        <w:rPr/>
        <w:t>方式</w:t>
      </w:r>
      <w:r>
        <w:rPr>
          <w:rFonts w:ascii="宋体" w:hAnsi="宋体" w:cs="宋体" w:eastAsia="宋体" w:hint="default"/>
        </w:rPr>
        <w:t>,</w:t>
      </w:r>
      <w:r>
        <w:rPr/>
        <w:t>对所授予的替代权益工具进行处理。如果回购其职工已可行权的权益工具</w:t>
      </w:r>
      <w:r>
        <w:rPr>
          <w:rFonts w:ascii="宋体" w:hAnsi="宋体" w:cs="宋体" w:eastAsia="宋体" w:hint="default"/>
        </w:rPr>
        <w:t>,</w:t>
      </w:r>
      <w:r>
        <w:rPr/>
        <w:t>借记所有者权益</w:t>
      </w:r>
      <w:r>
        <w:rPr>
          <w:rFonts w:ascii="宋体" w:hAnsi="宋体" w:cs="宋体" w:eastAsia="宋体" w:hint="default"/>
        </w:rPr>
        <w:t>,</w:t>
      </w:r>
      <w:r>
        <w:rPr/>
        <w:t>回购支付的金额高于该权</w:t>
      </w:r>
      <w:r>
        <w:rPr>
          <w:spacing w:val="-82"/>
        </w:rPr>
        <w:t> </w:t>
      </w:r>
      <w:r>
        <w:rPr>
          <w:spacing w:val="-82"/>
        </w:rPr>
      </w:r>
      <w:r>
        <w:rPr/>
        <w:t>益工具在回购日公允价值的部分</w:t>
      </w:r>
      <w:r>
        <w:rPr>
          <w:rFonts w:ascii="宋体" w:hAnsi="宋体" w:cs="宋体" w:eastAsia="宋体" w:hint="default"/>
        </w:rPr>
        <w:t>,</w:t>
      </w:r>
      <w:r>
        <w:rPr/>
        <w:t>计入当期费用。</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5、收入" w:id="205"/>
      <w:bookmarkEnd w:id="205"/>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240" w:lineRule="auto" w:before="108"/>
        <w:ind w:right="0"/>
        <w:jc w:val="both"/>
      </w:pPr>
      <w:r>
        <w:rPr/>
        <w:t>（</w:t>
      </w:r>
      <w:r>
        <w:rPr>
          <w:rFonts w:ascii="宋体" w:hAnsi="宋体" w:cs="宋体" w:eastAsia="宋体" w:hint="default"/>
        </w:rPr>
        <w:t>1</w:t>
      </w:r>
      <w:r>
        <w:rPr/>
        <w:t>）销售商品收入，在下列条件均能满足时予以确认：</w:t>
      </w:r>
    </w:p>
    <w:p>
      <w:pPr>
        <w:spacing w:line="240" w:lineRule="auto" w:before="12"/>
        <w:rPr>
          <w:rFonts w:ascii="宋体" w:hAnsi="宋体" w:cs="宋体" w:eastAsia="宋体" w:hint="default"/>
          <w:sz w:val="14"/>
          <w:szCs w:val="14"/>
        </w:rPr>
      </w:pPr>
    </w:p>
    <w:p>
      <w:pPr>
        <w:pStyle w:val="BodyText"/>
        <w:spacing w:line="240" w:lineRule="auto"/>
        <w:ind w:right="0"/>
        <w:jc w:val="both"/>
      </w:pPr>
      <w:r>
        <w:rPr/>
        <w:t>①公司已将商品所有权上的主要风险和报酬转移给购货方；</w:t>
      </w:r>
    </w:p>
    <w:p>
      <w:pPr>
        <w:spacing w:line="240" w:lineRule="auto" w:before="0"/>
        <w:rPr>
          <w:rFonts w:ascii="宋体" w:hAnsi="宋体" w:cs="宋体" w:eastAsia="宋体" w:hint="default"/>
          <w:sz w:val="15"/>
          <w:szCs w:val="15"/>
        </w:rPr>
      </w:pPr>
    </w:p>
    <w:p>
      <w:pPr>
        <w:pStyle w:val="BodyText"/>
        <w:spacing w:line="240" w:lineRule="auto"/>
        <w:ind w:right="0"/>
        <w:jc w:val="both"/>
      </w:pPr>
      <w:r>
        <w:rPr/>
        <w:t>②公司既没有保留通常与所有权相联系的继续管理权，也没有对已售出的商品实施有效控制；</w:t>
      </w:r>
    </w:p>
    <w:p>
      <w:pPr>
        <w:spacing w:line="240" w:lineRule="auto" w:before="0"/>
        <w:rPr>
          <w:rFonts w:ascii="宋体" w:hAnsi="宋体" w:cs="宋体" w:eastAsia="宋体" w:hint="default"/>
          <w:sz w:val="15"/>
          <w:szCs w:val="15"/>
        </w:rPr>
      </w:pPr>
    </w:p>
    <w:p>
      <w:pPr>
        <w:pStyle w:val="BodyText"/>
        <w:spacing w:line="240" w:lineRule="auto"/>
        <w:ind w:left="1133" w:right="0"/>
        <w:jc w:val="both"/>
      </w:pPr>
      <w:r>
        <w:rPr/>
        <w:t>③收入的金额能够可靠计量；</w:t>
      </w:r>
    </w:p>
    <w:p>
      <w:pPr>
        <w:spacing w:line="240" w:lineRule="auto" w:before="0"/>
        <w:rPr>
          <w:rFonts w:ascii="宋体" w:hAnsi="宋体" w:cs="宋体" w:eastAsia="宋体" w:hint="default"/>
          <w:sz w:val="15"/>
          <w:szCs w:val="15"/>
        </w:rPr>
      </w:pPr>
    </w:p>
    <w:p>
      <w:pPr>
        <w:pStyle w:val="BodyText"/>
        <w:spacing w:line="240" w:lineRule="auto"/>
        <w:ind w:right="0"/>
        <w:jc w:val="both"/>
      </w:pPr>
      <w:r>
        <w:rPr/>
        <w:t>④相关经济利益很可能流入公司；</w:t>
      </w:r>
    </w:p>
    <w:p>
      <w:pPr>
        <w:spacing w:line="240" w:lineRule="auto" w:before="0"/>
        <w:rPr>
          <w:rFonts w:ascii="宋体" w:hAnsi="宋体" w:cs="宋体" w:eastAsia="宋体" w:hint="default"/>
          <w:sz w:val="15"/>
          <w:szCs w:val="15"/>
        </w:rPr>
      </w:pPr>
    </w:p>
    <w:p>
      <w:pPr>
        <w:pStyle w:val="BodyText"/>
        <w:spacing w:line="439" w:lineRule="auto"/>
        <w:ind w:left="1133" w:right="1133"/>
        <w:jc w:val="both"/>
      </w:pPr>
      <w:r>
        <w:rPr/>
        <w:t>⑤相关的、已发生的或将发生的成本能够可靠计量。 对于国内销售，公司将产品按照协议合同运至约定交货地点，由买方确认接收并验收合格后确认收入。</w:t>
      </w:r>
    </w:p>
    <w:p>
      <w:pPr>
        <w:pStyle w:val="BodyText"/>
        <w:spacing w:line="316" w:lineRule="auto" w:before="47"/>
        <w:ind w:left="1133" w:right="1132"/>
        <w:jc w:val="both"/>
      </w:pPr>
      <w:r>
        <w:rPr>
          <w:spacing w:val="-2"/>
        </w:rPr>
        <w:t>对于出口销售，公司根据销售合同规定的贸易条款，将出口产品按照合同规定办理出口报关手续并装船后，或运至指定的交</w:t>
      </w:r>
      <w:r>
        <w:rPr>
          <w:spacing w:val="-66"/>
        </w:rPr>
        <w:t> </w:t>
      </w:r>
      <w:r>
        <w:rPr>
          <w:spacing w:val="-66"/>
        </w:rPr>
      </w:r>
      <w:r>
        <w:rPr>
          <w:spacing w:val="-2"/>
        </w:rPr>
        <w:t>货地点后确认收入。对于上述销售，买方在确认接收后具有自行销售产品的权利并承担该产品可能发生价格波动或毁损的风</w:t>
      </w:r>
      <w:r>
        <w:rPr>
          <w:spacing w:val="-64"/>
        </w:rPr>
        <w:t> </w:t>
      </w:r>
      <w:r>
        <w:rPr>
          <w:spacing w:val="-64"/>
        </w:rPr>
      </w:r>
      <w:r>
        <w:rPr/>
        <w:t>险。</w:t>
      </w:r>
    </w:p>
    <w:p>
      <w:pPr>
        <w:pStyle w:val="BodyText"/>
        <w:spacing w:line="240" w:lineRule="auto" w:before="139"/>
        <w:ind w:right="0"/>
        <w:jc w:val="both"/>
      </w:pPr>
      <w:r>
        <w:rPr/>
        <w:t>（</w:t>
      </w:r>
      <w:r>
        <w:rPr>
          <w:rFonts w:ascii="宋体" w:hAnsi="宋体" w:cs="宋体" w:eastAsia="宋体" w:hint="default"/>
        </w:rPr>
        <w:t>2</w:t>
      </w:r>
      <w:r>
        <w:rPr/>
        <w:t>）提供劳务</w:t>
      </w:r>
    </w:p>
    <w:p>
      <w:pPr>
        <w:spacing w:after="0" w:line="240"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0"/>
        <w:jc w:val="left"/>
      </w:pPr>
      <w:r>
        <w:rPr/>
        <w:t>劳务在同一年度内开始并完成的，在完成劳务时确认收入； </w:t>
      </w:r>
      <w:r>
        <w:rPr>
          <w:spacing w:val="-2"/>
        </w:rPr>
        <w:t>劳务的开始和完成分属不同的会计年度的，在劳务合同的总收入、总成本能够可靠地计量，与交易相关的经济利益能够流入</w:t>
      </w:r>
      <w:r>
        <w:rPr>
          <w:spacing w:val="-66"/>
        </w:rPr>
        <w:t> </w:t>
      </w:r>
      <w:r>
        <w:rPr>
          <w:spacing w:val="-66"/>
        </w:rPr>
      </w:r>
      <w:r>
        <w:rPr/>
        <w:t>公司，已经发生的成本和为完成劳务将要发生的成本能够可靠地计量时，按完工百分比法确认劳务收入。</w:t>
      </w:r>
    </w:p>
    <w:p>
      <w:pPr>
        <w:pStyle w:val="BodyText"/>
        <w:spacing w:line="240" w:lineRule="auto" w:before="139"/>
        <w:ind w:left="1133" w:right="0"/>
        <w:jc w:val="both"/>
      </w:pPr>
      <w:r>
        <w:rPr/>
        <w:t>提供劳务的收入，在下列条件均能满足时予以确认：</w:t>
      </w:r>
    </w:p>
    <w:p>
      <w:pPr>
        <w:spacing w:line="240" w:lineRule="auto" w:before="1"/>
        <w:rPr>
          <w:rFonts w:ascii="宋体" w:hAnsi="宋体" w:cs="宋体" w:eastAsia="宋体" w:hint="default"/>
          <w:sz w:val="15"/>
          <w:szCs w:val="15"/>
        </w:rPr>
      </w:pPr>
    </w:p>
    <w:p>
      <w:pPr>
        <w:pStyle w:val="BodyText"/>
        <w:spacing w:line="240" w:lineRule="auto"/>
        <w:ind w:right="0"/>
        <w:jc w:val="both"/>
      </w:pPr>
      <w:r>
        <w:rPr/>
        <w:t>①收入的金额能够可靠计量；</w:t>
      </w:r>
    </w:p>
    <w:p>
      <w:pPr>
        <w:spacing w:line="240" w:lineRule="auto" w:before="0"/>
        <w:rPr>
          <w:rFonts w:ascii="宋体" w:hAnsi="宋体" w:cs="宋体" w:eastAsia="宋体" w:hint="default"/>
          <w:sz w:val="15"/>
          <w:szCs w:val="15"/>
        </w:rPr>
      </w:pPr>
    </w:p>
    <w:p>
      <w:pPr>
        <w:pStyle w:val="BodyText"/>
        <w:spacing w:line="240" w:lineRule="auto"/>
        <w:ind w:right="0"/>
        <w:jc w:val="both"/>
      </w:pPr>
      <w:r>
        <w:rPr/>
        <w:t>②相关的经济利益很可能流入公司；</w:t>
      </w:r>
    </w:p>
    <w:p>
      <w:pPr>
        <w:spacing w:line="240" w:lineRule="auto" w:before="0"/>
        <w:rPr>
          <w:rFonts w:ascii="宋体" w:hAnsi="宋体" w:cs="宋体" w:eastAsia="宋体" w:hint="default"/>
          <w:sz w:val="15"/>
          <w:szCs w:val="15"/>
        </w:rPr>
      </w:pPr>
    </w:p>
    <w:p>
      <w:pPr>
        <w:pStyle w:val="BodyText"/>
        <w:spacing w:line="240" w:lineRule="auto"/>
        <w:ind w:right="0"/>
        <w:jc w:val="both"/>
      </w:pPr>
      <w:r>
        <w:rPr/>
        <w:t>③交易的完工进度能够可靠确定；</w:t>
      </w:r>
    </w:p>
    <w:p>
      <w:pPr>
        <w:spacing w:line="240" w:lineRule="auto" w:before="0"/>
        <w:rPr>
          <w:rFonts w:ascii="宋体" w:hAnsi="宋体" w:cs="宋体" w:eastAsia="宋体" w:hint="default"/>
          <w:sz w:val="15"/>
          <w:szCs w:val="15"/>
        </w:rPr>
      </w:pPr>
    </w:p>
    <w:p>
      <w:pPr>
        <w:pStyle w:val="BodyText"/>
        <w:spacing w:line="439" w:lineRule="auto"/>
        <w:ind w:right="4092"/>
        <w:jc w:val="left"/>
      </w:pPr>
      <w:r>
        <w:rPr/>
        <w:t>④交易中已发生的和将发生的成本能够可靠计量。 在资产负债表日提供劳务交易的结果不能够可靠估计的情况下，分别下列情况处理：</w:t>
      </w:r>
    </w:p>
    <w:p>
      <w:pPr>
        <w:pStyle w:val="BodyText"/>
        <w:spacing w:line="240" w:lineRule="auto" w:before="47"/>
        <w:ind w:left="1133" w:right="0"/>
        <w:jc w:val="both"/>
      </w:pPr>
      <w:r>
        <w:rPr/>
        <w:t>①已经发生的劳务成本预计能够得到补偿的</w:t>
      </w:r>
      <w:r>
        <w:rPr>
          <w:spacing w:val="-87"/>
        </w:rPr>
        <w:t>，</w:t>
      </w:r>
      <w:r>
        <w:rPr/>
        <w:t>按照已经发生的劳务成本金额确认提供劳务收入</w:t>
      </w:r>
      <w:r>
        <w:rPr>
          <w:spacing w:val="-87"/>
        </w:rPr>
        <w:t>，</w:t>
      </w:r>
      <w:r>
        <w:rPr/>
        <w:t>并按相同金额结转劳务成本；</w:t>
      </w:r>
    </w:p>
    <w:p>
      <w:pPr>
        <w:spacing w:line="240" w:lineRule="auto" w:before="0"/>
        <w:rPr>
          <w:rFonts w:ascii="宋体" w:hAnsi="宋体" w:cs="宋体" w:eastAsia="宋体" w:hint="default"/>
          <w:sz w:val="15"/>
          <w:szCs w:val="15"/>
        </w:rPr>
      </w:pPr>
    </w:p>
    <w:p>
      <w:pPr>
        <w:pStyle w:val="BodyText"/>
        <w:spacing w:line="316" w:lineRule="auto"/>
        <w:ind w:right="1118"/>
        <w:jc w:val="left"/>
      </w:pPr>
      <w:r>
        <w:rPr>
          <w:spacing w:val="-2"/>
        </w:rPr>
        <w:t>②已经发生的劳务成本预计不能够全部得到补偿的，按照能够得到补偿的劳务成本金额确认收入，将已发生的劳务成本计入</w:t>
      </w:r>
      <w:r>
        <w:rPr>
          <w:spacing w:val="-64"/>
        </w:rPr>
        <w:t> </w:t>
      </w:r>
      <w:r>
        <w:rPr>
          <w:spacing w:val="-64"/>
        </w:rPr>
      </w:r>
      <w:r>
        <w:rPr/>
        <w:t>当期损益；</w:t>
      </w:r>
    </w:p>
    <w:p>
      <w:pPr>
        <w:pStyle w:val="BodyText"/>
        <w:spacing w:line="240" w:lineRule="auto" w:before="139"/>
        <w:ind w:left="1133" w:right="0"/>
        <w:jc w:val="both"/>
      </w:pPr>
      <w:r>
        <w:rPr/>
        <w:t>③已经发生的劳务成本预计全部不能够得到补偿的，不确认收入，将已发生的劳务成本计入当期损益。</w:t>
      </w:r>
    </w:p>
    <w:p>
      <w:pPr>
        <w:spacing w:line="240" w:lineRule="auto" w:before="0"/>
        <w:rPr>
          <w:rFonts w:ascii="宋体" w:hAnsi="宋体" w:cs="宋体" w:eastAsia="宋体" w:hint="default"/>
          <w:sz w:val="15"/>
          <w:szCs w:val="15"/>
        </w:rPr>
      </w:pPr>
    </w:p>
    <w:p>
      <w:pPr>
        <w:pStyle w:val="BodyText"/>
        <w:spacing w:line="439" w:lineRule="auto"/>
        <w:ind w:right="6432"/>
        <w:jc w:val="left"/>
      </w:pPr>
      <w:r>
        <w:rPr/>
        <w:t>（</w:t>
      </w:r>
      <w:r>
        <w:rPr>
          <w:rFonts w:ascii="宋体" w:hAnsi="宋体" w:cs="宋体" w:eastAsia="宋体" w:hint="default"/>
        </w:rPr>
        <w:t>3</w:t>
      </w:r>
      <w:r>
        <w:rPr/>
        <w:t>）让渡资产使用权 让渡资产使用权收入在下列条件均能满足时予以确认：</w:t>
      </w:r>
    </w:p>
    <w:p>
      <w:pPr>
        <w:pStyle w:val="BodyText"/>
        <w:spacing w:line="240" w:lineRule="auto" w:before="47"/>
        <w:ind w:right="0"/>
        <w:jc w:val="both"/>
      </w:pPr>
      <w:r>
        <w:rPr/>
        <w:t>①相关的经济利益很可能流入公司；</w:t>
      </w:r>
    </w:p>
    <w:p>
      <w:pPr>
        <w:spacing w:line="240" w:lineRule="auto" w:before="0"/>
        <w:rPr>
          <w:rFonts w:ascii="宋体" w:hAnsi="宋体" w:cs="宋体" w:eastAsia="宋体" w:hint="default"/>
          <w:sz w:val="15"/>
          <w:szCs w:val="15"/>
        </w:rPr>
      </w:pPr>
    </w:p>
    <w:p>
      <w:pPr>
        <w:pStyle w:val="BodyText"/>
        <w:spacing w:line="240" w:lineRule="auto"/>
        <w:ind w:right="0"/>
        <w:jc w:val="both"/>
      </w:pPr>
      <w:r>
        <w:rPr/>
        <w:t>②收入的金额能够可靠地计量。</w:t>
      </w:r>
    </w:p>
    <w:p>
      <w:pPr>
        <w:spacing w:line="240" w:lineRule="auto" w:before="1"/>
        <w:rPr>
          <w:rFonts w:ascii="宋体" w:hAnsi="宋体" w:cs="宋体" w:eastAsia="宋体" w:hint="default"/>
          <w:sz w:val="15"/>
          <w:szCs w:val="15"/>
        </w:rPr>
      </w:pPr>
    </w:p>
    <w:p>
      <w:pPr>
        <w:pStyle w:val="BodyText"/>
        <w:spacing w:line="240" w:lineRule="auto"/>
        <w:ind w:right="0"/>
        <w:jc w:val="both"/>
      </w:pPr>
      <w:r>
        <w:rPr/>
        <w:t>（</w:t>
      </w:r>
      <w:r>
        <w:rPr>
          <w:rFonts w:ascii="宋体" w:hAnsi="宋体" w:cs="宋体" w:eastAsia="宋体" w:hint="default"/>
        </w:rPr>
        <w:t>4</w:t>
      </w:r>
      <w:r>
        <w:rPr/>
        <w:t>）教育类具体收入确认政策</w:t>
      </w:r>
    </w:p>
    <w:p>
      <w:pPr>
        <w:spacing w:line="240" w:lineRule="auto" w:before="0"/>
        <w:rPr>
          <w:rFonts w:ascii="宋体" w:hAnsi="宋体" w:cs="宋体" w:eastAsia="宋体" w:hint="default"/>
          <w:sz w:val="15"/>
          <w:szCs w:val="15"/>
        </w:rPr>
      </w:pPr>
    </w:p>
    <w:p>
      <w:pPr>
        <w:pStyle w:val="BodyText"/>
        <w:spacing w:line="240" w:lineRule="auto"/>
        <w:ind w:right="0"/>
        <w:jc w:val="both"/>
      </w:pPr>
      <w:r>
        <w:rPr/>
        <w:t>①教育信息化服务</w:t>
      </w:r>
    </w:p>
    <w:p>
      <w:pPr>
        <w:spacing w:line="240" w:lineRule="auto" w:before="0"/>
        <w:rPr>
          <w:rFonts w:ascii="宋体" w:hAnsi="宋体" w:cs="宋体" w:eastAsia="宋体" w:hint="default"/>
          <w:sz w:val="15"/>
          <w:szCs w:val="15"/>
        </w:rPr>
      </w:pPr>
    </w:p>
    <w:p>
      <w:pPr>
        <w:pStyle w:val="BodyText"/>
        <w:spacing w:line="316" w:lineRule="auto"/>
        <w:ind w:left="1133" w:right="1033"/>
        <w:jc w:val="left"/>
      </w:pPr>
      <w:r>
        <w:rPr>
          <w:spacing w:val="-2"/>
        </w:rPr>
        <w:t>公司主要通过与基础运营商（中国电信各省、市分公司）、社会渠道（区域代理商）合作的方式推广教育信息化服务业务。</w:t>
      </w:r>
      <w:r>
        <w:rPr>
          <w:spacing w:val="-72"/>
        </w:rPr>
        <w:t> </w:t>
      </w:r>
      <w:r>
        <w:rPr>
          <w:spacing w:val="-72"/>
        </w:rPr>
      </w:r>
      <w:r>
        <w:rPr/>
        <w:t>公司负责售前技术支持、软硬件设备投资和售后服务，基础运营商（中国电信各省、市分公司）和社会渠道（区域代理商） </w:t>
      </w:r>
      <w:r>
        <w:rPr>
          <w:spacing w:val="-2"/>
        </w:rPr>
        <w:t>负责基础网络、业务管理及开拓、收费结算等支持。基础运营商（中国电信各省、市分公司）、社会渠道（区域代理商）与</w:t>
      </w:r>
      <w:r>
        <w:rPr>
          <w:spacing w:val="-72"/>
        </w:rPr>
        <w:t> </w:t>
      </w:r>
      <w:r>
        <w:rPr>
          <w:spacing w:val="-72"/>
        </w:rPr>
      </w:r>
      <w:r>
        <w:rPr/>
        <w:t>学生家长签署协议并收取相关服务费后按照其与公司合作协议约定的结算方式与分成比例与公司进行结算与分成。</w:t>
      </w:r>
    </w:p>
    <w:p>
      <w:pPr>
        <w:pStyle w:val="BodyText"/>
        <w:spacing w:line="316" w:lineRule="auto" w:before="139"/>
        <w:ind w:left="1133" w:right="0"/>
        <w:jc w:val="left"/>
      </w:pPr>
      <w:r>
        <w:rPr>
          <w:spacing w:val="-2"/>
        </w:rPr>
        <w:t>因此，对教育信息化服务业务，公司根据与基础运营商（中国电信各省、市分公司）、社会渠道（区域代理商）的合作协议</w:t>
      </w:r>
      <w:r>
        <w:rPr>
          <w:spacing w:val="-72"/>
        </w:rPr>
        <w:t> </w:t>
      </w:r>
      <w:r>
        <w:rPr>
          <w:spacing w:val="-72"/>
        </w:rPr>
      </w:r>
      <w:r>
        <w:rPr/>
        <w:t>约定完成相应服务并收到运营商结算数据时，公司对结算数据进行核对后确认收入。</w:t>
      </w:r>
    </w:p>
    <w:p>
      <w:pPr>
        <w:pStyle w:val="BodyText"/>
        <w:spacing w:line="240" w:lineRule="auto" w:before="139"/>
        <w:ind w:left="1133" w:right="0"/>
        <w:jc w:val="both"/>
      </w:pPr>
      <w:r>
        <w:rPr/>
        <w:t>②教育系统集成业务</w:t>
      </w:r>
    </w:p>
    <w:p>
      <w:pPr>
        <w:spacing w:line="240" w:lineRule="auto" w:before="0"/>
        <w:rPr>
          <w:rFonts w:ascii="宋体" w:hAnsi="宋体" w:cs="宋体" w:eastAsia="宋体" w:hint="default"/>
          <w:sz w:val="15"/>
          <w:szCs w:val="15"/>
        </w:rPr>
      </w:pPr>
    </w:p>
    <w:p>
      <w:pPr>
        <w:pStyle w:val="BodyText"/>
        <w:spacing w:line="316" w:lineRule="auto"/>
        <w:ind w:right="1131"/>
        <w:jc w:val="both"/>
      </w:pPr>
      <w:r>
        <w:rPr>
          <w:spacing w:val="-2"/>
        </w:rPr>
        <w:t>对于教育系统集成业务，公司根据合同的约定，在系统集成中的外购软硬件产品和公司软件产品的主要风险和报酬已转移给</w:t>
      </w:r>
      <w:r>
        <w:rPr>
          <w:spacing w:val="-64"/>
        </w:rPr>
        <w:t> </w:t>
      </w:r>
      <w:r>
        <w:rPr>
          <w:spacing w:val="-64"/>
        </w:rPr>
      </w:r>
      <w:r>
        <w:rPr>
          <w:spacing w:val="-2"/>
        </w:rPr>
        <w:t>买方，公司不再保留与之相联系的继续管理权和控制权，系统已按合同约定的条件安装调试、取得了买方的验收，相关成本</w:t>
      </w:r>
      <w:r>
        <w:rPr>
          <w:spacing w:val="-66"/>
        </w:rPr>
        <w:t> </w:t>
      </w:r>
      <w:r>
        <w:rPr>
          <w:spacing w:val="-66"/>
        </w:rPr>
      </w:r>
      <w:r>
        <w:rPr/>
        <w:t>能够可靠计量时确认收入。</w:t>
      </w:r>
    </w:p>
    <w:p>
      <w:pPr>
        <w:pStyle w:val="BodyText"/>
        <w:spacing w:line="240" w:lineRule="auto" w:before="139"/>
        <w:ind w:right="0"/>
        <w:jc w:val="both"/>
      </w:pPr>
      <w:r>
        <w:rPr/>
        <w:t>③软件开发及技术服务业务</w:t>
      </w:r>
    </w:p>
    <w:p>
      <w:pPr>
        <w:spacing w:line="240" w:lineRule="auto" w:before="0"/>
        <w:rPr>
          <w:rFonts w:ascii="宋体" w:hAnsi="宋体" w:cs="宋体" w:eastAsia="宋体" w:hint="default"/>
          <w:sz w:val="15"/>
          <w:szCs w:val="15"/>
        </w:rPr>
      </w:pPr>
    </w:p>
    <w:p>
      <w:pPr>
        <w:pStyle w:val="BodyText"/>
        <w:spacing w:line="319" w:lineRule="auto"/>
        <w:ind w:left="1133" w:right="1131"/>
        <w:jc w:val="both"/>
      </w:pPr>
      <w:r>
        <w:rPr>
          <w:spacing w:val="-2"/>
        </w:rPr>
        <w:t>软件开发：公司根据买方的实际需求进行定制、开发的软件产品，按签订的软件开发合同进行核算。开发项目在同一会计年</w:t>
      </w:r>
      <w:r>
        <w:rPr>
          <w:spacing w:val="-66"/>
        </w:rPr>
        <w:t> </w:t>
      </w:r>
      <w:r>
        <w:rPr>
          <w:spacing w:val="-66"/>
        </w:rPr>
      </w:r>
      <w:r>
        <w:rPr>
          <w:spacing w:val="-2"/>
        </w:rPr>
        <w:t>度开始并完成的，在完成时确认收入；如果开发项目的开始和完成分属不同会计年度，在资产负债表日根据开发的完工程度</w:t>
      </w:r>
      <w:r>
        <w:rPr>
          <w:spacing w:val="-66"/>
        </w:rPr>
        <w:t> </w:t>
      </w:r>
      <w:r>
        <w:rPr>
          <w:spacing w:val="-66"/>
        </w:rPr>
      </w:r>
      <w:r>
        <w:rPr/>
        <w:t>确认收入。</w:t>
      </w:r>
    </w:p>
    <w:p>
      <w:pPr>
        <w:pStyle w:val="BodyText"/>
        <w:spacing w:line="316" w:lineRule="auto" w:before="137"/>
        <w:ind w:right="1131"/>
        <w:jc w:val="both"/>
      </w:pPr>
      <w:r>
        <w:rPr>
          <w:spacing w:val="-2"/>
        </w:rPr>
        <w:t>技术服务：技术服务包括公司向客户提供的与</w:t>
      </w:r>
      <w:r>
        <w:rPr>
          <w:rFonts w:ascii="宋体" w:hAnsi="宋体" w:cs="宋体" w:eastAsia="宋体" w:hint="default"/>
          <w:spacing w:val="-2"/>
        </w:rPr>
        <w:t>IT</w:t>
      </w:r>
      <w:r>
        <w:rPr>
          <w:spacing w:val="-2"/>
        </w:rPr>
        <w:t>运维管理相关的技术支持、技术咨询、技术开发、系统维护、运营管理等服</w:t>
      </w:r>
      <w:r>
        <w:rPr>
          <w:spacing w:val="-64"/>
        </w:rPr>
        <w:t> </w:t>
      </w:r>
      <w:r>
        <w:rPr>
          <w:spacing w:val="-64"/>
        </w:rPr>
      </w:r>
      <w:r>
        <w:rPr>
          <w:spacing w:val="-2"/>
        </w:rPr>
        <w:t>务内容。公司在已根据合同约定提供了相应服务，取得明确的收款证据，相关成本能够可靠地计量时，确认收入。合同明确</w:t>
      </w:r>
      <w:r>
        <w:rPr>
          <w:spacing w:val="-66"/>
        </w:rPr>
        <w:t> </w:t>
      </w:r>
      <w:r>
        <w:rPr>
          <w:spacing w:val="-66"/>
        </w:rPr>
      </w:r>
      <w:r>
        <w:rPr>
          <w:spacing w:val="-2"/>
        </w:rPr>
        <w:t>约定服务期限的，在合同约定的服务期限内，按进度确认收入；合同明确约定服务成果需经客户验收确认的，根据客户验收</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情况确认收入。</w:t>
      </w:r>
    </w:p>
    <w:p>
      <w:pPr>
        <w:spacing w:line="240" w:lineRule="auto" w:before="0"/>
        <w:rPr>
          <w:rFonts w:ascii="宋体" w:hAnsi="宋体" w:cs="宋体" w:eastAsia="宋体" w:hint="default"/>
          <w:sz w:val="15"/>
          <w:szCs w:val="15"/>
        </w:rPr>
      </w:pPr>
    </w:p>
    <w:p>
      <w:pPr>
        <w:pStyle w:val="BodyText"/>
        <w:spacing w:line="240" w:lineRule="auto"/>
        <w:ind w:left="1133" w:right="0"/>
        <w:jc w:val="left"/>
      </w:pPr>
      <w:r>
        <w:rPr/>
        <w:t>④非学历短期培训收入</w:t>
      </w:r>
    </w:p>
    <w:p>
      <w:pPr>
        <w:spacing w:line="240" w:lineRule="auto" w:before="0"/>
        <w:rPr>
          <w:rFonts w:ascii="宋体" w:hAnsi="宋体" w:cs="宋体" w:eastAsia="宋体" w:hint="default"/>
          <w:sz w:val="15"/>
          <w:szCs w:val="15"/>
        </w:rPr>
      </w:pPr>
    </w:p>
    <w:p>
      <w:pPr>
        <w:pStyle w:val="BodyText"/>
        <w:spacing w:line="319" w:lineRule="auto"/>
        <w:ind w:left="1133" w:right="3193"/>
        <w:jc w:val="left"/>
      </w:pPr>
      <w:r>
        <w:rPr/>
        <w:t>培训协议约定由公司负责推荐就业的，在培训期完成后完成学员的推荐工作时一次性确认收入。 培训协议未约定由公司负责推荐就业的，在培训期分期确认收入。</w:t>
      </w:r>
    </w:p>
    <w:p>
      <w:pPr>
        <w:spacing w:line="240" w:lineRule="auto" w:before="5"/>
        <w:rPr>
          <w:rFonts w:ascii="宋体" w:hAnsi="宋体" w:cs="宋体" w:eastAsia="宋体" w:hint="default"/>
          <w:sz w:val="22"/>
          <w:szCs w:val="22"/>
        </w:rPr>
      </w:pPr>
    </w:p>
    <w:p>
      <w:pPr>
        <w:pStyle w:val="Heading3"/>
        <w:spacing w:line="240" w:lineRule="auto"/>
        <w:ind w:left="1133" w:right="0"/>
        <w:jc w:val="left"/>
        <w:rPr>
          <w:b w:val="0"/>
          <w:bCs w:val="0"/>
        </w:rPr>
      </w:pPr>
      <w:bookmarkStart w:name="26、政府补助" w:id="206"/>
      <w:bookmarkEnd w:id="206"/>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207"/>
      <w:bookmarkEnd w:id="207"/>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与资产相关的政府补助，冲减相关资产的账面价值或确认为递延收益。与资产相关的政府补助确认为递延收益的，在相关资</w:t>
      </w:r>
      <w:r>
        <w:rPr>
          <w:spacing w:val="-65"/>
        </w:rPr>
        <w:t> </w:t>
      </w:r>
      <w:r>
        <w:rPr>
          <w:spacing w:val="-65"/>
        </w:rPr>
      </w:r>
      <w:r>
        <w:rPr/>
        <w:t>产使用寿命内按照合理、系统的方法分期计入损益。按照名义金额计量的政府补助，直接计入当期损益。</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与收益相关的政府补助判断依据及会计处理方法" w:id="208"/>
      <w:bookmarkEnd w:id="208"/>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0"/>
        <w:jc w:val="left"/>
      </w:pPr>
      <w:r>
        <w:rPr>
          <w:spacing w:val="-2"/>
        </w:rPr>
        <w:t>与收益相关的政府补助，用于补偿以后期间的相关费用和损失的，确认为递延收益，并在确认相关费用的期间计入当期损益</w:t>
      </w:r>
      <w:r>
        <w:rPr>
          <w:spacing w:val="-66"/>
        </w:rPr>
        <w:t> </w:t>
      </w:r>
      <w:r>
        <w:rPr>
          <w:spacing w:val="-66"/>
        </w:rPr>
      </w:r>
      <w:r>
        <w:rPr/>
        <w:t>或冲减相关成本；用于补偿已经发生的相关费用和损失的，直接计入当期损益或冲减相关成本。 </w:t>
      </w:r>
      <w:r>
        <w:rPr>
          <w:spacing w:val="-2"/>
        </w:rPr>
        <w:t>已确认的政府补助需要退回的，应当在需要退回的当期分情况按照以下规定进行会计处理：①初始确认时冲减相关资产账面</w:t>
      </w:r>
      <w:r>
        <w:rPr>
          <w:spacing w:val="-63"/>
        </w:rPr>
        <w:t> </w:t>
      </w:r>
      <w:r>
        <w:rPr>
          <w:spacing w:val="-63"/>
        </w:rPr>
      </w:r>
      <w:r>
        <w:rPr>
          <w:spacing w:val="-2"/>
        </w:rPr>
        <w:t>价值的，调整资产账面价值；②存在相关递延收益的，冲减相关递延收益账面余额，超出部分计入当期损益；③属于其他情</w:t>
      </w:r>
      <w:r>
        <w:rPr>
          <w:spacing w:val="-68"/>
        </w:rPr>
        <w:t> </w:t>
      </w:r>
      <w:r>
        <w:rPr>
          <w:spacing w:val="-68"/>
        </w:rPr>
      </w:r>
      <w:r>
        <w:rPr/>
        <w:t>况的，直接计入当期损益。</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7、递延所得税资产/递延所得税负债" w:id="209"/>
      <w:bookmarkEnd w:id="209"/>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w:t>
      </w:r>
      <w:r>
        <w:rPr>
          <w:rFonts w:ascii="宋体" w:hAnsi="宋体" w:cs="宋体" w:eastAsia="宋体" w:hint="default"/>
        </w:rPr>
        <w:t>1</w:t>
      </w:r>
      <w:r>
        <w:rPr/>
        <w:t>）所得税的核算方法</w:t>
      </w:r>
    </w:p>
    <w:p>
      <w:pPr>
        <w:spacing w:line="240" w:lineRule="auto" w:before="0"/>
        <w:rPr>
          <w:rFonts w:ascii="宋体" w:hAnsi="宋体" w:cs="宋体" w:eastAsia="宋体" w:hint="default"/>
          <w:sz w:val="15"/>
          <w:szCs w:val="15"/>
        </w:rPr>
      </w:pPr>
    </w:p>
    <w:p>
      <w:pPr>
        <w:pStyle w:val="BodyText"/>
        <w:spacing w:line="316" w:lineRule="auto"/>
        <w:ind w:right="1132"/>
        <w:jc w:val="both"/>
      </w:pPr>
      <w:r>
        <w:rPr>
          <w:spacing w:val="-2"/>
        </w:rPr>
        <w:t>所得税费用的会计处理采用资产负债表债务法核算。资产负债表日，公司按照可抵扣暂时性差异与适用所得税税率计算的结</w:t>
      </w:r>
      <w:r>
        <w:rPr>
          <w:spacing w:val="-64"/>
        </w:rPr>
        <w:t> </w:t>
      </w:r>
      <w:r>
        <w:rPr>
          <w:spacing w:val="-64"/>
        </w:rPr>
      </w:r>
      <w:r>
        <w:rPr>
          <w:spacing w:val="-2"/>
        </w:rPr>
        <w:t>果，确认递延所得税资产及相应的递延所得税收益；按照应纳税暂时性差异与适用企业所得税税率计算的结果，确认递延所</w:t>
      </w:r>
      <w:r>
        <w:rPr>
          <w:spacing w:val="-66"/>
        </w:rPr>
        <w:t> </w:t>
      </w:r>
      <w:r>
        <w:rPr>
          <w:spacing w:val="-66"/>
        </w:rPr>
      </w:r>
      <w:r>
        <w:rPr/>
        <w:t>得税负债及相应的递延所得税费用。</w:t>
      </w:r>
    </w:p>
    <w:p>
      <w:pPr>
        <w:pStyle w:val="BodyText"/>
        <w:spacing w:line="240" w:lineRule="auto" w:before="139"/>
        <w:ind w:right="0"/>
        <w:jc w:val="left"/>
      </w:pPr>
      <w:r>
        <w:rPr/>
        <w:t>（</w:t>
      </w:r>
      <w:r>
        <w:rPr>
          <w:rFonts w:ascii="宋体" w:hAnsi="宋体" w:cs="宋体" w:eastAsia="宋体" w:hint="default"/>
        </w:rPr>
        <w:t>2</w:t>
      </w:r>
      <w:r>
        <w:rPr/>
        <w:t>）递延所得税资产的确认</w:t>
      </w:r>
    </w:p>
    <w:p>
      <w:pPr>
        <w:spacing w:line="240" w:lineRule="auto" w:before="0"/>
        <w:rPr>
          <w:rFonts w:ascii="宋体" w:hAnsi="宋体" w:cs="宋体" w:eastAsia="宋体" w:hint="default"/>
          <w:sz w:val="15"/>
          <w:szCs w:val="15"/>
        </w:rPr>
      </w:pPr>
    </w:p>
    <w:p>
      <w:pPr>
        <w:pStyle w:val="BodyText"/>
        <w:spacing w:line="316" w:lineRule="auto"/>
        <w:ind w:right="1131"/>
        <w:jc w:val="both"/>
      </w:pPr>
      <w:r>
        <w:rPr>
          <w:spacing w:val="-2"/>
        </w:rPr>
        <w:t>对于可抵扣暂时性差异、能够结转以后年度的可抵扣亏损和税款抵减，公司以很可能取得用来抵扣可抵扣暂时性差异、可抵</w:t>
      </w:r>
      <w:r>
        <w:rPr>
          <w:spacing w:val="-65"/>
        </w:rPr>
        <w:t> </w:t>
      </w:r>
      <w:r>
        <w:rPr>
          <w:spacing w:val="-65"/>
        </w:rPr>
      </w:r>
      <w:r>
        <w:rPr>
          <w:spacing w:val="-2"/>
        </w:rPr>
        <w:t>扣亏损和税款抵减的未来应纳税所得额为限，确认由此产生的递延所得税资产，除非可抵扣暂时性差异是在以下交易中产生</w:t>
      </w:r>
      <w:r>
        <w:rPr>
          <w:spacing w:val="-64"/>
        </w:rPr>
        <w:t> </w:t>
      </w:r>
      <w:r>
        <w:rPr>
          <w:spacing w:val="-64"/>
        </w:rPr>
      </w:r>
      <w:r>
        <w:rPr/>
        <w:t>的：</w:t>
      </w:r>
    </w:p>
    <w:p>
      <w:pPr>
        <w:pStyle w:val="BodyText"/>
        <w:spacing w:line="316" w:lineRule="auto" w:before="139"/>
        <w:ind w:right="0"/>
        <w:jc w:val="left"/>
      </w:pPr>
      <w:r>
        <w:rPr>
          <w:spacing w:val="-2"/>
        </w:rPr>
        <w:t>①该交易不是企业合并，并且交易发生时既不影响会计利润也不影响应纳税所得额。②对于与子公司、合营企业及联营企业</w:t>
      </w:r>
      <w:r>
        <w:rPr>
          <w:spacing w:val="-66"/>
        </w:rPr>
        <w:t> </w:t>
      </w:r>
      <w:r>
        <w:rPr>
          <w:spacing w:val="-66"/>
        </w:rPr>
      </w:r>
      <w:r>
        <w:rPr>
          <w:spacing w:val="-4"/>
        </w:rPr>
        <w:t>投资相关的可抵扣暂时性差异，同时满足下列条件的，确认相应的递延所得税资产：暂时性差异在可预见的未来很可能转回，</w:t>
      </w:r>
      <w:r>
        <w:rPr>
          <w:spacing w:val="-44"/>
        </w:rPr>
        <w:t> </w:t>
      </w:r>
      <w:r>
        <w:rPr>
          <w:spacing w:val="-44"/>
        </w:rPr>
      </w:r>
      <w:r>
        <w:rPr/>
        <w:t>且未来很可能获得用来抵扣可抵扣暂时性差异的应纳税所得额。</w:t>
      </w:r>
    </w:p>
    <w:p>
      <w:pPr>
        <w:pStyle w:val="BodyText"/>
        <w:spacing w:line="439" w:lineRule="auto" w:before="139"/>
        <w:ind w:right="2472"/>
        <w:jc w:val="left"/>
      </w:pPr>
      <w:r>
        <w:rPr/>
        <w:t>（</w:t>
      </w:r>
      <w:r>
        <w:rPr>
          <w:rFonts w:ascii="宋体" w:hAnsi="宋体" w:cs="宋体" w:eastAsia="宋体" w:hint="default"/>
        </w:rPr>
        <w:t>3</w:t>
      </w:r>
      <w:r>
        <w:rPr/>
        <w:t>）递延所得税负债的确认 对于各种应纳税暂时性差异均据以确认递延所得税负债，除非应纳税暂时性差异是在以下交易中产生的：</w:t>
      </w:r>
    </w:p>
    <w:p>
      <w:pPr>
        <w:pStyle w:val="BodyText"/>
        <w:spacing w:line="319" w:lineRule="auto" w:before="47"/>
        <w:ind w:right="1132"/>
        <w:jc w:val="both"/>
      </w:pPr>
      <w:r>
        <w:rPr>
          <w:spacing w:val="-2"/>
        </w:rPr>
        <w:t>①商誉的初始确认，或者具有以下特征的交易中产生的资产或负债的初始确认：该交易不是企业合并，并且交易发生时既不</w:t>
      </w:r>
      <w:r>
        <w:rPr>
          <w:spacing w:val="-66"/>
        </w:rPr>
        <w:t> </w:t>
      </w:r>
      <w:r>
        <w:rPr>
          <w:spacing w:val="-66"/>
        </w:rPr>
      </w:r>
      <w:r>
        <w:rPr>
          <w:spacing w:val="-2"/>
        </w:rPr>
        <w:t>影响会计利润也不影响应纳税所得额；②对于与子公司、合营企业及联营企业投资相关的应纳税暂时性差异，该暂时性差异</w:t>
      </w:r>
      <w:r>
        <w:rPr>
          <w:spacing w:val="-67"/>
        </w:rPr>
        <w:t> </w:t>
      </w:r>
      <w:r>
        <w:rPr>
          <w:spacing w:val="-67"/>
        </w:rPr>
      </w:r>
      <w:r>
        <w:rPr/>
        <w:t>转回的时间能够控制并且该暂时性差异在可预见的未来很可能不会转回。</w:t>
      </w:r>
    </w:p>
    <w:p>
      <w:pPr>
        <w:pStyle w:val="BodyText"/>
        <w:spacing w:line="316" w:lineRule="auto" w:before="137"/>
        <w:ind w:right="0"/>
        <w:jc w:val="left"/>
      </w:pPr>
      <w:r>
        <w:rPr/>
        <w:t>（</w:t>
      </w:r>
      <w:r>
        <w:rPr>
          <w:rFonts w:ascii="宋体" w:hAnsi="宋体" w:cs="宋体" w:eastAsia="宋体" w:hint="default"/>
        </w:rPr>
        <w:t>4</w:t>
      </w:r>
      <w:r>
        <w:rPr/>
        <w:t>）递延所得税资产的减值 </w:t>
      </w:r>
      <w:r>
        <w:rPr>
          <w:spacing w:val="-2"/>
        </w:rPr>
        <w:t>在资产负债表日应当对递延所得税资产的账面价值进行复核。如果未来期间很可能无法取得足够的应纳税所得额用以抵扣递</w:t>
      </w:r>
      <w:r>
        <w:rPr>
          <w:spacing w:val="-64"/>
        </w:rPr>
        <w:t> </w:t>
      </w:r>
      <w:r>
        <w:rPr>
          <w:spacing w:val="-64"/>
        </w:rPr>
      </w:r>
      <w:r>
        <w:rPr>
          <w:spacing w:val="-2"/>
        </w:rPr>
        <w:t>延所得税资产的利益，则减记递延所得税资产的账面价值。除原确认时计入所有者权益的递延所得税资产部分，其减记金额</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122"/>
        <w:jc w:val="left"/>
      </w:pPr>
      <w:r>
        <w:rPr/>
        <w:t>也应计入所有者权益外</w:t>
      </w:r>
      <w:r>
        <w:rPr>
          <w:rFonts w:ascii="宋体" w:hAnsi="宋体" w:cs="宋体" w:eastAsia="宋体" w:hint="default"/>
        </w:rPr>
        <w:t>,</w:t>
      </w:r>
      <w:r>
        <w:rPr/>
        <w:t>其他的情况应减记当期的所得税费用。在很可能取得足够的应纳税所得额时，减记的递延所得税资 产账面价值可以恢复。</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8、重要会计政策和会计估计变更" w:id="210"/>
      <w:bookmarkEnd w:id="210"/>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会计政策变更" w:id="211"/>
      <w:bookmarkEnd w:id="21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103" w:right="107"/>
              <w:jc w:val="left"/>
              <w:rPr>
                <w:rFonts w:ascii="宋体" w:hAnsi="宋体" w:cs="宋体" w:eastAsia="宋体" w:hint="default"/>
                <w:sz w:val="18"/>
                <w:szCs w:val="18"/>
              </w:rPr>
            </w:pPr>
            <w:r>
              <w:rPr>
                <w:rFonts w:ascii="宋体" w:hAnsi="宋体" w:cs="宋体" w:eastAsia="宋体" w:hint="default"/>
                <w:sz w:val="18"/>
                <w:szCs w:val="18"/>
              </w:rPr>
              <w:t>执行《企业会计准则第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号——政府 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both"/>
              <w:rPr>
                <w:rFonts w:ascii="宋体" w:hAnsi="宋体" w:cs="宋体" w:eastAsia="宋体" w:hint="default"/>
                <w:sz w:val="18"/>
                <w:szCs w:val="18"/>
              </w:rPr>
            </w:pPr>
            <w:r>
              <w:rPr>
                <w:rFonts w:ascii="宋体" w:hAnsi="宋体" w:cs="宋体" w:eastAsia="宋体" w:hint="default"/>
                <w:sz w:val="18"/>
                <w:szCs w:val="18"/>
              </w:rPr>
              <w:t>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w:t>
            </w:r>
            <w:r>
              <w:rPr>
                <w:rFonts w:ascii="宋体" w:hAnsi="宋体" w:cs="宋体" w:eastAsia="宋体" w:hint="default"/>
                <w:spacing w:val="1"/>
                <w:sz w:val="18"/>
                <w:szCs w:val="18"/>
              </w:rPr>
              <w:t>布</w:t>
            </w:r>
            <w:r>
              <w:rPr>
                <w:rFonts w:ascii="宋体" w:hAnsi="宋体" w:cs="宋体" w:eastAsia="宋体" w:hint="default"/>
                <w:spacing w:val="-87"/>
                <w:sz w:val="18"/>
                <w:szCs w:val="18"/>
              </w:rPr>
              <w:t>的</w:t>
            </w:r>
            <w:r>
              <w:rPr>
                <w:rFonts w:ascii="宋体" w:hAnsi="宋体" w:cs="宋体" w:eastAsia="宋体" w:hint="default"/>
                <w:sz w:val="18"/>
                <w:szCs w:val="18"/>
              </w:rPr>
              <w:t>《关于</w:t>
            </w:r>
          </w:p>
          <w:p>
            <w:pPr>
              <w:pStyle w:val="TableParagraph"/>
              <w:spacing w:line="300" w:lineRule="auto" w:before="61"/>
              <w:ind w:left="103" w:right="182"/>
              <w:jc w:val="both"/>
              <w:rPr>
                <w:rFonts w:ascii="宋体" w:hAnsi="宋体" w:cs="宋体" w:eastAsia="宋体" w:hint="default"/>
                <w:sz w:val="18"/>
                <w:szCs w:val="18"/>
              </w:rPr>
            </w:pPr>
            <w:r>
              <w:rPr>
                <w:rFonts w:ascii="宋体" w:hAnsi="宋体" w:cs="宋体" w:eastAsia="宋体" w:hint="default"/>
                <w:sz w:val="18"/>
                <w:szCs w:val="18"/>
              </w:rPr>
              <w:t>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 </w:t>
            </w:r>
            <w:r>
              <w:rPr>
                <w:rFonts w:ascii="宋体" w:hAnsi="宋体" w:cs="宋体" w:eastAsia="宋体" w:hint="default"/>
                <w:spacing w:val="-5"/>
                <w:sz w:val="18"/>
                <w:szCs w:val="18"/>
              </w:rPr>
              <w:t>政府补助</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的通知》（财会〔</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号）并经公司董事会审议通过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103" w:right="13"/>
              <w:jc w:val="left"/>
              <w:rPr>
                <w:rFonts w:ascii="宋体" w:hAnsi="宋体" w:cs="宋体" w:eastAsia="宋体" w:hint="default"/>
                <w:sz w:val="18"/>
                <w:szCs w:val="18"/>
              </w:rPr>
            </w:pPr>
            <w:r>
              <w:rPr>
                <w:rFonts w:ascii="宋体" w:hAnsi="宋体" w:cs="宋体" w:eastAsia="宋体" w:hint="default"/>
                <w:sz w:val="18"/>
                <w:szCs w:val="18"/>
              </w:rPr>
              <w:t>适用于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日起发生的相关 交易。本公司执行该规定的主要影响： 利润表中新增的“其他收益”项目</w:t>
            </w: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103" w:right="107"/>
              <w:jc w:val="left"/>
              <w:rPr>
                <w:rFonts w:ascii="宋体" w:hAnsi="宋体" w:cs="宋体" w:eastAsia="宋体" w:hint="default"/>
                <w:sz w:val="18"/>
                <w:szCs w:val="18"/>
              </w:rPr>
            </w:pPr>
            <w:r>
              <w:rPr>
                <w:rFonts w:ascii="宋体" w:hAnsi="宋体" w:cs="宋体" w:eastAsia="宋体" w:hint="default"/>
                <w:sz w:val="18"/>
                <w:szCs w:val="18"/>
              </w:rPr>
              <w:t>执行《企业会计准则第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号——持有 待售的非流动资产、处置组和终止经 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w:t>
            </w:r>
            <w:r>
              <w:rPr>
                <w:rFonts w:ascii="宋体" w:hAnsi="宋体" w:cs="宋体" w:eastAsia="宋体" w:hint="default"/>
                <w:spacing w:val="1"/>
                <w:sz w:val="18"/>
                <w:szCs w:val="18"/>
              </w:rPr>
              <w:t>布</w:t>
            </w:r>
            <w:r>
              <w:rPr>
                <w:rFonts w:ascii="宋体" w:hAnsi="宋体" w:cs="宋体" w:eastAsia="宋体" w:hint="default"/>
                <w:spacing w:val="-87"/>
                <w:sz w:val="18"/>
                <w:szCs w:val="18"/>
              </w:rPr>
              <w:t>的</w:t>
            </w:r>
            <w:r>
              <w:rPr>
                <w:rFonts w:ascii="宋体" w:hAnsi="宋体" w:cs="宋体" w:eastAsia="宋体" w:hint="default"/>
                <w:sz w:val="18"/>
                <w:szCs w:val="18"/>
              </w:rPr>
              <w:t>《关于</w:t>
            </w:r>
          </w:p>
          <w:p>
            <w:pPr>
              <w:pStyle w:val="TableParagraph"/>
              <w:spacing w:line="307" w:lineRule="auto" w:before="61"/>
              <w:ind w:left="103" w:right="102"/>
              <w:jc w:val="left"/>
              <w:rPr>
                <w:rFonts w:ascii="宋体" w:hAnsi="宋体" w:cs="宋体" w:eastAsia="宋体" w:hint="default"/>
                <w:sz w:val="18"/>
                <w:szCs w:val="18"/>
              </w:rPr>
            </w:pPr>
            <w:r>
              <w:rPr>
                <w:rFonts w:ascii="宋体" w:hAnsi="宋体" w:cs="宋体" w:eastAsia="宋体" w:hint="default"/>
                <w:sz w:val="18"/>
                <w:szCs w:val="18"/>
              </w:rPr>
              <w:t>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号—— </w:t>
            </w:r>
            <w:r>
              <w:rPr>
                <w:rFonts w:ascii="宋体" w:hAnsi="宋体" w:cs="宋体" w:eastAsia="宋体" w:hint="default"/>
                <w:spacing w:val="-6"/>
                <w:sz w:val="18"/>
                <w:szCs w:val="18"/>
              </w:rPr>
              <w:t>持有待售的非流动资产、处置组和终止</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经营</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的通知》（财会〔</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并经公司董事会审议通过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103" w:right="15"/>
              <w:jc w:val="left"/>
              <w:rPr>
                <w:rFonts w:ascii="宋体" w:hAnsi="宋体" w:cs="宋体" w:eastAsia="宋体" w:hint="default"/>
                <w:sz w:val="18"/>
                <w:szCs w:val="18"/>
              </w:rPr>
            </w:pPr>
            <w:r>
              <w:rPr>
                <w:rFonts w:ascii="宋体" w:hAnsi="宋体" w:cs="宋体" w:eastAsia="宋体" w:hint="default"/>
                <w:sz w:val="18"/>
                <w:szCs w:val="18"/>
              </w:rPr>
              <w:t>适用于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日起发生的相关 交易。本公司执行该规定的主要影响： </w:t>
            </w:r>
            <w:r>
              <w:rPr>
                <w:rFonts w:ascii="宋体" w:hAnsi="宋体" w:cs="宋体" w:eastAsia="宋体" w:hint="default"/>
                <w:spacing w:val="-15"/>
                <w:sz w:val="18"/>
                <w:szCs w:val="18"/>
              </w:rPr>
              <w:t>资产负债表新增“持有待售资产”及“持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有待售负债”</w:t>
            </w:r>
          </w:p>
        </w:tc>
      </w:tr>
      <w:tr>
        <w:trPr>
          <w:trHeight w:val="165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执行《关于修订印发一般企业财务报表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格式的通知》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7" w:lineRule="auto"/>
              <w:ind w:left="103" w:right="102"/>
              <w:jc w:val="left"/>
              <w:rPr>
                <w:rFonts w:ascii="宋体" w:hAnsi="宋体" w:cs="宋体" w:eastAsia="宋体" w:hint="default"/>
                <w:sz w:val="18"/>
                <w:szCs w:val="18"/>
              </w:rPr>
            </w:pPr>
            <w:r>
              <w:rPr>
                <w:rFonts w:ascii="宋体" w:hAnsi="宋体" w:cs="宋体" w:eastAsia="宋体" w:hint="default"/>
                <w:sz w:val="18"/>
                <w:szCs w:val="18"/>
              </w:rPr>
              <w:t>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日发布的《关 于修订印发一般企业财务报表格式的 </w:t>
            </w:r>
            <w:r>
              <w:rPr>
                <w:rFonts w:ascii="宋体" w:hAnsi="宋体" w:cs="宋体" w:eastAsia="宋体" w:hint="default"/>
                <w:spacing w:val="-9"/>
                <w:sz w:val="18"/>
                <w:szCs w:val="18"/>
              </w:rPr>
              <w:t>通知》（财会（</w:t>
            </w:r>
            <w:r>
              <w:rPr>
                <w:rFonts w:ascii="Times New Roman" w:hAnsi="Times New Roman" w:cs="Times New Roman" w:eastAsia="Times New Roman" w:hint="default"/>
                <w:spacing w:val="-9"/>
                <w:sz w:val="18"/>
                <w:szCs w:val="18"/>
              </w:rPr>
              <w:t>2017</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号）并经董事</w:t>
            </w:r>
            <w:r>
              <w:rPr>
                <w:rFonts w:ascii="宋体" w:hAnsi="宋体" w:cs="宋体" w:eastAsia="宋体" w:hint="default"/>
                <w:sz w:val="18"/>
                <w:szCs w:val="18"/>
              </w:rPr>
              <w:t> 会审议通过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1"/>
              <w:jc w:val="left"/>
              <w:rPr>
                <w:rFonts w:ascii="宋体" w:hAnsi="宋体" w:cs="宋体" w:eastAsia="宋体" w:hint="default"/>
                <w:sz w:val="18"/>
                <w:szCs w:val="18"/>
              </w:rPr>
            </w:pPr>
            <w:r>
              <w:rPr>
                <w:rFonts w:ascii="宋体" w:hAnsi="宋体" w:cs="宋体" w:eastAsia="宋体" w:hint="default"/>
                <w:spacing w:val="-6"/>
                <w:sz w:val="18"/>
                <w:szCs w:val="18"/>
              </w:rPr>
              <w:t>本公司执行该规定的主要影响：资产负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债表新增“持有待售资产”及“持有待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9"/>
                <w:sz w:val="18"/>
                <w:szCs w:val="18"/>
              </w:rPr>
              <w:t>售负债”；利润表新增“资产处置收益”、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4"/>
                <w:sz w:val="18"/>
                <w:szCs w:val="18"/>
              </w:rPr>
              <w:t>“其他收益”、“持续经营利润”、“终止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经营利润”</w:t>
            </w:r>
          </w:p>
        </w:tc>
      </w:tr>
    </w:tbl>
    <w:p>
      <w:pPr>
        <w:spacing w:line="240" w:lineRule="auto" w:before="8"/>
        <w:rPr>
          <w:rFonts w:ascii="宋体" w:hAnsi="宋体" w:cs="宋体" w:eastAsia="宋体" w:hint="default"/>
          <w:sz w:val="6"/>
          <w:szCs w:val="6"/>
        </w:rPr>
      </w:pPr>
    </w:p>
    <w:p>
      <w:pPr>
        <w:pStyle w:val="BodyText"/>
        <w:spacing w:line="316" w:lineRule="auto" w:before="44"/>
        <w:ind w:left="1133" w:right="0" w:firstLine="420"/>
        <w:jc w:val="left"/>
      </w:pPr>
      <w:r>
        <w:rPr>
          <w:spacing w:val="-4"/>
        </w:rPr>
        <w:t>根据财政部制定的《企业会计准则第</w:t>
      </w:r>
      <w:r>
        <w:rPr>
          <w:rFonts w:ascii="宋体" w:hAnsi="宋体" w:cs="宋体" w:eastAsia="宋体" w:hint="default"/>
          <w:spacing w:val="-4"/>
        </w:rPr>
        <w:t>16</w:t>
      </w:r>
      <w:r>
        <w:rPr>
          <w:spacing w:val="-4"/>
        </w:rPr>
        <w:t>号——政府补助》（财会〔</w:t>
      </w:r>
      <w:r>
        <w:rPr>
          <w:rFonts w:ascii="宋体" w:hAnsi="宋体" w:cs="宋体" w:eastAsia="宋体" w:hint="default"/>
          <w:spacing w:val="-4"/>
        </w:rPr>
        <w:t>2017</w:t>
      </w:r>
      <w:r>
        <w:rPr>
          <w:spacing w:val="-4"/>
        </w:rPr>
        <w:t>〕</w:t>
      </w:r>
      <w:r>
        <w:rPr>
          <w:rFonts w:ascii="宋体" w:hAnsi="宋体" w:cs="宋体" w:eastAsia="宋体" w:hint="default"/>
          <w:spacing w:val="-4"/>
        </w:rPr>
        <w:t>15</w:t>
      </w:r>
      <w:r>
        <w:rPr>
          <w:spacing w:val="-4"/>
        </w:rPr>
        <w:t>号），公司对</w:t>
      </w:r>
      <w:r>
        <w:rPr>
          <w:rFonts w:ascii="宋体" w:hAnsi="宋体" w:cs="宋体" w:eastAsia="宋体" w:hint="default"/>
          <w:spacing w:val="-4"/>
        </w:rPr>
        <w:t>2017</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日存在的政府补助</w:t>
      </w:r>
      <w:r>
        <w:rPr/>
        <w:t> 采用未来适用法处理，对</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日至本准则施行日之间新增的政府补助根据本准则进行调整。</w:t>
      </w:r>
    </w:p>
    <w:p>
      <w:pPr>
        <w:pStyle w:val="BodyText"/>
        <w:spacing w:line="316" w:lineRule="auto" w:before="139"/>
        <w:ind w:left="1133" w:right="1141" w:firstLine="420"/>
        <w:jc w:val="both"/>
      </w:pPr>
      <w:r>
        <w:rPr>
          <w:spacing w:val="-4"/>
        </w:rPr>
        <w:t>根据财政部制定的《企业会计准则第</w:t>
      </w:r>
      <w:r>
        <w:rPr>
          <w:rFonts w:ascii="宋体" w:hAnsi="宋体" w:cs="宋体" w:eastAsia="宋体" w:hint="default"/>
          <w:spacing w:val="-4"/>
        </w:rPr>
        <w:t>42</w:t>
      </w:r>
      <w:r>
        <w:rPr>
          <w:spacing w:val="-4"/>
        </w:rPr>
        <w:t>号——持有待售的非流动资产、处置组和终止经营》（财会〔</w:t>
      </w:r>
      <w:r>
        <w:rPr>
          <w:rFonts w:ascii="宋体" w:hAnsi="宋体" w:cs="宋体" w:eastAsia="宋体" w:hint="default"/>
          <w:spacing w:val="-4"/>
        </w:rPr>
        <w:t>2017</w:t>
      </w:r>
      <w:r>
        <w:rPr>
          <w:spacing w:val="-4"/>
        </w:rPr>
        <w:t>〕</w:t>
      </w:r>
      <w:r>
        <w:rPr>
          <w:rFonts w:ascii="宋体" w:hAnsi="宋体" w:cs="宋体" w:eastAsia="宋体" w:hint="default"/>
          <w:spacing w:val="-4"/>
        </w:rPr>
        <w:t>13</w:t>
      </w:r>
      <w:r>
        <w:rPr>
          <w:spacing w:val="-4"/>
        </w:rPr>
        <w:t>号），该</w:t>
      </w:r>
      <w:r>
        <w:rPr/>
        <w:t> 准则自</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28</w:t>
      </w:r>
      <w:r>
        <w:rPr/>
        <w:t>日起施行。对于该准则施行日存在的持有待售的非流动资产、处置组和终止经营，公司采用未来适用法 处理。</w:t>
      </w:r>
    </w:p>
    <w:p>
      <w:pPr>
        <w:pStyle w:val="BodyText"/>
        <w:spacing w:line="316" w:lineRule="auto" w:before="139"/>
        <w:ind w:left="1133" w:right="0" w:firstLine="420"/>
        <w:jc w:val="left"/>
      </w:pPr>
      <w:r>
        <w:rPr>
          <w:spacing w:val="-8"/>
        </w:rPr>
        <w:t>根据财政部发布的《关于修订印发一般企业财务报表格式的通知》（财会〔</w:t>
      </w:r>
      <w:r>
        <w:rPr>
          <w:rFonts w:ascii="宋体" w:hAnsi="宋体" w:cs="宋体" w:eastAsia="宋体" w:hint="default"/>
          <w:spacing w:val="-8"/>
        </w:rPr>
        <w:t>2017</w:t>
      </w:r>
      <w:r>
        <w:rPr>
          <w:spacing w:val="-8"/>
        </w:rPr>
        <w:t>〕</w:t>
      </w:r>
      <w:r>
        <w:rPr>
          <w:rFonts w:ascii="宋体" w:hAnsi="宋体" w:cs="宋体" w:eastAsia="宋体" w:hint="default"/>
          <w:spacing w:val="-8"/>
        </w:rPr>
        <w:t>30</w:t>
      </w:r>
      <w:r>
        <w:rPr>
          <w:spacing w:val="-8"/>
        </w:rPr>
        <w:t>号），利润表新增“资产处置收益”、</w:t>
      </w:r>
      <w:r>
        <w:rPr/>
        <w:t> </w:t>
      </w:r>
      <w:r>
        <w:rPr>
          <w:spacing w:val="-9"/>
        </w:rPr>
        <w:t>“其他收益”、“持续经营利润”、“终止经营利润”。对于利润表新增的“资产处置收益”项目，公司按照《企业会计准则第</w:t>
      </w:r>
      <w:r>
        <w:rPr>
          <w:spacing w:val="-36"/>
        </w:rPr>
        <w:t> </w:t>
      </w:r>
      <w:r>
        <w:rPr>
          <w:spacing w:val="-36"/>
        </w:rPr>
      </w:r>
      <w:r>
        <w:rPr>
          <w:rFonts w:ascii="宋体" w:hAnsi="宋体" w:cs="宋体" w:eastAsia="宋体" w:hint="default"/>
        </w:rPr>
        <w:t>30</w:t>
      </w:r>
      <w:r>
        <w:rPr/>
        <w:t>号——财务报表列报》等的相关规定，对可比期间的比较数据根据本通知进行调整。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left="1133" w:right="0"/>
        <w:jc w:val="left"/>
        <w:rPr>
          <w:b w:val="0"/>
          <w:bCs w:val="0"/>
        </w:rPr>
      </w:pPr>
      <w:bookmarkStart w:name="（2）重要会计估计变更" w:id="212"/>
      <w:bookmarkEnd w:id="21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六、税项" w:id="213"/>
      <w:bookmarkEnd w:id="213"/>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14"/>
      <w:bookmarkEnd w:id="21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应税收入、销售额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应缴纳流转税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不同企业所得税税率纳税主体的情况</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应缴纳流转税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应缴纳流转税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广州长城世家投资有限公司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潮州市万泉瓷业有限公司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潮州市三江陶瓷原料有限公司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深圳长城世家商贸有限公司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北京昶城世家商贸有限公司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深圳市世家会艺术品投资有限公司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深圳万城投资管理有限公司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郑州长城世家商贸有限公司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河南长城绿色瓷艺科技有限公司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潮州市长城世家瓷业有限公司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广东联汛教育科技有限公司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江西联汛教育科技有限公司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河南智游臻龙教育科技有限公司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郑州市智游职业培训学校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郑州智游爱峰科技有限公司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郑州智游联动教育咨询有限公司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广州韵网信息科技有限公司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新疆联汛展望教育科技有限公司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北京京师智游教育科技有限公司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南京欧米伽网络科技有限公司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霍尔果斯臻龙教育科技有限公司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山西智游臻龙互联网科技有限公司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河北臻龙科技有限公司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15"/>
      <w:bookmarkEnd w:id="21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企业所得税优惠：</w:t>
      </w:r>
    </w:p>
    <w:p>
      <w:pPr>
        <w:spacing w:line="240" w:lineRule="auto" w:before="0"/>
        <w:rPr>
          <w:rFonts w:ascii="宋体" w:hAnsi="宋体" w:cs="宋体" w:eastAsia="宋体" w:hint="default"/>
          <w:sz w:val="15"/>
          <w:szCs w:val="15"/>
        </w:rPr>
      </w:pPr>
    </w:p>
    <w:p>
      <w:pPr>
        <w:pStyle w:val="BodyText"/>
        <w:spacing w:line="309" w:lineRule="auto"/>
        <w:ind w:right="1130" w:firstLine="360"/>
        <w:jc w:val="both"/>
      </w:pPr>
      <w:r>
        <w:rPr>
          <w:rFonts w:ascii="Times New Roman" w:hAnsi="Times New Roman" w:cs="Times New Roman" w:eastAsia="Times New Roman" w:hint="default"/>
        </w:rPr>
        <w:t>2016</w:t>
      </w:r>
      <w:r>
        <w:rPr/>
        <w:t>年</w:t>
      </w:r>
      <w:r>
        <w:rPr>
          <w:rFonts w:ascii="宋体" w:hAnsi="宋体" w:cs="宋体" w:eastAsia="宋体" w:hint="default"/>
        </w:rPr>
        <w:t>2</w:t>
      </w:r>
      <w:r>
        <w:rPr/>
        <w:t>月</w:t>
      </w:r>
      <w:r>
        <w:rPr>
          <w:rFonts w:ascii="宋体" w:hAnsi="宋体" w:cs="宋体" w:eastAsia="宋体" w:hint="default"/>
        </w:rPr>
        <w:t>29</w:t>
      </w:r>
      <w:r>
        <w:rPr/>
        <w:t>日，据粤科高字</w:t>
      </w:r>
      <w:r>
        <w:rPr>
          <w:rFonts w:ascii="宋体" w:hAnsi="宋体" w:cs="宋体" w:eastAsia="宋体" w:hint="default"/>
        </w:rPr>
        <w:t>[2016]17</w:t>
      </w:r>
      <w:r>
        <w:rPr/>
        <w:t>号文，公司被认定为广东省</w:t>
      </w:r>
      <w:r>
        <w:rPr>
          <w:rFonts w:ascii="宋体" w:hAnsi="宋体" w:cs="宋体" w:eastAsia="宋体" w:hint="default"/>
        </w:rPr>
        <w:t>2015</w:t>
      </w:r>
      <w:r>
        <w:rPr/>
        <w:t>年第一批通过的高新技术企业，并获发《高新技 </w:t>
      </w:r>
      <w:r>
        <w:rPr>
          <w:spacing w:val="-5"/>
        </w:rPr>
        <w:t>术企业证书》（证书编号：</w:t>
      </w:r>
      <w:r>
        <w:rPr>
          <w:rFonts w:ascii="宋体" w:hAnsi="宋体" w:cs="宋体" w:eastAsia="宋体" w:hint="default"/>
          <w:spacing w:val="-5"/>
        </w:rPr>
        <w:t>GR201544000116</w:t>
      </w:r>
      <w:r>
        <w:rPr>
          <w:spacing w:val="-5"/>
        </w:rPr>
        <w:t>）。据企业所得税法及实施条例的规定，公司自获得高新技术企业认定资格当年即</w:t>
      </w:r>
      <w:r>
        <w:rPr>
          <w:spacing w:val="-44"/>
        </w:rPr>
        <w:t> </w:t>
      </w:r>
      <w:r>
        <w:rPr>
          <w:spacing w:val="-44"/>
        </w:rPr>
      </w:r>
      <w:r>
        <w:rPr>
          <w:rFonts w:ascii="宋体" w:hAnsi="宋体" w:cs="宋体" w:eastAsia="宋体" w:hint="default"/>
        </w:rPr>
        <w:t>2015</w:t>
      </w:r>
      <w:r>
        <w:rPr/>
        <w:t>年起，企业所得税减按</w:t>
      </w:r>
      <w:r>
        <w:rPr>
          <w:rFonts w:ascii="宋体" w:hAnsi="宋体" w:cs="宋体" w:eastAsia="宋体" w:hint="default"/>
        </w:rPr>
        <w:t>15%</w:t>
      </w:r>
      <w:r>
        <w:rPr/>
        <w:t>的优惠税率征收，减免期限为</w:t>
      </w:r>
      <w:r>
        <w:rPr>
          <w:rFonts w:ascii="宋体" w:hAnsi="宋体" w:cs="宋体" w:eastAsia="宋体" w:hint="default"/>
        </w:rPr>
        <w:t>2015</w:t>
      </w:r>
      <w:r>
        <w:rPr/>
        <w:t>年度至</w:t>
      </w:r>
      <w:r>
        <w:rPr>
          <w:rFonts w:ascii="宋体" w:hAnsi="宋体" w:cs="宋体" w:eastAsia="宋体" w:hint="default"/>
        </w:rPr>
        <w:t>2017</w:t>
      </w:r>
      <w:r>
        <w:rPr/>
        <w:t>年度。</w:t>
      </w:r>
    </w:p>
    <w:p>
      <w:pPr>
        <w:pStyle w:val="BodyText"/>
        <w:spacing w:line="316" w:lineRule="auto" w:before="144"/>
        <w:ind w:left="1133" w:right="1129" w:firstLine="360"/>
        <w:jc w:val="both"/>
      </w:pPr>
      <w:r>
        <w:rPr/>
        <w:t>公司之子公司潮州市万泉瓷业有限公司适用小型微利企业企业所得税优惠政策，其所得减按</w:t>
      </w:r>
      <w:r>
        <w:rPr>
          <w:rFonts w:ascii="宋体" w:hAnsi="宋体" w:cs="宋体" w:eastAsia="宋体" w:hint="default"/>
        </w:rPr>
        <w:t>50%</w:t>
      </w:r>
      <w:r>
        <w:rPr/>
        <w:t>计入应纳税所得额，按 </w:t>
      </w:r>
      <w:r>
        <w:rPr>
          <w:rFonts w:ascii="宋体" w:hAnsi="宋体" w:cs="宋体" w:eastAsia="宋体" w:hint="default"/>
        </w:rPr>
        <w:t>20%</w:t>
      </w:r>
      <w:r>
        <w:rPr/>
        <w:t>的税率缴纳企业所得税。</w:t>
      </w:r>
    </w:p>
    <w:p>
      <w:pPr>
        <w:pStyle w:val="BodyText"/>
        <w:spacing w:line="316" w:lineRule="auto" w:before="139"/>
        <w:ind w:left="1133" w:right="1131" w:firstLine="426"/>
        <w:jc w:val="both"/>
      </w:pPr>
      <w:r>
        <w:rPr/>
        <w:t>公司之子公司广东联汛教育科技有限公司通过广东省</w:t>
      </w:r>
      <w:r>
        <w:rPr>
          <w:rFonts w:ascii="宋体" w:hAnsi="宋体" w:cs="宋体" w:eastAsia="宋体" w:hint="default"/>
        </w:rPr>
        <w:t>2016</w:t>
      </w:r>
      <w:r>
        <w:rPr/>
        <w:t>年第二批高新技术企业认定，获得高新技术企业证书，编号 为</w:t>
      </w:r>
      <w:r>
        <w:rPr>
          <w:rFonts w:ascii="宋体" w:hAnsi="宋体" w:cs="宋体" w:eastAsia="宋体" w:hint="default"/>
        </w:rPr>
        <w:t>GR201644002270</w:t>
      </w:r>
      <w:r>
        <w:rPr/>
        <w:t>，发证日期为</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30</w:t>
      </w:r>
      <w:r>
        <w:rPr/>
        <w:t>日，有效期</w:t>
      </w:r>
      <w:r>
        <w:rPr>
          <w:rFonts w:ascii="宋体" w:hAnsi="宋体" w:cs="宋体" w:eastAsia="宋体" w:hint="default"/>
        </w:rPr>
        <w:t>3</w:t>
      </w:r>
      <w:r>
        <w:rPr/>
        <w:t>年。据企业所得税法及实施条例的规定，自获得高新技术企业认</w:t>
      </w:r>
      <w:r>
        <w:rPr>
          <w:spacing w:val="-84"/>
        </w:rPr>
        <w:t> </w:t>
      </w:r>
      <w:r>
        <w:rPr>
          <w:spacing w:val="-84"/>
        </w:rPr>
      </w:r>
      <w:r>
        <w:rPr/>
        <w:t>定资格当年即</w:t>
      </w:r>
      <w:r>
        <w:rPr>
          <w:rFonts w:ascii="宋体" w:hAnsi="宋体" w:cs="宋体" w:eastAsia="宋体" w:hint="default"/>
        </w:rPr>
        <w:t>2016</w:t>
      </w:r>
      <w:r>
        <w:rPr/>
        <w:t>年起，企业所得税减按</w:t>
      </w:r>
      <w:r>
        <w:rPr>
          <w:rFonts w:ascii="宋体" w:hAnsi="宋体" w:cs="宋体" w:eastAsia="宋体" w:hint="default"/>
        </w:rPr>
        <w:t>15%</w:t>
      </w:r>
      <w:r>
        <w:rPr/>
        <w:t>的优惠税率征收，减免期限为</w:t>
      </w:r>
      <w:r>
        <w:rPr>
          <w:rFonts w:ascii="宋体" w:hAnsi="宋体" w:cs="宋体" w:eastAsia="宋体" w:hint="default"/>
        </w:rPr>
        <w:t>2016</w:t>
      </w:r>
      <w:r>
        <w:rPr/>
        <w:t>年度至</w:t>
      </w:r>
      <w:r>
        <w:rPr>
          <w:rFonts w:ascii="宋体" w:hAnsi="宋体" w:cs="宋体" w:eastAsia="宋体" w:hint="default"/>
        </w:rPr>
        <w:t>2018</w:t>
      </w:r>
      <w:r>
        <w:rPr/>
        <w:t>年度。</w:t>
      </w:r>
    </w:p>
    <w:p>
      <w:pPr>
        <w:pStyle w:val="BodyText"/>
        <w:spacing w:line="316" w:lineRule="auto" w:before="139"/>
        <w:ind w:left="1133" w:right="1131" w:firstLine="426"/>
        <w:jc w:val="both"/>
      </w:pPr>
      <w:r>
        <w:rPr/>
        <w:t>公司之子公司河南智游臻龙教育科技有限公司通过河南省</w:t>
      </w:r>
      <w:r>
        <w:rPr>
          <w:rFonts w:ascii="宋体" w:hAnsi="宋体" w:cs="宋体" w:eastAsia="宋体" w:hint="default"/>
        </w:rPr>
        <w:t>2016</w:t>
      </w:r>
      <w:r>
        <w:rPr/>
        <w:t>年第一批高新技术企业认定，获得高新技术企业证书， </w:t>
      </w:r>
      <w:r>
        <w:rPr>
          <w:spacing w:val="-2"/>
        </w:rPr>
        <w:t>证书编号为</w:t>
      </w:r>
      <w:r>
        <w:rPr>
          <w:rFonts w:ascii="宋体" w:hAnsi="宋体" w:cs="宋体" w:eastAsia="宋体" w:hint="default"/>
          <w:spacing w:val="-2"/>
        </w:rPr>
        <w:t>GR201641000058</w:t>
      </w:r>
      <w:r>
        <w:rPr>
          <w:spacing w:val="-2"/>
        </w:rPr>
        <w:t>，发证日期为</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w:t>
      </w:r>
      <w:r>
        <w:rPr>
          <w:spacing w:val="-2"/>
        </w:rPr>
        <w:t>日，有效期</w:t>
      </w:r>
      <w:r>
        <w:rPr>
          <w:rFonts w:ascii="宋体" w:hAnsi="宋体" w:cs="宋体" w:eastAsia="宋体" w:hint="default"/>
          <w:spacing w:val="-2"/>
        </w:rPr>
        <w:t>3</w:t>
      </w:r>
      <w:r>
        <w:rPr>
          <w:spacing w:val="-2"/>
        </w:rPr>
        <w:t>年。据企业所得税法及实施条例的规定，自获得高新技术</w:t>
      </w:r>
      <w:r>
        <w:rPr>
          <w:spacing w:val="-46"/>
        </w:rPr>
        <w:t> </w:t>
      </w:r>
      <w:r>
        <w:rPr>
          <w:spacing w:val="-46"/>
        </w:rPr>
      </w:r>
      <w:r>
        <w:rPr/>
        <w:t>企业认定资格当年即</w:t>
      </w:r>
      <w:r>
        <w:rPr>
          <w:rFonts w:ascii="宋体" w:hAnsi="宋体" w:cs="宋体" w:eastAsia="宋体" w:hint="default"/>
        </w:rPr>
        <w:t>2016</w:t>
      </w:r>
      <w:r>
        <w:rPr/>
        <w:t>年起，企业所得税减按</w:t>
      </w:r>
      <w:r>
        <w:rPr>
          <w:rFonts w:ascii="宋体" w:hAnsi="宋体" w:cs="宋体" w:eastAsia="宋体" w:hint="default"/>
        </w:rPr>
        <w:t>15%</w:t>
      </w:r>
      <w:r>
        <w:rPr/>
        <w:t>的优惠税率征收，减免期限为</w:t>
      </w:r>
      <w:r>
        <w:rPr>
          <w:rFonts w:ascii="宋体" w:hAnsi="宋体" w:cs="宋体" w:eastAsia="宋体" w:hint="default"/>
        </w:rPr>
        <w:t>2016</w:t>
      </w:r>
      <w:r>
        <w:rPr/>
        <w:t>年度至</w:t>
      </w:r>
      <w:r>
        <w:rPr>
          <w:rFonts w:ascii="宋体" w:hAnsi="宋体" w:cs="宋体" w:eastAsia="宋体" w:hint="default"/>
        </w:rPr>
        <w:t>2018</w:t>
      </w:r>
      <w:r>
        <w:rPr/>
        <w:t>年度。</w:t>
      </w:r>
    </w:p>
    <w:p>
      <w:pPr>
        <w:pStyle w:val="BodyText"/>
        <w:spacing w:line="316" w:lineRule="auto" w:before="139"/>
        <w:ind w:left="1133" w:right="0" w:firstLine="426"/>
        <w:jc w:val="left"/>
      </w:pPr>
      <w:r>
        <w:rPr/>
        <w:t>公司之孙公司郑州智游爱峰科技有限公司通过河南省</w:t>
      </w:r>
      <w:r>
        <w:rPr>
          <w:rFonts w:ascii="宋体" w:hAnsi="宋体" w:cs="宋体" w:eastAsia="宋体" w:hint="default"/>
        </w:rPr>
        <w:t>2016</w:t>
      </w:r>
      <w:r>
        <w:rPr/>
        <w:t>年第一批高新技术企业认定，获得高新技术企业证书，证书 </w:t>
      </w:r>
      <w:r>
        <w:rPr>
          <w:spacing w:val="-2"/>
        </w:rPr>
        <w:t>编号为</w:t>
      </w:r>
      <w:r>
        <w:rPr>
          <w:rFonts w:ascii="宋体" w:hAnsi="宋体" w:cs="宋体" w:eastAsia="宋体" w:hint="default"/>
          <w:spacing w:val="-2"/>
        </w:rPr>
        <w:t>GR201641000319</w:t>
      </w:r>
      <w:r>
        <w:rPr>
          <w:spacing w:val="-2"/>
        </w:rPr>
        <w:t>，发证日期为</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w:t>
      </w:r>
      <w:r>
        <w:rPr>
          <w:spacing w:val="-2"/>
        </w:rPr>
        <w:t>日，有效期</w:t>
      </w:r>
      <w:r>
        <w:rPr>
          <w:rFonts w:ascii="宋体" w:hAnsi="宋体" w:cs="宋体" w:eastAsia="宋体" w:hint="default"/>
          <w:spacing w:val="-2"/>
        </w:rPr>
        <w:t>3</w:t>
      </w:r>
      <w:r>
        <w:rPr>
          <w:spacing w:val="-2"/>
        </w:rPr>
        <w:t>年。据企业所得税法及实施条例的规定，自获得高新技术企业</w:t>
      </w:r>
      <w:r>
        <w:rPr>
          <w:spacing w:val="-46"/>
        </w:rPr>
        <w:t> </w:t>
      </w:r>
      <w:r>
        <w:rPr>
          <w:spacing w:val="-46"/>
        </w:rPr>
      </w:r>
      <w:r>
        <w:rPr/>
        <w:t>认定资格当年即</w:t>
      </w:r>
      <w:r>
        <w:rPr>
          <w:rFonts w:ascii="宋体" w:hAnsi="宋体" w:cs="宋体" w:eastAsia="宋体" w:hint="default"/>
        </w:rPr>
        <w:t>2016</w:t>
      </w:r>
      <w:r>
        <w:rPr/>
        <w:t>年起，企业所得税减按</w:t>
      </w:r>
      <w:r>
        <w:rPr>
          <w:rFonts w:ascii="宋体" w:hAnsi="宋体" w:cs="宋体" w:eastAsia="宋体" w:hint="default"/>
        </w:rPr>
        <w:t>15%</w:t>
      </w:r>
      <w:r>
        <w:rPr/>
        <w:t>的优惠税率征收，减免期限为</w:t>
      </w:r>
      <w:r>
        <w:rPr>
          <w:rFonts w:ascii="宋体" w:hAnsi="宋体" w:cs="宋体" w:eastAsia="宋体" w:hint="default"/>
        </w:rPr>
        <w:t>2016</w:t>
      </w:r>
      <w:r>
        <w:rPr/>
        <w:t>年度至</w:t>
      </w:r>
      <w:r>
        <w:rPr>
          <w:rFonts w:ascii="宋体" w:hAnsi="宋体" w:cs="宋体" w:eastAsia="宋体" w:hint="default"/>
        </w:rPr>
        <w:t>2018</w:t>
      </w:r>
      <w:r>
        <w:rPr/>
        <w:t>年度。 </w:t>
      </w:r>
      <w:r>
        <w:rPr>
          <w:spacing w:val="-2"/>
        </w:rPr>
        <w:t>公司之孙公司新疆联汛展望教育科技有限公司、霍尔果斯臻龙教育科技有限公司，根据财政部国家税务总局《关于新疆喀什</w:t>
      </w:r>
      <w:r>
        <w:rPr>
          <w:spacing w:val="-66"/>
        </w:rPr>
        <w:t> </w:t>
      </w:r>
      <w:r>
        <w:rPr>
          <w:spacing w:val="-66"/>
        </w:rPr>
      </w:r>
      <w:r>
        <w:rPr>
          <w:spacing w:val="-3"/>
        </w:rPr>
        <w:t>霍尔果斯两个特殊经济开发区企业所得税优惠政策的通知》（财税</w:t>
      </w:r>
      <w:r>
        <w:rPr>
          <w:rFonts w:ascii="宋体" w:hAnsi="宋体" w:cs="宋体" w:eastAsia="宋体" w:hint="default"/>
          <w:spacing w:val="-3"/>
        </w:rPr>
        <w:t>[2011]112</w:t>
      </w:r>
      <w:r>
        <w:rPr>
          <w:spacing w:val="-3"/>
        </w:rPr>
        <w:t>号），自</w:t>
      </w:r>
      <w:r>
        <w:rPr>
          <w:rFonts w:ascii="宋体" w:hAnsi="宋体" w:cs="宋体" w:eastAsia="宋体" w:hint="default"/>
          <w:spacing w:val="-3"/>
        </w:rPr>
        <w:t>2010</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日，对在</w:t>
      </w:r>
      <w:r>
        <w:rPr>
          <w:spacing w:val="-72"/>
        </w:rPr>
        <w:t> </w:t>
      </w:r>
      <w:r>
        <w:rPr>
          <w:spacing w:val="-2"/>
        </w:rPr>
        <w:t>新疆喀什、霍尔果斯两个特殊经济开发区内新办的属于《新疆困难地区重点鼓励发展产业企业所得税优惠目录》（以下简称</w:t>
      </w:r>
    </w:p>
    <w:p>
      <w:pPr>
        <w:pStyle w:val="BodyText"/>
        <w:spacing w:line="240" w:lineRule="auto" w:before="19"/>
        <w:ind w:left="1133" w:right="0"/>
        <w:jc w:val="left"/>
      </w:pPr>
      <w:r>
        <w:rPr/>
        <w:t>《目录</w:t>
      </w:r>
      <w:r>
        <w:rPr>
          <w:spacing w:val="-90"/>
        </w:rPr>
        <w:t>》</w:t>
      </w:r>
      <w:r>
        <w:rPr/>
        <w:t>）范围内的企业，自取得第一笔生产经营收入所属纳税年度起，五年内免征企业所得税。</w:t>
      </w:r>
    </w:p>
    <w:p>
      <w:pPr>
        <w:spacing w:line="240" w:lineRule="auto" w:before="2"/>
        <w:rPr>
          <w:rFonts w:ascii="宋体" w:hAnsi="宋体" w:cs="宋体" w:eastAsia="宋体" w:hint="default"/>
          <w:sz w:val="25"/>
          <w:szCs w:val="25"/>
        </w:rPr>
      </w:pPr>
    </w:p>
    <w:p>
      <w:pPr>
        <w:pStyle w:val="Heading2"/>
        <w:spacing w:line="240" w:lineRule="auto"/>
        <w:ind w:left="1133" w:right="0"/>
        <w:jc w:val="left"/>
        <w:rPr>
          <w:b w:val="0"/>
          <w:bCs w:val="0"/>
        </w:rPr>
      </w:pPr>
      <w:bookmarkStart w:name="七、合并财务报表项目注释" w:id="216"/>
      <w:bookmarkEnd w:id="216"/>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货币资金" w:id="217"/>
      <w:bookmarkEnd w:id="21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1,146,556.41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324,107.35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546,647,743.87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532,073,861.07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5,040,755.80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28,217,327.30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552,835,056.08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560,615,295.72</w:t>
            </w:r>
          </w:p>
        </w:tc>
      </w:tr>
    </w:tbl>
    <w:p>
      <w:pPr>
        <w:pStyle w:val="BodyText"/>
        <w:spacing w:line="439" w:lineRule="auto" w:before="51"/>
        <w:ind w:left="1133" w:right="1753"/>
        <w:jc w:val="left"/>
      </w:pPr>
      <w:r>
        <w:rPr/>
        <w:t>其他说明 其他货币资金</w:t>
      </w:r>
      <w:r>
        <w:rPr>
          <w:rFonts w:ascii="宋体" w:hAnsi="宋体" w:cs="宋体" w:eastAsia="宋体" w:hint="default"/>
        </w:rPr>
        <w:t>44,597.85</w:t>
      </w:r>
      <w:r>
        <w:rPr/>
        <w:t>元是京东账户余额，</w:t>
      </w:r>
      <w:r>
        <w:rPr>
          <w:rFonts w:ascii="宋体" w:hAnsi="宋体" w:cs="宋体" w:eastAsia="宋体" w:hint="default"/>
        </w:rPr>
        <w:t>94,319.70</w:t>
      </w:r>
      <w:r>
        <w:rPr/>
        <w:t>元是支付宝账户余额，</w:t>
      </w:r>
      <w:r>
        <w:rPr>
          <w:rFonts w:ascii="宋体" w:hAnsi="宋体" w:cs="宋体" w:eastAsia="宋体" w:hint="default"/>
        </w:rPr>
        <w:t>4,901,838.25</w:t>
      </w:r>
      <w:r>
        <w:rPr/>
        <w:t>元系银行存款保证金。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日，公司不存在有潜在收回风险的货币资金。</w:t>
      </w:r>
    </w:p>
    <w:p>
      <w:pPr>
        <w:spacing w:after="0" w:line="439" w:lineRule="auto"/>
        <w:jc w:val="left"/>
        <w:sectPr>
          <w:headerReference w:type="default" r:id="rId23"/>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应收票据" w:id="218"/>
      <w:bookmarkEnd w:id="218"/>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19"/>
      <w:bookmarkEnd w:id="219"/>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2,421,034.00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2,421,034.00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应收账款" w:id="220"/>
      <w:bookmarkEnd w:id="220"/>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1"/>
      <w:bookmarkEnd w:id="22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4,047</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,815.</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1.65%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4,047,8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196,43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0,999.7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14,610,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569.00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181,82</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0,430.7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241,0</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43,48</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8.55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98.35</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13,744,</w:t>
            </w:r>
          </w:p>
          <w:p>
            <w:pPr>
              <w:pStyle w:val="TableParagraph"/>
              <w:spacing w:line="240" w:lineRule="auto" w:before="105"/>
              <w:ind w:left="212" w:right="0"/>
              <w:jc w:val="left"/>
              <w:rPr>
                <w:rFonts w:ascii="Times New Roman" w:hAnsi="Times New Roman" w:cs="Times New Roman" w:eastAsia="Times New Roman" w:hint="default"/>
                <w:sz w:val="18"/>
                <w:szCs w:val="18"/>
              </w:rPr>
            </w:pPr>
            <w:r>
              <w:rPr>
                <w:rFonts w:ascii="Times New Roman"/>
                <w:sz w:val="18"/>
              </w:rPr>
              <w:t>011.68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227,299,</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476.87</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196,43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0,999.7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14,610,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569.00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181,82</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0,430.7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245,0</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91,30</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3.55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17,791,</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826.68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227,299,</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476.87</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pStyle w:val="BodyText"/>
        <w:spacing w:line="240" w:lineRule="auto" w:before="51"/>
        <w:ind w:right="-20"/>
        <w:jc w:val="left"/>
      </w:pPr>
      <w:r>
        <w:rPr/>
        <w:t>期末单项金额重大并单项计提坏账准备的应收账款：</w:t>
      </w:r>
    </w:p>
    <w:p>
      <w:pPr>
        <w:pStyle w:val="BodyText"/>
        <w:spacing w:line="360" w:lineRule="auto" w:before="116"/>
        <w:ind w:right="160"/>
        <w:jc w:val="left"/>
      </w:pPr>
      <w:r>
        <w:rPr/>
        <w:t>□ 适用 √ 不适用 组合中，按账龄分析法计提坏账准备的应收账款：</w:t>
      </w:r>
    </w:p>
    <w:p>
      <w:pPr>
        <w:pStyle w:val="BodyText"/>
        <w:spacing w:line="240" w:lineRule="auto" w:before="2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187,917,413.17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9,395,870.67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2,319,871.78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231,987.17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1,420,745.72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426,223.70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114,274.92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57,137.47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531,147.29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371,803.10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4,127,546.89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4,127,546.89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196,430,999.77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14,610,569.00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相同账龄的应收款项具有类似信用风险特征。 组合中，采用余额百分比法计提坏账准备的应收账款：</w:t>
      </w:r>
    </w:p>
    <w:p>
      <w:pPr>
        <w:pStyle w:val="BodyText"/>
        <w:spacing w:line="357" w:lineRule="auto" w:before="27"/>
        <w:ind w:right="6792"/>
        <w:jc w:val="left"/>
      </w:pPr>
      <w:r>
        <w:rPr/>
        <w:t>□ 适用 √ 不适用 组合中，采用其他方法计提坏账准备的应收账款：</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本期计提、收回或转回的坏账准备情况" w:id="222"/>
      <w:bookmarkEnd w:id="22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338" w:lineRule="auto" w:before="44"/>
        <w:ind w:left="1133" w:right="-13"/>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3,168,257.68</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7434" w:space="139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223"/>
      <w:bookmarkEnd w:id="22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13,000.00</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1" w:right="161"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439" w:lineRule="auto" w:before="51"/>
        <w:ind w:right="7152"/>
        <w:jc w:val="left"/>
      </w:pPr>
      <w:r>
        <w:rPr/>
        <w:t>应收账款核销说明： 公司报告期实际核销的应收账款</w:t>
      </w:r>
      <w:r>
        <w:rPr>
          <w:rFonts w:ascii="Times New Roman" w:hAnsi="Times New Roman" w:cs="Times New Roman" w:eastAsia="Times New Roman" w:hint="default"/>
        </w:rPr>
        <w:t>13,000.00</w:t>
      </w:r>
      <w:r>
        <w:rPr/>
        <w:t>元。</w:t>
      </w:r>
    </w:p>
    <w:p>
      <w:pPr>
        <w:spacing w:line="240" w:lineRule="auto" w:before="3"/>
        <w:rPr>
          <w:rFonts w:ascii="宋体" w:hAnsi="宋体" w:cs="宋体" w:eastAsia="宋体" w:hint="default"/>
          <w:sz w:val="13"/>
          <w:szCs w:val="13"/>
        </w:rPr>
      </w:pPr>
    </w:p>
    <w:p>
      <w:pPr>
        <w:pStyle w:val="Heading3"/>
        <w:spacing w:line="240" w:lineRule="auto"/>
        <w:ind w:left="1133" w:right="0"/>
        <w:jc w:val="left"/>
        <w:rPr>
          <w:b w:val="0"/>
          <w:bCs w:val="0"/>
        </w:rPr>
      </w:pPr>
      <w:bookmarkStart w:name="（4）按欠款方归集的期末余额前五名的应收账款情况" w:id="224"/>
      <w:bookmarkEnd w:id="22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00" w:lineRule="auto" w:before="28"/>
        <w:ind w:left="1133" w:right="0"/>
        <w:jc w:val="left"/>
      </w:pPr>
      <w:r>
        <w:rPr>
          <w:spacing w:val="-1"/>
        </w:rPr>
        <w:t>公司报告期末，应收账款余额前五名的客户应收金额合计</w:t>
      </w:r>
      <w:r>
        <w:rPr>
          <w:rFonts w:ascii="Times New Roman" w:hAnsi="Times New Roman" w:cs="Times New Roman" w:eastAsia="Times New Roman" w:hint="default"/>
          <w:spacing w:val="-1"/>
        </w:rPr>
        <w:t>29,923,453.04</w:t>
      </w:r>
      <w:r>
        <w:rPr>
          <w:spacing w:val="-1"/>
        </w:rPr>
        <w:t>元，占应收账款总额的比例为</w:t>
      </w:r>
      <w:r>
        <w:rPr>
          <w:rFonts w:ascii="宋体" w:hAnsi="宋体" w:cs="宋体" w:eastAsia="宋体" w:hint="default"/>
          <w:spacing w:val="-1"/>
        </w:rPr>
        <w:t>15.23%</w:t>
      </w:r>
      <w:r>
        <w:rPr>
          <w:spacing w:val="-1"/>
        </w:rPr>
        <w:t>，相应计提的坏</w:t>
      </w:r>
      <w:r>
        <w:rPr>
          <w:spacing w:val="-68"/>
        </w:rPr>
        <w:t> </w:t>
      </w:r>
      <w:r>
        <w:rPr>
          <w:spacing w:val="-68"/>
        </w:rPr>
      </w:r>
      <w:r>
        <w:rPr/>
        <w:t>账准备年末余额汇总金额为</w:t>
      </w:r>
      <w:r>
        <w:rPr>
          <w:rFonts w:ascii="宋体" w:hAnsi="宋体" w:cs="宋体" w:eastAsia="宋体" w:hint="default"/>
        </w:rPr>
        <w:t>5,341,596.90</w:t>
      </w:r>
      <w:r>
        <w:rPr/>
        <w:t>元。</w:t>
      </w:r>
    </w:p>
    <w:p>
      <w:pPr>
        <w:spacing w:line="240" w:lineRule="auto" w:before="6"/>
        <w:rPr>
          <w:rFonts w:ascii="宋体" w:hAnsi="宋体" w:cs="宋体" w:eastAsia="宋体" w:hint="default"/>
          <w:sz w:val="23"/>
          <w:szCs w:val="23"/>
        </w:rPr>
      </w:pPr>
    </w:p>
    <w:p>
      <w:pPr>
        <w:pStyle w:val="Heading3"/>
        <w:spacing w:line="240" w:lineRule="auto"/>
        <w:ind w:left="1133" w:right="0"/>
        <w:jc w:val="left"/>
        <w:rPr>
          <w:b w:val="0"/>
          <w:bCs w:val="0"/>
        </w:rPr>
      </w:pPr>
      <w:bookmarkStart w:name="4、预付款项" w:id="225"/>
      <w:bookmarkEnd w:id="225"/>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预付款项按账龄列示" w:id="226"/>
      <w:bookmarkEnd w:id="22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84,635,030.51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22,889,990.87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609,715.00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3,229,453.23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6,376.00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85,251,121.51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26,119,444.10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4182"/>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日，预付款项余额中不存在账龄超过</w:t>
      </w:r>
      <w:r>
        <w:rPr>
          <w:rFonts w:ascii="宋体" w:hAnsi="宋体" w:cs="宋体" w:eastAsia="宋体" w:hint="default"/>
        </w:rPr>
        <w:t>1</w:t>
      </w:r>
      <w:r>
        <w:rPr/>
        <w:t>年且金额重要的预付款项。</w:t>
      </w:r>
    </w:p>
    <w:p>
      <w:pPr>
        <w:spacing w:line="240" w:lineRule="auto" w:before="4"/>
        <w:rPr>
          <w:rFonts w:ascii="宋体" w:hAnsi="宋体" w:cs="宋体" w:eastAsia="宋体" w:hint="default"/>
          <w:sz w:val="21"/>
          <w:szCs w:val="21"/>
        </w:rPr>
      </w:pPr>
    </w:p>
    <w:p>
      <w:pPr>
        <w:pStyle w:val="Heading3"/>
        <w:spacing w:line="240" w:lineRule="auto"/>
        <w:ind w:left="1133" w:right="0"/>
        <w:jc w:val="left"/>
        <w:rPr>
          <w:b w:val="0"/>
          <w:bCs w:val="0"/>
        </w:rPr>
      </w:pPr>
      <w:bookmarkStart w:name="（2）按预付对象归集的期末余额前五名的预付款情况" w:id="227"/>
      <w:bookmarkEnd w:id="22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441" w:lineRule="auto"/>
        <w:ind w:left="1133" w:right="1303"/>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日，公司预付款项余额前五名的供应商金额合计</w:t>
      </w:r>
      <w:r>
        <w:rPr>
          <w:rFonts w:ascii="宋体" w:hAnsi="宋体" w:cs="宋体" w:eastAsia="宋体" w:hint="default"/>
        </w:rPr>
        <w:t>62,145,237.54</w:t>
      </w:r>
      <w:r>
        <w:rPr/>
        <w:t>元，占预付款项余额的比例为</w:t>
      </w:r>
      <w:r>
        <w:rPr>
          <w:rFonts w:ascii="宋体" w:hAnsi="宋体" w:cs="宋体" w:eastAsia="宋体" w:hint="default"/>
        </w:rPr>
        <w:t>72.90%</w:t>
      </w:r>
      <w:r>
        <w:rPr/>
        <w:t>。 其他说明：无</w:t>
      </w:r>
    </w:p>
    <w:p>
      <w:pPr>
        <w:spacing w:line="240" w:lineRule="auto" w:before="2"/>
        <w:rPr>
          <w:rFonts w:ascii="宋体" w:hAnsi="宋体" w:cs="宋体" w:eastAsia="宋体" w:hint="default"/>
          <w:sz w:val="15"/>
          <w:szCs w:val="15"/>
        </w:rPr>
      </w:pPr>
    </w:p>
    <w:p>
      <w:pPr>
        <w:pStyle w:val="Heading3"/>
        <w:spacing w:line="240" w:lineRule="auto"/>
        <w:ind w:left="1133" w:right="0"/>
        <w:jc w:val="left"/>
        <w:rPr>
          <w:b w:val="0"/>
          <w:bCs w:val="0"/>
        </w:rPr>
      </w:pPr>
      <w:bookmarkStart w:name="5、应收利息" w:id="228"/>
      <w:bookmarkEnd w:id="228"/>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29"/>
      <w:bookmarkEnd w:id="229"/>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866,930.21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1,267,557.69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866,930.21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1,267,557.69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应收款" w:id="230"/>
      <w:bookmarkEnd w:id="230"/>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31"/>
      <w:bookmarkEnd w:id="23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11,399,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679.28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602,19</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4.91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10,797,</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484.37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34,51</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6,253</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1,712,7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12.00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32,803,5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41.20</w:t>
            </w: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11,399,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679.28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602,19</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4.91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10,797,</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484.37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34,51</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6,253</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1,712,7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12.00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32,803,5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41.20</w:t>
            </w:r>
          </w:p>
        </w:tc>
      </w:tr>
    </w:tbl>
    <w:p>
      <w:pPr>
        <w:pStyle w:val="BodyText"/>
        <w:spacing w:line="240" w:lineRule="auto" w:before="51"/>
        <w:ind w:right="0"/>
        <w:jc w:val="left"/>
      </w:pPr>
      <w:r>
        <w:rPr/>
        <w:t>期末单项金额重大并单项计提坏账准备的其他应收款：</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07" w:footer="1019" w:top="1100" w:bottom="1200" w:left="0" w:right="0"/>
        </w:sectPr>
      </w:pPr>
    </w:p>
    <w:p>
      <w:pPr>
        <w:pStyle w:val="BodyText"/>
        <w:spacing w:line="357" w:lineRule="auto" w:before="44"/>
        <w:ind w:right="-20"/>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 元</w:t>
      </w:r>
    </w:p>
    <w:p>
      <w:pPr>
        <w:spacing w:after="0" w:line="240" w:lineRule="auto"/>
        <w:jc w:val="center"/>
        <w:sectPr>
          <w:type w:val="continuous"/>
          <w:pgSz w:w="11910" w:h="16840"/>
          <w:pgMar w:top="1100" w:bottom="120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3,727,281.71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186,364.10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1,472,004.12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147,200.41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25,470.00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7,640.99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7,340.00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3,669.99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273,954.90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191,768.42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65,551.00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65,551.00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5,571,601.73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602,194.91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252"/>
        <w:jc w:val="left"/>
      </w:pPr>
      <w:r>
        <w:rPr/>
        <w:t>确定该组合依据的说明： 相同账龄的其他应收款项具有类似信用风险特征。 组合中，采用余额百分比法计提坏账准备的其他应收款：</w:t>
      </w:r>
    </w:p>
    <w:p>
      <w:pPr>
        <w:pStyle w:val="BodyText"/>
        <w:spacing w:line="357" w:lineRule="auto" w:before="29"/>
        <w:ind w:right="6612"/>
        <w:jc w:val="left"/>
      </w:pPr>
      <w:r>
        <w:rPr/>
        <w:t>□ 适用 √ 不适用 组合中，采用其他方法计提坏账准备的其他应收款：</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32"/>
      <w:bookmarkEnd w:id="23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0" w:right="0"/>
        </w:sectPr>
      </w:pPr>
    </w:p>
    <w:p>
      <w:pPr>
        <w:pStyle w:val="BodyText"/>
        <w:spacing w:line="338" w:lineRule="auto" w:before="44"/>
        <w:ind w:left="1133" w:right="-15"/>
        <w:jc w:val="left"/>
      </w:pPr>
      <w:r>
        <w:rPr/>
        <w:t>本期计提坏账准备金额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元；本期收回或转回坏账准备金额</w:t>
      </w:r>
      <w:r>
        <w:rPr>
          <w:spacing w:val="-48"/>
        </w:rPr>
        <w:t> </w:t>
      </w:r>
      <w:r>
        <w:rPr>
          <w:rFonts w:ascii="Times New Roman" w:hAnsi="Times New Roman" w:cs="Times New Roman" w:eastAsia="Times New Roman" w:hint="default"/>
        </w:rPr>
        <w:t>1,110,517.09</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7428" w:space="1401"/>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其他应收款情况" w:id="233"/>
      <w:bookmarkEnd w:id="23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162"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357" w:lineRule="auto" w:before="51"/>
        <w:ind w:right="7332"/>
        <w:jc w:val="left"/>
      </w:pPr>
      <w:r>
        <w:rPr/>
        <w:t>其他应收款核销说明： 公司报告期实际核销的其他应收款</w:t>
      </w:r>
      <w:r>
        <w:rPr>
          <w:rFonts w:ascii="宋体" w:hAnsi="宋体" w:cs="宋体" w:eastAsia="宋体" w:hint="default"/>
        </w:rPr>
        <w:t>0.00</w:t>
      </w:r>
      <w:r>
        <w:rPr/>
        <w:t>元。</w:t>
      </w:r>
    </w:p>
    <w:p>
      <w:pPr>
        <w:spacing w:after="0" w:line="357" w:lineRule="auto"/>
        <w:jc w:val="left"/>
        <w:sectPr>
          <w:type w:val="continuous"/>
          <w:pgSz w:w="11910" w:h="16840"/>
          <w:pgMar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4）其他应收款按款项性质分类情况" w:id="234"/>
      <w:bookmarkEnd w:id="23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1,008,993.81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1,238,215.78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3,516,137.25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2,589,999.19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5,165,769.85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4,012,416.73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软件企业即征即退税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662,307.70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922,741.20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投资意向款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546,470.67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252,880.30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11,399,679.28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34,516,253.20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235"/>
      <w:bookmarkEnd w:id="23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2" w:right="16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深圳市国家税务 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4,658,919.94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40.87%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广东省工业贸易 职业技术学校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867,221.60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43,361.08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广州市天河区国 家税务局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662,307.70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5.81%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蒋大伟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28,625.00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潮州市国家税务 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506,849.91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7,267,799.15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71,986.08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存货" w:id="236"/>
      <w:bookmarkEnd w:id="236"/>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1）存货分类" w:id="237"/>
      <w:bookmarkEnd w:id="23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1,993,593.33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1,993,593.33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1,405,940.57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1,405,940.57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9,758,032.48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9,758,032.48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19,495,829.46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19,495,829.46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86,985,251.51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9,197,188.08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77,788,063.43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75,014,567.91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8" w:right="0"/>
              <w:jc w:val="left"/>
              <w:rPr>
                <w:rFonts w:ascii="Times New Roman" w:hAnsi="Times New Roman" w:cs="Times New Roman" w:eastAsia="Times New Roman" w:hint="default"/>
                <w:sz w:val="18"/>
                <w:szCs w:val="18"/>
              </w:rPr>
            </w:pPr>
            <w:r>
              <w:rPr>
                <w:rFonts w:ascii="Times New Roman"/>
                <w:sz w:val="18"/>
              </w:rPr>
              <w:t>7,442,348.92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67,572,218.99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1,871,418.26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1,871,418.26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11,129,023.41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11,129,023.41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3,780,504.85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3,780,504.85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5,974,317.28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5,974,317.28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1,741.76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1,741.76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104,388,800.43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9,197,188.08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95,191,612.35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113,021,420.39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8" w:right="0"/>
              <w:jc w:val="left"/>
              <w:rPr>
                <w:rFonts w:ascii="Times New Roman" w:hAnsi="Times New Roman" w:cs="Times New Roman" w:eastAsia="Times New Roman" w:hint="default"/>
                <w:sz w:val="18"/>
                <w:szCs w:val="18"/>
              </w:rPr>
            </w:pPr>
            <w:r>
              <w:rPr>
                <w:rFonts w:ascii="Times New Roman"/>
                <w:sz w:val="18"/>
              </w:rPr>
              <w:t>7,442,348.92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105,579,071.47</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号—上市公司从事种业、种植业务》的披露要求 否</w:t>
      </w:r>
    </w:p>
    <w:p>
      <w:pPr>
        <w:pStyle w:val="BodyText"/>
        <w:spacing w:line="340" w:lineRule="auto" w:before="40"/>
        <w:ind w:left="1133"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号——上市公司从事广播电影电视业务》的披露要求 否</w:t>
      </w:r>
    </w:p>
    <w:p>
      <w:pPr>
        <w:pStyle w:val="BodyText"/>
        <w:spacing w:line="338" w:lineRule="auto" w:before="40"/>
        <w:ind w:left="1133"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 否</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存货跌价准备" w:id="238"/>
      <w:bookmarkEnd w:id="23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7,442,348.92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2,212,053.68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457,214.52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9,197,188.08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7,442,348.92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2,212,053.68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457,214.52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9,197,188.08</w:t>
            </w:r>
          </w:p>
        </w:tc>
      </w:tr>
    </w:tbl>
    <w:p>
      <w:pPr>
        <w:pStyle w:val="BodyText"/>
        <w:spacing w:line="316" w:lineRule="auto" w:before="70"/>
        <w:ind w:left="1133" w:right="1130" w:firstLine="423"/>
        <w:jc w:val="both"/>
      </w:pPr>
      <w:r>
        <w:rPr/>
        <w:t>公司期末按照单个存货项目以可变现净值低于账面成本差额计提存货跌价准备，公司存货可变现净值根椐估计售价减 </w:t>
      </w:r>
      <w:r>
        <w:rPr>
          <w:spacing w:val="-2"/>
        </w:rPr>
        <w:t>去至完工估计将要发生的成本、估计的销售费用以及相关税金后的金额确定。报告期期末存货跌价准备为公司少量产品更新</w:t>
      </w:r>
      <w:r>
        <w:rPr>
          <w:spacing w:val="-63"/>
        </w:rPr>
        <w:t> </w:t>
      </w:r>
      <w:r>
        <w:rPr>
          <w:spacing w:val="-63"/>
        </w:rPr>
      </w:r>
      <w:r>
        <w:rPr/>
        <w:t>换代而计提的跌价准备。</w:t>
      </w:r>
    </w:p>
    <w:p>
      <w:pPr>
        <w:pStyle w:val="BodyText"/>
        <w:spacing w:line="240" w:lineRule="auto" w:before="79"/>
        <w:ind w:right="0"/>
        <w:jc w:val="left"/>
      </w:pPr>
      <w:r>
        <w:rPr/>
        <w:t>本期转回转销的说明：本期减少金额中的转销额为公司本期将前期已计提存货跌价准备的存货对外销售所致。</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3）存货期末余额含有借款费用资本化金额的说明" w:id="239"/>
      <w:bookmarkEnd w:id="239"/>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存货年末余额中含有借款费用资本化金额为</w:t>
      </w:r>
      <w:r>
        <w:rPr>
          <w:rFonts w:ascii="宋体" w:hAnsi="宋体" w:cs="宋体" w:eastAsia="宋体" w:hint="default"/>
        </w:rPr>
        <w:t>0.00</w:t>
      </w:r>
      <w:r>
        <w:rPr/>
        <w:t>元。</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期末建造合同形成的已完工未结算资产情况" w:id="240"/>
      <w:bookmarkEnd w:id="240"/>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1"/>
        <w:ind w:left="1133" w:right="9853"/>
        <w:jc w:val="left"/>
      </w:pPr>
      <w:r>
        <w:rPr/>
        <w:t>其他说明： 无</w:t>
      </w:r>
    </w:p>
    <w:p>
      <w:pPr>
        <w:spacing w:after="0" w:line="357"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8、其他流动资产" w:id="241"/>
      <w:bookmarkEnd w:id="241"/>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1,769,770.87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210,622.59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986,935.00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1,429,000.19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5,887.67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1,237,787.94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16,200,000.00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3,062,593.54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19,077,410.72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9、可供出售金融资产" w:id="242"/>
      <w:bookmarkEnd w:id="242"/>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可供出售金融资产情况" w:id="243"/>
      <w:bookmarkEnd w:id="24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12,000,000.00</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12,000,000.00</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12,000,000.00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成本计量的可供出售金融资产" w:id="244"/>
      <w:bookmarkEnd w:id="244"/>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5" w:right="15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59" w:right="158"/>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9" w:right="15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5"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both"/>
              <w:rPr>
                <w:rFonts w:ascii="宋体" w:hAnsi="宋体" w:cs="宋体" w:eastAsia="宋体" w:hint="default"/>
                <w:sz w:val="18"/>
                <w:szCs w:val="18"/>
              </w:rPr>
            </w:pPr>
            <w:r>
              <w:rPr>
                <w:rFonts w:ascii="宋体" w:hAnsi="宋体" w:cs="宋体" w:eastAsia="宋体" w:hint="default"/>
                <w:sz w:val="18"/>
                <w:szCs w:val="18"/>
              </w:rPr>
              <w:t>广州民 营投资 股份有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208"/>
              <w:jc w:val="both"/>
              <w:rPr>
                <w:rFonts w:ascii="宋体" w:hAnsi="宋体" w:cs="宋体" w:eastAsia="宋体" w:hint="default"/>
                <w:sz w:val="18"/>
                <w:szCs w:val="18"/>
              </w:rPr>
            </w:pPr>
            <w:r>
              <w:rPr>
                <w:rFonts w:ascii="宋体" w:hAnsi="宋体" w:cs="宋体" w:eastAsia="宋体" w:hint="default"/>
                <w:sz w:val="18"/>
                <w:szCs w:val="18"/>
              </w:rPr>
              <w:t>深圳市 英盛网 络教育 科技有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2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2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0、长期应收款" w:id="245"/>
      <w:bookmarkEnd w:id="245"/>
      <w:r>
        <w:rPr>
          <w:b w:val="0"/>
          <w:bCs w:val="0"/>
        </w:rPr>
      </w:r>
      <w:r>
        <w:rPr>
          <w:rFonts w:ascii="Times New Roman" w:hAnsi="Times New Roman" w:cs="Times New Roman" w:eastAsia="Times New Roman" w:hint="default"/>
        </w:rPr>
        <w:t>10</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46"/>
      <w:bookmarkEnd w:id="246"/>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8"/>
              <w:jc w:val="left"/>
              <w:rPr>
                <w:rFonts w:ascii="宋体" w:hAnsi="宋体" w:cs="宋体" w:eastAsia="宋体" w:hint="default"/>
                <w:sz w:val="18"/>
                <w:szCs w:val="18"/>
              </w:rPr>
            </w:pPr>
            <w:r>
              <w:rPr>
                <w:rFonts w:ascii="宋体" w:hAnsi="宋体" w:cs="宋体" w:eastAsia="宋体" w:hint="default"/>
                <w:sz w:val="18"/>
                <w:szCs w:val="18"/>
              </w:rPr>
              <w:t>分期收款提供 劳务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12,176,610.0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612,828.00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11,563,782.0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4.75%</w:t>
            </w: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left"/>
              <w:rPr>
                <w:rFonts w:ascii="宋体" w:hAnsi="宋体" w:cs="宋体" w:eastAsia="宋体" w:hint="default"/>
                <w:sz w:val="18"/>
                <w:szCs w:val="18"/>
              </w:rPr>
            </w:pPr>
            <w:r>
              <w:rPr>
                <w:rFonts w:ascii="宋体" w:hAnsi="宋体" w:cs="宋体" w:eastAsia="宋体" w:hint="default"/>
                <w:sz w:val="18"/>
                <w:szCs w:val="18"/>
              </w:rPr>
              <w:t>未确认融资收 益</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-1,434,345.2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-1,434,345.2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4.75%</w:t>
            </w:r>
          </w:p>
        </w:tc>
      </w:tr>
      <w:tr>
        <w:trPr>
          <w:trHeight w:val="715"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10,742,264.7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612,828.00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10,129,436.7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因金融资产转移而终止确认的长期应收款" w:id="247"/>
      <w:bookmarkEnd w:id="247"/>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本期无因金融资产转移而终止确认的长期应收款</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转移长期应收款且继续涉入形成的资产、负债金额" w:id="248"/>
      <w:bookmarkEnd w:id="248"/>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252"/>
        <w:jc w:val="left"/>
      </w:pPr>
      <w:r>
        <w:rPr/>
        <w:t>本期无转移长期应收款且继续涉入形成的资产、负债金额 其他说明</w:t>
      </w:r>
    </w:p>
    <w:p>
      <w:pPr>
        <w:pStyle w:val="BodyText"/>
        <w:spacing w:line="240" w:lineRule="auto" w:before="26"/>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1、长期股权投资" w:id="249"/>
      <w:bookmarkEnd w:id="249"/>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12" w:right="12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宜兴市 金鱼陶 瓷有限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58,826,</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449.06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-5,135,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826.23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53,690,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622.83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新余智 趣资产 管理合 伙企业</w:t>
            </w:r>
          </w:p>
          <w:p>
            <w:pPr>
              <w:pStyle w:val="TableParagraph"/>
              <w:spacing w:line="319" w:lineRule="auto" w:before="19"/>
              <w:ind w:left="103" w:right="141"/>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49,103,</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616.48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-3,540,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838.42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95,562,</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778.06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潮州民 营投资 股份有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865,08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0.34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60,865,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080.34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107,93</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0,065.5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-7,811,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584.31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210,118</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,481.23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107,93</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0,065.5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-7,811,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584.31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210,118</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,481.23</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3"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2、固定资产" w:id="250"/>
      <w:bookmarkEnd w:id="250"/>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51"/>
      <w:bookmarkEnd w:id="25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6" w:right="0"/>
              <w:jc w:val="left"/>
              <w:rPr>
                <w:rFonts w:ascii="Times New Roman" w:hAnsi="Times New Roman" w:cs="Times New Roman" w:eastAsia="Times New Roman" w:hint="default"/>
                <w:sz w:val="18"/>
                <w:szCs w:val="18"/>
              </w:rPr>
            </w:pPr>
            <w:r>
              <w:rPr>
                <w:rFonts w:ascii="Times New Roman"/>
                <w:sz w:val="18"/>
              </w:rPr>
              <w:t>182,409,628.68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70,181,752.28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10,704,324.58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24,559,493.71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287,855,199.25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52,239,965.48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2,470,607.03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3,100,376.24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57,810,948.75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1,075,955.82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2,470,607.03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3,100,376.24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6,646,939.09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程转入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51,164,009.66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51,164,009.66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2,879,868.42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119,984.00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404,269.47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3,404,121.89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2,879,868.42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119,984.00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404,269.47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3,404,121.89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182,409,628.68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119,541,849.34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13,054,947.61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27,255,600.48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342,262,026.11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47,800,076.03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30,492,579.55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9,015,124.96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14,261,381.67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101,569,162.21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4,466,150.45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8,977,432.83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1,247,536.33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2,338,608.38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17,029,727.99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4,466,150.45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8,977,432.83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1,247,536.33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2,338,608.38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17,029,727.99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531,975.69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113,984.80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374,241.06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1,020,201.55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531,975.69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113,984.80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374,241.06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1,020,201.55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52,266,226.48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38,938,036.69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10,148,676.49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16,225,748.99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117,578,688.65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130,143,402.20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80,603,812.65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2,906,271.12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11,029,851.49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224,683,337.46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134,609,552.65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39,689,172.73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1,689,199.62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10,298,112.04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186,286,037.04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办妥产权证书的固定资产情况" w:id="252"/>
      <w:bookmarkEnd w:id="252"/>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3、在建工程" w:id="253"/>
      <w:bookmarkEnd w:id="253"/>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54"/>
      <w:bookmarkEnd w:id="25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校园一卡通项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1,970,781.39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1,970,781.39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2,086,153.67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2,086,153.67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0" w:right="0"/>
              <w:jc w:val="left"/>
              <w:rPr>
                <w:rFonts w:ascii="Times New Roman" w:hAnsi="Times New Roman" w:cs="Times New Roman" w:eastAsia="Times New Roman" w:hint="default"/>
                <w:sz w:val="18"/>
                <w:szCs w:val="18"/>
              </w:rPr>
            </w:pPr>
            <w:r>
              <w:rPr>
                <w:rFonts w:ascii="Times New Roman"/>
                <w:sz w:val="18"/>
              </w:rPr>
              <w:t>1,970,781.39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9" w:right="0"/>
              <w:jc w:val="left"/>
              <w:rPr>
                <w:rFonts w:ascii="Times New Roman" w:hAnsi="Times New Roman" w:cs="Times New Roman" w:eastAsia="Times New Roman" w:hint="default"/>
                <w:sz w:val="18"/>
                <w:szCs w:val="18"/>
              </w:rPr>
            </w:pPr>
            <w:r>
              <w:rPr>
                <w:rFonts w:ascii="Times New Roman"/>
                <w:sz w:val="18"/>
              </w:rPr>
              <w:t>1,970,781.39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9" w:right="0"/>
              <w:jc w:val="left"/>
              <w:rPr>
                <w:rFonts w:ascii="Times New Roman" w:hAnsi="Times New Roman" w:cs="Times New Roman" w:eastAsia="Times New Roman" w:hint="default"/>
                <w:sz w:val="18"/>
                <w:szCs w:val="18"/>
              </w:rPr>
            </w:pPr>
            <w:r>
              <w:rPr>
                <w:rFonts w:ascii="Times New Roman"/>
                <w:sz w:val="18"/>
              </w:rPr>
              <w:t>2,086,153.67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9" w:right="0"/>
              <w:jc w:val="left"/>
              <w:rPr>
                <w:rFonts w:ascii="Times New Roman" w:hAnsi="Times New Roman" w:cs="Times New Roman" w:eastAsia="Times New Roman" w:hint="default"/>
                <w:sz w:val="18"/>
                <w:szCs w:val="18"/>
              </w:rPr>
            </w:pPr>
            <w:r>
              <w:rPr>
                <w:rFonts w:ascii="Times New Roman"/>
                <w:sz w:val="18"/>
              </w:rPr>
              <w:t>2,086,153.67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55"/>
      <w:bookmarkEnd w:id="25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2" w:right="181" w:hanging="90"/>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82" w:right="18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80"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7"/>
              <w:jc w:val="both"/>
              <w:rPr>
                <w:rFonts w:ascii="宋体" w:hAnsi="宋体" w:cs="宋体" w:eastAsia="宋体" w:hint="default"/>
                <w:sz w:val="18"/>
                <w:szCs w:val="18"/>
              </w:rPr>
            </w:pPr>
            <w:r>
              <w:rPr>
                <w:rFonts w:ascii="宋体" w:hAnsi="宋体" w:cs="宋体" w:eastAsia="宋体" w:hint="default"/>
                <w:sz w:val="18"/>
                <w:szCs w:val="18"/>
              </w:rPr>
              <w:t>校园 一卡 通项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5,500.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2,086,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153.67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51,654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,762.9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51,770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,135.2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1,970,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781.39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97.71</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63"/>
              <w:jc w:val="left"/>
              <w:rPr>
                <w:rFonts w:ascii="宋体" w:hAnsi="宋体" w:cs="宋体" w:eastAsia="宋体" w:hint="default"/>
                <w:sz w:val="18"/>
                <w:szCs w:val="18"/>
              </w:rPr>
            </w:pPr>
            <w:r>
              <w:rPr>
                <w:rFonts w:ascii="宋体" w:hAnsi="宋体" w:cs="宋体" w:eastAsia="宋体" w:hint="default"/>
                <w:sz w:val="18"/>
                <w:szCs w:val="18"/>
              </w:rPr>
              <w:t>未完 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5,500.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2,086,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153.67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51,654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,762.9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51,770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,135.2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1,970,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781.39</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56"/>
      <w:bookmarkEnd w:id="256"/>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357" w:lineRule="auto" w:before="51"/>
        <w:ind w:left="1133" w:right="2833"/>
        <w:jc w:val="left"/>
      </w:pPr>
      <w:r>
        <w:rPr/>
        <w:t>其他说明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日，公司不存在在建工程预计可收回金额低于其账面价值而需计提减值准备的情形</w:t>
      </w:r>
    </w:p>
    <w:p>
      <w:pPr>
        <w:spacing w:line="240" w:lineRule="auto" w:before="3"/>
        <w:rPr>
          <w:rFonts w:ascii="宋体" w:hAnsi="宋体" w:cs="宋体" w:eastAsia="宋体" w:hint="default"/>
          <w:sz w:val="20"/>
          <w:szCs w:val="20"/>
        </w:rPr>
      </w:pPr>
    </w:p>
    <w:p>
      <w:pPr>
        <w:pStyle w:val="Heading3"/>
        <w:spacing w:line="240" w:lineRule="auto"/>
        <w:ind w:left="1133" w:right="0"/>
        <w:jc w:val="left"/>
        <w:rPr>
          <w:b w:val="0"/>
          <w:bCs w:val="0"/>
        </w:rPr>
      </w:pPr>
      <w:bookmarkStart w:name="14、无形资产" w:id="257"/>
      <w:bookmarkEnd w:id="257"/>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58"/>
      <w:bookmarkEnd w:id="25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 是 √ 否</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应用软件</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商标</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306,649,655.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Times New Roman" w:hAnsi="Times New Roman" w:cs="Times New Roman" w:eastAsia="Times New Roman" w:hint="default"/>
                <w:sz w:val="18"/>
                <w:szCs w:val="18"/>
              </w:rPr>
            </w:pPr>
            <w:r>
              <w:rPr>
                <w:rFonts w:ascii="Times New Roman"/>
                <w:sz w:val="18"/>
              </w:rPr>
              <w:t>30,000.00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18,889,987.8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779,300.00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147,350.00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326,496,293.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24,975,803.9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24,975,803.9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24,975,803.9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24,975,803.9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91"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91"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306,649,655.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Times New Roman" w:hAnsi="Times New Roman" w:cs="Times New Roman" w:eastAsia="Times New Roman" w:hint="default"/>
                <w:sz w:val="18"/>
                <w:szCs w:val="18"/>
              </w:rPr>
            </w:pPr>
            <w:r>
              <w:rPr>
                <w:rFonts w:ascii="Times New Roman"/>
                <w:sz w:val="18"/>
              </w:rPr>
              <w:t>30,000.00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43,865,791.7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779,300.00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147,350.00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351,472,097.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二、累计摊 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21,131,518.7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Times New Roman" w:hAnsi="Times New Roman" w:cs="Times New Roman" w:eastAsia="Times New Roman" w:hint="default"/>
                <w:sz w:val="18"/>
                <w:szCs w:val="18"/>
              </w:rPr>
            </w:pPr>
            <w:r>
              <w:rPr>
                <w:rFonts w:ascii="Times New Roman"/>
                <w:sz w:val="18"/>
              </w:rPr>
              <w:t>30,000.00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3,919,221.67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644,129.37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90,865.71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25,815,735.4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6,017,293.80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3,945,520.34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77,929.92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29,469.96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10,070,214.0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6,017,293.80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3,945,520.34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77,929.92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29,469.96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10,070,214.0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27,148,812.5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3" w:right="0"/>
              <w:jc w:val="left"/>
              <w:rPr>
                <w:rFonts w:ascii="Times New Roman" w:hAnsi="Times New Roman" w:cs="Times New Roman" w:eastAsia="Times New Roman" w:hint="default"/>
                <w:sz w:val="18"/>
                <w:szCs w:val="18"/>
              </w:rPr>
            </w:pPr>
            <w:r>
              <w:rPr>
                <w:rFonts w:ascii="Times New Roman"/>
                <w:sz w:val="18"/>
              </w:rPr>
              <w:t>30,000.00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7,864,742.01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722,059.29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120,335.67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35,885,949.4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r>
              <w:rPr>
                <w:rFonts w:ascii="宋体" w:hAnsi="宋体" w:cs="宋体" w:eastAsia="宋体"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279,500,842.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36,001,049.7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57,240.71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27,014.33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315,586,147.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285,518,136.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14,970,766.1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135,170.63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56,484.29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300,680,557.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78</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2）未办妥产权证书的土地使用权情况" w:id="259"/>
      <w:bookmarkEnd w:id="25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1"/>
        <w:ind w:left="1133" w:right="5533"/>
        <w:jc w:val="left"/>
      </w:pPr>
      <w:r>
        <w:rPr/>
        <w:t>其他说明：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日，公司不存在未办妥产权证书的土地使用权。</w:t>
      </w:r>
    </w:p>
    <w:p>
      <w:pPr>
        <w:spacing w:line="240" w:lineRule="auto" w:before="2"/>
        <w:rPr>
          <w:rFonts w:ascii="宋体" w:hAnsi="宋体" w:cs="宋体" w:eastAsia="宋体" w:hint="default"/>
          <w:sz w:val="20"/>
          <w:szCs w:val="20"/>
        </w:rPr>
      </w:pPr>
    </w:p>
    <w:p>
      <w:pPr>
        <w:pStyle w:val="Heading3"/>
        <w:spacing w:line="240" w:lineRule="auto"/>
        <w:ind w:left="1133" w:right="0"/>
        <w:jc w:val="left"/>
        <w:rPr>
          <w:b w:val="0"/>
          <w:bCs w:val="0"/>
        </w:rPr>
      </w:pPr>
      <w:bookmarkStart w:name="15、商誉" w:id="260"/>
      <w:bookmarkEnd w:id="260"/>
      <w:r>
        <w:rPr>
          <w:b w:val="0"/>
          <w:bCs w:val="0"/>
        </w:rPr>
      </w:r>
      <w:r>
        <w:rPr>
          <w:rFonts w:ascii="Times New Roman" w:hAnsi="Times New Roman" w:cs="Times New Roman" w:eastAsia="Times New Roman" w:hint="default"/>
        </w:rPr>
        <w:t>15</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61"/>
      <w:bookmarkEnd w:id="26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38" w:right="0"/>
              <w:jc w:val="left"/>
              <w:rPr>
                <w:rFonts w:ascii="宋体" w:hAnsi="宋体" w:cs="宋体" w:eastAsia="宋体" w:hint="default"/>
                <w:sz w:val="18"/>
                <w:szCs w:val="18"/>
              </w:rPr>
            </w:pPr>
            <w:r>
              <w:rPr>
                <w:rFonts w:ascii="宋体" w:hAnsi="宋体" w:cs="宋体" w:eastAsia="宋体" w:hint="default"/>
                <w:sz w:val="18"/>
                <w:szCs w:val="18"/>
              </w:rPr>
              <w:t>被投资单位名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08" w:right="137" w:hanging="270"/>
              <w:jc w:val="left"/>
              <w:rPr>
                <w:rFonts w:ascii="宋体" w:hAnsi="宋体" w:cs="宋体" w:eastAsia="宋体" w:hint="default"/>
                <w:sz w:val="18"/>
                <w:szCs w:val="18"/>
              </w:rPr>
            </w:pPr>
            <w:r>
              <w:rPr>
                <w:rFonts w:ascii="宋体" w:hAnsi="宋体" w:cs="宋体" w:eastAsia="宋体" w:hint="default"/>
                <w:sz w:val="18"/>
                <w:szCs w:val="18"/>
              </w:rPr>
              <w:t>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广东联汛教育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603,497,089.26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603,497,089.26</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河南智游臻龙 教育科技有限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263,920,062.99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263,920,062.99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867,417,152.25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867,417,152.25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62"/>
      <w:bookmarkEnd w:id="26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说明商誉减值测试过程、参数及商誉减值损失的确认方法：</w:t>
      </w:r>
    </w:p>
    <w:p>
      <w:pPr>
        <w:spacing w:line="240" w:lineRule="auto" w:before="12"/>
        <w:rPr>
          <w:rFonts w:ascii="宋体" w:hAnsi="宋体" w:cs="宋体" w:eastAsia="宋体" w:hint="default"/>
          <w:sz w:val="14"/>
          <w:szCs w:val="14"/>
        </w:rPr>
      </w:pPr>
    </w:p>
    <w:p>
      <w:pPr>
        <w:pStyle w:val="BodyText"/>
        <w:spacing w:line="316" w:lineRule="auto"/>
        <w:ind w:left="1133" w:right="1131" w:firstLine="420"/>
        <w:jc w:val="both"/>
      </w:pPr>
      <w:r>
        <w:rPr/>
        <w:t>公司对合并成本大于合并中取得的被购买方可辨认净资产公允价值份额的差额确认为商誉，对包含商誉的资产组组合 </w:t>
      </w:r>
      <w:r>
        <w:rPr>
          <w:spacing w:val="-2"/>
        </w:rPr>
        <w:t>进行减值测试，比较这些相关资产组组合的账面价值（包括所分摊的商誉的账面价值部分）与其可收回金额，如相关资产组</w:t>
      </w:r>
      <w:r>
        <w:rPr>
          <w:spacing w:val="-66"/>
        </w:rPr>
        <w:t> </w:t>
      </w:r>
      <w:r>
        <w:rPr>
          <w:spacing w:val="-66"/>
        </w:rPr>
      </w:r>
      <w:r>
        <w:rPr/>
        <w:t>或者资产组组合的可收回金额低于其账面价值的，将其确认为商誉的减值损失。期末经测试，未见商誉存在减值。</w:t>
      </w:r>
    </w:p>
    <w:p>
      <w:pPr>
        <w:pStyle w:val="BodyText"/>
        <w:spacing w:line="240" w:lineRule="auto" w:before="59"/>
        <w:ind w:left="1133"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16、长期待摊费用" w:id="263"/>
      <w:bookmarkEnd w:id="263"/>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长城集团展厅装 修费用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280,445.67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280,445.67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贵州仁怀直营店 装修及广告牌租 用费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69,598.62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69,598.62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骨质瓷工程装修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303,333.25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104,000.04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199,333.21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8"/>
                <w:sz w:val="18"/>
                <w:szCs w:val="18"/>
              </w:rPr>
              <w:t>广州长城直营、联</w:t>
            </w:r>
            <w:r>
              <w:rPr>
                <w:rFonts w:ascii="宋体" w:hAnsi="宋体" w:cs="宋体" w:eastAsia="宋体" w:hint="default"/>
                <w:sz w:val="18"/>
                <w:szCs w:val="18"/>
              </w:rPr>
              <w:t> 营店装修费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99,482.62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87,520.32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11,962.30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用友维护费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25,471.70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5,660.40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19,811.30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41,199.03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9,155.36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32,043.67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阳江展示厅装修 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606,125.57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60,612.56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545,513.01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智游课室装修费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3,859,031.74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244,922.08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3,614,109.66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752,860.16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4,531,828.04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861,915.05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4,422,773.15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7、递延所得税资产/递延所得税负债" w:id="264"/>
      <w:bookmarkEnd w:id="264"/>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未经抵销的递延所得税资产" w:id="265"/>
      <w:bookmarkEnd w:id="26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20,533,269.48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3,106,724.84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21,182,155.46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3,186,969.99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32,810,191.45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4,950,891.92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业绩承诺超额完成奖 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4,925,580.54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738,837.08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1,635,933.18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245,389.97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58,269,041.47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8,796,453.84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22,818,088.64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3,432,359.96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66"/>
      <w:bookmarkEnd w:id="26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非同一控制企业合并 资产评估增值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9,301,556.80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1,395,233.52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11,897,340.10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1,784,601.01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9,301,556.80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1,395,233.52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11,897,340.10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1,784,601.01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67"/>
      <w:bookmarkEnd w:id="26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2"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1" w:right="141"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8,796,453.84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3,432,359.96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1,395,233.52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1,784,601.01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68"/>
      <w:bookmarkEnd w:id="26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4,489,510.51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5,764,732.14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116,780,715.20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128,230,782.91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121,270,225.71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133,995,515.05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5）未确认递延所得税资产的可抵扣亏损将于以下年度到期" w:id="269"/>
      <w:bookmarkEnd w:id="26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13,529,797.64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34,283,730.18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38,514,535.96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18,746,849.36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22,032,484.62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21,682,474.13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21,484,928.34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32,891,195.90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32,669,036.35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9,176,465.63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116,780,715.20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128,230,782.91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8、其他非流动资产" w:id="270"/>
      <w:bookmarkEnd w:id="270"/>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晨星计划收益权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预付长期资产采购款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129,747,169.81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508,750.00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1,130,000.00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131,877,169.81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1,508,750.00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9、短期借款" w:id="271"/>
      <w:bookmarkEnd w:id="271"/>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72"/>
      <w:bookmarkEnd w:id="27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93,770,000.00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357,770,000.00</w:t>
            </w:r>
          </w:p>
        </w:tc>
      </w:tr>
    </w:tbl>
    <w:p>
      <w:pPr>
        <w:pStyle w:val="BodyText"/>
        <w:spacing w:line="357" w:lineRule="auto" w:before="51"/>
        <w:ind w:right="1572"/>
        <w:jc w:val="left"/>
      </w:pPr>
      <w:r>
        <w:rPr/>
        <w:t>短期借款分类的说明： 公司信用借款系公司以信用保证向银行取得的借款，公司保证借款系蔡廷祥、吴淡珠提供连带责任担保取得的借款。</w:t>
      </w:r>
    </w:p>
    <w:p>
      <w:pPr>
        <w:spacing w:after="0" w:line="357"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已逾期未偿还的短期借款情况" w:id="273"/>
      <w:bookmarkEnd w:id="273"/>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57" w:lineRule="auto" w:before="51"/>
        <w:ind w:left="1133" w:right="6973"/>
        <w:jc w:val="left"/>
      </w:pPr>
      <w:r>
        <w:rPr/>
        <w:t>其他说明： 公司报告期末不存在已逾期未偿还的短期借款。</w:t>
      </w:r>
    </w:p>
    <w:p>
      <w:pPr>
        <w:spacing w:line="240" w:lineRule="auto" w:before="2"/>
        <w:rPr>
          <w:rFonts w:ascii="宋体" w:hAnsi="宋体" w:cs="宋体" w:eastAsia="宋体" w:hint="default"/>
          <w:sz w:val="20"/>
          <w:szCs w:val="20"/>
        </w:rPr>
      </w:pPr>
    </w:p>
    <w:p>
      <w:pPr>
        <w:pStyle w:val="Heading3"/>
        <w:spacing w:line="240" w:lineRule="auto"/>
        <w:ind w:left="1133" w:right="0"/>
        <w:jc w:val="left"/>
        <w:rPr>
          <w:b w:val="0"/>
          <w:bCs w:val="0"/>
        </w:rPr>
      </w:pPr>
      <w:bookmarkStart w:name="20、应付账款" w:id="274"/>
      <w:bookmarkEnd w:id="274"/>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75"/>
      <w:bookmarkEnd w:id="27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应付采购货款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37,013,368.69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35,201,885.77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37,013,368.69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35,201,885.77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76"/>
      <w:bookmarkEnd w:id="27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51"/>
        <w:ind w:left="1133" w:right="5623"/>
        <w:jc w:val="left"/>
      </w:pPr>
      <w:r>
        <w:rPr/>
        <w:t>其他说明： 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日，公司不存在账龄超过</w:t>
      </w:r>
      <w:r>
        <w:rPr>
          <w:rFonts w:ascii="宋体" w:hAnsi="宋体" w:cs="宋体" w:eastAsia="宋体" w:hint="default"/>
        </w:rPr>
        <w:t>1</w:t>
      </w:r>
      <w:r>
        <w:rPr/>
        <w:t>年的重要应付账款。</w:t>
      </w:r>
    </w:p>
    <w:p>
      <w:pPr>
        <w:spacing w:line="240" w:lineRule="auto" w:before="2"/>
        <w:rPr>
          <w:rFonts w:ascii="宋体" w:hAnsi="宋体" w:cs="宋体" w:eastAsia="宋体" w:hint="default"/>
          <w:sz w:val="20"/>
          <w:szCs w:val="20"/>
        </w:rPr>
      </w:pPr>
    </w:p>
    <w:p>
      <w:pPr>
        <w:pStyle w:val="Heading3"/>
        <w:spacing w:line="240" w:lineRule="auto"/>
        <w:ind w:left="1133" w:right="0"/>
        <w:jc w:val="left"/>
        <w:rPr>
          <w:b w:val="0"/>
          <w:bCs w:val="0"/>
        </w:rPr>
      </w:pPr>
      <w:bookmarkStart w:name="21、预收款项" w:id="277"/>
      <w:bookmarkEnd w:id="277"/>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78"/>
      <w:bookmarkEnd w:id="27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预收货物销售款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13,250,629.18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13,145,438.74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13,250,629.18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13,145,438.74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79"/>
      <w:bookmarkEnd w:id="27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280"/>
      <w:bookmarkEnd w:id="28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1"/>
        <w:ind w:left="1133" w:right="5533"/>
        <w:jc w:val="left"/>
      </w:pPr>
      <w:r>
        <w:rPr/>
        <w:t>其他说明： 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日，公司不存在账龄超过一年的重要预收款项。</w:t>
      </w:r>
    </w:p>
    <w:p>
      <w:pPr>
        <w:spacing w:line="240" w:lineRule="auto" w:before="3"/>
        <w:rPr>
          <w:rFonts w:ascii="宋体" w:hAnsi="宋体" w:cs="宋体" w:eastAsia="宋体" w:hint="default"/>
          <w:sz w:val="20"/>
          <w:szCs w:val="20"/>
        </w:rPr>
      </w:pPr>
    </w:p>
    <w:p>
      <w:pPr>
        <w:pStyle w:val="Heading3"/>
        <w:spacing w:line="240" w:lineRule="auto"/>
        <w:ind w:left="1133" w:right="0"/>
        <w:jc w:val="left"/>
        <w:rPr>
          <w:b w:val="0"/>
          <w:bCs w:val="0"/>
        </w:rPr>
      </w:pPr>
      <w:bookmarkStart w:name="22、应付职工薪酬" w:id="281"/>
      <w:bookmarkEnd w:id="281"/>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82"/>
      <w:bookmarkEnd w:id="28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7,725,661.45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74,032,706.10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72,872,247.16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8,886,120.39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3,953,706.14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3,954,620.16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7,726,575.47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77,986,412.24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76,826,867.32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8,886,120.39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83"/>
      <w:bookmarkEnd w:id="28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7,725,661.45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69,595,320.05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68,434,861.11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8,886,120.39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1,534,802.41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1,534,802.41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1,985,300.67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1,985,300.67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1,640,132.81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1,640,132.81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106,953.55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106,953.55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238,214.31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238,214.31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766,936.90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766,936.90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育经费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150,346.07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150,346.07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7,725,661.45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74,032,706.10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72,872,247.16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8,886,120.39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84"/>
      <w:bookmarkEnd w:id="28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6" w:right="0"/>
              <w:jc w:val="left"/>
              <w:rPr>
                <w:rFonts w:ascii="Times New Roman" w:hAnsi="Times New Roman" w:cs="Times New Roman" w:eastAsia="Times New Roman" w:hint="default"/>
                <w:sz w:val="18"/>
                <w:szCs w:val="18"/>
              </w:rPr>
            </w:pPr>
            <w:r>
              <w:rPr>
                <w:rFonts w:ascii="Times New Roman"/>
                <w:sz w:val="18"/>
              </w:rPr>
              <w:t>3,722,539.75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6" w:right="0"/>
              <w:jc w:val="left"/>
              <w:rPr>
                <w:rFonts w:ascii="Times New Roman" w:hAnsi="Times New Roman" w:cs="Times New Roman" w:eastAsia="Times New Roman" w:hint="default"/>
                <w:sz w:val="18"/>
                <w:szCs w:val="18"/>
              </w:rPr>
            </w:pPr>
            <w:r>
              <w:rPr>
                <w:rFonts w:ascii="Times New Roman"/>
                <w:sz w:val="18"/>
              </w:rPr>
              <w:t>3,722,539.75</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231,166.39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232,080.41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3,953,706.14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3,954,620.16</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3、应交税费" w:id="285"/>
      <w:bookmarkEnd w:id="285"/>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1,891,517.98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1,224,485.09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7,608,482.01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6,775,643.56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181,485.79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240,528.28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123,520.48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77,826.39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52,937.35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33,354.15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35,291.59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22,236.11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3,542,470.99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708,494.19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165,884.33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47,170.73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72,102.32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13,482,876.92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9,320,554.42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4、应付利息" w:id="286"/>
      <w:bookmarkEnd w:id="286"/>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18,692,876.71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应付银行借款利息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536,529.57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791,969.09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19,229,406.28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791,969.09</w:t>
            </w: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57" w:lineRule="auto" w:before="52"/>
        <w:ind w:left="1133" w:right="7693"/>
        <w:jc w:val="left"/>
      </w:pPr>
      <w:r>
        <w:rPr/>
        <w:t>其他说明： 期末余额中不存在逾期末支付的利息。</w:t>
      </w:r>
    </w:p>
    <w:p>
      <w:pPr>
        <w:spacing w:line="240" w:lineRule="auto" w:before="2"/>
        <w:rPr>
          <w:rFonts w:ascii="宋体" w:hAnsi="宋体" w:cs="宋体" w:eastAsia="宋体" w:hint="default"/>
          <w:sz w:val="20"/>
          <w:szCs w:val="20"/>
        </w:rPr>
      </w:pPr>
    </w:p>
    <w:p>
      <w:pPr>
        <w:pStyle w:val="Heading3"/>
        <w:spacing w:line="240" w:lineRule="auto"/>
        <w:ind w:left="1133" w:right="0"/>
        <w:jc w:val="left"/>
        <w:rPr>
          <w:b w:val="0"/>
          <w:bCs w:val="0"/>
        </w:rPr>
      </w:pPr>
      <w:bookmarkStart w:name="25、其他应付款" w:id="287"/>
      <w:bookmarkEnd w:id="287"/>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88"/>
      <w:bookmarkEnd w:id="28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229,882.05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158,178.00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863,115.00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756,203.00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租金及水电费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71,942.53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维修工程款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660,412.70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959,885.00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代扣代缴原股东个税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8,607,200.00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242,477.02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441,804.13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2,016,886.77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10,995,212.66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89"/>
      <w:bookmarkEnd w:id="28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51"/>
        <w:ind w:left="1133" w:right="5623"/>
        <w:jc w:val="left"/>
      </w:pPr>
      <w:r>
        <w:rPr/>
        <w:t>其他说明 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日，公司不存在账龄超过</w:t>
      </w:r>
      <w:r>
        <w:rPr>
          <w:rFonts w:ascii="宋体" w:hAnsi="宋体" w:cs="宋体" w:eastAsia="宋体" w:hint="default"/>
        </w:rPr>
        <w:t>1</w:t>
      </w:r>
      <w:r>
        <w:rPr/>
        <w:t>年的重要应付账款。</w:t>
      </w:r>
    </w:p>
    <w:p>
      <w:pPr>
        <w:spacing w:line="240" w:lineRule="auto" w:before="2"/>
        <w:rPr>
          <w:rFonts w:ascii="宋体" w:hAnsi="宋体" w:cs="宋体" w:eastAsia="宋体" w:hint="default"/>
          <w:sz w:val="20"/>
          <w:szCs w:val="20"/>
        </w:rPr>
      </w:pPr>
    </w:p>
    <w:p>
      <w:pPr>
        <w:pStyle w:val="Heading3"/>
        <w:spacing w:line="240" w:lineRule="auto"/>
        <w:ind w:left="1133" w:right="0"/>
        <w:jc w:val="left"/>
        <w:rPr>
          <w:b w:val="0"/>
          <w:bCs w:val="0"/>
        </w:rPr>
      </w:pPr>
      <w:bookmarkStart w:name="26、一年内到期的非流动负债" w:id="290"/>
      <w:bookmarkEnd w:id="290"/>
      <w:r>
        <w:rPr>
          <w:b w:val="0"/>
          <w:bCs w:val="0"/>
        </w:rPr>
      </w:r>
      <w:r>
        <w:rPr>
          <w:rFonts w:ascii="Times New Roman" w:hAnsi="Times New Roman" w:cs="Times New Roman" w:eastAsia="Times New Roman" w:hint="default"/>
        </w:rPr>
        <w:t>26</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36,000,000.00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7、其他流动负债" w:id="291"/>
      <w:bookmarkEnd w:id="291"/>
      <w:r>
        <w:rPr>
          <w:b w:val="0"/>
          <w:bCs w:val="0"/>
        </w:rPr>
      </w:r>
      <w:r>
        <w:rPr>
          <w:rFonts w:ascii="Times New Roman" w:hAnsi="Times New Roman" w:cs="Times New Roman" w:eastAsia="Times New Roman" w:hint="default"/>
        </w:rPr>
        <w:t>27</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待转销项税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6,206,949.12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8,627,878.61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6,206,949.12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8,627,878.61</w:t>
            </w:r>
          </w:p>
        </w:tc>
      </w:tr>
    </w:tbl>
    <w:p>
      <w:pPr>
        <w:pStyle w:val="BodyText"/>
        <w:spacing w:line="240" w:lineRule="auto" w:before="51"/>
        <w:ind w:right="0"/>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122"/>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123" w:hanging="90"/>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8、长期借款" w:id="292"/>
      <w:bookmarkEnd w:id="292"/>
      <w:r>
        <w:rPr>
          <w:b w:val="0"/>
          <w:bCs w:val="0"/>
        </w:rPr>
      </w:r>
      <w:r>
        <w:rPr>
          <w:rFonts w:ascii="Times New Roman" w:hAnsi="Times New Roman" w:cs="Times New Roman" w:eastAsia="Times New Roman" w:hint="default"/>
        </w:rPr>
        <w:t>28</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293"/>
      <w:bookmarkEnd w:id="29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90,000,000.00</w:t>
            </w:r>
          </w:p>
        </w:tc>
      </w:tr>
    </w:tbl>
    <w:p>
      <w:pPr>
        <w:pStyle w:val="BodyText"/>
        <w:spacing w:line="439" w:lineRule="auto" w:before="51"/>
        <w:ind w:right="6612"/>
        <w:jc w:val="left"/>
      </w:pPr>
      <w:r>
        <w:rPr/>
        <w:t>长期借款分类的说明： 本公司按长期借款的借款条件对长期借款进行分类。</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357" w:lineRule="auto"/>
        <w:ind w:left="1133" w:right="7170"/>
        <w:jc w:val="left"/>
      </w:pPr>
      <w:r>
        <w:rPr/>
        <w:t>其他说明，包括利率区间： 长期借款的利率区间：年利率</w:t>
      </w:r>
      <w:r>
        <w:rPr>
          <w:rFonts w:ascii="宋体" w:hAnsi="宋体" w:cs="宋体" w:eastAsia="宋体" w:hint="default"/>
        </w:rPr>
        <w:t>4.75%-6.175%</w:t>
      </w:r>
      <w:r>
        <w:rPr/>
        <w:t>。</w:t>
      </w:r>
    </w:p>
    <w:p>
      <w:pPr>
        <w:spacing w:line="240" w:lineRule="auto" w:before="2"/>
        <w:rPr>
          <w:rFonts w:ascii="宋体" w:hAnsi="宋体" w:cs="宋体" w:eastAsia="宋体" w:hint="default"/>
          <w:sz w:val="20"/>
          <w:szCs w:val="20"/>
        </w:rPr>
      </w:pPr>
    </w:p>
    <w:p>
      <w:pPr>
        <w:pStyle w:val="Heading3"/>
        <w:spacing w:line="240" w:lineRule="auto"/>
        <w:ind w:left="1133" w:right="0"/>
        <w:jc w:val="left"/>
        <w:rPr>
          <w:b w:val="0"/>
          <w:bCs w:val="0"/>
        </w:rPr>
      </w:pPr>
      <w:bookmarkStart w:name="29、应付债券" w:id="294"/>
      <w:bookmarkEnd w:id="294"/>
      <w:r>
        <w:rPr>
          <w:b w:val="0"/>
          <w:bCs w:val="0"/>
        </w:rPr>
      </w:r>
      <w:r>
        <w:rPr>
          <w:rFonts w:ascii="Times New Roman" w:hAnsi="Times New Roman" w:cs="Times New Roman" w:eastAsia="Times New Roman" w:hint="default"/>
        </w:rPr>
        <w:t>29</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295"/>
      <w:bookmarkEnd w:id="295"/>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345,332,014.46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345,332,014.46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296"/>
      <w:bookmarkEnd w:id="296"/>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公司债 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6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18,692,</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876.71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4,667,9</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85.54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345,33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2,014.4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32"/>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18,692,</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876.71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4,667,9</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85.54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345,33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2,014.4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可转换公司债券的转股条件、转股时间说明" w:id="297"/>
      <w:bookmarkEnd w:id="297"/>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1033"/>
        <w:jc w:val="left"/>
      </w:pPr>
      <w:r>
        <w:rPr>
          <w:spacing w:val="-2"/>
        </w:rPr>
        <w:t>经深圳证券交易所核准，公司于</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月发行了</w:t>
      </w:r>
      <w:r>
        <w:rPr>
          <w:rFonts w:ascii="宋体" w:hAnsi="宋体" w:cs="宋体" w:eastAsia="宋体" w:hint="default"/>
          <w:spacing w:val="-2"/>
        </w:rPr>
        <w:t>3.5</w:t>
      </w:r>
      <w:r>
        <w:rPr>
          <w:spacing w:val="-2"/>
        </w:rPr>
        <w:t>亿元的公司债，发行及计息日期为</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23</w:t>
      </w:r>
      <w:r>
        <w:rPr>
          <w:spacing w:val="-2"/>
        </w:rPr>
        <w:t>日，债券期限</w:t>
      </w:r>
      <w:r>
        <w:rPr>
          <w:rFonts w:ascii="宋体" w:hAnsi="宋体" w:cs="宋体" w:eastAsia="宋体" w:hint="default"/>
          <w:spacing w:val="-2"/>
        </w:rPr>
        <w:t>3</w:t>
      </w:r>
      <w:r>
        <w:rPr>
          <w:spacing w:val="-2"/>
        </w:rPr>
        <w:t>年，本次</w:t>
      </w:r>
      <w:r>
        <w:rPr>
          <w:spacing w:val="-51"/>
        </w:rPr>
        <w:t> </w:t>
      </w:r>
      <w:r>
        <w:rPr>
          <w:spacing w:val="-51"/>
        </w:rPr>
      </w:r>
      <w:r>
        <w:rPr/>
        <w:t>发行的债券为固定利率</w:t>
      </w:r>
      <w:r>
        <w:rPr>
          <w:rFonts w:ascii="宋体" w:hAnsi="宋体" w:cs="宋体" w:eastAsia="宋体" w:hint="default"/>
        </w:rPr>
        <w:t>5.70%</w:t>
      </w:r>
      <w:r>
        <w:rPr/>
        <w:t>，按年付息、到期一次还本。在本期债券存续期的第</w:t>
      </w:r>
      <w:r>
        <w:rPr>
          <w:rFonts w:ascii="宋体" w:hAnsi="宋体" w:cs="宋体" w:eastAsia="宋体" w:hint="default"/>
        </w:rPr>
        <w:t>2</w:t>
      </w:r>
      <w:r>
        <w:rPr/>
        <w:t>年末，公司可行使调整票面利率选择权； 投资者可选择是否将其持有的债券全部或部分回售给发行人。</w:t>
      </w:r>
    </w:p>
    <w:p>
      <w:pPr>
        <w:spacing w:after="0" w:line="319"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4）划分为金融负债的其他金融工具说明" w:id="298"/>
      <w:bookmarkEnd w:id="298"/>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357"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635" w:space="319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66" w:right="167"/>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0、长期应付款" w:id="299"/>
      <w:bookmarkEnd w:id="299"/>
      <w:r>
        <w:rPr>
          <w:b w:val="0"/>
          <w:bCs w:val="0"/>
        </w:rPr>
      </w:r>
      <w:r>
        <w:rPr>
          <w:rFonts w:ascii="Times New Roman" w:hAnsi="Times New Roman" w:cs="Times New Roman" w:eastAsia="Times New Roman" w:hint="default"/>
        </w:rPr>
        <w:t>30</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00"/>
      <w:bookmarkEnd w:id="300"/>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2"/>
              <w:jc w:val="left"/>
              <w:rPr>
                <w:rFonts w:ascii="宋体" w:hAnsi="宋体" w:cs="宋体" w:eastAsia="宋体" w:hint="default"/>
                <w:sz w:val="18"/>
                <w:szCs w:val="18"/>
              </w:rPr>
            </w:pPr>
            <w:r>
              <w:rPr>
                <w:rFonts w:ascii="宋体" w:hAnsi="宋体" w:cs="宋体" w:eastAsia="宋体" w:hint="default"/>
                <w:sz w:val="18"/>
                <w:szCs w:val="18"/>
              </w:rPr>
              <w:t>应付河南智游臻龙教育科技有限公司 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46" w:right="0"/>
              <w:jc w:val="left"/>
              <w:rPr>
                <w:rFonts w:ascii="Times New Roman" w:hAnsi="Times New Roman" w:cs="Times New Roman" w:eastAsia="Times New Roman" w:hint="default"/>
                <w:sz w:val="18"/>
                <w:szCs w:val="18"/>
              </w:rPr>
            </w:pPr>
            <w:r>
              <w:rPr>
                <w:rFonts w:ascii="Times New Roman"/>
                <w:sz w:val="18"/>
              </w:rPr>
              <w:t>97,000,000.00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51" w:right="0"/>
              <w:jc w:val="left"/>
              <w:rPr>
                <w:rFonts w:ascii="Times New Roman" w:hAnsi="Times New Roman" w:cs="Times New Roman" w:eastAsia="Times New Roman" w:hint="default"/>
                <w:sz w:val="18"/>
                <w:szCs w:val="18"/>
              </w:rPr>
            </w:pPr>
            <w:r>
              <w:rPr>
                <w:rFonts w:ascii="Times New Roman"/>
                <w:sz w:val="18"/>
              </w:rPr>
              <w:t>123,000,000.00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31、长期应付职工薪酬" w:id="301"/>
      <w:bookmarkEnd w:id="301"/>
      <w:r>
        <w:rPr>
          <w:b w:val="0"/>
          <w:bCs w:val="0"/>
        </w:rPr>
      </w:r>
      <w:r>
        <w:rPr>
          <w:rFonts w:ascii="Times New Roman" w:hAnsi="Times New Roman" w:cs="Times New Roman" w:eastAsia="Times New Roman" w:hint="default"/>
        </w:rPr>
        <w:t>31</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长期应付职工薪酬表" w:id="302"/>
      <w:bookmarkEnd w:id="302"/>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三、其他长期福利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4,925,580.54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1,635,933.18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4,925,580.54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1,635,933.18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2、股本" w:id="303"/>
      <w:bookmarkEnd w:id="303"/>
      <w:r>
        <w:rPr>
          <w:b w:val="0"/>
          <w:bCs w:val="0"/>
        </w:rPr>
      </w:r>
      <w:r>
        <w:rPr>
          <w:rFonts w:ascii="Times New Roman" w:hAnsi="Times New Roman" w:cs="Times New Roman" w:eastAsia="Times New Roman" w:hint="default"/>
        </w:rPr>
        <w:t>32</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434,800,140.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434,800,140.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right="0"/>
        <w:jc w:val="left"/>
      </w:pPr>
      <w:r>
        <w:rPr/>
        <w:t>其他说明：</w:t>
      </w:r>
    </w:p>
    <w:p>
      <w:pPr>
        <w:spacing w:after="0" w:line="240" w:lineRule="auto"/>
        <w:jc w:val="left"/>
        <w:sectPr>
          <w:type w:val="continuous"/>
          <w:pgSz w:w="11910" w:h="16840"/>
          <w:pgMar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3、资本公积" w:id="304"/>
      <w:bookmarkEnd w:id="304"/>
      <w:r>
        <w:rPr>
          <w:b w:val="0"/>
          <w:bCs w:val="0"/>
        </w:rPr>
      </w:r>
      <w:r>
        <w:rPr>
          <w:rFonts w:ascii="Times New Roman" w:hAnsi="Times New Roman" w:cs="Times New Roman" w:eastAsia="Times New Roman" w:hint="default"/>
        </w:rPr>
        <w:t>33</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1,026,574,331.92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1" w:right="0"/>
              <w:jc w:val="left"/>
              <w:rPr>
                <w:rFonts w:ascii="Times New Roman" w:hAnsi="Times New Roman" w:cs="Times New Roman" w:eastAsia="Times New Roman" w:hint="default"/>
                <w:sz w:val="18"/>
                <w:szCs w:val="18"/>
              </w:rPr>
            </w:pPr>
            <w:r>
              <w:rPr>
                <w:rFonts w:ascii="Times New Roman"/>
                <w:sz w:val="18"/>
              </w:rPr>
              <w:t>1,026,574,331.92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1,026,574,331.92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1" w:right="0"/>
              <w:jc w:val="left"/>
              <w:rPr>
                <w:rFonts w:ascii="Times New Roman" w:hAnsi="Times New Roman" w:cs="Times New Roman" w:eastAsia="Times New Roman" w:hint="default"/>
                <w:sz w:val="18"/>
                <w:szCs w:val="18"/>
              </w:rPr>
            </w:pPr>
            <w:r>
              <w:rPr>
                <w:rFonts w:ascii="Times New Roman"/>
                <w:sz w:val="18"/>
              </w:rPr>
              <w:t>1,026,574,331.92</w:t>
            </w:r>
          </w:p>
        </w:tc>
      </w:tr>
    </w:tbl>
    <w:p>
      <w:pPr>
        <w:pStyle w:val="BodyText"/>
        <w:spacing w:line="240" w:lineRule="auto" w:before="51"/>
        <w:ind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4、盈余公积" w:id="305"/>
      <w:bookmarkEnd w:id="305"/>
      <w:r>
        <w:rPr>
          <w:b w:val="0"/>
          <w:bCs w:val="0"/>
        </w:rPr>
      </w:r>
      <w:r>
        <w:rPr>
          <w:rFonts w:ascii="Times New Roman" w:hAnsi="Times New Roman" w:cs="Times New Roman" w:eastAsia="Times New Roman" w:hint="default"/>
        </w:rPr>
        <w:t>34</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30,955,536.44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2,525,799.24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33,481,335.68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30,955,536.44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2,525,799.24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33,481,335.68</w:t>
            </w:r>
          </w:p>
        </w:tc>
      </w:tr>
    </w:tbl>
    <w:p>
      <w:pPr>
        <w:pStyle w:val="BodyText"/>
        <w:spacing w:line="357" w:lineRule="auto" w:before="51"/>
        <w:ind w:left="1133" w:right="5083"/>
        <w:jc w:val="left"/>
      </w:pPr>
      <w:r>
        <w:rPr/>
        <w:t>盈余公积说明，包括本期增减变动情况、变动原因说明： 公司报告期内按母公司弥补亏损后当年净利润的</w:t>
      </w:r>
      <w:r>
        <w:rPr>
          <w:rFonts w:ascii="宋体" w:hAnsi="宋体" w:cs="宋体" w:eastAsia="宋体" w:hint="default"/>
        </w:rPr>
        <w:t>10%</w:t>
      </w:r>
      <w:r>
        <w:rPr/>
        <w:t>计提法定盈余公积。</w:t>
      </w:r>
    </w:p>
    <w:p>
      <w:pPr>
        <w:spacing w:line="240" w:lineRule="auto" w:before="2"/>
        <w:rPr>
          <w:rFonts w:ascii="宋体" w:hAnsi="宋体" w:cs="宋体" w:eastAsia="宋体" w:hint="default"/>
          <w:sz w:val="20"/>
          <w:szCs w:val="20"/>
        </w:rPr>
      </w:pPr>
    </w:p>
    <w:p>
      <w:pPr>
        <w:pStyle w:val="Heading3"/>
        <w:spacing w:line="240" w:lineRule="auto"/>
        <w:ind w:left="1133" w:right="0"/>
        <w:jc w:val="left"/>
        <w:rPr>
          <w:b w:val="0"/>
          <w:bCs w:val="0"/>
        </w:rPr>
      </w:pPr>
      <w:bookmarkStart w:name="35、未分配利润" w:id="306"/>
      <w:bookmarkEnd w:id="306"/>
      <w:r>
        <w:rPr>
          <w:b w:val="0"/>
          <w:bCs w:val="0"/>
        </w:rPr>
      </w:r>
      <w:r>
        <w:rPr>
          <w:rFonts w:ascii="Times New Roman" w:hAnsi="Times New Roman" w:cs="Times New Roman" w:eastAsia="Times New Roman" w:hint="default"/>
        </w:rPr>
        <w:t>35</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266,207,450.13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132,556,411.92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266,207,450.13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132,556,411.92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73,461,776.76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136,797,245.91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2,525,799.24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146,207.70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10,869,999.78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326,273,427.87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266,207,450.13</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1133"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1133"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133"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1133"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6、营业收入和营业成本" w:id="307"/>
      <w:bookmarkEnd w:id="307"/>
      <w:r>
        <w:rPr>
          <w:b w:val="0"/>
          <w:bCs w:val="0"/>
        </w:rPr>
      </w:r>
      <w:r>
        <w:rPr>
          <w:rFonts w:ascii="Times New Roman" w:hAnsi="Times New Roman" w:cs="Times New Roman" w:eastAsia="Times New Roman" w:hint="default"/>
        </w:rPr>
        <w:t>36</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3831"/>
        <w:gridCol w:w="382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535,614,241.43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269,304,511.03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450,765,971.39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289,237,808.21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4,503,595.36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2,259,252.72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1,628,208.20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27,982.56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540,117,836.79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271,563,763.75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452,394,179.59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289,265,790.77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税金及附加" w:id="308"/>
      <w:bookmarkEnd w:id="308"/>
      <w:r>
        <w:rPr>
          <w:b w:val="0"/>
          <w:bCs w:val="0"/>
        </w:rPr>
      </w:r>
      <w:r>
        <w:rPr>
          <w:rFonts w:ascii="Times New Roman" w:hAnsi="Times New Roman" w:cs="Times New Roman" w:eastAsia="Times New Roman" w:hint="default"/>
        </w:rPr>
        <w:t>37</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1,724,267.10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1,782,552.67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739,259.45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764,856.58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10,555.02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816,564.74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543,509.67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3,376,039.52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2,364,823.04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230,799.80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331,965.77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492,839.70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508,395.35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94,778.72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7,391,410.31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6,404,856.82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38、销售费用" w:id="309"/>
      <w:bookmarkEnd w:id="309"/>
      <w:r>
        <w:rPr>
          <w:b w:val="0"/>
          <w:bCs w:val="0"/>
        </w:rPr>
      </w:r>
      <w:r>
        <w:rPr>
          <w:rFonts w:ascii="Times New Roman" w:hAnsi="Times New Roman" w:cs="Times New Roman" w:eastAsia="Times New Roman" w:hint="default"/>
        </w:rPr>
        <w:t>38</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职工薪酬费用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13,625,932.52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10,188,001.25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租赁费和物业管理水电费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5,109,886.77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7,478,431.48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2,442,379.01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7,702,281.81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2,258,126.19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2,726,551.02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2,997,448.78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2,893,789.22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招生服务费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12,177,303.87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2,756,357.16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2,999,963.65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1,622,359.26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1,357,989.01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1,424,501.12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1,892,797.12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833,641.83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报关邮寄费用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913,037.72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528,107.04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115,047.65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164,895.50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855,942.79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836,277.76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46,745,855.08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39,155,194.45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39、管理费用" w:id="310"/>
      <w:bookmarkEnd w:id="310"/>
      <w:r>
        <w:rPr>
          <w:b w:val="0"/>
          <w:bCs w:val="0"/>
        </w:rPr>
      </w:r>
      <w:r>
        <w:rPr>
          <w:rFonts w:ascii="Times New Roman" w:hAnsi="Times New Roman" w:cs="Times New Roman" w:eastAsia="Times New Roman" w:hint="default"/>
        </w:rPr>
        <w:t>39</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13,888,519.29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14,843,670.24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职工薪酬费用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19,518,326.29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14,515,645.92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21,405,392.57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16,885,643.33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7,606,777.02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4,505,431.35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5,895,452.87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3,319,665.23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3,484,018.78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2,375,742.49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2,919,655.82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2,483,243.88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929,294.79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450,430.61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251,878.50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544,609.35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68,285.18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714,476.25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716,737.16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75,991,246.91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61,331,650.01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40、财务费用" w:id="311"/>
      <w:bookmarkEnd w:id="311"/>
      <w:r>
        <w:rPr>
          <w:b w:val="0"/>
          <w:bCs w:val="0"/>
        </w:rPr>
      </w:r>
      <w:r>
        <w:rPr>
          <w:rFonts w:ascii="Times New Roman" w:hAnsi="Times New Roman" w:cs="Times New Roman" w:eastAsia="Times New Roman" w:hint="default"/>
        </w:rPr>
        <w:t>40</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44,005,210.02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20,932,151.13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4,173,563.56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3,054,873.19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12,520,018.37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-16,739,124.70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699,389.92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612,832.36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53,051,054.75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1,750,985.60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41、资产减值损失" w:id="312"/>
      <w:bookmarkEnd w:id="312"/>
      <w:r>
        <w:rPr>
          <w:b w:val="0"/>
          <w:bCs w:val="0"/>
        </w:rPr>
      </w:r>
      <w:r>
        <w:rPr>
          <w:rFonts w:ascii="Times New Roman" w:hAnsi="Times New Roman" w:cs="Times New Roman" w:eastAsia="Times New Roman" w:hint="default"/>
        </w:rPr>
        <w:t>41</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-3,665,946.77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3,293,147.12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2,212,053.68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6,083,641.55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-1,453,893.09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9,376,788.67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42、投资收益" w:id="313"/>
      <w:bookmarkEnd w:id="313"/>
      <w:r>
        <w:rPr>
          <w:b w:val="0"/>
          <w:bCs w:val="0"/>
        </w:rPr>
      </w:r>
      <w:r>
        <w:rPr>
          <w:rFonts w:ascii="Times New Roman" w:hAnsi="Times New Roman" w:cs="Times New Roman" w:eastAsia="Times New Roman" w:hint="default"/>
        </w:rPr>
        <w:t>42</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-7,811,584.31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1,905,445.41</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5"/>
              <w:jc w:val="left"/>
              <w:rPr>
                <w:rFonts w:ascii="宋体" w:hAnsi="宋体" w:cs="宋体" w:eastAsia="宋体" w:hint="default"/>
                <w:sz w:val="18"/>
                <w:szCs w:val="18"/>
              </w:rPr>
            </w:pPr>
            <w:r>
              <w:rPr>
                <w:rFonts w:ascii="宋体" w:hAnsi="宋体" w:cs="宋体" w:eastAsia="宋体" w:hint="default"/>
                <w:sz w:val="18"/>
                <w:szCs w:val="18"/>
              </w:rPr>
              <w:t>购买日之前持有的股权按购买日的公允价 值进行重新计量产生的投资收益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94,028,483.43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2,212,842.78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68,445.25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-5,598,741.53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96,002,374.09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43、资产处置收益" w:id="314"/>
      <w:bookmarkEnd w:id="314"/>
      <w:r>
        <w:rPr>
          <w:b w:val="0"/>
          <w:bCs w:val="0"/>
        </w:rPr>
      </w:r>
      <w:r>
        <w:rPr>
          <w:rFonts w:ascii="Times New Roman" w:hAnsi="Times New Roman" w:cs="Times New Roman" w:eastAsia="Times New Roman" w:hint="default"/>
        </w:rPr>
        <w:t>43</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-8,631.45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-56,944.86</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4、其他收益" w:id="315"/>
      <w:bookmarkEnd w:id="315"/>
      <w:r>
        <w:rPr>
          <w:b w:val="0"/>
          <w:bCs w:val="0"/>
        </w:rPr>
      </w:r>
      <w:r>
        <w:rPr>
          <w:rFonts w:ascii="Times New Roman" w:hAnsi="Times New Roman" w:cs="Times New Roman" w:eastAsia="Times New Roman" w:hint="default"/>
        </w:rPr>
        <w:t>44</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4,682,480.62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营业外收入" w:id="316"/>
      <w:bookmarkEnd w:id="316"/>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7,829.63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4,048,380.00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7,829.63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359,630.09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28,717.85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161,370.29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28,717.85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146,547.48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4,569,380.38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6" w:right="164"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5" w:right="164"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7,829.63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1"/>
              <w:jc w:val="left"/>
              <w:rPr>
                <w:rFonts w:ascii="宋体" w:hAnsi="宋体" w:cs="宋体" w:eastAsia="宋体" w:hint="default"/>
                <w:sz w:val="18"/>
                <w:szCs w:val="18"/>
              </w:rPr>
            </w:pPr>
            <w:r>
              <w:rPr>
                <w:rFonts w:ascii="宋体" w:hAnsi="宋体" w:cs="宋体" w:eastAsia="宋体" w:hint="default"/>
                <w:sz w:val="18"/>
                <w:szCs w:val="18"/>
              </w:rPr>
              <w:t>科技创新 财政拨款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1"/>
              <w:jc w:val="left"/>
              <w:rPr>
                <w:rFonts w:ascii="宋体" w:hAnsi="宋体" w:cs="宋体" w:eastAsia="宋体" w:hint="default"/>
                <w:sz w:val="18"/>
                <w:szCs w:val="18"/>
              </w:rPr>
            </w:pPr>
            <w:r>
              <w:rPr>
                <w:rFonts w:ascii="宋体" w:hAnsi="宋体" w:cs="宋体" w:eastAsia="宋体" w:hint="default"/>
                <w:sz w:val="18"/>
                <w:szCs w:val="18"/>
              </w:rPr>
              <w:t>科技进步 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1"/>
              <w:jc w:val="left"/>
              <w:rPr>
                <w:rFonts w:ascii="宋体" w:hAnsi="宋体" w:cs="宋体" w:eastAsia="宋体" w:hint="default"/>
                <w:sz w:val="18"/>
                <w:szCs w:val="18"/>
              </w:rPr>
            </w:pPr>
            <w:r>
              <w:rPr>
                <w:rFonts w:ascii="宋体" w:hAnsi="宋体" w:cs="宋体" w:eastAsia="宋体" w:hint="default"/>
                <w:sz w:val="18"/>
                <w:szCs w:val="18"/>
              </w:rPr>
              <w:t>外贸发展 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2,470,000.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技术标准 战略资助 项目资金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市技术标 准战略资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86"/>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 业技术改 造专项资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86"/>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科技 发展专项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86"/>
              <w:jc w:val="both"/>
              <w:rPr>
                <w:rFonts w:ascii="宋体" w:hAnsi="宋体" w:cs="宋体" w:eastAsia="宋体" w:hint="default"/>
                <w:sz w:val="18"/>
                <w:szCs w:val="18"/>
              </w:rPr>
            </w:pPr>
            <w:r>
              <w:rPr>
                <w:rFonts w:ascii="宋体" w:hAnsi="宋体" w:cs="宋体" w:eastAsia="宋体" w:hint="default"/>
                <w:sz w:val="18"/>
                <w:szCs w:val="18"/>
              </w:rPr>
              <w:t>深圳市中 小企业服 务署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年度企业 国内市场 开拓项目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32,380.00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郑州市经 开区财政 局规上企 业奖励款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86"/>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年对 外开放专 项基金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知识产权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证书奖励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7,829.63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4,048,380.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46、营业外支出" w:id="317"/>
      <w:bookmarkEnd w:id="317"/>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2,073,600.00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滞纳金及罚款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194,926.32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34,656.28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194,926.32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27,762.18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88,530.71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27,762.18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1,922,688.50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2,196,786.99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47、所得税费用" w:id="318"/>
      <w:bookmarkEnd w:id="318"/>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19"/>
      <w:bookmarkEnd w:id="31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16,507,581.99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7,924,945.44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-5,753,461.37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-1,258,643.16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10,754,120.62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6,666,302.28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20"/>
      <w:bookmarkEnd w:id="32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84,127,365.70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12,619,104.84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-2,344,134.24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120,049.78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421,927.51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76,532.69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-1,355,865.50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1,910,462.54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36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亏损的影响</w:t>
            </w:r>
          </w:p>
        </w:tc>
        <w:tc>
          <w:tcPr>
            <w:tcW w:w="47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-693,957.00</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10,754,120.62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48、现金流量表项目" w:id="321"/>
      <w:bookmarkEnd w:id="321"/>
      <w:r>
        <w:rPr>
          <w:b w:val="0"/>
          <w:bCs w:val="0"/>
        </w:rPr>
      </w:r>
      <w:r>
        <w:rPr>
          <w:rFonts w:ascii="Times New Roman" w:hAnsi="Times New Roman" w:cs="Times New Roman" w:eastAsia="Times New Roman" w:hint="default"/>
        </w:rPr>
        <w:t>48</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收到的其他与经营活动有关的现金" w:id="322"/>
      <w:bookmarkEnd w:id="32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4,132,013.63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4,048,380.00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收到的银行存款利息收入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4,335,916.24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4,477,814.82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收到的股权转让税款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8,607,200.00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收回的备用金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收到的押金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3,449,800.71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650,960.00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收到的其他款项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342,654.79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328,396.73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12,260,385.37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22,612,751.55</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23"/>
      <w:bookmarkEnd w:id="32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支付的销售费用、管理费用等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52,024,477.39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50,507,277.55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2,073,600.00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支付的银行手续费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620,286.18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612,832.51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支付的保证金及押金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4,839,679.98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支付的股权转让个人所得税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8,607,200.00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支付的备用金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812,503.00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支付的其他款项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350,779.35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121,083.07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68,954,925.90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53,314,793.13</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收到的其他与筹资活动有关的现金" w:id="324"/>
      <w:bookmarkEnd w:id="324"/>
      <w:r>
        <w:rPr>
          <w:b w:val="0"/>
          <w:bCs w:val="0"/>
        </w:rPr>
      </w: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收回的银行保证金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27,249,095.86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27,249,095.86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支付的其他与筹资活动有关的现金" w:id="325"/>
      <w:bookmarkEnd w:id="325"/>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支付的银行保证金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4,587,184.51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24,835,773.46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支付的并购重组中介费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18,187,184.51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24,835,773.46</w:t>
            </w: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9、现金流量表补充资料" w:id="326"/>
      <w:bookmarkEnd w:id="326"/>
      <w:r>
        <w:rPr>
          <w:b w:val="0"/>
          <w:bCs w:val="0"/>
        </w:rPr>
      </w:r>
      <w:r>
        <w:rPr>
          <w:rFonts w:ascii="Times New Roman" w:hAnsi="Times New Roman" w:cs="Times New Roman" w:eastAsia="Times New Roman" w:hint="default"/>
        </w:rPr>
        <w:t>49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现金流量表补充资料" w:id="327"/>
      <w:bookmarkEnd w:id="32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73,373,245.08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136,760,633.61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-1,453,893.09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9,376,788.67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17,029,727.99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12,958,714.66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10,070,214.02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7,867,575.29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861,915.05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8,165,239.08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8,631.45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56,944.86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45,171,885.63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19,255,072.96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5,598,741.53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-96,002,374.09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-5,364,093.88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-1,096,406.70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-389,367.49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-162,236.46</w:t>
            </w:r>
            <w:r>
              <w:rPr>
                <w:rFonts w:ascii="Times New Roman"/>
                <w:sz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8,632,619.96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18,569,676.43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2"/>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-6,151,725.63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8,176,888.33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-26,768,326.29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29,409,081.04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36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1,202,405.57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-487,014.62</w:t>
            </w:r>
            <w:r>
              <w:rPr>
                <w:rFonts w:ascii="Times New Roman"/>
                <w:sz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121,821,979.90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152,848,583.06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547,933,217.83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533,051,546.12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533,051,546.12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285,717,538.42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14,881,671.71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247,334,007.70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28"/>
      <w:bookmarkEnd w:id="328"/>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88"/>
                <w:sz w:val="18"/>
                <w:szCs w:val="18"/>
              </w:rPr>
              <w:t>：</w:t>
            </w:r>
            <w:r>
              <w:rPr>
                <w:rFonts w:ascii="宋体" w:hAnsi="宋体" w:cs="宋体" w:eastAsia="宋体" w:hint="default"/>
                <w:sz w:val="18"/>
                <w:szCs w:val="18"/>
              </w:rPr>
              <w:t>以前期间发生的企业合并于本期支付的现金或现金等价物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26,000,000.00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现金和现金等价物的构成" w:id="329"/>
      <w:bookmarkEnd w:id="329"/>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547,933,217.83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533,051,546.12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1,146,556.41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324,107.35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546,647,743.87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532,073,861.07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138,917.55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653,577.70</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547,933,217.83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533,051,546.12</w:t>
            </w:r>
          </w:p>
        </w:tc>
      </w:tr>
    </w:tbl>
    <w:p>
      <w:pPr>
        <w:pStyle w:val="BodyText"/>
        <w:spacing w:line="240" w:lineRule="auto" w:before="51"/>
        <w:ind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1554" w:right="0"/>
        <w:jc w:val="left"/>
      </w:pPr>
      <w:r>
        <w:rPr>
          <w:rFonts w:ascii="Times New Roman" w:hAnsi="Times New Roman" w:cs="Times New Roman" w:eastAsia="Times New Roman" w:hint="default"/>
        </w:rPr>
        <w:t>2017</w:t>
      </w:r>
      <w:r>
        <w:rPr/>
        <w:t>年度现金流量表中现金的期末余额为</w:t>
      </w:r>
      <w:r>
        <w:rPr>
          <w:rFonts w:ascii="宋体" w:hAnsi="宋体" w:cs="宋体" w:eastAsia="宋体" w:hint="default"/>
        </w:rPr>
        <w:t>547,933,217.83</w:t>
      </w:r>
      <w:r>
        <w:rPr/>
        <w:t>元，</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日资产负债表中货币资金期末余额为</w:t>
      </w:r>
    </w:p>
    <w:p>
      <w:pPr>
        <w:pStyle w:val="BodyText"/>
        <w:spacing w:line="240" w:lineRule="auto" w:before="63"/>
        <w:ind w:left="1133" w:right="0"/>
        <w:jc w:val="left"/>
      </w:pPr>
      <w:r>
        <w:rPr>
          <w:rFonts w:ascii="宋体" w:hAnsi="宋体" w:cs="宋体" w:eastAsia="宋体" w:hint="default"/>
        </w:rPr>
        <w:t>552,835,056.08</w:t>
      </w:r>
      <w:r>
        <w:rPr/>
        <w:t>元，差额</w:t>
      </w:r>
      <w:r>
        <w:rPr>
          <w:rFonts w:ascii="宋体" w:hAnsi="宋体" w:cs="宋体" w:eastAsia="宋体" w:hint="default"/>
        </w:rPr>
        <w:t>4,901,838.25</w:t>
      </w:r>
      <w:r>
        <w:rPr/>
        <w:t>元，系扣除了不符合现金及现金等价物标准的保函保证金</w:t>
      </w:r>
      <w:r>
        <w:rPr>
          <w:rFonts w:ascii="宋体" w:hAnsi="宋体" w:cs="宋体" w:eastAsia="宋体" w:hint="default"/>
        </w:rPr>
        <w:t>4,901,838.25</w:t>
      </w:r>
      <w:r>
        <w:rPr/>
        <w:t>元。</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50、所有权或使用权受到限制的资产" w:id="330"/>
      <w:bookmarkEnd w:id="330"/>
      <w:r>
        <w:rPr>
          <w:b w:val="0"/>
          <w:bCs w:val="0"/>
        </w:rPr>
      </w:r>
      <w:r>
        <w:rPr>
          <w:rFonts w:ascii="Times New Roman" w:hAnsi="Times New Roman" w:cs="Times New Roman" w:eastAsia="Times New Roman" w:hint="default"/>
        </w:rPr>
        <w:t>50</w:t>
      </w:r>
      <w:r>
        <w:rPr/>
        <w:t>、所有权或使用权受到限制的资产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360,128.70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校企合作，所有权预计转移</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4,901,838.25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5,261,966.95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51、外币货币性项目" w:id="331"/>
      <w:bookmarkEnd w:id="331"/>
      <w:r>
        <w:rPr>
          <w:b w:val="0"/>
          <w:bCs w:val="0"/>
        </w:rPr>
      </w:r>
      <w:r>
        <w:rPr>
          <w:rFonts w:ascii="Times New Roman" w:hAnsi="Times New Roman" w:cs="Times New Roman" w:eastAsia="Times New Roman" w:hint="default"/>
        </w:rPr>
        <w:t>51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外币货币性项目" w:id="332"/>
      <w:bookmarkEnd w:id="33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4,427,635.02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670,993.97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4,384,408.80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5,538.45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43,212.65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13.57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32,409,028.17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4,959,907.59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32,409,028.17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left="1133" w:right="0"/>
        <w:jc w:val="left"/>
        <w:rPr>
          <w:b w:val="0"/>
          <w:bCs w:val="0"/>
        </w:rPr>
      </w:pPr>
      <w:bookmarkStart w:name="（2）境外经营实体说明，包括对于重要的境外经营实体，应披露其境外主要经营地、记账" w:id="333"/>
      <w:bookmarkEnd w:id="33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八、合并范围的变更" w:id="334"/>
      <w:bookmarkEnd w:id="334"/>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非同一控制下企业合并" w:id="335"/>
      <w:bookmarkEnd w:id="335"/>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期发生的非同一控制下企业合并" w:id="336"/>
      <w:bookmarkEnd w:id="33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5"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6"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5" w:right="16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买方的收 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买方的净 利润</w:t>
            </w:r>
          </w:p>
        </w:tc>
      </w:tr>
    </w:tbl>
    <w:p>
      <w:pPr>
        <w:pStyle w:val="BodyText"/>
        <w:spacing w:line="439" w:lineRule="auto" w:before="51"/>
        <w:ind w:left="1133" w:right="7693"/>
        <w:jc w:val="left"/>
      </w:pPr>
      <w:r>
        <w:rPr/>
        <w:t>其他说明： 本期未发生非同一控制下的企业合并。</w:t>
      </w:r>
    </w:p>
    <w:p>
      <w:pPr>
        <w:spacing w:after="0" w:line="439"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同一控制下企业合并" w:id="337"/>
      <w:bookmarkEnd w:id="337"/>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338"/>
      <w:bookmarkEnd w:id="338"/>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65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5" w:right="163"/>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66" w:right="164"/>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66" w:right="167"/>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5" w:right="167"/>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6" w:right="166"/>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6" w:right="167"/>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5" w:right="167"/>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bl>
    <w:p>
      <w:pPr>
        <w:pStyle w:val="BodyText"/>
        <w:spacing w:line="240" w:lineRule="auto" w:before="52"/>
        <w:ind w:right="0"/>
        <w:jc w:val="left"/>
      </w:pPr>
      <w:r>
        <w:rPr/>
        <w:t>其他说明：</w:t>
      </w:r>
    </w:p>
    <w:p>
      <w:pPr>
        <w:spacing w:line="240" w:lineRule="auto" w:before="13"/>
        <w:rPr>
          <w:rFonts w:ascii="宋体" w:hAnsi="宋体" w:cs="宋体" w:eastAsia="宋体" w:hint="default"/>
          <w:sz w:val="12"/>
          <w:szCs w:val="12"/>
        </w:rPr>
      </w:pPr>
    </w:p>
    <w:p>
      <w:pPr>
        <w:pStyle w:val="Heading4"/>
        <w:spacing w:line="240" w:lineRule="auto"/>
        <w:ind w:right="0"/>
        <w:jc w:val="left"/>
      </w:pPr>
      <w:r>
        <w:rPr/>
        <w:t>本期未发生同一控制下的企业合并。</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left="1133" w:right="0"/>
        <w:jc w:val="left"/>
        <w:rPr>
          <w:b w:val="0"/>
          <w:bCs w:val="0"/>
        </w:rPr>
      </w:pPr>
      <w:bookmarkStart w:name="3、其他原因的合并范围变动" w:id="339"/>
      <w:bookmarkEnd w:id="339"/>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说明其他原因导致的合并范围变动（如，新设子公司、清算子公司等）及其相关情况：</w:t>
      </w:r>
    </w:p>
    <w:p>
      <w:pPr>
        <w:spacing w:line="240" w:lineRule="auto" w:before="1"/>
        <w:rPr>
          <w:rFonts w:ascii="宋体" w:hAnsi="宋体" w:cs="宋体" w:eastAsia="宋体" w:hint="default"/>
          <w:sz w:val="13"/>
          <w:szCs w:val="13"/>
        </w:rPr>
      </w:pPr>
    </w:p>
    <w:p>
      <w:pPr>
        <w:pStyle w:val="Heading3"/>
        <w:spacing w:line="240" w:lineRule="auto"/>
        <w:ind w:left="1133" w:right="0"/>
        <w:jc w:val="left"/>
        <w:rPr>
          <w:b w:val="0"/>
          <w:bCs w:val="0"/>
        </w:rPr>
      </w:pPr>
      <w:r>
        <w:rPr/>
        <w:t>报告期内通过设立或投资方式取得的子公司</w:t>
      </w:r>
      <w:r>
        <w:rPr>
          <w:b w:val="0"/>
          <w:bCs w:val="0"/>
        </w:rPr>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line="8445" w:lineRule="exact"/>
        <w:ind w:left="1134" w:right="0" w:firstLine="0"/>
        <w:rPr>
          <w:rFonts w:ascii="宋体" w:hAnsi="宋体" w:cs="宋体" w:eastAsia="宋体" w:hint="default"/>
          <w:sz w:val="20"/>
          <w:szCs w:val="20"/>
        </w:rPr>
      </w:pPr>
      <w:r>
        <w:rPr>
          <w:rFonts w:ascii="宋体" w:hAnsi="宋体" w:cs="宋体" w:eastAsia="宋体" w:hint="default"/>
          <w:position w:val="-168"/>
          <w:sz w:val="20"/>
          <w:szCs w:val="20"/>
        </w:rPr>
        <w:drawing>
          <wp:inline distT="0" distB="0" distL="0" distR="0">
            <wp:extent cx="5677237" cy="5362575"/>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4" cstate="print"/>
                    <a:stretch>
                      <a:fillRect/>
                    </a:stretch>
                  </pic:blipFill>
                  <pic:spPr>
                    <a:xfrm>
                      <a:off x="0" y="0"/>
                      <a:ext cx="5677237" cy="5362575"/>
                    </a:xfrm>
                    <a:prstGeom prst="rect">
                      <a:avLst/>
                    </a:prstGeom>
                  </pic:spPr>
                </pic:pic>
              </a:graphicData>
            </a:graphic>
          </wp:inline>
        </w:drawing>
      </w:r>
      <w:r>
        <w:rPr>
          <w:rFonts w:ascii="宋体" w:hAnsi="宋体" w:cs="宋体" w:eastAsia="宋体" w:hint="default"/>
          <w:position w:val="-168"/>
          <w:sz w:val="20"/>
          <w:szCs w:val="20"/>
        </w:rPr>
      </w:r>
    </w:p>
    <w:p>
      <w:pPr>
        <w:spacing w:line="240" w:lineRule="auto" w:before="2"/>
        <w:rPr>
          <w:rFonts w:ascii="宋体" w:hAnsi="宋体" w:cs="宋体" w:eastAsia="宋体" w:hint="default"/>
          <w:b/>
          <w:bCs/>
          <w:sz w:val="29"/>
          <w:szCs w:val="29"/>
        </w:rPr>
      </w:pPr>
    </w:p>
    <w:p>
      <w:pPr>
        <w:pStyle w:val="Heading2"/>
        <w:spacing w:line="240" w:lineRule="auto" w:before="26"/>
        <w:ind w:left="1133" w:right="0"/>
        <w:jc w:val="left"/>
        <w:rPr>
          <w:b w:val="0"/>
          <w:bCs w:val="0"/>
        </w:rPr>
      </w:pPr>
      <w:bookmarkStart w:name="九、在其他主体中的权益" w:id="340"/>
      <w:bookmarkEnd w:id="340"/>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在子公司中的权益" w:id="341"/>
      <w:bookmarkEnd w:id="341"/>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企业集团的构成" w:id="342"/>
      <w:bookmarkEnd w:id="34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广州长城世家 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潮州市万泉瓷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潮州市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潮州市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潮州市三江陶 瓷原料有限公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潮州市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潮州市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深圳长城世家 商贸有限公司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北京昶城世家 商贸有限公司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深圳市世家会 艺术品投资有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深圳万城投资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河南长城绿色 瓷艺科技有限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安阳市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安阳市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生产制造业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郑州长城世家 商贸有限公司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潮州市长城世 家瓷业有限公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潮州市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潮州市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广东联汛教育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软件和信息技 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江西联汛教育 科技有限公司</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软件和信息技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广州韵网信息 科技有限公司</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软件开发及技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新疆联汛展望 教育科技有限 公司①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新疆喀什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新疆喀什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软件开发及技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河南智游臻龙 教育科技有限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软件开发及技 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郑州市智游职 业培训学校②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非学历短期培 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郑州智游爱峰 科技有限公司</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软件开发及技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郑州智游联动 教育咨询有限 公司③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软件开发及技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北京京师智游 教育科技有限 公司③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科学研究和技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南京欧米伽网 络科技有限公 司③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软件和信息技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6"/>
              <w:jc w:val="both"/>
              <w:rPr>
                <w:rFonts w:ascii="宋体" w:hAnsi="宋体" w:cs="宋体" w:eastAsia="宋体" w:hint="default"/>
                <w:sz w:val="18"/>
                <w:szCs w:val="18"/>
              </w:rPr>
            </w:pPr>
            <w:r>
              <w:rPr>
                <w:rFonts w:ascii="宋体" w:hAnsi="宋体" w:cs="宋体" w:eastAsia="宋体" w:hint="default"/>
                <w:sz w:val="18"/>
                <w:szCs w:val="18"/>
              </w:rPr>
              <w:t>霍尔果斯臻龙 教育科技有限 公司③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霍尔果斯市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霍尔果斯市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山西智游臻龙 互联网科技有 限公司③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山西省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山西省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软件和信息技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河北臻龙科技 有限公司③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河北石家庄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河北石家庄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软件和信息技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新疆智游点石 教育科技有限 公司③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新疆喀什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新疆喀什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软件和信息技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厦门爱峰沐川 科技有限公司</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科学研究和技 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pStyle w:val="BodyText"/>
        <w:spacing w:line="357" w:lineRule="auto"/>
        <w:ind w:left="1554" w:right="1152" w:hanging="420"/>
        <w:jc w:val="left"/>
      </w:pPr>
      <w:r>
        <w:rPr/>
        <w:t>在子公司的持股比例不同于表决权比例的说明： 注①：江西联汛教育科技有限公司系广东联汛教育科技有限公司设立的控股子公司，广州韵网信息科技有限公司、新</w:t>
      </w:r>
    </w:p>
    <w:p>
      <w:pPr>
        <w:pStyle w:val="BodyText"/>
        <w:spacing w:line="224" w:lineRule="exact"/>
        <w:ind w:right="0"/>
        <w:jc w:val="left"/>
      </w:pPr>
      <w:r>
        <w:rPr/>
        <w:t>疆联汛展望教育科技有限公司系广东联汛教育科技有限公司设立的全资子公司。</w:t>
      </w:r>
    </w:p>
    <w:p>
      <w:pPr>
        <w:pStyle w:val="BodyText"/>
        <w:spacing w:line="316" w:lineRule="auto" w:before="76"/>
        <w:ind w:left="1133" w:right="1171" w:firstLine="420"/>
        <w:jc w:val="both"/>
      </w:pPr>
      <w:r>
        <w:rPr/>
        <w:t>注②：郑州市智游职业培训学校及郑州智游爱峰科技有限公司系河南智游臻龙教育科技有限公司通过同一控制下企业 合并取得的子公司。</w:t>
      </w:r>
    </w:p>
    <w:p>
      <w:pPr>
        <w:pStyle w:val="BodyText"/>
        <w:spacing w:line="316" w:lineRule="auto" w:before="19"/>
        <w:ind w:left="1133" w:right="1131" w:firstLine="420"/>
        <w:jc w:val="both"/>
      </w:pPr>
      <w:r>
        <w:rPr/>
        <w:t>注③：郑州智游联动教育咨询有限公司、南京欧米伽网络科技有限公司、霍尔果斯臻龙教育科技有限公司、山西智游 </w:t>
      </w:r>
      <w:r>
        <w:rPr>
          <w:spacing w:val="-2"/>
        </w:rPr>
        <w:t>臻龙互联网科技有限公司、新疆智游点石教育科技有限公司系河南智游臻龙教育科技有限公司设立的全资子公司，北京京师</w:t>
      </w:r>
      <w:r>
        <w:rPr>
          <w:spacing w:val="-64"/>
        </w:rPr>
        <w:t> </w:t>
      </w:r>
      <w:r>
        <w:rPr>
          <w:spacing w:val="-64"/>
        </w:rPr>
      </w:r>
      <w:r>
        <w:rPr>
          <w:spacing w:val="-2"/>
        </w:rPr>
        <w:t>智游教育科技有限公司、河北臻龙科技有限公司系河南智游臻龙教育科技有限公司设立的控股子公司，厦门爱峰沐川科技有</w:t>
      </w:r>
      <w:r>
        <w:rPr>
          <w:spacing w:val="-64"/>
        </w:rPr>
        <w:t> </w:t>
      </w:r>
      <w:r>
        <w:rPr>
          <w:spacing w:val="-64"/>
        </w:rPr>
      </w:r>
      <w:r>
        <w:rPr/>
        <w:t>限公司系公司孙公司郑州智游爱峰科技有限公司设立的全资子公司。</w:t>
      </w:r>
    </w:p>
    <w:p>
      <w:pPr>
        <w:pStyle w:val="BodyText"/>
        <w:spacing w:line="360" w:lineRule="auto" w:before="59"/>
        <w:ind w:left="1133" w:right="2833"/>
        <w:jc w:val="left"/>
      </w:pPr>
      <w:r>
        <w:rPr/>
        <w:t>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2"/>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重要的非全资子公司" w:id="343"/>
      <w:bookmarkEnd w:id="34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681" w:right="140"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01" w:right="141"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bl>
    <w:p>
      <w:pPr>
        <w:pStyle w:val="BodyText"/>
        <w:spacing w:line="240" w:lineRule="auto" w:before="51"/>
        <w:ind w:right="0"/>
        <w:jc w:val="left"/>
      </w:pPr>
      <w:r>
        <w:rPr/>
        <w:t>子公司少数股东的持股比例不同于表决权比例的说明：</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60" w:lineRule="auto" w:before="44"/>
        <w:ind w:right="8412"/>
        <w:jc w:val="left"/>
      </w:pPr>
      <w:r>
        <w:rPr/>
        <w:t>公司无重要的非全资子公司。 其他说明：</w:t>
      </w:r>
    </w:p>
    <w:p>
      <w:pPr>
        <w:spacing w:line="240" w:lineRule="auto" w:before="12"/>
        <w:rPr>
          <w:rFonts w:ascii="宋体" w:hAnsi="宋体" w:cs="宋体" w:eastAsia="宋体" w:hint="default"/>
          <w:sz w:val="19"/>
          <w:szCs w:val="19"/>
        </w:rPr>
      </w:pPr>
    </w:p>
    <w:p>
      <w:pPr>
        <w:pStyle w:val="Heading3"/>
        <w:spacing w:line="240" w:lineRule="auto"/>
        <w:ind w:left="1133" w:right="0"/>
        <w:jc w:val="left"/>
        <w:rPr>
          <w:b w:val="0"/>
          <w:bCs w:val="0"/>
        </w:rPr>
      </w:pPr>
      <w:bookmarkStart w:name="（3）向纳入合并财务报表范围的结构化主体提供的财务支持或其他支持" w:id="344"/>
      <w:bookmarkEnd w:id="344"/>
      <w:r>
        <w:rPr>
          <w:b w:val="0"/>
          <w:bCs w:val="0"/>
        </w:rPr>
      </w:r>
      <w:r>
        <w:rPr/>
        <w:t>（</w:t>
      </w:r>
      <w:r>
        <w:rPr>
          <w:rFonts w:ascii="Times New Roman" w:hAnsi="Times New Roman" w:cs="Times New Roman" w:eastAsia="Times New Roman" w:hint="default"/>
        </w:rPr>
        <w:t>3</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2"/>
        <w:jc w:val="left"/>
      </w:pPr>
      <w:r>
        <w:rPr/>
        <w:t>无 其他说明：</w:t>
      </w:r>
    </w:p>
    <w:p>
      <w:pPr>
        <w:spacing w:line="240" w:lineRule="auto" w:before="12"/>
        <w:rPr>
          <w:rFonts w:ascii="宋体" w:hAnsi="宋体" w:cs="宋体" w:eastAsia="宋体" w:hint="default"/>
          <w:sz w:val="19"/>
          <w:szCs w:val="19"/>
        </w:rPr>
      </w:pPr>
    </w:p>
    <w:p>
      <w:pPr>
        <w:pStyle w:val="Heading3"/>
        <w:spacing w:line="240" w:lineRule="auto"/>
        <w:ind w:left="1133" w:right="0"/>
        <w:jc w:val="left"/>
        <w:rPr>
          <w:b w:val="0"/>
          <w:bCs w:val="0"/>
        </w:rPr>
      </w:pPr>
      <w:bookmarkStart w:name="2、在子公司的所有者权益份额发生变化且仍控制子公司的交易" w:id="345"/>
      <w:bookmarkEnd w:id="34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46"/>
      <w:bookmarkEnd w:id="34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公司本年度在子公司的所有者权益份额未发生变化。</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347"/>
      <w:bookmarkEnd w:id="34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48"/>
      <w:bookmarkEnd w:id="34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0" w:right="141" w:hanging="90"/>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36" w:right="137"/>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6"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79" w:lineRule="auto" w:before="51"/>
        <w:ind w:right="5892"/>
        <w:jc w:val="left"/>
      </w:pPr>
      <w:r>
        <w:rPr/>
        <w:t>在合营企业或联营企业的持股比例不同于表决权比例的说明： 公司无重要的合营企业或联营企业。</w:t>
      </w:r>
    </w:p>
    <w:p>
      <w:pPr>
        <w:pStyle w:val="BodyText"/>
        <w:spacing w:line="240" w:lineRule="auto" w:before="33"/>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不重要的合营企业和联营企业的汇总财务信息" w:id="349"/>
      <w:bookmarkEnd w:id="349"/>
      <w:r>
        <w:rPr>
          <w:b w:val="0"/>
          <w:bCs w:val="0"/>
        </w:rPr>
      </w: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210,118,481.23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107,930,065.54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-7,811,584.31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1,905,445.41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-7,811,584.31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1,905,445.41</w:t>
            </w: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十、与金融工具相关的风险" w:id="350"/>
      <w:bookmarkEnd w:id="350"/>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33" w:firstLine="420"/>
        <w:jc w:val="both"/>
      </w:pPr>
      <w:r>
        <w:rPr/>
        <w:t>公司的主要金融工具包括货币资金、应收账款、应付账款、借款、理财产品等，各项金融工具的详细情况说明见本附 注五相关项目。与这些金融工具有关的风险，以及公司为降低这些风险所采取的风险管理政策如下所述。</w:t>
      </w:r>
    </w:p>
    <w:p>
      <w:pPr>
        <w:pStyle w:val="BodyText"/>
        <w:spacing w:line="316" w:lineRule="auto" w:before="139"/>
        <w:ind w:left="1133" w:right="1043" w:firstLine="420"/>
        <w:jc w:val="both"/>
      </w:pPr>
      <w:r>
        <w:rPr/>
        <w:t>公司在经营过程中面临各种金融风险：信用风险、市场风险和流动性风险。公司经营管理层全面负责风险管理目标和 </w:t>
      </w:r>
      <w:r>
        <w:rPr>
          <w:spacing w:val="-2"/>
        </w:rPr>
        <w:t>政策的确定，并对风险管理目标和政策承担最终责任。经营管理层通过职能部门递交的月度工作报告来审查已执行程序的有</w:t>
      </w:r>
      <w:r>
        <w:rPr>
          <w:spacing w:val="-63"/>
        </w:rPr>
        <w:t> </w:t>
      </w:r>
      <w:r>
        <w:rPr>
          <w:spacing w:val="-63"/>
        </w:rPr>
      </w:r>
      <w:r>
        <w:rPr>
          <w:spacing w:val="-4"/>
        </w:rPr>
        <w:t>效性以及风险管理目标和政策的合理性。公司的审计部也会审计风险管理的政策和程序，并且将有关发现汇报给审计委员会。</w:t>
      </w:r>
    </w:p>
    <w:p>
      <w:pPr>
        <w:pStyle w:val="BodyText"/>
        <w:spacing w:line="439" w:lineRule="auto" w:before="139"/>
        <w:ind w:left="1133" w:right="1513" w:firstLine="420"/>
        <w:jc w:val="left"/>
      </w:pPr>
      <w:r>
        <w:rPr/>
        <w:t>公司风险管理的总体目标是在不过度影响公司竞争力和应变力的情况下，制定尽可能降低风险的风险管理政策。 信用风险</w:t>
      </w:r>
    </w:p>
    <w:p>
      <w:pPr>
        <w:pStyle w:val="BodyText"/>
        <w:spacing w:line="316" w:lineRule="auto" w:before="47"/>
        <w:ind w:left="1494" w:right="1133" w:firstLine="420"/>
        <w:jc w:val="both"/>
      </w:pPr>
      <w:r>
        <w:rPr/>
        <w:t>信用风险是指金融工具的一方不履行义务，造成另一方发生财务损失的风险。公司主要面临赊销导致的客户信用 </w:t>
      </w:r>
      <w:r>
        <w:rPr>
          <w:spacing w:val="-6"/>
        </w:rPr>
        <w:t>风险。在签订新合同之前，公司会对新客户的信用风险进行评估，包括外部信用评级和在某些情况下的银行资信证明（当</w:t>
      </w:r>
      <w:r>
        <w:rPr>
          <w:spacing w:val="-39"/>
        </w:rPr>
        <w:t> </w:t>
      </w:r>
      <w:r>
        <w:rPr>
          <w:spacing w:val="-39"/>
        </w:rPr>
      </w:r>
      <w:r>
        <w:rPr>
          <w:spacing w:val="-3"/>
        </w:rPr>
        <w:t>此信息可获取时）。公司对每一客户均设置了赊销限额，该限额为无需获得额外批准的最大额度。</w:t>
      </w:r>
    </w:p>
    <w:p>
      <w:pPr>
        <w:pStyle w:val="BodyText"/>
        <w:spacing w:line="316" w:lineRule="auto" w:before="139"/>
        <w:ind w:left="1493" w:right="1132" w:firstLine="420"/>
        <w:jc w:val="both"/>
      </w:pPr>
      <w:r>
        <w:rPr/>
        <w:t>公司通过对已有客户信用评级的季度监控以及应收账款账龄分析的月度审核来确保公司的整体信用风险在可控的 </w:t>
      </w:r>
      <w:r>
        <w:rPr>
          <w:spacing w:val="-2"/>
        </w:rPr>
        <w:t>范围内。在监控客户的信用风险时，按照客户的信用特征对其分组。被评为“高风险”级别的客户会放在受限制客户名</w:t>
      </w:r>
      <w:r>
        <w:rPr>
          <w:spacing w:val="-70"/>
        </w:rPr>
        <w:t> </w:t>
      </w:r>
      <w:r>
        <w:rPr>
          <w:spacing w:val="-70"/>
        </w:rPr>
      </w:r>
      <w:r>
        <w:rPr/>
        <w:t>单里，并且只有在额外批准的前提下，公司才可在未来期间内对其赊销，否则必须要求其提前支付相应款项。</w:t>
      </w:r>
    </w:p>
    <w:p>
      <w:pPr>
        <w:pStyle w:val="BodyText"/>
        <w:spacing w:line="240" w:lineRule="auto" w:before="139"/>
        <w:ind w:left="1133" w:right="0"/>
        <w:jc w:val="left"/>
      </w:pPr>
      <w:r>
        <w:rPr>
          <w:rFonts w:ascii="Times New Roman" w:hAnsi="Times New Roman" w:cs="Times New Roman" w:eastAsia="Times New Roman" w:hint="default"/>
        </w:rPr>
        <w:t>2</w:t>
      </w:r>
      <w:r>
        <w:rPr/>
        <w:t>、市场风险</w:t>
      </w:r>
    </w:p>
    <w:p>
      <w:pPr>
        <w:pStyle w:val="BodyText"/>
        <w:spacing w:line="432" w:lineRule="exact" w:before="47"/>
        <w:ind w:left="1553" w:right="1118"/>
        <w:jc w:val="left"/>
      </w:pPr>
      <w:r>
        <w:rPr/>
        <w:t>（</w:t>
      </w:r>
      <w:r>
        <w:rPr>
          <w:rFonts w:ascii="宋体" w:hAnsi="宋体" w:cs="宋体" w:eastAsia="宋体" w:hint="default"/>
        </w:rPr>
        <w:t>1</w:t>
      </w:r>
      <w:r>
        <w:rPr/>
        <w:t>）外汇风险 外汇风险，是指金融工具的公允价值或未来现金流量因外汇汇率变动而发生波动的风险。公司尽可能将外销收入在结</w:t>
      </w:r>
    </w:p>
    <w:p>
      <w:pPr>
        <w:pStyle w:val="BodyText"/>
        <w:spacing w:line="240" w:lineRule="auto" w:before="15"/>
        <w:ind w:left="1133" w:right="0"/>
        <w:jc w:val="left"/>
      </w:pPr>
      <w:r>
        <w:rPr/>
        <w:t>汇后最短的时间内兑换成人民币存款以减少持有外币资产。</w:t>
      </w:r>
    </w:p>
    <w:p>
      <w:pPr>
        <w:pStyle w:val="BodyText"/>
        <w:spacing w:line="430" w:lineRule="atLeast" w:before="2"/>
        <w:ind w:left="1553" w:right="1118"/>
        <w:jc w:val="left"/>
      </w:pPr>
      <w:r>
        <w:rPr/>
        <w:t>（</w:t>
      </w:r>
      <w:r>
        <w:rPr>
          <w:rFonts w:ascii="宋体" w:hAnsi="宋体" w:cs="宋体" w:eastAsia="宋体" w:hint="default"/>
        </w:rPr>
        <w:t>2</w:t>
      </w:r>
      <w:r>
        <w:rPr/>
        <w:t>）利率风险 利率风险，是指金融工具的公允价值或未来现金流量因市场利率变动而发生波动的风险。公司面临的利率风险主要来</w:t>
      </w:r>
    </w:p>
    <w:p>
      <w:pPr>
        <w:pStyle w:val="BodyText"/>
        <w:spacing w:line="240" w:lineRule="auto" w:before="76"/>
        <w:ind w:left="1133" w:right="0"/>
        <w:jc w:val="left"/>
      </w:pPr>
      <w:r>
        <w:rPr/>
        <w:t>源于银行借款。</w:t>
      </w:r>
    </w:p>
    <w:p>
      <w:pPr>
        <w:spacing w:line="240" w:lineRule="auto" w:before="0"/>
        <w:rPr>
          <w:rFonts w:ascii="宋体" w:hAnsi="宋体" w:cs="宋体" w:eastAsia="宋体" w:hint="default"/>
          <w:sz w:val="15"/>
          <w:szCs w:val="15"/>
        </w:rPr>
      </w:pPr>
    </w:p>
    <w:p>
      <w:pPr>
        <w:pStyle w:val="BodyText"/>
        <w:spacing w:line="240" w:lineRule="auto"/>
        <w:ind w:left="1133" w:right="0"/>
        <w:jc w:val="left"/>
      </w:pPr>
      <w:r>
        <w:rPr>
          <w:rFonts w:ascii="Times New Roman" w:hAnsi="Times New Roman" w:cs="Times New Roman" w:eastAsia="Times New Roman" w:hint="default"/>
        </w:rPr>
        <w:t>3</w:t>
      </w:r>
      <w:r>
        <w:rPr/>
        <w:t>、流动风险</w:t>
      </w:r>
    </w:p>
    <w:p>
      <w:pPr>
        <w:spacing w:line="240" w:lineRule="auto" w:before="13"/>
        <w:rPr>
          <w:rFonts w:ascii="宋体" w:hAnsi="宋体" w:cs="宋体" w:eastAsia="宋体" w:hint="default"/>
          <w:sz w:val="13"/>
          <w:szCs w:val="13"/>
        </w:rPr>
      </w:pPr>
    </w:p>
    <w:p>
      <w:pPr>
        <w:pStyle w:val="BodyText"/>
        <w:spacing w:line="316" w:lineRule="auto"/>
        <w:ind w:right="1133" w:firstLine="420"/>
        <w:jc w:val="both"/>
      </w:pPr>
      <w:r>
        <w:rPr/>
        <w:t>流动风险，是指企业在履行以交付现金或其他金融资产的方式结算的义务时发生资金短缺的风险。公司的政策是确保 </w:t>
      </w:r>
      <w:r>
        <w:rPr>
          <w:spacing w:val="-2"/>
        </w:rPr>
        <w:t>拥有充足的现金以偿还到期债务。流动性风险由公司的财务部门集中控制。财务部门通过监控现金余额、可随时变现的有价</w:t>
      </w:r>
      <w:r>
        <w:rPr>
          <w:spacing w:val="-66"/>
        </w:rPr>
        <w:t> </w:t>
      </w:r>
      <w:r>
        <w:rPr>
          <w:spacing w:val="-66"/>
        </w:rPr>
      </w:r>
      <w:r>
        <w:rPr/>
        <w:t>证券以及对未来</w:t>
      </w:r>
      <w:r>
        <w:rPr>
          <w:rFonts w:ascii="宋体" w:hAnsi="宋体" w:cs="宋体" w:eastAsia="宋体" w:hint="default"/>
        </w:rPr>
        <w:t>12</w:t>
      </w:r>
      <w:r>
        <w:rPr/>
        <w:t>个月现金流量的滚动预测，确保公司在所有合理预测的情况下拥有充足的资金偿还债务。</w:t>
      </w:r>
    </w:p>
    <w:p>
      <w:pPr>
        <w:pStyle w:val="BodyText"/>
        <w:spacing w:line="240" w:lineRule="auto" w:before="139"/>
        <w:ind w:left="1553" w:right="0"/>
        <w:jc w:val="left"/>
      </w:pPr>
      <w:r>
        <w:rPr/>
        <w:t>公司金融负债的情况详见附注五相关科目的披露情况。</w:t>
      </w:r>
    </w:p>
    <w:p>
      <w:pPr>
        <w:spacing w:line="240" w:lineRule="auto" w:before="2"/>
        <w:rPr>
          <w:rFonts w:ascii="宋体" w:hAnsi="宋体" w:cs="宋体" w:eastAsia="宋体" w:hint="default"/>
          <w:sz w:val="25"/>
          <w:szCs w:val="25"/>
        </w:rPr>
      </w:pPr>
    </w:p>
    <w:p>
      <w:pPr>
        <w:spacing w:line="506" w:lineRule="auto" w:before="0"/>
        <w:ind w:left="1134" w:right="5998" w:firstLine="0"/>
        <w:jc w:val="left"/>
        <w:rPr>
          <w:rFonts w:ascii="宋体" w:hAnsi="宋体" w:cs="宋体" w:eastAsia="宋体" w:hint="default"/>
          <w:sz w:val="18"/>
          <w:szCs w:val="18"/>
        </w:rPr>
      </w:pPr>
      <w:bookmarkStart w:name="十一、关联方及关联交易" w:id="351"/>
      <w:bookmarkEnd w:id="351"/>
      <w:r>
        <w:rPr/>
      </w:r>
      <w:r>
        <w:rPr>
          <w:rFonts w:ascii="宋体" w:hAnsi="宋体" w:cs="宋体" w:eastAsia="宋体" w:hint="default"/>
          <w:b/>
          <w:bCs/>
          <w:sz w:val="24"/>
          <w:szCs w:val="24"/>
        </w:rPr>
        <w:t>十一、关联方及关联交易</w:t>
      </w:r>
      <w:r>
        <w:rPr>
          <w:rFonts w:ascii="宋体" w:hAnsi="宋体" w:cs="宋体" w:eastAsia="宋体" w:hint="default"/>
          <w:b/>
          <w:bCs/>
          <w:w w:val="99"/>
          <w:sz w:val="24"/>
          <w:szCs w:val="24"/>
        </w:rPr>
        <w:t> </w:t>
      </w:r>
      <w:bookmarkStart w:name="1、本企业的子公司情况" w:id="352"/>
      <w:bookmarkEnd w:id="35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7"/>
          <w:sz w:val="18"/>
          <w:szCs w:val="18"/>
        </w:rPr>
        <w:t>本企业子公司的情况详见附注九、</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、“在子公司中的权益”。</w:t>
      </w:r>
    </w:p>
    <w:p>
      <w:pPr>
        <w:pStyle w:val="Heading3"/>
        <w:spacing w:line="240" w:lineRule="auto" w:before="116"/>
        <w:ind w:right="0"/>
        <w:jc w:val="left"/>
        <w:rPr>
          <w:b w:val="0"/>
          <w:bCs w:val="0"/>
        </w:rPr>
      </w:pPr>
      <w:bookmarkStart w:name="2、本企业合营和联营企业情况" w:id="353"/>
      <w:bookmarkEnd w:id="353"/>
      <w:r>
        <w:rPr>
          <w:b w:val="0"/>
          <w:bCs w:val="0"/>
        </w:rPr>
      </w:r>
      <w:r>
        <w:rPr>
          <w:rFonts w:ascii="Times New Roman" w:hAnsi="Times New Roman" w:cs="Times New Roman" w:eastAsia="Times New Roman" w:hint="default"/>
        </w:rPr>
        <w:t>2</w:t>
      </w:r>
      <w:r>
        <w:rPr/>
        <w:t>、本企业合营和联营企业情况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133" w:right="2293"/>
        <w:jc w:val="left"/>
      </w:pPr>
      <w:r>
        <w:rPr>
          <w:spacing w:val="-5"/>
        </w:rPr>
        <w:t>本企业重要的合营或联营企业详见附注九、</w:t>
      </w:r>
      <w:r>
        <w:rPr>
          <w:rFonts w:ascii="Times New Roman" w:hAnsi="Times New Roman" w:cs="Times New Roman" w:eastAsia="Times New Roman" w:hint="default"/>
          <w:spacing w:val="-5"/>
        </w:rPr>
        <w:t>3</w:t>
      </w:r>
      <w:r>
        <w:rPr>
          <w:spacing w:val="-5"/>
        </w:rPr>
        <w:t>、“在合营安排或联营企业中的权益”。</w:t>
      </w:r>
      <w:r>
        <w:rPr>
          <w:spacing w:val="-80"/>
        </w:rPr>
        <w:t> </w:t>
      </w:r>
      <w:r>
        <w:rPr>
          <w:spacing w:val="-80"/>
        </w:rPr>
      </w:r>
      <w:r>
        <w:rPr/>
        <w:t>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after="0" w:line="240" w:lineRule="auto"/>
        <w:jc w:val="center"/>
        <w:rPr>
          <w:rFonts w:ascii="宋体" w:hAnsi="宋体" w:cs="宋体" w:eastAsia="宋体" w:hint="default"/>
          <w:sz w:val="18"/>
          <w:szCs w:val="18"/>
        </w:rPr>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其他关联方情况" w:id="354"/>
      <w:bookmarkEnd w:id="354"/>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w:t>
            </w:r>
            <w:r>
              <w:rPr>
                <w:rFonts w:ascii="宋体" w:hAnsi="宋体" w:cs="宋体" w:eastAsia="宋体" w:hint="default"/>
                <w:sz w:val="18"/>
                <w:szCs w:val="18"/>
              </w:rPr>
              <w:t>的股东，董事兼董事会秘书，副总经理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罗晨鹏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财务总监，副总经理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陈伟雄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陈虞深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陈得光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陈钦龙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实际控制人关系密切的家庭成员</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4、关联交易情况" w:id="355"/>
      <w:bookmarkEnd w:id="355"/>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56"/>
      <w:bookmarkEnd w:id="35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1"/>
        <w:ind w:left="1133" w:right="2113"/>
        <w:jc w:val="left"/>
      </w:pPr>
      <w:r>
        <w:rPr/>
        <w:t>购销商品、提供和接受劳务的关联交易说明 存在控制关系已纳入公司合并财务报表范围的子公司，其相互间交易及母子公司交易已作抵销，故不作披露。</w:t>
      </w:r>
    </w:p>
    <w:p>
      <w:pPr>
        <w:spacing w:line="240" w:lineRule="auto" w:before="2"/>
        <w:rPr>
          <w:rFonts w:ascii="宋体" w:hAnsi="宋体" w:cs="宋体" w:eastAsia="宋体" w:hint="default"/>
          <w:sz w:val="20"/>
          <w:szCs w:val="20"/>
        </w:rPr>
      </w:pPr>
    </w:p>
    <w:p>
      <w:pPr>
        <w:pStyle w:val="Heading3"/>
        <w:spacing w:line="240" w:lineRule="auto"/>
        <w:ind w:left="1133" w:right="0"/>
        <w:jc w:val="left"/>
        <w:rPr>
          <w:b w:val="0"/>
          <w:bCs w:val="0"/>
        </w:rPr>
      </w:pPr>
      <w:bookmarkStart w:name="（2）关联租赁情况" w:id="357"/>
      <w:bookmarkEnd w:id="357"/>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439" w:lineRule="auto" w:before="51"/>
        <w:ind w:right="9312"/>
        <w:jc w:val="left"/>
      </w:pPr>
      <w:r>
        <w:rPr/>
        <w:t>关联租赁情况说明 无。</w:t>
      </w:r>
    </w:p>
    <w:p>
      <w:pPr>
        <w:spacing w:after="0" w:line="439"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3）关联担保情况" w:id="358"/>
      <w:bookmarkEnd w:id="358"/>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pStyle w:val="BodyText"/>
        <w:spacing w:line="240" w:lineRule="auto" w:before="51"/>
        <w:ind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方资产转让、债务重组情况" w:id="359"/>
      <w:bookmarkEnd w:id="359"/>
      <w:r>
        <w:rPr>
          <w:b w:val="0"/>
          <w:bCs w:val="0"/>
        </w:rPr>
      </w:r>
      <w:r>
        <w:rPr/>
        <w:t>（</w:t>
      </w:r>
      <w:r>
        <w:rPr>
          <w:rFonts w:ascii="Times New Roman" w:hAnsi="Times New Roman" w:cs="Times New Roman" w:eastAsia="Times New Roman" w:hint="default"/>
        </w:rPr>
        <w:t>4</w:t>
      </w:r>
      <w:r>
        <w:rPr/>
        <w:t>）关联方资产转让、债务重组情况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关键管理人员报酬" w:id="360"/>
      <w:bookmarkEnd w:id="360"/>
      <w:r>
        <w:rPr>
          <w:b w:val="0"/>
          <w:bCs w:val="0"/>
        </w:rPr>
      </w:r>
      <w:r>
        <w:rPr/>
        <w:t>（</w:t>
      </w:r>
      <w:r>
        <w:rPr>
          <w:rFonts w:ascii="Times New Roman" w:hAnsi="Times New Roman" w:cs="Times New Roman" w:eastAsia="Times New Roman" w:hint="default"/>
        </w:rPr>
        <w:t>5</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2,272,700.00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1,604,400.00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关联方应收应付款项" w:id="361"/>
      <w:bookmarkEnd w:id="361"/>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62"/>
      <w:bookmarkEnd w:id="36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应付项目" w:id="363"/>
      <w:bookmarkEnd w:id="36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二、承诺及或有事项" w:id="364"/>
      <w:bookmarkEnd w:id="364"/>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承诺事项" w:id="365"/>
      <w:bookmarkEnd w:id="36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252"/>
        <w:jc w:val="left"/>
      </w:pPr>
      <w:r>
        <w:rPr/>
        <w:t>资产负债表日存在的重要承诺 公司不存在影响正常经营活动需作披露的重大承诺事项。</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或有事项" w:id="366"/>
      <w:bookmarkEnd w:id="36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67"/>
      <w:bookmarkEnd w:id="36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报告期内，公司不存在影响正常经营活动需作披露的或有事项。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公司没有需要披露的重要或有事项，也应予以说明" w:id="368"/>
      <w:bookmarkEnd w:id="36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left="1133" w:right="0"/>
        <w:jc w:val="left"/>
        <w:rPr>
          <w:b w:val="0"/>
          <w:bCs w:val="0"/>
        </w:rPr>
      </w:pPr>
      <w:bookmarkStart w:name="十三、资产负债表日后事项" w:id="369"/>
      <w:bookmarkEnd w:id="369"/>
      <w:r>
        <w:rPr>
          <w:b w:val="0"/>
          <w:bCs w:val="0"/>
        </w:rPr>
      </w: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的非调整事项" w:id="370"/>
      <w:bookmarkEnd w:id="370"/>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371"/>
      <w:bookmarkEnd w:id="371"/>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四、其他重要事项" w:id="372"/>
      <w:bookmarkEnd w:id="372"/>
      <w:r>
        <w:rPr>
          <w:b w:val="0"/>
          <w:bCs w:val="0"/>
        </w:rPr>
      </w: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前期会计差错更正" w:id="373"/>
      <w:bookmarkEnd w:id="37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追溯重述法" w:id="374"/>
      <w:bookmarkEnd w:id="37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来适用法" w:id="375"/>
      <w:bookmarkEnd w:id="37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7"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债务重组" w:id="376"/>
      <w:bookmarkEnd w:id="37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资产置换" w:id="377"/>
      <w:bookmarkEnd w:id="37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378"/>
      <w:bookmarkEnd w:id="37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其他资产置换" w:id="379"/>
      <w:bookmarkEnd w:id="37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年金计划" w:id="380"/>
      <w:bookmarkEnd w:id="38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终止经营" w:id="381"/>
      <w:bookmarkEnd w:id="38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7"/>
              <w:jc w:val="center"/>
              <w:rPr>
                <w:rFonts w:ascii="宋体" w:hAnsi="宋体" w:cs="宋体" w:eastAsia="宋体" w:hint="default"/>
                <w:sz w:val="18"/>
                <w:szCs w:val="18"/>
              </w:rPr>
            </w:pPr>
            <w:r>
              <w:rPr>
                <w:rFonts w:ascii="宋体" w:hAnsi="宋体" w:cs="宋体" w:eastAsia="宋体" w:hint="default"/>
                <w:sz w:val="18"/>
                <w:szCs w:val="18"/>
              </w:rPr>
              <w:t>归属于母公司 所有者的终止 经营利润</w:t>
            </w:r>
          </w:p>
        </w:tc>
      </w:tr>
    </w:tbl>
    <w:p>
      <w:pPr>
        <w:pStyle w:val="BodyText"/>
        <w:spacing w:line="357" w:lineRule="auto" w:before="51"/>
        <w:ind w:left="1133"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分部信息" w:id="382"/>
      <w:bookmarkEnd w:id="38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383"/>
      <w:bookmarkEnd w:id="38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报告分部按业务类型确定，报告分部均执行公司的统一会计政策。</w:t>
      </w:r>
    </w:p>
    <w:p>
      <w:pPr>
        <w:spacing w:after="0" w:line="240"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报告分部的财务信息" w:id="384"/>
      <w:bookmarkEnd w:id="38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42" w:right="0"/>
              <w:jc w:val="left"/>
              <w:rPr>
                <w:rFonts w:ascii="宋体" w:hAnsi="宋体" w:cs="宋体" w:eastAsia="宋体" w:hint="default"/>
                <w:sz w:val="18"/>
                <w:szCs w:val="18"/>
              </w:rPr>
            </w:pPr>
            <w:r>
              <w:rPr>
                <w:rFonts w:ascii="宋体" w:hAnsi="宋体" w:cs="宋体" w:eastAsia="宋体" w:hint="default"/>
                <w:sz w:val="18"/>
                <w:szCs w:val="18"/>
              </w:rPr>
              <w:t>陶瓷类产品</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142" w:right="143"/>
              <w:jc w:val="center"/>
              <w:rPr>
                <w:rFonts w:ascii="宋体" w:hAnsi="宋体" w:cs="宋体" w:eastAsia="宋体" w:hint="default"/>
                <w:sz w:val="18"/>
                <w:szCs w:val="18"/>
              </w:rPr>
            </w:pPr>
            <w:r>
              <w:rPr>
                <w:rFonts w:ascii="宋体" w:hAnsi="宋体" w:cs="宋体" w:eastAsia="宋体" w:hint="default"/>
                <w:sz w:val="18"/>
                <w:szCs w:val="18"/>
              </w:rPr>
              <w:t>教育系统集 成及运营业 务</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3" w:right="143" w:hanging="360"/>
              <w:jc w:val="left"/>
              <w:rPr>
                <w:rFonts w:ascii="宋体" w:hAnsi="宋体" w:cs="宋体" w:eastAsia="宋体" w:hint="default"/>
                <w:sz w:val="18"/>
                <w:szCs w:val="18"/>
              </w:rPr>
            </w:pPr>
            <w:r>
              <w:rPr>
                <w:rFonts w:ascii="宋体" w:hAnsi="宋体" w:cs="宋体" w:eastAsia="宋体" w:hint="default"/>
                <w:sz w:val="18"/>
                <w:szCs w:val="18"/>
              </w:rPr>
              <w:t>教育培训业 务</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142" w:right="140"/>
              <w:jc w:val="center"/>
              <w:rPr>
                <w:rFonts w:ascii="宋体" w:hAnsi="宋体" w:cs="宋体" w:eastAsia="宋体" w:hint="default"/>
                <w:sz w:val="18"/>
                <w:szCs w:val="18"/>
              </w:rPr>
            </w:pPr>
            <w:r>
              <w:rPr>
                <w:rFonts w:ascii="宋体" w:hAnsi="宋体" w:cs="宋体" w:eastAsia="宋体" w:hint="default"/>
                <w:sz w:val="18"/>
                <w:szCs w:val="18"/>
              </w:rPr>
              <w:t>软件开发和 技术服务业 务</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2" w:right="142" w:hanging="180"/>
              <w:jc w:val="left"/>
              <w:rPr>
                <w:rFonts w:ascii="宋体" w:hAnsi="宋体" w:cs="宋体" w:eastAsia="宋体" w:hint="default"/>
                <w:sz w:val="18"/>
                <w:szCs w:val="18"/>
              </w:rPr>
            </w:pPr>
            <w:r>
              <w:rPr>
                <w:rFonts w:ascii="宋体" w:hAnsi="宋体" w:cs="宋体" w:eastAsia="宋体" w:hint="default"/>
                <w:sz w:val="18"/>
                <w:szCs w:val="18"/>
              </w:rPr>
              <w:t>电子产品销 售业务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4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03" w:right="183"/>
              <w:jc w:val="left"/>
              <w:rPr>
                <w:rFonts w:ascii="宋体" w:hAnsi="宋体" w:cs="宋体" w:eastAsia="宋体" w:hint="default"/>
                <w:sz w:val="18"/>
                <w:szCs w:val="18"/>
              </w:rPr>
            </w:pPr>
            <w:r>
              <w:rPr>
                <w:rFonts w:ascii="宋体" w:hAnsi="宋体" w:cs="宋体" w:eastAsia="宋体" w:hint="default"/>
                <w:sz w:val="18"/>
                <w:szCs w:val="18"/>
              </w:rPr>
              <w:t>主营业务收 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294,259,255.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113,848,778.</w:t>
            </w:r>
          </w:p>
          <w:p>
            <w:pPr>
              <w:pStyle w:val="TableParagraph"/>
              <w:spacing w:line="240" w:lineRule="auto" w:before="105"/>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62,694,492.8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38,941,349.1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25,870,365.4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535,614,241.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43</w:t>
            </w:r>
          </w:p>
        </w:tc>
      </w:tr>
      <w:tr>
        <w:trPr>
          <w:trHeight w:val="715"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03" w:right="183"/>
              <w:jc w:val="left"/>
              <w:rPr>
                <w:rFonts w:ascii="宋体" w:hAnsi="宋体" w:cs="宋体" w:eastAsia="宋体" w:hint="default"/>
                <w:sz w:val="18"/>
                <w:szCs w:val="18"/>
              </w:rPr>
            </w:pPr>
            <w:r>
              <w:rPr>
                <w:rFonts w:ascii="宋体" w:hAnsi="宋体" w:cs="宋体" w:eastAsia="宋体" w:hint="default"/>
                <w:sz w:val="18"/>
                <w:szCs w:val="18"/>
              </w:rPr>
              <w:t>主营业务成 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203,330,981.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22,621,204.6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14,844,456.1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5,108,666.88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23,399,201.7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269,304,511.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385"/>
      <w:bookmarkEnd w:id="38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51" w:firstLine="422"/>
        <w:jc w:val="left"/>
      </w:pPr>
      <w:r>
        <w:rPr/>
        <w:t>纳入合并范围内的会计主体架构与分部架构存在交集，公司按会计主体核算资产与负债，各分部形成的资产与负债未 能独立划分，故上述“报告分部的财务信息”未能披露相关分部的资产与负债情况。</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4）其他说明" w:id="386"/>
      <w:bookmarkEnd w:id="38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7、其他对投资者决策有影响的重要交易和事项" w:id="387"/>
      <w:bookmarkEnd w:id="38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040" w:firstLine="420"/>
        <w:jc w:val="left"/>
      </w:pPr>
      <w:r>
        <w:rPr/>
        <w:t>公司分别于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19</w:t>
      </w:r>
      <w:r>
        <w:rPr/>
        <w:t>日召开第三届董事会第三十二次会议，</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13</w:t>
      </w:r>
      <w:r>
        <w:rPr/>
        <w:t>日召开</w:t>
      </w:r>
      <w:r>
        <w:rPr>
          <w:rFonts w:ascii="宋体" w:hAnsi="宋体" w:cs="宋体" w:eastAsia="宋体" w:hint="default"/>
        </w:rPr>
        <w:t>2017</w:t>
      </w:r>
      <w:r>
        <w:rPr/>
        <w:t>年第二次临时股东大会，审议 </w:t>
      </w:r>
      <w:r>
        <w:rPr>
          <w:spacing w:val="-5"/>
        </w:rPr>
        <w:t>通过了《关于公司符合向特定对象发行股份及支付现金购买资产并募集配套资金条件的议案》（下述简称“议案”），审议通</w:t>
      </w:r>
      <w:r>
        <w:rPr>
          <w:spacing w:val="-76"/>
        </w:rPr>
        <w:t> </w:t>
      </w:r>
      <w:r>
        <w:rPr>
          <w:spacing w:val="-76"/>
        </w:rPr>
      </w:r>
      <w:r>
        <w:rPr>
          <w:spacing w:val="-4"/>
        </w:rPr>
        <w:t>过《关于签订附生效条件的</w:t>
      </w:r>
      <w:r>
        <w:rPr>
          <w:rFonts w:ascii="宋体" w:hAnsi="宋体" w:cs="宋体" w:eastAsia="宋体" w:hint="default"/>
          <w:spacing w:val="-4"/>
        </w:rPr>
        <w:t>&lt;</w:t>
      </w:r>
      <w:r>
        <w:rPr>
          <w:spacing w:val="-4"/>
        </w:rPr>
        <w:t>发行股份及支付现金购买资产协议</w:t>
      </w:r>
      <w:r>
        <w:rPr>
          <w:rFonts w:ascii="宋体" w:hAnsi="宋体" w:cs="宋体" w:eastAsia="宋体" w:hint="default"/>
          <w:spacing w:val="-4"/>
        </w:rPr>
        <w:t>&gt;</w:t>
      </w:r>
      <w:r>
        <w:rPr>
          <w:spacing w:val="-4"/>
        </w:rPr>
        <w:t>的议案》，审议通过《关于签订附生效条件的</w:t>
      </w:r>
      <w:r>
        <w:rPr>
          <w:rFonts w:ascii="宋体" w:hAnsi="宋体" w:cs="宋体" w:eastAsia="宋体" w:hint="default"/>
          <w:spacing w:val="-4"/>
        </w:rPr>
        <w:t>&lt;</w:t>
      </w:r>
      <w:r>
        <w:rPr>
          <w:spacing w:val="-4"/>
        </w:rPr>
        <w:t>盈利及减值补</w:t>
      </w:r>
      <w:r>
        <w:rPr>
          <w:spacing w:val="-40"/>
        </w:rPr>
        <w:t> </w:t>
      </w:r>
      <w:r>
        <w:rPr>
          <w:spacing w:val="-5"/>
        </w:rPr>
        <w:t>偿协议</w:t>
      </w:r>
      <w:r>
        <w:rPr>
          <w:rFonts w:ascii="宋体" w:hAnsi="宋体" w:cs="宋体" w:eastAsia="宋体" w:hint="default"/>
          <w:spacing w:val="-5"/>
        </w:rPr>
        <w:t>&gt;</w:t>
      </w:r>
      <w:r>
        <w:rPr>
          <w:spacing w:val="-5"/>
        </w:rPr>
        <w:t>的议案》。根据审议通过的议案，公司拟向新余智趣资产管理合伙企业（有限合伙）、安卓易（北京）科技有限公司、</w:t>
      </w:r>
      <w:r>
        <w:rPr>
          <w:spacing w:val="-76"/>
        </w:rPr>
        <w:t> </w:t>
      </w:r>
      <w:r>
        <w:rPr>
          <w:spacing w:val="-76"/>
        </w:rPr>
      </w:r>
      <w:r>
        <w:rPr>
          <w:spacing w:val="-5"/>
        </w:rPr>
        <w:t>宁波梅山保税港区御泓投资合伙企业（有限合伙）、嘉兴卓智股权投资合伙企业（有限合伙）、新余信公成长新兴资产管理合</w:t>
      </w:r>
      <w:r>
        <w:rPr>
          <w:spacing w:val="-79"/>
        </w:rPr>
        <w:t> </w:t>
      </w:r>
      <w:r>
        <w:rPr>
          <w:spacing w:val="-79"/>
        </w:rPr>
      </w:r>
      <w:r>
        <w:rPr>
          <w:spacing w:val="-5"/>
        </w:rPr>
        <w:t>伙企业（有限合伙）、新余卓趣资本管理合伙企业（有限合伙）、深圳普方达源力投资中心（有限合伙）、新余创思资产管理</w:t>
      </w:r>
      <w:r>
        <w:rPr>
          <w:spacing w:val="-78"/>
        </w:rPr>
        <w:t> </w:t>
      </w:r>
      <w:r>
        <w:rPr>
          <w:spacing w:val="-78"/>
        </w:rPr>
      </w:r>
      <w:r>
        <w:rPr>
          <w:spacing w:val="-4"/>
        </w:rPr>
        <w:t>合伙企业（有限合伙）、瑞元千合木槿</w:t>
      </w:r>
      <w:r>
        <w:rPr>
          <w:rFonts w:ascii="宋体" w:hAnsi="宋体" w:cs="宋体" w:eastAsia="宋体" w:hint="default"/>
          <w:spacing w:val="-4"/>
        </w:rPr>
        <w:t>1</w:t>
      </w:r>
      <w:r>
        <w:rPr>
          <w:spacing w:val="-4"/>
        </w:rPr>
        <w:t>号专项资产管理计划、共青城纳隆德投资管理合伙企业（有限合伙）、国泰君安华安</w:t>
      </w:r>
      <w:r>
        <w:rPr>
          <w:spacing w:val="-43"/>
        </w:rPr>
        <w:t> </w:t>
      </w:r>
      <w:r>
        <w:rPr>
          <w:spacing w:val="-43"/>
        </w:rPr>
      </w:r>
      <w:r>
        <w:rPr>
          <w:spacing w:val="-5"/>
        </w:rPr>
        <w:t>未来</w:t>
      </w:r>
      <w:r>
        <w:rPr>
          <w:rFonts w:ascii="宋体" w:hAnsi="宋体" w:cs="宋体" w:eastAsia="宋体" w:hint="default"/>
          <w:spacing w:val="-5"/>
        </w:rPr>
        <w:t>-</w:t>
      </w:r>
      <w:r>
        <w:rPr>
          <w:spacing w:val="-5"/>
        </w:rPr>
        <w:t>鼎锋新三板共昇</w:t>
      </w:r>
      <w:r>
        <w:rPr>
          <w:rFonts w:ascii="宋体" w:hAnsi="宋体" w:cs="宋体" w:eastAsia="宋体" w:hint="default"/>
          <w:spacing w:val="-5"/>
        </w:rPr>
        <w:t>1</w:t>
      </w:r>
      <w:r>
        <w:rPr>
          <w:spacing w:val="-5"/>
        </w:rPr>
        <w:t>号专项资产管理计划、新余邦得投资合伙企业（有限合伙）、天津钰美瑞科技中心（有限合伙）、北京</w:t>
      </w:r>
      <w:r>
        <w:rPr>
          <w:spacing w:val="-74"/>
        </w:rPr>
        <w:t> </w:t>
      </w:r>
      <w:r>
        <w:rPr>
          <w:spacing w:val="-74"/>
        </w:rPr>
      </w:r>
      <w:r>
        <w:rPr>
          <w:spacing w:val="-2"/>
        </w:rPr>
        <w:t>虹佳龙文化传播有限公司、宁波梅山保税港区御景投资合伙企业（有限公司）、朱慧欣等共计</w:t>
      </w:r>
      <w:r>
        <w:rPr>
          <w:rFonts w:ascii="宋体" w:hAnsi="宋体" w:cs="宋体" w:eastAsia="宋体" w:hint="default"/>
          <w:spacing w:val="-2"/>
        </w:rPr>
        <w:t>16</w:t>
      </w:r>
      <w:r>
        <w:rPr>
          <w:spacing w:val="-2"/>
        </w:rPr>
        <w:t>名北京翡翠教育科技集团有</w:t>
      </w:r>
      <w:r>
        <w:rPr>
          <w:spacing w:val="-62"/>
        </w:rPr>
        <w:t> </w:t>
      </w:r>
      <w:r>
        <w:rPr>
          <w:spacing w:val="-62"/>
        </w:rPr>
      </w:r>
      <w:r>
        <w:rPr>
          <w:spacing w:val="-2"/>
        </w:rPr>
        <w:t>限公司（以下简称“翡翠教育”）原股东发行股份及支付现金购买其持有的翡翠教育</w:t>
      </w:r>
      <w:r>
        <w:rPr>
          <w:rFonts w:ascii="宋体" w:hAnsi="宋体" w:cs="宋体" w:eastAsia="宋体" w:hint="default"/>
          <w:spacing w:val="-2"/>
        </w:rPr>
        <w:t>100%</w:t>
      </w:r>
      <w:r>
        <w:rPr>
          <w:spacing w:val="-2"/>
        </w:rPr>
        <w:t>股权，并向特定对象发行股份募集</w:t>
      </w:r>
      <w:r>
        <w:rPr>
          <w:spacing w:val="-62"/>
        </w:rPr>
        <w:t> </w:t>
      </w:r>
      <w:r>
        <w:rPr>
          <w:spacing w:val="-62"/>
        </w:rPr>
      </w:r>
      <w:r>
        <w:rPr>
          <w:spacing w:val="-2"/>
        </w:rPr>
        <w:t>配套资金，募集配套资金总额不超过本次交易购买标的资产交易价格的</w:t>
      </w:r>
      <w:r>
        <w:rPr>
          <w:rFonts w:ascii="宋体" w:hAnsi="宋体" w:cs="宋体" w:eastAsia="宋体" w:hint="default"/>
          <w:spacing w:val="-2"/>
        </w:rPr>
        <w:t>100%</w:t>
      </w:r>
      <w:r>
        <w:rPr>
          <w:spacing w:val="-2"/>
        </w:rPr>
        <w:t>，配套融资发行的股份数量不超过本次发行前总</w:t>
      </w:r>
      <w:r>
        <w:rPr>
          <w:spacing w:val="-60"/>
        </w:rPr>
        <w:t> </w:t>
      </w:r>
      <w:r>
        <w:rPr>
          <w:spacing w:val="-60"/>
        </w:rPr>
      </w:r>
      <w:r>
        <w:rPr/>
        <w:t>股本的</w:t>
      </w:r>
      <w:r>
        <w:rPr>
          <w:rFonts w:ascii="宋体" w:hAnsi="宋体" w:cs="宋体" w:eastAsia="宋体" w:hint="default"/>
        </w:rPr>
        <w:t>20%</w:t>
      </w:r>
      <w:r>
        <w:rPr/>
        <w:t>。</w:t>
      </w:r>
    </w:p>
    <w:p>
      <w:pPr>
        <w:pStyle w:val="BodyText"/>
        <w:spacing w:line="316" w:lineRule="auto" w:before="139"/>
        <w:ind w:left="1133" w:right="0" w:firstLine="420"/>
        <w:jc w:val="left"/>
      </w:pPr>
      <w:r>
        <w:rPr>
          <w:spacing w:val="-3"/>
        </w:rPr>
        <w:t>根据交易各方签订的《发行股份及支付现金购买资产协议》，标的资产交易作价以具有证券期货相关业务资格的评估机</w:t>
      </w:r>
      <w:r>
        <w:rPr/>
        <w:t> </w:t>
      </w:r>
      <w:r>
        <w:rPr>
          <w:spacing w:val="-7"/>
        </w:rPr>
        <w:t>构出具评估报告确认的评估值为依据，经交易各方友好协商确定。根据北京中同华资产评估有限公司出具的《资产评估报告》，</w:t>
      </w:r>
      <w:r>
        <w:rPr>
          <w:spacing w:val="-52"/>
        </w:rPr>
        <w:t> </w:t>
      </w:r>
      <w:r>
        <w:rPr>
          <w:spacing w:val="-52"/>
        </w:rPr>
      </w:r>
      <w:r>
        <w:rPr>
          <w:spacing w:val="-3"/>
        </w:rPr>
        <w:t>以</w:t>
      </w:r>
      <w:r>
        <w:rPr>
          <w:rFonts w:ascii="宋体" w:hAnsi="宋体" w:cs="宋体" w:eastAsia="宋体" w:hint="default"/>
          <w:spacing w:val="-3"/>
        </w:rPr>
        <w:t>2016</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日为评估基准日，翡翠教育</w:t>
      </w:r>
      <w:r>
        <w:rPr>
          <w:rFonts w:ascii="宋体" w:hAnsi="宋体" w:cs="宋体" w:eastAsia="宋体" w:hint="default"/>
          <w:spacing w:val="-3"/>
        </w:rPr>
        <w:t>100%</w:t>
      </w:r>
      <w:r>
        <w:rPr>
          <w:spacing w:val="-3"/>
        </w:rPr>
        <w:t>股权的评估值为</w:t>
      </w:r>
      <w:r>
        <w:rPr>
          <w:rFonts w:ascii="宋体" w:hAnsi="宋体" w:cs="宋体" w:eastAsia="宋体" w:hint="default"/>
          <w:spacing w:val="-3"/>
        </w:rPr>
        <w:t>140,400.00</w:t>
      </w:r>
      <w:r>
        <w:rPr>
          <w:spacing w:val="-3"/>
        </w:rPr>
        <w:t>万元。</w:t>
      </w:r>
      <w:r>
        <w:rPr>
          <w:rFonts w:ascii="宋体" w:hAnsi="宋体" w:cs="宋体" w:eastAsia="宋体" w:hint="default"/>
          <w:spacing w:val="-3"/>
        </w:rPr>
        <w:t>2017</w:t>
      </w:r>
      <w:r>
        <w:rPr>
          <w:spacing w:val="-3"/>
        </w:rPr>
        <w:t>年</w:t>
      </w:r>
      <w:r>
        <w:rPr>
          <w:rFonts w:ascii="宋体" w:hAnsi="宋体" w:cs="宋体" w:eastAsia="宋体" w:hint="default"/>
          <w:spacing w:val="-3"/>
        </w:rPr>
        <w:t>2</w:t>
      </w:r>
      <w:r>
        <w:rPr>
          <w:spacing w:val="-3"/>
        </w:rPr>
        <w:t>月，翡翠教育增资</w:t>
      </w:r>
      <w:r>
        <w:rPr>
          <w:rFonts w:ascii="宋体" w:hAnsi="宋体" w:cs="宋体" w:eastAsia="宋体" w:hint="default"/>
          <w:spacing w:val="-3"/>
        </w:rPr>
        <w:t>20,000.00</w:t>
      </w:r>
      <w:r>
        <w:rPr>
          <w:spacing w:val="-3"/>
        </w:rPr>
        <w:t>万元，</w:t>
      </w:r>
      <w:r>
        <w:rPr>
          <w:spacing w:val="-45"/>
        </w:rPr>
        <w:t> </w:t>
      </w:r>
      <w:r>
        <w:rPr/>
        <w:t>经交易各方协商一致，本次交易翡翠教育</w:t>
      </w:r>
      <w:r>
        <w:rPr>
          <w:rFonts w:ascii="宋体" w:hAnsi="宋体" w:cs="宋体" w:eastAsia="宋体" w:hint="default"/>
        </w:rPr>
        <w:t>100%</w:t>
      </w:r>
      <w:r>
        <w:rPr/>
        <w:t>股权的交易作价为</w:t>
      </w:r>
      <w:r>
        <w:rPr>
          <w:rFonts w:ascii="宋体" w:hAnsi="宋体" w:cs="宋体" w:eastAsia="宋体" w:hint="default"/>
        </w:rPr>
        <w:t>157,500.00</w:t>
      </w:r>
      <w:r>
        <w:rPr/>
        <w:t>万元。</w:t>
      </w:r>
    </w:p>
    <w:p>
      <w:pPr>
        <w:pStyle w:val="BodyText"/>
        <w:spacing w:line="319" w:lineRule="auto" w:before="139"/>
        <w:ind w:left="1133" w:right="1129" w:firstLine="420"/>
        <w:jc w:val="both"/>
      </w:pPr>
      <w:r>
        <w:rPr>
          <w:spacing w:val="-3"/>
        </w:rPr>
        <w:t>根据《盈利及减值补偿协议》，业绩承诺股东及标的核心管理团队承诺，在利润承诺期即</w:t>
      </w:r>
      <w:r>
        <w:rPr>
          <w:rFonts w:ascii="宋体" w:hAnsi="宋体" w:cs="宋体" w:eastAsia="宋体" w:hint="default"/>
          <w:spacing w:val="-3"/>
        </w:rPr>
        <w:t>2017</w:t>
      </w:r>
      <w:r>
        <w:rPr>
          <w:spacing w:val="-3"/>
        </w:rPr>
        <w:t>至</w:t>
      </w:r>
      <w:r>
        <w:rPr>
          <w:rFonts w:ascii="宋体" w:hAnsi="宋体" w:cs="宋体" w:eastAsia="宋体" w:hint="default"/>
          <w:spacing w:val="-3"/>
        </w:rPr>
        <w:t>2019</w:t>
      </w:r>
      <w:r>
        <w:rPr>
          <w:spacing w:val="-3"/>
        </w:rPr>
        <w:t>年翡翠教育实现的</w:t>
      </w:r>
      <w:r>
        <w:rPr/>
        <w:t> 净利润分别为：</w:t>
      </w:r>
      <w:r>
        <w:rPr>
          <w:rFonts w:ascii="宋体" w:hAnsi="宋体" w:cs="宋体" w:eastAsia="宋体" w:hint="default"/>
        </w:rPr>
        <w:t>2017</w:t>
      </w:r>
      <w:r>
        <w:rPr/>
        <w:t>年度实现净利润</w:t>
      </w:r>
      <w:r>
        <w:rPr>
          <w:rFonts w:ascii="宋体" w:hAnsi="宋体" w:cs="宋体" w:eastAsia="宋体" w:hint="default"/>
        </w:rPr>
        <w:t>9,000.00</w:t>
      </w:r>
      <w:r>
        <w:rPr/>
        <w:t>万元、</w:t>
      </w:r>
      <w:r>
        <w:rPr>
          <w:rFonts w:ascii="宋体" w:hAnsi="宋体" w:cs="宋体" w:eastAsia="宋体" w:hint="default"/>
        </w:rPr>
        <w:t>2017</w:t>
      </w:r>
      <w:r>
        <w:rPr/>
        <w:t>年至</w:t>
      </w:r>
      <w:r>
        <w:rPr>
          <w:rFonts w:ascii="宋体" w:hAnsi="宋体" w:cs="宋体" w:eastAsia="宋体" w:hint="default"/>
        </w:rPr>
        <w:t>2018</w:t>
      </w:r>
      <w:r>
        <w:rPr/>
        <w:t>年共计实现净利润</w:t>
      </w:r>
      <w:r>
        <w:rPr>
          <w:rFonts w:ascii="宋体" w:hAnsi="宋体" w:cs="宋体" w:eastAsia="宋体" w:hint="default"/>
        </w:rPr>
        <w:t>20,700.00</w:t>
      </w:r>
      <w:r>
        <w:rPr/>
        <w:t>万元、</w:t>
      </w:r>
      <w:r>
        <w:rPr>
          <w:rFonts w:ascii="宋体" w:hAnsi="宋体" w:cs="宋体" w:eastAsia="宋体" w:hint="default"/>
        </w:rPr>
        <w:t>2017</w:t>
      </w:r>
      <w:r>
        <w:rPr/>
        <w:t>年至</w:t>
      </w:r>
      <w:r>
        <w:rPr>
          <w:rFonts w:ascii="宋体" w:hAnsi="宋体" w:cs="宋体" w:eastAsia="宋体" w:hint="default"/>
        </w:rPr>
        <w:t>2019</w:t>
      </w:r>
      <w:r>
        <w:rPr/>
        <w:t>年共计</w:t>
      </w:r>
      <w:r>
        <w:rPr>
          <w:spacing w:val="-84"/>
        </w:rPr>
        <w:t> </w:t>
      </w:r>
      <w:r>
        <w:rPr/>
        <w:t>实现净利润</w:t>
      </w:r>
      <w:r>
        <w:rPr>
          <w:rFonts w:ascii="宋体" w:hAnsi="宋体" w:cs="宋体" w:eastAsia="宋体" w:hint="default"/>
        </w:rPr>
        <w:t>35,910.00</w:t>
      </w:r>
      <w:r>
        <w:rPr/>
        <w:t>万元。净利润指经文化长城认可的会计师事务所审计的翡翠教育实现的合并报表归属于母公司所有者</w:t>
      </w:r>
      <w:r>
        <w:rPr>
          <w:spacing w:val="-85"/>
        </w:rPr>
        <w:t> </w:t>
      </w:r>
      <w:r>
        <w:rPr>
          <w:spacing w:val="-85"/>
        </w:rPr>
      </w:r>
      <w:r>
        <w:rPr/>
        <w:t>的净利润数，以扣除非经常性损益前后孰低者为计算依据。</w:t>
      </w:r>
    </w:p>
    <w:p>
      <w:pPr>
        <w:pStyle w:val="BodyText"/>
        <w:spacing w:line="316" w:lineRule="auto" w:before="17"/>
        <w:ind w:left="1133" w:right="0" w:firstLine="360"/>
        <w:jc w:val="left"/>
      </w:pP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9</w:t>
      </w:r>
      <w:r>
        <w:rPr>
          <w:spacing w:val="-2"/>
        </w:rPr>
        <w:t>日收到的中国证监会下发的《关于核准广东文化长城集团股份有限公司向安卓易</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科技有限公司</w:t>
      </w:r>
      <w:r>
        <w:rPr/>
        <w:t> </w:t>
      </w:r>
      <w:r>
        <w:rPr>
          <w:spacing w:val="-4"/>
        </w:rPr>
        <w:t>等发行股份购买资产并募集配套资金的批复》（证监许可</w:t>
      </w:r>
      <w:r>
        <w:rPr>
          <w:rFonts w:ascii="宋体" w:hAnsi="宋体" w:cs="宋体" w:eastAsia="宋体" w:hint="default"/>
          <w:spacing w:val="-4"/>
        </w:rPr>
        <w:t>[2018]394</w:t>
      </w:r>
      <w:r>
        <w:rPr>
          <w:spacing w:val="-4"/>
        </w:rPr>
        <w:t>号），核准公司向安卓易</w:t>
      </w:r>
      <w:r>
        <w:rPr>
          <w:rFonts w:ascii="宋体" w:hAnsi="宋体" w:cs="宋体" w:eastAsia="宋体" w:hint="default"/>
          <w:spacing w:val="-4"/>
        </w:rPr>
        <w:t>(</w:t>
      </w:r>
      <w:r>
        <w:rPr>
          <w:spacing w:val="-4"/>
        </w:rPr>
        <w:t>北京</w:t>
      </w:r>
      <w:r>
        <w:rPr>
          <w:rFonts w:ascii="宋体" w:hAnsi="宋体" w:cs="宋体" w:eastAsia="宋体" w:hint="default"/>
          <w:spacing w:val="-4"/>
        </w:rPr>
        <w:t>)</w:t>
      </w:r>
      <w:r>
        <w:rPr>
          <w:spacing w:val="-4"/>
        </w:rPr>
        <w:t>科技有限公司发行</w:t>
      </w:r>
      <w:r>
        <w:rPr>
          <w:spacing w:val="-42"/>
        </w:rPr>
        <w:t> </w:t>
      </w:r>
      <w:r>
        <w:rPr>
          <w:rFonts w:ascii="宋体" w:hAnsi="宋体" w:cs="宋体" w:eastAsia="宋体" w:hint="default"/>
          <w:spacing w:val="-2"/>
        </w:rPr>
        <w:t>11,551,063</w:t>
      </w:r>
      <w:r>
        <w:rPr>
          <w:spacing w:val="-2"/>
        </w:rPr>
        <w:t>股股份、向宁波梅山保税港区御泓投资合伙企业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发行</w:t>
      </w:r>
      <w:r>
        <w:rPr>
          <w:rFonts w:ascii="宋体" w:hAnsi="宋体" w:cs="宋体" w:eastAsia="宋体" w:hint="default"/>
          <w:spacing w:val="-2"/>
        </w:rPr>
        <w:t>14,186,505</w:t>
      </w:r>
      <w:r>
        <w:rPr>
          <w:spacing w:val="-2"/>
        </w:rPr>
        <w:t>股股份、向嘉兴卓智股权投资合伙企</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9" w:lineRule="auto" w:before="44"/>
        <w:ind w:left="1133" w:right="1123"/>
        <w:jc w:val="left"/>
      </w:pPr>
      <w:r>
        <w:rPr/>
        <w:t>业</w:t>
      </w:r>
      <w:r>
        <w:rPr>
          <w:rFonts w:ascii="宋体" w:hAnsi="宋体" w:cs="宋体" w:eastAsia="宋体" w:hint="default"/>
        </w:rPr>
        <w:t>(</w:t>
      </w:r>
      <w:r>
        <w:rPr/>
        <w:t>有限合伙</w:t>
      </w:r>
      <w:r>
        <w:rPr>
          <w:rFonts w:ascii="宋体" w:hAnsi="宋体" w:cs="宋体" w:eastAsia="宋体" w:hint="default"/>
        </w:rPr>
        <w:t>)</w:t>
      </w:r>
      <w:r>
        <w:rPr/>
        <w:t>发行</w:t>
      </w:r>
      <w:r>
        <w:rPr>
          <w:rFonts w:ascii="宋体" w:hAnsi="宋体" w:cs="宋体" w:eastAsia="宋体" w:hint="default"/>
        </w:rPr>
        <w:t>11,079,104</w:t>
      </w:r>
      <w:r>
        <w:rPr/>
        <w:t>股股份、向新余信公成长新兴资产管理合伙企业</w:t>
      </w:r>
      <w:r>
        <w:rPr>
          <w:rFonts w:ascii="宋体" w:hAnsi="宋体" w:cs="宋体" w:eastAsia="宋体" w:hint="default"/>
        </w:rPr>
        <w:t>(</w:t>
      </w:r>
      <w:r>
        <w:rPr/>
        <w:t>有限合伙</w:t>
      </w:r>
      <w:r>
        <w:rPr>
          <w:rFonts w:ascii="宋体" w:hAnsi="宋体" w:cs="宋体" w:eastAsia="宋体" w:hint="default"/>
        </w:rPr>
        <w:t>)</w:t>
      </w:r>
      <w:r>
        <w:rPr/>
        <w:t>发行</w:t>
      </w:r>
      <w:r>
        <w:rPr>
          <w:rFonts w:ascii="宋体" w:hAnsi="宋体" w:cs="宋体" w:eastAsia="宋体" w:hint="default"/>
        </w:rPr>
        <w:t>5,062,532</w:t>
      </w:r>
      <w:r>
        <w:rPr/>
        <w:t>股股份、向新余卓 </w:t>
      </w:r>
      <w:r>
        <w:rPr>
          <w:spacing w:val="-2"/>
        </w:rPr>
        <w:t>趣资本管理合伙企业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发行</w:t>
      </w:r>
      <w:r>
        <w:rPr>
          <w:rFonts w:ascii="宋体" w:hAnsi="宋体" w:cs="宋体" w:eastAsia="宋体" w:hint="default"/>
          <w:spacing w:val="-2"/>
        </w:rPr>
        <w:t>4,787,175</w:t>
      </w:r>
      <w:r>
        <w:rPr>
          <w:spacing w:val="-2"/>
        </w:rPr>
        <w:t>股股份、向深圳普方达源力投资中心</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发行</w:t>
      </w:r>
      <w:r>
        <w:rPr>
          <w:rFonts w:ascii="宋体" w:hAnsi="宋体" w:cs="宋体" w:eastAsia="宋体" w:hint="default"/>
          <w:spacing w:val="-2"/>
        </w:rPr>
        <w:t>3,231,392</w:t>
      </w:r>
      <w:r>
        <w:rPr>
          <w:spacing w:val="-2"/>
        </w:rPr>
        <w:t>股股份、向新</w:t>
      </w:r>
      <w:r>
        <w:rPr>
          <w:spacing w:val="-42"/>
        </w:rPr>
        <w:t> </w:t>
      </w:r>
      <w:r>
        <w:rPr>
          <w:spacing w:val="-42"/>
        </w:rPr>
      </w:r>
      <w:r>
        <w:rPr/>
        <w:t>余创思资产管理合伙企业</w:t>
      </w:r>
      <w:r>
        <w:rPr>
          <w:rFonts w:ascii="宋体" w:hAnsi="宋体" w:cs="宋体" w:eastAsia="宋体" w:hint="default"/>
        </w:rPr>
        <w:t>(</w:t>
      </w:r>
      <w:r>
        <w:rPr/>
        <w:t>有限合伙</w:t>
      </w:r>
      <w:r>
        <w:rPr>
          <w:rFonts w:ascii="宋体" w:hAnsi="宋体" w:cs="宋体" w:eastAsia="宋体" w:hint="default"/>
        </w:rPr>
        <w:t>)</w:t>
      </w:r>
      <w:r>
        <w:rPr/>
        <w:t>发行</w:t>
      </w:r>
      <w:r>
        <w:rPr>
          <w:rFonts w:ascii="宋体" w:hAnsi="宋体" w:cs="宋体" w:eastAsia="宋体" w:hint="default"/>
        </w:rPr>
        <w:t>2,154,209</w:t>
      </w:r>
      <w:r>
        <w:rPr/>
        <w:t>股股份、向共青城纳隆德投资管理合伙企业</w:t>
      </w:r>
      <w:r>
        <w:rPr>
          <w:rFonts w:ascii="宋体" w:hAnsi="宋体" w:cs="宋体" w:eastAsia="宋体" w:hint="default"/>
        </w:rPr>
        <w:t>(</w:t>
      </w:r>
      <w:r>
        <w:rPr/>
        <w:t>有限合伙</w:t>
      </w:r>
      <w:r>
        <w:rPr>
          <w:rFonts w:ascii="宋体" w:hAnsi="宋体" w:cs="宋体" w:eastAsia="宋体" w:hint="default"/>
        </w:rPr>
        <w:t>)</w:t>
      </w:r>
      <w:r>
        <w:rPr/>
        <w:t>发行</w:t>
      </w:r>
      <w:r>
        <w:rPr>
          <w:rFonts w:ascii="宋体" w:hAnsi="宋体" w:cs="宋体" w:eastAsia="宋体" w:hint="default"/>
        </w:rPr>
        <w:t>1,938,804 </w:t>
      </w:r>
      <w:r>
        <w:rPr>
          <w:spacing w:val="-2"/>
        </w:rPr>
        <w:t>股股份、向新余邦得投资合伙企业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发行</w:t>
      </w:r>
      <w:r>
        <w:rPr>
          <w:rFonts w:ascii="宋体" w:hAnsi="宋体" w:cs="宋体" w:eastAsia="宋体" w:hint="default"/>
          <w:spacing w:val="-2"/>
        </w:rPr>
        <w:t>700,086</w:t>
      </w:r>
      <w:r>
        <w:rPr>
          <w:spacing w:val="-2"/>
        </w:rPr>
        <w:t>股股份、向北京虹佳龙文化传播有限公司发行</w:t>
      </w:r>
      <w:r>
        <w:rPr>
          <w:rFonts w:ascii="宋体" w:hAnsi="宋体" w:cs="宋体" w:eastAsia="宋体" w:hint="default"/>
          <w:spacing w:val="-2"/>
        </w:rPr>
        <w:t>346,256</w:t>
      </w:r>
      <w:r>
        <w:rPr>
          <w:spacing w:val="-2"/>
        </w:rPr>
        <w:t>股股份购买</w:t>
      </w:r>
      <w:r>
        <w:rPr>
          <w:spacing w:val="-48"/>
        </w:rPr>
        <w:t> </w:t>
      </w:r>
      <w:r>
        <w:rPr/>
        <w:t>相关资产；核准公司非公开发行股份募集配套资金不超过</w:t>
      </w:r>
      <w:r>
        <w:rPr>
          <w:rFonts w:ascii="宋体" w:hAnsi="宋体" w:cs="宋体" w:eastAsia="宋体" w:hint="default"/>
        </w:rPr>
        <w:t>783,295,600.00</w:t>
      </w:r>
      <w:r>
        <w:rPr/>
        <w:t>元。</w:t>
      </w:r>
    </w:p>
    <w:p>
      <w:pPr>
        <w:pStyle w:val="BodyText"/>
        <w:spacing w:line="316" w:lineRule="auto" w:before="17"/>
        <w:ind w:right="1131" w:firstLine="360"/>
        <w:jc w:val="both"/>
      </w:pPr>
      <w:r>
        <w:rPr>
          <w:rFonts w:ascii="宋体" w:hAnsi="宋体" w:cs="宋体" w:eastAsia="宋体" w:hint="default"/>
        </w:rPr>
        <w:t>2018</w:t>
      </w:r>
      <w:r>
        <w:rPr>
          <w:rFonts w:ascii="宋体" w:hAnsi="宋体" w:cs="宋体" w:eastAsia="宋体" w:hint="default"/>
          <w:spacing w:val="-17"/>
        </w:rPr>
        <w:t> </w:t>
      </w:r>
      <w:r>
        <w:rPr/>
        <w:t>年</w:t>
      </w:r>
      <w:r>
        <w:rPr>
          <w:spacing w:val="-17"/>
        </w:rPr>
        <w:t> </w:t>
      </w:r>
      <w:r>
        <w:rPr>
          <w:rFonts w:ascii="宋体" w:hAnsi="宋体" w:cs="宋体" w:eastAsia="宋体" w:hint="default"/>
        </w:rPr>
        <w:t>3</w:t>
      </w:r>
      <w:r>
        <w:rPr>
          <w:rFonts w:ascii="宋体" w:hAnsi="宋体" w:cs="宋体" w:eastAsia="宋体" w:hint="default"/>
          <w:spacing w:val="-17"/>
        </w:rPr>
        <w:t> </w:t>
      </w:r>
      <w:r>
        <w:rPr/>
        <w:t>月</w:t>
      </w:r>
      <w:r>
        <w:rPr>
          <w:spacing w:val="-17"/>
        </w:rPr>
        <w:t> </w:t>
      </w:r>
      <w:r>
        <w:rPr>
          <w:rFonts w:ascii="宋体" w:hAnsi="宋体" w:cs="宋体" w:eastAsia="宋体" w:hint="default"/>
        </w:rPr>
        <w:t>27</w:t>
      </w:r>
      <w:r>
        <w:rPr>
          <w:rFonts w:ascii="宋体" w:hAnsi="宋体" w:cs="宋体" w:eastAsia="宋体" w:hint="default"/>
          <w:spacing w:val="-17"/>
        </w:rPr>
        <w:t> </w:t>
      </w:r>
      <w:r>
        <w:rPr/>
        <w:t>日，翡翠教育依法就本次发行股份及支付现金购买资产过户事宜履行工商变更登记手续，并取得北京 </w:t>
      </w:r>
      <w:r>
        <w:rPr>
          <w:spacing w:val="-5"/>
        </w:rPr>
        <w:t>市工商行政管理局签发的《营业执照》（统一社会信用代码：</w:t>
      </w:r>
      <w:r>
        <w:rPr>
          <w:rFonts w:ascii="宋体" w:hAnsi="宋体" w:cs="宋体" w:eastAsia="宋体" w:hint="default"/>
          <w:spacing w:val="-5"/>
        </w:rPr>
        <w:t>911101080513911795</w:t>
      </w:r>
      <w:r>
        <w:rPr>
          <w:spacing w:val="-5"/>
        </w:rPr>
        <w:t>），标的资产过户手续已全部办理完成，并</w:t>
      </w:r>
      <w:r>
        <w:rPr>
          <w:spacing w:val="-34"/>
        </w:rPr>
        <w:t> </w:t>
      </w:r>
      <w:r>
        <w:rPr>
          <w:spacing w:val="-34"/>
        </w:rPr>
      </w:r>
      <w:r>
        <w:rPr/>
        <w:t>变更登记至文化长城名下，双方已完成翡翠教育 </w:t>
      </w:r>
      <w:r>
        <w:rPr>
          <w:rFonts w:ascii="宋体" w:hAnsi="宋体" w:cs="宋体" w:eastAsia="宋体" w:hint="default"/>
        </w:rPr>
        <w:t>100%</w:t>
      </w:r>
      <w:r>
        <w:rPr/>
        <w:t>股权过户事宜，相关工商变更登记手续已办理完毕，文化长城持有翡 翠教育 </w:t>
      </w:r>
      <w:r>
        <w:rPr>
          <w:rFonts w:ascii="宋体" w:hAnsi="宋体" w:cs="宋体" w:eastAsia="宋体" w:hint="default"/>
        </w:rPr>
        <w:t>100%</w:t>
      </w:r>
      <w:r>
        <w:rPr/>
        <w:t>的股权</w:t>
      </w:r>
    </w:p>
    <w:p>
      <w:pPr>
        <w:pStyle w:val="BodyText"/>
        <w:spacing w:line="240" w:lineRule="auto" w:before="19"/>
        <w:ind w:left="1493" w:right="0"/>
        <w:jc w:val="left"/>
      </w:pPr>
      <w:r>
        <w:rPr/>
        <w:t>（</w:t>
      </w:r>
      <w:r>
        <w:rPr>
          <w:rFonts w:ascii="宋体" w:hAnsi="宋体" w:cs="宋体" w:eastAsia="宋体" w:hint="default"/>
        </w:rPr>
        <w:t>2</w:t>
      </w:r>
      <w:r>
        <w:rPr/>
        <w:t>）以集中竞价交易方式回购公司股份</w:t>
      </w:r>
    </w:p>
    <w:p>
      <w:pPr>
        <w:pStyle w:val="BodyText"/>
        <w:spacing w:line="240" w:lineRule="auto" w:before="76"/>
        <w:ind w:left="0" w:right="1041"/>
        <w:jc w:val="right"/>
      </w:pPr>
      <w:r>
        <w:rPr>
          <w:rFonts w:ascii="宋体" w:hAnsi="宋体" w:cs="宋体" w:eastAsia="宋体" w:hint="default"/>
        </w:rPr>
        <w:t>2018 </w:t>
      </w:r>
      <w:r>
        <w:rPr/>
        <w:t>年 </w:t>
      </w:r>
      <w:r>
        <w:rPr>
          <w:rFonts w:ascii="宋体" w:hAnsi="宋体" w:cs="宋体" w:eastAsia="宋体" w:hint="default"/>
        </w:rPr>
        <w:t>4 </w:t>
      </w:r>
      <w:r>
        <w:rPr/>
        <w:t>月 </w:t>
      </w:r>
      <w:r>
        <w:rPr>
          <w:rFonts w:ascii="宋体" w:hAnsi="宋体" w:cs="宋体" w:eastAsia="宋体" w:hint="default"/>
        </w:rPr>
        <w:t>12 </w:t>
      </w:r>
      <w:r>
        <w:rPr/>
        <w:t>日</w:t>
      </w:r>
      <w:r>
        <w:rPr>
          <w:spacing w:val="-41"/>
        </w:rPr>
        <w:t>，</w:t>
      </w:r>
      <w:r>
        <w:rPr/>
        <w:t>公司召开第四届董事会第五次会议审议通过</w:t>
      </w:r>
      <w:r>
        <w:rPr>
          <w:spacing w:val="-41"/>
        </w:rPr>
        <w:t>了</w:t>
      </w:r>
      <w:r>
        <w:rPr/>
        <w:t>《关于以集中竞价方式交易回购公司股份的议案</w:t>
      </w:r>
      <w:r>
        <w:rPr>
          <w:spacing w:val="-90"/>
        </w:rPr>
        <w:t>》</w:t>
      </w:r>
      <w:r>
        <w:rPr/>
        <w:t>。</w:t>
      </w:r>
    </w:p>
    <w:p>
      <w:pPr>
        <w:pStyle w:val="BodyText"/>
        <w:spacing w:line="240" w:lineRule="auto" w:before="76"/>
        <w:ind w:right="0"/>
        <w:jc w:val="left"/>
      </w:pPr>
      <w:r>
        <w:rPr/>
        <w:t>公司拟以自有资金回购公司股票，拟回购资金总额不低于人民币 </w:t>
      </w:r>
      <w:r>
        <w:rPr>
          <w:rFonts w:ascii="宋体" w:hAnsi="宋体" w:cs="宋体" w:eastAsia="宋体" w:hint="default"/>
        </w:rPr>
        <w:t>6,000 </w:t>
      </w:r>
      <w:r>
        <w:rPr>
          <w:spacing w:val="-4"/>
        </w:rPr>
        <w:t>万元，不超过人民币 </w:t>
      </w:r>
      <w:r>
        <w:rPr>
          <w:rFonts w:ascii="宋体" w:hAnsi="宋体" w:cs="宋体" w:eastAsia="宋体" w:hint="default"/>
        </w:rPr>
        <w:t>1</w:t>
      </w:r>
      <w:r>
        <w:rPr>
          <w:rFonts w:ascii="宋体" w:hAnsi="宋体" w:cs="宋体" w:eastAsia="宋体" w:hint="default"/>
          <w:spacing w:val="-8"/>
        </w:rPr>
        <w:t> </w:t>
      </w:r>
      <w:r>
        <w:rPr>
          <w:spacing w:val="-3"/>
        </w:rPr>
        <w:t>亿元。回购股份价格不超过</w:t>
      </w:r>
    </w:p>
    <w:p>
      <w:pPr>
        <w:pStyle w:val="BodyText"/>
        <w:spacing w:line="240" w:lineRule="auto" w:before="76"/>
        <w:ind w:right="0"/>
        <w:jc w:val="left"/>
      </w:pPr>
      <w:r>
        <w:rPr>
          <w:rFonts w:ascii="宋体" w:hAnsi="宋体" w:cs="宋体" w:eastAsia="宋体" w:hint="default"/>
        </w:rPr>
        <w:t>12 </w:t>
      </w:r>
      <w:r>
        <w:rPr/>
        <w:t>元</w:t>
      </w:r>
      <w:r>
        <w:rPr>
          <w:rFonts w:ascii="宋体" w:hAnsi="宋体" w:cs="宋体" w:eastAsia="宋体" w:hint="default"/>
        </w:rPr>
        <w:t>/</w:t>
      </w:r>
      <w:r>
        <w:rPr/>
        <w:t>股的条件下，预计回购股份不超过 </w:t>
      </w:r>
      <w:r>
        <w:rPr>
          <w:rFonts w:ascii="宋体" w:hAnsi="宋体" w:cs="宋体" w:eastAsia="宋体" w:hint="default"/>
        </w:rPr>
        <w:t>834 </w:t>
      </w:r>
      <w:r>
        <w:rPr>
          <w:spacing w:val="-3"/>
        </w:rPr>
        <w:t>万股，占公司总股本不超过</w:t>
      </w:r>
      <w:r>
        <w:rPr>
          <w:spacing w:val="-49"/>
        </w:rPr>
        <w:t> </w:t>
      </w:r>
      <w:r>
        <w:rPr>
          <w:rFonts w:ascii="宋体" w:hAnsi="宋体" w:cs="宋体" w:eastAsia="宋体" w:hint="default"/>
        </w:rPr>
        <w:t>2%</w:t>
      </w:r>
      <w:r>
        <w:rPr/>
        <w:t>。回购股份的具体数量及比例以回购期满时实</w:t>
      </w:r>
    </w:p>
    <w:p>
      <w:pPr>
        <w:pStyle w:val="BodyText"/>
        <w:spacing w:line="240" w:lineRule="auto" w:before="76"/>
        <w:ind w:right="0"/>
        <w:jc w:val="left"/>
      </w:pPr>
      <w:r>
        <w:rPr/>
        <w:t>际回购的为准。本次回购预案尚需提交公司 </w:t>
      </w:r>
      <w:r>
        <w:rPr>
          <w:rFonts w:ascii="宋体" w:hAnsi="宋体" w:cs="宋体" w:eastAsia="宋体" w:hint="default"/>
        </w:rPr>
        <w:t>2018 </w:t>
      </w:r>
      <w:r>
        <w:rPr/>
        <w:t>年第一次临时股东大会以特别决议形式审议通过。</w:t>
      </w:r>
    </w:p>
    <w:p>
      <w:pPr>
        <w:spacing w:line="240" w:lineRule="auto" w:before="2"/>
        <w:rPr>
          <w:rFonts w:ascii="宋体" w:hAnsi="宋体" w:cs="宋体" w:eastAsia="宋体" w:hint="default"/>
          <w:sz w:val="25"/>
          <w:szCs w:val="25"/>
        </w:rPr>
      </w:pPr>
    </w:p>
    <w:p>
      <w:pPr>
        <w:pStyle w:val="Heading2"/>
        <w:spacing w:line="240" w:lineRule="auto"/>
        <w:ind w:left="1133" w:right="0"/>
        <w:jc w:val="left"/>
        <w:rPr>
          <w:b w:val="0"/>
          <w:bCs w:val="0"/>
        </w:rPr>
      </w:pPr>
      <w:bookmarkStart w:name="十五、母公司财务报表主要项目注释" w:id="388"/>
      <w:bookmarkEnd w:id="388"/>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账款" w:id="389"/>
      <w:bookmarkEnd w:id="38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账款分类披露" w:id="390"/>
      <w:bookmarkEnd w:id="39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4,047</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,815.</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3.09%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4,047,8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139,35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1,246.2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10,956,</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924.54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128,39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4,321.7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127,0</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94,69</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2.59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96.91</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6,815,9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16.39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120,278,</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776.20</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139,35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1,246.2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10,956,</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924.54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128,39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4,321.7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131,1</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42,50</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7.59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10,863,</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731.39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120,278,</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776.20</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275" w:space="3554"/>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7075"/>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134,473,798.56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6,723,689.93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361,855.41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36,185.54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424,134.68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127,240.40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42,780.79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21,390.40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861.82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603.27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4,047,815.00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4,047,815.00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139,351,246.26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10,956,924.54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相同账龄的应收款项具有类似信用风险特征。 组合中，采用余额百分比法计提坏账准备的应收账款：</w:t>
      </w:r>
    </w:p>
    <w:p>
      <w:pPr>
        <w:pStyle w:val="BodyText"/>
        <w:spacing w:line="357" w:lineRule="auto" w:before="27"/>
        <w:ind w:right="6792"/>
        <w:jc w:val="left"/>
      </w:pPr>
      <w:r>
        <w:rPr/>
        <w:t>□ 适用 √ 不适用 组合中，采用其他方法计提坏账准备的应收账款：</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本期计提、收回或转回的坏账准备情况" w:id="391"/>
      <w:bookmarkEnd w:id="39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338" w:lineRule="auto" w:before="44"/>
        <w:ind w:left="1133" w:right="-15"/>
        <w:jc w:val="left"/>
      </w:pPr>
      <w:r>
        <w:rPr/>
        <w:t>本期计提坏账准备金额</w:t>
      </w:r>
      <w:r>
        <w:rPr>
          <w:spacing w:val="-46"/>
        </w:rPr>
        <w:t> </w:t>
      </w:r>
      <w:r>
        <w:rPr>
          <w:rFonts w:ascii="Times New Roman" w:hAnsi="Times New Roman" w:cs="Times New Roman" w:eastAsia="Times New Roman" w:hint="default"/>
        </w:rPr>
        <w:t>93,193.15</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7210" w:space="162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应收账款情况" w:id="392"/>
      <w:bookmarkEnd w:id="39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357" w:lineRule="auto" w:before="51"/>
        <w:ind w:right="7512"/>
        <w:jc w:val="left"/>
      </w:pPr>
      <w:r>
        <w:rPr/>
        <w:t>应收账款核销说明： 公司报告期无实际核销的应收账款情况。</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按欠款方归集的期末余额前五名的应收账款情况" w:id="393"/>
      <w:bookmarkEnd w:id="39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23"/>
        <w:jc w:val="left"/>
      </w:pPr>
      <w:r>
        <w:rPr/>
        <w:t>公司报告期末，应收账款余额前五名的客户应收金额合计</w:t>
      </w:r>
      <w:r>
        <w:rPr>
          <w:rFonts w:ascii="宋体" w:hAnsi="宋体" w:cs="宋体" w:eastAsia="宋体" w:hint="default"/>
        </w:rPr>
        <w:t>29,923,453.04</w:t>
      </w:r>
      <w:r>
        <w:rPr/>
        <w:t>元，占应收账款总额的比例为</w:t>
      </w:r>
      <w:r>
        <w:rPr>
          <w:rFonts w:ascii="宋体" w:hAnsi="宋体" w:cs="宋体" w:eastAsia="宋体" w:hint="default"/>
        </w:rPr>
        <w:t>21.47%</w:t>
      </w:r>
      <w:r>
        <w:rPr/>
        <w:t>，相应计提的 坏账准备年末余额汇总金额为</w:t>
      </w:r>
      <w:r>
        <w:rPr>
          <w:rFonts w:ascii="宋体" w:hAnsi="宋体" w:cs="宋体" w:eastAsia="宋体" w:hint="default"/>
        </w:rPr>
        <w:t>5,341,596.90</w:t>
      </w:r>
      <w:r>
        <w:rPr/>
        <w:t>元。</w:t>
      </w:r>
    </w:p>
    <w:p>
      <w:pPr>
        <w:spacing w:after="0" w:line="316" w:lineRule="auto"/>
        <w:jc w:val="left"/>
        <w:sectPr>
          <w:type w:val="continuous"/>
          <w:pgSz w:w="11910" w:h="16840"/>
          <w:pgMar w:top="1100" w:bottom="1200" w:left="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其他应收款" w:id="394"/>
      <w:bookmarkEnd w:id="39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95"/>
      <w:bookmarkEnd w:id="39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51,781,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775.99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7,791,7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79.76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15.05</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43,989,</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996.23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91,93</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6,463</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14,021,</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126.05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77,915,3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37.62</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51,781,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775.99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7,791,7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79.76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15.05</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43,989,</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996.23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91,93</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6,463</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14,021,</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126.05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77,915,3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37.62</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pStyle w:val="BodyText"/>
        <w:spacing w:line="240" w:lineRule="auto" w:before="51"/>
        <w:ind w:right="-20"/>
        <w:jc w:val="left"/>
      </w:pPr>
      <w:r>
        <w:rPr/>
        <w:t>期末单项金额重大并单项计提坏账准备的其他应收款：</w:t>
      </w:r>
    </w:p>
    <w:p>
      <w:pPr>
        <w:pStyle w:val="BodyText"/>
        <w:spacing w:line="360" w:lineRule="auto" w:before="116"/>
        <w:ind w:right="160"/>
        <w:jc w:val="left"/>
      </w:pPr>
      <w:r>
        <w:rPr/>
        <w:t>□ 适用 √ 不适用 组合中，按账龄分析法计提坏账准备的其他应收款：</w:t>
      </w:r>
    </w:p>
    <w:p>
      <w:pPr>
        <w:pStyle w:val="BodyText"/>
        <w:spacing w:line="240" w:lineRule="auto" w:before="2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25,150,422.91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1,257,521.15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6,694,984.97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669,498.50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19,549,200.38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5,864,760.11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51,394,608.26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7,791,779.76</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相同账龄的应收款项具有类似信用风险特征。 组合中，采用余额百分比法计提坏账准备的其他应收款：</w:t>
      </w:r>
    </w:p>
    <w:p>
      <w:pPr>
        <w:pStyle w:val="BodyText"/>
        <w:spacing w:line="360" w:lineRule="auto" w:before="26"/>
        <w:ind w:right="6612"/>
        <w:jc w:val="left"/>
      </w:pPr>
      <w:r>
        <w:rPr/>
        <w:t>□ 适用 √ 不适用 组合中，采用其他方法计提坏账准备的其他应收款：</w:t>
      </w:r>
    </w:p>
    <w:p>
      <w:pPr>
        <w:pStyle w:val="BodyText"/>
        <w:spacing w:line="240" w:lineRule="auto" w:before="26"/>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396"/>
      <w:bookmarkEnd w:id="39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0" w:right="0"/>
        </w:sectPr>
      </w:pPr>
    </w:p>
    <w:p>
      <w:pPr>
        <w:pStyle w:val="BodyText"/>
        <w:spacing w:line="338" w:lineRule="auto" w:before="44"/>
        <w:ind w:left="1133" w:right="-13"/>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6,229,346.29</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7434" w:space="1395"/>
            <w:col w:w="3081"/>
          </w:cols>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实际核销的其他应收款情况" w:id="397"/>
      <w:bookmarkEnd w:id="39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357" w:lineRule="auto" w:before="51"/>
        <w:ind w:right="7512"/>
        <w:jc w:val="left"/>
      </w:pPr>
      <w:r>
        <w:rPr/>
        <w:t>其他应收款核销说明： 公司本期无实际核销的其他应收款情况。</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其他应收款按款项性质分类情况" w:id="398"/>
      <w:bookmarkEnd w:id="39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51,173,390.67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65,736,526.97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投资意向款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6,963.59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34,696.56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214,254.00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292,182.00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387,167.73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812,391.85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60,666.29</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51,781,775.99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91,936,463.67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399"/>
      <w:bookmarkEnd w:id="39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9"/>
              <w:jc w:val="righ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1" w:right="170" w:hanging="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left"/>
              <w:rPr>
                <w:rFonts w:ascii="宋体" w:hAnsi="宋体" w:cs="宋体" w:eastAsia="宋体" w:hint="default"/>
                <w:sz w:val="18"/>
                <w:szCs w:val="18"/>
              </w:rPr>
            </w:pPr>
            <w:r>
              <w:rPr>
                <w:rFonts w:ascii="宋体" w:hAnsi="宋体" w:cs="宋体" w:eastAsia="宋体" w:hint="default"/>
                <w:sz w:val="18"/>
                <w:szCs w:val="18"/>
              </w:rPr>
              <w:t>深圳长城世家商贸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56"/>
              <w:jc w:val="righ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25,503,534.29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6,038,171.08</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left"/>
              <w:rPr>
                <w:rFonts w:ascii="宋体" w:hAnsi="宋体" w:cs="宋体" w:eastAsia="宋体" w:hint="default"/>
                <w:sz w:val="18"/>
                <w:szCs w:val="18"/>
              </w:rPr>
            </w:pPr>
            <w:r>
              <w:rPr>
                <w:rFonts w:ascii="宋体" w:hAnsi="宋体" w:cs="宋体" w:eastAsia="宋体" w:hint="default"/>
                <w:sz w:val="18"/>
                <w:szCs w:val="18"/>
              </w:rPr>
              <w:t>深圳市世家会艺术 品投资有限公司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56"/>
              <w:jc w:val="righ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14,205,333.65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710,266.68</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29"/>
              <w:jc w:val="left"/>
              <w:rPr>
                <w:rFonts w:ascii="宋体" w:hAnsi="宋体" w:cs="宋体" w:eastAsia="宋体" w:hint="default"/>
                <w:sz w:val="18"/>
                <w:szCs w:val="18"/>
              </w:rPr>
            </w:pPr>
            <w:r>
              <w:rPr>
                <w:rFonts w:ascii="宋体" w:hAnsi="宋体" w:cs="宋体" w:eastAsia="宋体" w:hint="default"/>
                <w:sz w:val="18"/>
                <w:szCs w:val="18"/>
              </w:rPr>
              <w:t>潮州市长城世家瓷 业有限公司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56"/>
              <w:jc w:val="righ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7,073,349.23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13.66%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353,667.46</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left"/>
              <w:rPr>
                <w:rFonts w:ascii="宋体" w:hAnsi="宋体" w:cs="宋体" w:eastAsia="宋体" w:hint="default"/>
                <w:sz w:val="18"/>
                <w:szCs w:val="18"/>
              </w:rPr>
            </w:pPr>
            <w:r>
              <w:rPr>
                <w:rFonts w:ascii="宋体" w:hAnsi="宋体" w:cs="宋体" w:eastAsia="宋体" w:hint="default"/>
                <w:sz w:val="18"/>
                <w:szCs w:val="18"/>
              </w:rPr>
              <w:t>广州长城世家投资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56"/>
              <w:jc w:val="righ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4,057,934.89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653,732.52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潮州市国家税务局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增值税出口退税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387,167.73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6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51,227,319.79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10"/>
              <w:jc w:val="right"/>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7,755,837.74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400"/>
      <w:bookmarkEnd w:id="40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1,436,739,530.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1,436,739,530.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1,436,739,530.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1,436,739,530.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210,118,481.23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210,118,481.23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107,930,065.54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107,930,065.54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1,646,858,012.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1,646,858,012.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1,544,669,596.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1,544,669,596.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01"/>
      <w:bookmarkEnd w:id="40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广州长城世家 投资有限公司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39,998,014.40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39,998,014.40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潮州市万泉陶 瓷花纸有限公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潮州市三江陶 瓷原料有限公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深圳长城世家 陶瓷商贸有限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北京昶城世家 商贸有限公司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深圳市世家会 艺术品投资有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252"/>
              <w:jc w:val="both"/>
              <w:rPr>
                <w:rFonts w:ascii="宋体" w:hAnsi="宋体" w:cs="宋体" w:eastAsia="宋体" w:hint="default"/>
                <w:sz w:val="18"/>
                <w:szCs w:val="18"/>
              </w:rPr>
            </w:pPr>
            <w:r>
              <w:rPr>
                <w:rFonts w:ascii="宋体" w:hAnsi="宋体" w:cs="宋体" w:eastAsia="宋体" w:hint="default"/>
                <w:sz w:val="18"/>
                <w:szCs w:val="18"/>
              </w:rPr>
              <w:t>河南长城绿色 瓷艺科技有限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潮州市长城世 家瓷业有限公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180,000,000.0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深圳万城投资 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广东联讯教育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625,971,516.5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625,971,516.5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河南智游臻龙 教育科技有限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1,436,739,530.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1,436,739,530.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02"/>
      <w:bookmarkEnd w:id="40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宜兴市 金鱼陶 瓷有限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58,826,</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449.06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-5,135,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826.23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53,690,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622.83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新余智 趣资产 管理合 伙企业</w:t>
            </w:r>
          </w:p>
          <w:p>
            <w:pPr>
              <w:pStyle w:val="TableParagraph"/>
              <w:spacing w:line="319" w:lineRule="auto" w:before="19"/>
              <w:ind w:left="103" w:right="141"/>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49,103,</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616.48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-3,540,</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838.42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95,562,</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778.06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1"/>
              <w:jc w:val="both"/>
              <w:rPr>
                <w:rFonts w:ascii="宋体" w:hAnsi="宋体" w:cs="宋体" w:eastAsia="宋体" w:hint="default"/>
                <w:sz w:val="18"/>
                <w:szCs w:val="18"/>
              </w:rPr>
            </w:pPr>
            <w:r>
              <w:rPr>
                <w:rFonts w:ascii="宋体" w:hAnsi="宋体" w:cs="宋体" w:eastAsia="宋体" w:hint="default"/>
                <w:sz w:val="18"/>
                <w:szCs w:val="18"/>
              </w:rPr>
              <w:t>潮州民 营投资 股份有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865,08</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0.34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60,865,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080.34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107,93</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0,065.5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-7,811,</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584.31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210,118</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,481.23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107,93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0,065.5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-7,811,</w:t>
            </w:r>
          </w:p>
          <w:p>
            <w:pPr>
              <w:pStyle w:val="TableParagraph"/>
              <w:spacing w:line="240" w:lineRule="auto" w:before="106"/>
              <w:ind w:left="190" w:right="0"/>
              <w:jc w:val="left"/>
              <w:rPr>
                <w:rFonts w:ascii="Times New Roman" w:hAnsi="Times New Roman" w:cs="Times New Roman" w:eastAsia="Times New Roman" w:hint="default"/>
                <w:sz w:val="18"/>
                <w:szCs w:val="18"/>
              </w:rPr>
            </w:pPr>
            <w:r>
              <w:rPr>
                <w:rFonts w:ascii="Times New Roman"/>
                <w:sz w:val="18"/>
              </w:rPr>
              <w:t>584.31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210,118</w:t>
            </w:r>
          </w:p>
          <w:p>
            <w:pPr>
              <w:pStyle w:val="TableParagraph"/>
              <w:spacing w:line="240" w:lineRule="auto" w:before="106"/>
              <w:ind w:left="145" w:right="0"/>
              <w:jc w:val="left"/>
              <w:rPr>
                <w:rFonts w:ascii="Times New Roman" w:hAnsi="Times New Roman" w:cs="Times New Roman" w:eastAsia="Times New Roman" w:hint="default"/>
                <w:sz w:val="18"/>
                <w:szCs w:val="18"/>
              </w:rPr>
            </w:pPr>
            <w:r>
              <w:rPr>
                <w:rFonts w:ascii="Times New Roman"/>
                <w:sz w:val="18"/>
              </w:rPr>
              <w:t>,481.23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营业收入和营业成本" w:id="403"/>
      <w:bookmarkEnd w:id="40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244,990,231.15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176,845,463.26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318,224,762.63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233,437,707.23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3,741,739.48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2,375,350.34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181,988.52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27,982.56</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248,731,970.63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179,220,813.60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318,406,751.15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233,465,689.79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5、投资收益" w:id="404"/>
      <w:bookmarkEnd w:id="40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-7,811,584.31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1,905,445.41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子公司分红</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1,048,734.24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51,237,149.93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1,905,445.41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六、补充资料" w:id="405"/>
      <w:bookmarkEnd w:id="405"/>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当期非经常性损益明细表" w:id="406"/>
      <w:bookmarkEnd w:id="40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0"/>
        <w:jc w:val="left"/>
      </w:pPr>
      <w:r>
        <w:rPr/>
        <w:t>√ 适用 □ 不适用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-8,631.45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32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 还、减免</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4,132,013.63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 的投资成本小于取得投资时应享有被投 资单位可辨认净资产公允价值产生的收</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2,212,842.78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 提的各项资产减值准备</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 合费用等</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 允价值部分的损益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 至合并日的当期净损益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 生的损益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 转回</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 性房地产公允价值变动产生的损益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根据税收、会计等法律、法规的要求对 当期损益进行一次性调整对当期损益的 影响</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-1,893,970.65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828,715.22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3,613,539.09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2"/>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70"/>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净资产收益率及每股收益" w:id="407"/>
      <w:bookmarkEnd w:id="40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0.17</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3402" w:right="3403"/>
        <w:jc w:val="center"/>
        <w:rPr>
          <w:b w:val="0"/>
          <w:bCs w:val="0"/>
        </w:rPr>
      </w:pPr>
      <w:bookmarkStart w:name="第十二节 备查文件目录" w:id="408"/>
      <w:bookmarkEnd w:id="408"/>
      <w:r>
        <w:rPr>
          <w:b w:val="0"/>
          <w:bCs w:val="0"/>
        </w:rPr>
      </w:r>
      <w:bookmarkStart w:name="_bookmark11" w:id="409"/>
      <w:bookmarkEnd w:id="409"/>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240" w:lineRule="auto"/>
        <w:ind w:right="0"/>
        <w:jc w:val="left"/>
      </w:pPr>
      <w:r>
        <w:rPr/>
        <w:t>（一）载有公司负责人、主管会计工作负责人、会计机构负责人（会计主管人员）签名并盖章的财务报表。</w:t>
      </w:r>
    </w:p>
    <w:p>
      <w:pPr>
        <w:spacing w:line="240" w:lineRule="auto" w:before="0"/>
        <w:rPr>
          <w:rFonts w:ascii="宋体" w:hAnsi="宋体" w:cs="宋体" w:eastAsia="宋体" w:hint="default"/>
          <w:sz w:val="15"/>
          <w:szCs w:val="15"/>
        </w:rPr>
      </w:pPr>
    </w:p>
    <w:p>
      <w:pPr>
        <w:pStyle w:val="BodyText"/>
        <w:spacing w:line="240" w:lineRule="auto"/>
        <w:ind w:right="0"/>
        <w:jc w:val="left"/>
      </w:pPr>
      <w:r>
        <w:rPr/>
        <w:t>（二）载有会计师事务所盖章、注册会计师签名并盖章的审计报告原件。</w:t>
      </w:r>
    </w:p>
    <w:p>
      <w:pPr>
        <w:spacing w:line="240" w:lineRule="auto" w:before="0"/>
        <w:rPr>
          <w:rFonts w:ascii="宋体" w:hAnsi="宋体" w:cs="宋体" w:eastAsia="宋体" w:hint="default"/>
          <w:sz w:val="15"/>
          <w:szCs w:val="15"/>
        </w:rPr>
      </w:pPr>
    </w:p>
    <w:p>
      <w:pPr>
        <w:pStyle w:val="BodyText"/>
        <w:spacing w:line="240" w:lineRule="auto"/>
        <w:ind w:right="0"/>
        <w:jc w:val="left"/>
      </w:pPr>
      <w:r>
        <w:rPr/>
        <w:t>（三）报告期内在中国证监会指定网站上公开披露过的所有公司文件的正本及公告的原稿。</w:t>
      </w:r>
    </w:p>
    <w:p>
      <w:pPr>
        <w:spacing w:line="240" w:lineRule="auto" w:before="0"/>
        <w:rPr>
          <w:rFonts w:ascii="宋体" w:hAnsi="宋体" w:cs="宋体" w:eastAsia="宋体" w:hint="default"/>
          <w:sz w:val="15"/>
          <w:szCs w:val="15"/>
        </w:rPr>
      </w:pPr>
    </w:p>
    <w:p>
      <w:pPr>
        <w:pStyle w:val="BodyText"/>
        <w:spacing w:line="415" w:lineRule="auto"/>
        <w:ind w:left="1207" w:right="6613" w:hanging="74"/>
        <w:jc w:val="left"/>
      </w:pPr>
      <w:r>
        <w:rPr/>
        <w:t>（四）载有董事长签名的</w:t>
      </w:r>
      <w:r>
        <w:rPr>
          <w:rFonts w:ascii="Times New Roman" w:hAnsi="Times New Roman" w:cs="Times New Roman" w:eastAsia="Times New Roman" w:hint="default"/>
        </w:rPr>
        <w:t>2017</w:t>
      </w:r>
      <w:r>
        <w:rPr/>
        <w:t>年年度报告文本原件。 以上备查文件的备置地点：文化长城证券事务部</w:t>
      </w:r>
    </w:p>
    <w:sectPr>
      <w:pgSz w:w="11910" w:h="16840"/>
      <w:pgMar w:header="907" w:footer="1019" w:top="1100" w:bottom="12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10592" type="#_x0000_t75" stroked="false">
          <v:imagedata r:id="rId1" o:title=""/>
        </v:shape>
      </w:pict>
    </w:r>
    <w:r>
      <w:rPr/>
      <w:pict>
        <v:shape style="position:absolute;margin-left:55.700001pt;margin-top:793.5979pt;width:6.5pt;height:11pt;mso-position-horizontal-relative:page;mso-position-vertical-relative:page;z-index:-8105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10544" type="#_x0000_t75" stroked="false">
          <v:imagedata r:id="rId1" o:title=""/>
        </v:shape>
      </w:pict>
    </w:r>
    <w:r>
      <w:rPr/>
      <w:pict>
        <v:shape style="position:absolute;margin-left:54.700001pt;margin-top:779.977905pt;width:13pt;height:11pt;mso-position-horizontal-relative:page;mso-position-vertical-relative:page;z-index:-810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10328" type="#_x0000_t75" stroked="false">
          <v:imagedata r:id="rId1" o:title=""/>
        </v:shape>
      </w:pict>
    </w:r>
    <w:r>
      <w:rPr/>
      <w:pict>
        <v:shape style="position:absolute;margin-left:55.700001pt;margin-top:779.977905pt;width:15.5pt;height:11pt;mso-position-horizontal-relative:page;mso-position-vertical-relative:page;z-index:-8103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10280" type="#_x0000_t75" stroked="false">
          <v:imagedata r:id="rId1" o:title=""/>
        </v:shape>
      </w:pict>
    </w:r>
    <w:r>
      <w:rPr/>
      <w:pict>
        <v:shape style="position:absolute;margin-left:54.700001pt;margin-top:779.977905pt;width:17.5pt;height:11pt;mso-position-horizontal-relative:page;mso-position-vertical-relative:page;z-index:-810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700001pt;margin-top:38.305607pt;width:213.55pt;height:11.5pt;mso-position-horizontal-relative:page;mso-position-vertical-relative:page;z-index:-810616" type="#_x0000_t202" filled="false" stroked="false">
          <v:textbox inset="0,0,0,0">
            <w:txbxContent>
              <w:p>
                <w:pPr>
                  <w:pStyle w:val="BodyText"/>
                  <w:spacing w:line="214" w:lineRule="exact"/>
                  <w:ind w:left="20" w:right="0"/>
                  <w:jc w:val="left"/>
                </w:pPr>
                <w:r>
                  <w:rPr/>
                  <w:t>广东文化长城集团股份有限公司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810496" type="#_x0000_t202" filled="false" stroked="false">
          <v:textbox inset="0,0,0,0">
            <w:txbxContent>
              <w:p>
                <w:pPr>
                  <w:pStyle w:val="BodyText"/>
                  <w:spacing w:line="214" w:lineRule="exact"/>
                  <w:ind w:left="20" w:right="0"/>
                  <w:jc w:val="left"/>
                </w:pPr>
                <w:r>
                  <w:rPr/>
                  <w:t>广东文化长城集团股份有限公司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810472" type="#_x0000_t202" filled="false" stroked="false">
          <v:textbox inset="0,0,0,0">
            <w:txbxContent>
              <w:p>
                <w:pPr>
                  <w:pStyle w:val="BodyText"/>
                  <w:spacing w:line="214" w:lineRule="exact"/>
                  <w:ind w:left="20" w:right="0"/>
                  <w:jc w:val="left"/>
                </w:pPr>
                <w:r>
                  <w:rPr/>
                  <w:t>广东文化长城集团股份有限公司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r>
      <w:rPr/>
      <w:pict>
        <v:shape style="position:absolute;margin-left:55.700001pt;margin-top:72.80748pt;width:339.1pt;height:14pt;mso-position-horizontal-relative:page;mso-position-vertical-relative:page;z-index:-81044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七、与上年度财务报告相比，合并报表范围发生变化的情况说明</w:t>
                </w:r>
                <w:r>
                  <w:rPr>
                    <w:rFonts w:ascii="宋体" w:hAnsi="宋体" w:cs="宋体" w:eastAsia="宋体" w:hint="default"/>
                    <w:sz w:val="24"/>
                    <w:szCs w:val="24"/>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810424" type="#_x0000_t202" filled="false" stroked="false">
          <v:textbox inset="0,0,0,0">
            <w:txbxContent>
              <w:p>
                <w:pPr>
                  <w:pStyle w:val="BodyText"/>
                  <w:spacing w:line="214" w:lineRule="exact"/>
                  <w:ind w:left="20" w:right="0"/>
                  <w:jc w:val="left"/>
                </w:pPr>
                <w:r>
                  <w:rPr/>
                  <w:t>广东文化长城集团股份有限公司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r>
      <w:rPr/>
      <w:pict>
        <v:shape style="position:absolute;margin-left:55.700001pt;margin-top:72.80748pt;width:122.4pt;height:14pt;mso-position-horizontal-relative:page;mso-position-vertical-relative:page;z-index:-81040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十二、处罚及整改情况</w:t>
                </w:r>
                <w:r>
                  <w:rPr>
                    <w:rFonts w:ascii="宋体" w:hAnsi="宋体" w:cs="宋体" w:eastAsia="宋体" w:hint="default"/>
                    <w:sz w:val="24"/>
                    <w:szCs w:val="24"/>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810376" type="#_x0000_t202" filled="false" stroked="false">
          <v:textbox inset="0,0,0,0">
            <w:txbxContent>
              <w:p>
                <w:pPr>
                  <w:pStyle w:val="BodyText"/>
                  <w:spacing w:line="214" w:lineRule="exact"/>
                  <w:ind w:left="20" w:right="0"/>
                  <w:jc w:val="left"/>
                </w:pPr>
                <w:r>
                  <w:rPr/>
                  <w:t>广东文化长城集团股份有限公司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810352" type="#_x0000_t202" filled="false" stroked="false">
          <v:textbox inset="0,0,0,0">
            <w:txbxContent>
              <w:p>
                <w:pPr>
                  <w:pStyle w:val="BodyText"/>
                  <w:spacing w:line="214" w:lineRule="exact"/>
                  <w:ind w:left="20" w:right="0"/>
                  <w:jc w:val="left"/>
                </w:pPr>
                <w:r>
                  <w:rPr/>
                  <w:t>广东文化长城集团股份有限公司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810232" type="#_x0000_t202" filled="false" stroked="false">
          <v:textbox inset="0,0,0,0">
            <w:txbxContent>
              <w:p>
                <w:pPr>
                  <w:pStyle w:val="BodyText"/>
                  <w:spacing w:line="214" w:lineRule="exact"/>
                  <w:ind w:left="20" w:right="0"/>
                  <w:jc w:val="left"/>
                </w:pPr>
                <w:r>
                  <w:rPr/>
                  <w:t>广东文化长城集团股份有限公司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133"/>
    </w:pPr>
    <w:rPr>
      <w:rFonts w:ascii="宋体" w:hAnsi="宋体" w:eastAsia="宋体"/>
      <w:sz w:val="18"/>
      <w:szCs w:val="18"/>
    </w:rPr>
  </w:style>
  <w:style w:styleId="BodyText" w:type="paragraph">
    <w:name w:val="Body Text"/>
    <w:basedOn w:val="Normal"/>
    <w:uiPriority w:val="1"/>
    <w:qFormat/>
    <w:pPr>
      <w:ind w:left="1134"/>
    </w:pPr>
    <w:rPr>
      <w:rFonts w:ascii="宋体" w:hAnsi="宋体" w:eastAsia="宋体"/>
      <w:sz w:val="18"/>
      <w:szCs w:val="18"/>
    </w:rPr>
  </w:style>
  <w:style w:styleId="Heading1" w:type="paragraph">
    <w:name w:val="Heading 1"/>
    <w:basedOn w:val="Normal"/>
    <w:uiPriority w:val="1"/>
    <w:qFormat/>
    <w:pPr>
      <w:spacing w:before="1"/>
      <w:ind w:left="3403"/>
      <w:outlineLvl w:val="1"/>
    </w:pPr>
    <w:rPr>
      <w:rFonts w:ascii="宋体" w:hAnsi="宋体" w:eastAsia="宋体"/>
      <w:b/>
      <w:bCs/>
      <w:sz w:val="32"/>
      <w:szCs w:val="32"/>
    </w:rPr>
  </w:style>
  <w:style w:styleId="Heading2" w:type="paragraph">
    <w:name w:val="Heading 2"/>
    <w:basedOn w:val="Normal"/>
    <w:uiPriority w:val="1"/>
    <w:qFormat/>
    <w:pPr>
      <w:ind w:left="1134"/>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Heading4" w:type="paragraph">
    <w:name w:val="Heading 4"/>
    <w:basedOn w:val="Normal"/>
    <w:uiPriority w:val="1"/>
    <w:qFormat/>
    <w:pPr>
      <w:ind w:left="1133"/>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yperlink" Target="http://www.thegreatwall-china.com/" TargetMode="External"/><Relationship Id="rId10" Type="http://schemas.openxmlformats.org/officeDocument/2006/relationships/hyperlink" Target="mailto:zqb@thegreatwall-china.com"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3.xml"/><Relationship Id="rId15" Type="http://schemas.openxmlformats.org/officeDocument/2006/relationships/image" Target="media/image4.pn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image" Target="media/image5.jpeg"/><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image" Target="media/image6.png"/><Relationship Id="rId23" Type="http://schemas.openxmlformats.org/officeDocument/2006/relationships/header" Target="header7.xml"/><Relationship Id="rId2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2020-05-02T23:50:07Z</dcterms:created>
  <dcterms:modified xsi:type="dcterms:W3CDTF">2020-05-02T23:50:07Z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Microsoft® Office Word 2007</vt:lpwstr>
  </property>
  <property fmtid="{D5CDD505-2E9C-101B-9397-08002B2CF9AE}" pid="4" name="LastSaved">
    <vt:filetime>2020-05-02T00:00:00Z</vt:filetime>
  </property>
</Properties>
</file>