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460" w:lineRule="exact" w:before="0"/>
        <w:ind w:left="2384" w:right="3401" w:firstLine="0"/>
        <w:jc w:val="center"/>
        <w:rPr>
          <w:rFonts w:ascii="宋体" w:hAnsi="宋体" w:cs="宋体" w:eastAsia="宋体" w:hint="default"/>
          <w:sz w:val="36"/>
          <w:szCs w:val="36"/>
        </w:rPr>
      </w:pPr>
      <w:r>
        <w:rPr>
          <w:rFonts w:ascii="宋体" w:hAnsi="宋体" w:cs="宋体" w:eastAsia="宋体" w:hint="default"/>
          <w:b/>
          <w:bCs/>
          <w:sz w:val="36"/>
          <w:szCs w:val="36"/>
        </w:rPr>
        <w:t>广东文化长城集团股份有限公司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38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38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公司负责人蔡廷祥、主管会计工作负责人罗晨鹏及会计机构负责人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杨榕声明：保证年度报告中财务报告的真实、准确、完整。</w:t>
      </w:r>
      <w:r>
        <w:rPr>
          <w:rFonts w:ascii="宋体" w:hAnsi="宋体" w:cs="宋体" w:eastAsia="宋体" w:hint="default"/>
          <w:sz w:val="28"/>
          <w:szCs w:val="28"/>
        </w:rPr>
      </w:r>
    </w:p>
    <w:p>
      <w:pPr>
        <w:spacing w:line="408" w:lineRule="auto" w:before="145"/>
        <w:ind w:left="11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董事朱利民、贠庆怀、周林由于大华会计师事务所为本公司出具了无法表</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示意见的审计报告无法保证本报告内容的真实、准确、完整，请投资者特别关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注。</w:t>
      </w:r>
      <w:r>
        <w:rPr>
          <w:rFonts w:ascii="宋体" w:hAnsi="宋体" w:cs="宋体" w:eastAsia="宋体" w:hint="default"/>
          <w:sz w:val="28"/>
          <w:szCs w:val="28"/>
        </w:rPr>
      </w:r>
    </w:p>
    <w:p>
      <w:pPr>
        <w:spacing w:line="472" w:lineRule="auto" w:before="161"/>
        <w:ind w:left="67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大华会计师事务所为本公司出具了无法表示意见的审计报告，本公司董事</w:t>
      </w:r>
      <w:r>
        <w:rPr>
          <w:rFonts w:ascii="宋体" w:hAnsi="宋体" w:cs="宋体" w:eastAsia="宋体" w:hint="default"/>
          <w:spacing w:val="3"/>
          <w:sz w:val="28"/>
          <w:szCs w:val="28"/>
        </w:rPr>
      </w:r>
    </w:p>
    <w:p>
      <w:pPr>
        <w:spacing w:line="472" w:lineRule="auto" w:before="0"/>
        <w:ind w:left="676" w:right="0" w:hanging="562"/>
        <w:jc w:val="left"/>
        <w:rPr>
          <w:rFonts w:ascii="宋体" w:hAnsi="宋体" w:cs="宋体" w:eastAsia="宋体" w:hint="default"/>
          <w:sz w:val="28"/>
          <w:szCs w:val="28"/>
        </w:rPr>
      </w:pPr>
      <w:r>
        <w:rPr>
          <w:rFonts w:ascii="宋体" w:hAnsi="宋体" w:cs="宋体" w:eastAsia="宋体" w:hint="default"/>
          <w:b/>
          <w:bCs/>
          <w:sz w:val="28"/>
          <w:szCs w:val="28"/>
        </w:rPr>
        <w:t>会、监事会对相关事项亦有详细说明，请投资者注意阅读。</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spacing w:val="3"/>
          <w:sz w:val="28"/>
          <w:szCs w:val="28"/>
        </w:rPr>
      </w:r>
    </w:p>
    <w:p>
      <w:pPr>
        <w:spacing w:line="410" w:lineRule="auto" w:before="0"/>
        <w:ind w:left="11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75" w:lineRule="auto" w:before="158"/>
        <w:ind w:left="676" w:right="2742" w:firstLine="0"/>
        <w:jc w:val="left"/>
        <w:rPr>
          <w:rFonts w:ascii="宋体" w:hAnsi="宋体" w:cs="宋体" w:eastAsia="宋体" w:hint="default"/>
          <w:sz w:val="28"/>
          <w:szCs w:val="28"/>
        </w:rPr>
      </w:pPr>
      <w:r>
        <w:rPr>
          <w:rFonts w:ascii="宋体" w:hAnsi="宋体" w:cs="宋体" w:eastAsia="宋体" w:hint="default"/>
          <w:b/>
          <w:bCs/>
          <w:sz w:val="28"/>
          <w:szCs w:val="28"/>
        </w:rPr>
        <w:t>无</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公司计划不派发现金红利，不送红股，不以公积金转增股本。</w:t>
      </w:r>
      <w:r>
        <w:rPr>
          <w:rFonts w:ascii="宋体" w:hAnsi="宋体" w:cs="宋体" w:eastAsia="宋体" w:hint="default"/>
          <w:sz w:val="28"/>
          <w:szCs w:val="28"/>
        </w:rPr>
      </w:r>
    </w:p>
    <w:p>
      <w:pPr>
        <w:spacing w:after="0" w:line="475" w:lineRule="auto"/>
        <w:jc w:val="left"/>
        <w:rPr>
          <w:rFonts w:ascii="宋体" w:hAnsi="宋体" w:cs="宋体" w:eastAsia="宋体" w:hint="default"/>
          <w:sz w:val="28"/>
          <w:szCs w:val="28"/>
        </w:rPr>
        <w:sectPr>
          <w:footerReference w:type="default" r:id="rId7"/>
          <w:pgSz w:w="11910" w:h="16840"/>
          <w:pgMar w:footer="1019" w:header="786" w:top="110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238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5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53"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14</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46</w:t>
            </w:r>
          </w:hyperlink>
        </w:p>
        <w:p>
          <w:pPr>
            <w:pStyle w:val="TOC1"/>
            <w:tabs>
              <w:tab w:pos="9753"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89</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96</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97</w:t>
            </w:r>
          </w:hyperlink>
        </w:p>
        <w:p>
          <w:pPr>
            <w:pStyle w:val="TOC1"/>
            <w:tabs>
              <w:tab w:pos="9753"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104</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3"/>
              </w:rPr>
              <w:t>110</w:t>
            </w:r>
          </w:hyperlink>
        </w:p>
        <w:p>
          <w:pPr>
            <w:pStyle w:val="TOC1"/>
            <w:tabs>
              <w:tab w:pos="9745"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r>
            <w:r>
              <w:rPr>
                <w:rFonts w:ascii="Times New Roman" w:hAnsi="Times New Roman" w:cs="Times New Roman" w:eastAsia="Times New Roman" w:hint="default"/>
                <w:spacing w:val="-8"/>
              </w:rPr>
              <w:t>111</w:t>
            </w:r>
            <w:r>
              <w:rPr>
                <w:rFonts w:ascii="Times New Roman" w:hAnsi="Times New Roman" w:cs="Times New Roman" w:eastAsia="Times New Roman" w:hint="default"/>
              </w:rPr>
            </w:r>
          </w:hyperlink>
        </w:p>
        <w:p>
          <w:pPr>
            <w:pStyle w:val="TOC1"/>
            <w:tabs>
              <w:tab w:pos="9753"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245</w:t>
            </w:r>
          </w:hyperlink>
        </w:p>
        <w:p>
          <w:pPr/>
          <w:r>
            <w:fldChar w:fldCharType="end"/>
          </w:r>
        </w:p>
      </w:sdtContent>
    </w:sdt>
    <w:p>
      <w:pPr>
        <w:spacing w:after="0"/>
        <w:sectPr>
          <w:pgSz w:w="11910" w:h="16840"/>
          <w:pgMar w:header="786" w:footer="1019" w:top="1100" w:bottom="1200" w:left="102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27"/>
          <w:szCs w:val="27"/>
        </w:rPr>
      </w:pPr>
    </w:p>
    <w:p>
      <w:pPr>
        <w:spacing w:before="0"/>
        <w:ind w:left="238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公司、本公司或文化长城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广发证券、保荐机构、财务顾问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联汛教育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智游臻龙、智游教育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新余智趣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新余智趣资产管理合伙企业（有限合伙）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商融投资、广州商融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广州商融投资咨询有限公司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潮民投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潮州民营投资股份有限公司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翡翠教育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昊育信息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上海昊育信息技术有限公司</w:t>
            </w:r>
          </w:p>
        </w:tc>
      </w:tr>
    </w:tbl>
    <w:p>
      <w:pPr>
        <w:spacing w:after="0" w:line="240" w:lineRule="auto"/>
        <w:jc w:val="left"/>
        <w:rPr>
          <w:rFonts w:ascii="宋体" w:hAnsi="宋体" w:cs="宋体" w:eastAsia="宋体" w:hint="default"/>
          <w:sz w:val="18"/>
          <w:szCs w:val="18"/>
        </w:rPr>
        <w:sectPr>
          <w:headerReference w:type="default" r:id="rId8"/>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260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文化长城</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300089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文化长城</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The Great </w:t>
            </w:r>
            <w:r>
              <w:rPr>
                <w:rFonts w:ascii="Times New Roman" w:hAnsi="Times New Roman" w:cs="Times New Roman" w:eastAsia="Times New Roman" w:hint="default"/>
                <w:spacing w:val="-5"/>
                <w:sz w:val="18"/>
                <w:szCs w:val="18"/>
              </w:rPr>
              <w:t>Wall </w:t>
            </w:r>
            <w:r>
              <w:rPr>
                <w:rFonts w:ascii="Times New Roman" w:hAnsi="Times New Roman" w:cs="Times New Roman" w:eastAsia="Times New Roman" w:hint="default"/>
                <w:sz w:val="18"/>
                <w:szCs w:val="18"/>
              </w:rPr>
              <w:t>Of Culture Group Holding 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Guangdong</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5"/>
                <w:sz w:val="18"/>
              </w:rPr>
              <w:t>GREAT WALL</w:t>
            </w:r>
            <w:r>
              <w:rPr>
                <w:rFonts w:ascii="Times New Roman"/>
                <w:spacing w:val="-2"/>
                <w:sz w:val="18"/>
              </w:rPr>
              <w:t> </w:t>
            </w:r>
            <w:r>
              <w:rPr>
                <w:rFonts w:ascii="Times New Roman"/>
                <w:spacing w:val="-3"/>
                <w:sz w:val="18"/>
              </w:rPr>
              <w:t>CULTURE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www.thegreatwall-china.com</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zqb@thegreatwall-china.com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郑舜玲</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0768-2931898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0768-2931898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0768-2931162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0768-2931162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0">
              <w:r>
                <w:rPr>
                  <w:rFonts w:ascii="Times New Roman"/>
                  <w:sz w:val="18"/>
                </w:rPr>
                <w:t>zqb@thegreatwall-china.com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zqb@thegreatwall-china.com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文化长城证券事务部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广州天河区天河北路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号光大银行大厦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bl>
    <w:p>
      <w:pPr>
        <w:pStyle w:val="BodyText"/>
        <w:spacing w:line="240" w:lineRule="auto" w:before="51"/>
        <w:ind w:right="0"/>
        <w:jc w:val="left"/>
      </w:pPr>
      <w:r>
        <w:rPr/>
        <w:t>公司聘请的报告期内履行持续督导职责的保荐机构</w:t>
      </w:r>
    </w:p>
    <w:p>
      <w:pPr>
        <w:pStyle w:val="BodyText"/>
        <w:spacing w:line="357" w:lineRule="auto" w:before="117"/>
        <w:ind w:right="6792"/>
        <w:jc w:val="left"/>
      </w:pPr>
      <w:r>
        <w:rPr/>
        <w:t>□ 适用 √ 不适用 公司聘请的报告期内履行持续督导职责的财务顾问</w:t>
      </w:r>
    </w:p>
    <w:p>
      <w:pPr>
        <w:pStyle w:val="BodyText"/>
        <w:spacing w:line="240" w:lineRule="auto" w:before="29"/>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广州市天河区天河北路</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4301-4316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武鑫、沈杰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7"/>
        <w:ind w:right="0"/>
        <w:jc w:val="left"/>
      </w:pPr>
      <w:r>
        <w:rPr/>
        <w:t>□ 是 √ 否</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1,173,736,794.08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540,117,836.79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452,394,179.59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204,851,349.06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73,461,776.76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136,797,245.91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202,794,930.55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69,848,237.67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41,053,756.69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154,398,878.61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121,821,979.90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152,848,583.06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5.11%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4,422,614,540.22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2,720,247,996.39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2,454,855,734.17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2,394,203,568.21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1,821,129,235.47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1,758,537,458.49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104,290,648.00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296,768,583.13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368,091,656.85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2" w:right="0"/>
              <w:jc w:val="left"/>
              <w:rPr>
                <w:rFonts w:ascii="Times New Roman" w:hAnsi="Times New Roman" w:cs="Times New Roman" w:eastAsia="Times New Roman" w:hint="default"/>
                <w:sz w:val="18"/>
                <w:szCs w:val="18"/>
              </w:rPr>
            </w:pPr>
            <w:r>
              <w:rPr>
                <w:rFonts w:ascii="Times New Roman"/>
                <w:sz w:val="18"/>
              </w:rPr>
              <w:t>404,585,906.10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3"/>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7,688,972.63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41,805,817.05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87,234,798.51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68,121,760.87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7,465,228.34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39,199,696.63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87,623,247.19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68,506,758.39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3"/>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-21,151,334.99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-63,052,114.95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30,182,816.17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208,419,512.38</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1212"/>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652"/>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-270,356.86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-8,631.45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-56,944.86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6,964,527.92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4,132,013.63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4,048,380.00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94,028,483.43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2,212,842.78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68,445.25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-2,840,845.30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-1,893,970.65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-2,035,416.70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165,509.02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825,299.16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828,715.22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309,457.90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1,137,117.11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2,056,418.51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3,613,539.09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95,743,489.22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0"/>
        <w:jc w:val="left"/>
      </w:pPr>
      <w:r>
        <w:rPr/>
        <w:t>□ 适用 √ 不适用</w:t>
      </w:r>
    </w:p>
    <w:p>
      <w:pPr>
        <w:pStyle w:val="BodyText"/>
        <w:spacing w:line="302" w:lineRule="auto" w:before="116"/>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07"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16" w:lineRule="auto" w:before="25"/>
        <w:ind w:right="1131" w:firstLine="180"/>
        <w:jc w:val="both"/>
      </w:pPr>
      <w:r>
        <w:rPr>
          <w:spacing w:val="-2"/>
        </w:rPr>
        <w:t>报告期内，在陶瓷业务方面，公司在发挥全资子公司深圳长城世家商贸有限公司、广州长城世家投资有限公司经营管理的</w:t>
      </w:r>
      <w:r>
        <w:rPr/>
        <w:t> </w:t>
      </w:r>
      <w:r>
        <w:rPr>
          <w:spacing w:val="-2"/>
        </w:rPr>
        <w:t>瓷艺体验馆与长城瓷艺专卖连锁体系的作用的基础上，进一步发挥全资子公司潮州市长城世家瓷业有限公司在陶瓷定制业务</w:t>
      </w:r>
      <w:r>
        <w:rPr>
          <w:spacing w:val="-64"/>
        </w:rPr>
        <w:t> </w:t>
      </w:r>
      <w:r>
        <w:rPr>
          <w:spacing w:val="-64"/>
        </w:rPr>
      </w:r>
      <w:r>
        <w:rPr>
          <w:spacing w:val="-2"/>
        </w:rPr>
        <w:t>上的作用。其中潮州市长城世家瓷业有限公司一方面利用其营销管理团队对酒水行业比较熟悉的特点，深挖酒瓶为代表的包</w:t>
      </w:r>
      <w:r>
        <w:rPr>
          <w:spacing w:val="-64"/>
        </w:rPr>
        <w:t> </w:t>
      </w:r>
      <w:r>
        <w:rPr>
          <w:spacing w:val="-64"/>
        </w:rPr>
      </w:r>
      <w:r>
        <w:rPr>
          <w:spacing w:val="-2"/>
        </w:rPr>
        <w:t>装器皿类业务，按照既定规划积极拓展市场，使得酒瓶合作的酒业企业已经有效增加，增加设计公司与包装材料配套对接的</w:t>
      </w:r>
      <w:r>
        <w:rPr>
          <w:spacing w:val="-66"/>
        </w:rPr>
        <w:t> </w:t>
      </w:r>
      <w:r>
        <w:rPr>
          <w:spacing w:val="-66"/>
        </w:rPr>
      </w:r>
      <w:r>
        <w:rPr>
          <w:spacing w:val="-2"/>
        </w:rPr>
        <w:t>联盟，使得客户对接可以批量化进行；另一方面通过陶瓷领域的珠宝瓷和瓷珠宝创新，在国内陶瓷业跨界创新发展上开启了</w:t>
      </w:r>
      <w:r>
        <w:rPr>
          <w:spacing w:val="-66"/>
        </w:rPr>
        <w:t> </w:t>
      </w:r>
      <w:r>
        <w:rPr>
          <w:spacing w:val="-66"/>
        </w:rPr>
      </w:r>
      <w:r>
        <w:rPr/>
        <w:t>新元年。家瓷和礼瓷的全国通路运作，顺利进入全国多家连锁渠道，使得国内品牌战略得以落地实施。</w:t>
      </w:r>
    </w:p>
    <w:p>
      <w:pPr>
        <w:pStyle w:val="BodyText"/>
        <w:spacing w:line="316" w:lineRule="auto" w:before="19"/>
        <w:ind w:right="1042" w:firstLine="360"/>
        <w:jc w:val="left"/>
      </w:pPr>
      <w:r>
        <w:rPr>
          <w:spacing w:val="-2"/>
        </w:rPr>
        <w:t>报告期内，在教育产业方面，联汛教育以提供智慧教育云一体化解决方案为核心业务，同时也为职业教育实训室提供综</w:t>
      </w:r>
      <w:r>
        <w:rPr/>
        <w:t> 合解决方案，具体体现为教育主管部门或政府相关部门引进联汛教育作为投资企业，免费为政府建设区域型智慧教育项目。 </w:t>
      </w:r>
      <w:r>
        <w:rPr>
          <w:spacing w:val="-2"/>
        </w:rPr>
        <w:t>通过智慧教育云平台为各级教育主管部门提供行政和教育管理服务，为所有中小学提供教学、教务和行政管理服务，为学生</w:t>
      </w:r>
      <w:r>
        <w:rPr>
          <w:spacing w:val="-66"/>
        </w:rPr>
        <w:t> </w:t>
      </w:r>
      <w:r>
        <w:rPr>
          <w:spacing w:val="-66"/>
        </w:rPr>
      </w:r>
      <w:r>
        <w:rPr>
          <w:spacing w:val="-4"/>
        </w:rPr>
        <w:t>家庭提供教育公共服务和提供有偿的企业增值服务，并通过“教育</w:t>
      </w:r>
      <w:r>
        <w:rPr>
          <w:rFonts w:ascii="宋体" w:hAnsi="宋体" w:cs="宋体" w:eastAsia="宋体" w:hint="default"/>
          <w:spacing w:val="-4"/>
        </w:rPr>
        <w:t>+</w:t>
      </w:r>
      <w:r>
        <w:rPr>
          <w:spacing w:val="-4"/>
        </w:rPr>
        <w:t>生态”打造本区域“教育生态圈”，从服务教育自身拓展</w:t>
      </w:r>
      <w:r>
        <w:rPr>
          <w:spacing w:val="-44"/>
        </w:rPr>
        <w:t> </w:t>
      </w:r>
      <w:r>
        <w:rPr>
          <w:spacing w:val="-44"/>
        </w:rPr>
      </w:r>
      <w:r>
        <w:rPr>
          <w:spacing w:val="-2"/>
        </w:rPr>
        <w:t>到服务于全社会。同时通过装备采购设计、课改、竞赛、职业技能鉴定、实训和就业等多个维度为技工职业院校的技能实训</w:t>
      </w:r>
      <w:r>
        <w:rPr>
          <w:spacing w:val="-66"/>
        </w:rPr>
        <w:t> </w:t>
      </w:r>
      <w:r>
        <w:rPr>
          <w:spacing w:val="-66"/>
        </w:rPr>
      </w:r>
      <w:r>
        <w:rPr>
          <w:spacing w:val="-2"/>
        </w:rPr>
        <w:t>室提供一体化解决方案，其中技能实训室装备类设备通过招投标的形式为技工职业院校提供系统集成服务。智游臻龙主营业</w:t>
      </w:r>
      <w:r>
        <w:rPr>
          <w:spacing w:val="-64"/>
        </w:rPr>
        <w:t> </w:t>
      </w:r>
      <w:r>
        <w:rPr>
          <w:spacing w:val="-64"/>
        </w:rPr>
      </w:r>
      <w:r>
        <w:rPr/>
        <w:t>务是软件培训、软件开发及销售，培训业务主要针对应往届大专、本科毕业生进行岗前实训，通过</w:t>
      </w:r>
      <w:r>
        <w:rPr>
          <w:rFonts w:ascii="宋体" w:hAnsi="宋体" w:cs="宋体" w:eastAsia="宋体" w:hint="default"/>
        </w:rPr>
        <w:t>4-5</w:t>
      </w:r>
      <w:r>
        <w:rPr/>
        <w:t>个月左右的强化技术 </w:t>
      </w:r>
      <w:r>
        <w:rPr>
          <w:spacing w:val="-2"/>
        </w:rPr>
        <w:t>训练达到符合企业高端技术用人标准，实现高薪就业；软件开发主要是自主研发和软件外包；销售业务主要是跟合作院校建</w:t>
      </w:r>
      <w:r>
        <w:rPr>
          <w:spacing w:val="-66"/>
        </w:rPr>
        <w:t> </w:t>
      </w:r>
      <w:r>
        <w:rPr>
          <w:spacing w:val="-66"/>
        </w:rPr>
      </w:r>
      <w:r>
        <w:rPr>
          <w:spacing w:val="-2"/>
        </w:rPr>
        <w:t>立实验室，通过买入软硬件再卖出的方式。翡翠教育是一家以实战型</w:t>
      </w:r>
      <w:r>
        <w:rPr>
          <w:rFonts w:ascii="宋体" w:hAnsi="宋体" w:cs="宋体" w:eastAsia="宋体" w:hint="default"/>
          <w:spacing w:val="-2"/>
        </w:rPr>
        <w:t>IT</w:t>
      </w:r>
      <w:r>
        <w:rPr>
          <w:spacing w:val="-2"/>
        </w:rPr>
        <w:t>人才培训为核心的集团化教育机构。通过自主</w:t>
      </w:r>
      <w:r>
        <w:rPr>
          <w:rFonts w:ascii="宋体" w:hAnsi="宋体" w:cs="宋体" w:eastAsia="宋体" w:hint="default"/>
          <w:spacing w:val="-2"/>
        </w:rPr>
        <w:t>IT</w:t>
      </w:r>
      <w:r>
        <w:rPr>
          <w:spacing w:val="-2"/>
        </w:rPr>
        <w:t>课程</w:t>
      </w:r>
      <w:r>
        <w:rPr>
          <w:spacing w:val="-62"/>
        </w:rPr>
        <w:t> </w:t>
      </w:r>
      <w:r>
        <w:rPr>
          <w:spacing w:val="-2"/>
        </w:rPr>
        <w:t>开发，翡翠教育专注于移动互联网及数字游戏动漫等领域的</w:t>
      </w:r>
      <w:r>
        <w:rPr>
          <w:rFonts w:ascii="宋体" w:hAnsi="宋体" w:cs="宋体" w:eastAsia="宋体" w:hint="default"/>
          <w:spacing w:val="-2"/>
        </w:rPr>
        <w:t>IT</w:t>
      </w:r>
      <w:r>
        <w:rPr>
          <w:spacing w:val="-2"/>
        </w:rPr>
        <w:t>职业教育培训，专业内容包括移动互联网、艺术设计、程序开</w:t>
      </w:r>
      <w:r>
        <w:rPr>
          <w:spacing w:val="-64"/>
        </w:rPr>
        <w:t> </w:t>
      </w:r>
      <w:r>
        <w:rPr>
          <w:spacing w:val="-64"/>
        </w:rPr>
      </w:r>
      <w:r>
        <w:rPr>
          <w:spacing w:val="-2"/>
        </w:rPr>
        <w:t>发、影视动漫、数字娱乐、营销与运营等六大板块，下设前端开发、</w:t>
      </w:r>
      <w:r>
        <w:rPr>
          <w:rFonts w:ascii="宋体" w:hAnsi="宋体" w:cs="宋体" w:eastAsia="宋体" w:hint="default"/>
          <w:spacing w:val="-2"/>
        </w:rPr>
        <w:t>JAVA</w:t>
      </w:r>
      <w:r>
        <w:rPr>
          <w:spacing w:val="-2"/>
        </w:rPr>
        <w:t>大数据、影视特效设计、游戏特效设计、网络创业</w:t>
      </w:r>
      <w:r>
        <w:rPr>
          <w:spacing w:val="-63"/>
        </w:rPr>
        <w:t> </w:t>
      </w:r>
      <w:r>
        <w:rPr>
          <w:spacing w:val="-63"/>
        </w:rPr>
      </w:r>
      <w:r>
        <w:rPr>
          <w:spacing w:val="-4"/>
        </w:rPr>
        <w:t>与营销等学科。翡翠教育通过各课程实操指导结合基础知识讲解的模式进行</w:t>
      </w:r>
      <w:r>
        <w:rPr>
          <w:rFonts w:ascii="宋体" w:hAnsi="宋体" w:cs="宋体" w:eastAsia="宋体" w:hint="default"/>
          <w:spacing w:val="-4"/>
        </w:rPr>
        <w:t>IT</w:t>
      </w:r>
      <w:r>
        <w:rPr>
          <w:spacing w:val="-4"/>
        </w:rPr>
        <w:t>课程培训。翡翠教育培训网点覆盖北京、广州、</w:t>
      </w:r>
      <w:r>
        <w:rPr>
          <w:spacing w:val="-40"/>
        </w:rPr>
        <w:t> </w:t>
      </w:r>
      <w:r>
        <w:rPr>
          <w:spacing w:val="-40"/>
        </w:rPr>
      </w:r>
      <w:r>
        <w:rPr>
          <w:spacing w:val="-2"/>
        </w:rPr>
        <w:t>深圳、上海、西安等全国多个城市。翡翠教育与多家</w:t>
      </w:r>
      <w:r>
        <w:rPr>
          <w:rFonts w:ascii="宋体" w:hAnsi="宋体" w:cs="宋体" w:eastAsia="宋体" w:hint="default"/>
          <w:spacing w:val="-2"/>
        </w:rPr>
        <w:t>IT</w:t>
      </w:r>
      <w:r>
        <w:rPr>
          <w:spacing w:val="-2"/>
        </w:rPr>
        <w:t>企业保持合作关系，在学员培训完成后，翡翠教育将根据学员的情况</w:t>
      </w:r>
      <w:r>
        <w:rPr>
          <w:spacing w:val="-64"/>
        </w:rPr>
        <w:t> </w:t>
      </w:r>
      <w:r>
        <w:rPr>
          <w:spacing w:val="-64"/>
        </w:rPr>
      </w:r>
      <w:r>
        <w:rPr>
          <w:spacing w:val="-2"/>
        </w:rPr>
        <w:t>进行就业辅导，并免费提供就业推荐服务。此外，翡翠教育控股子公司昊育信息从事校园信息化服务业务，主要为中小学及</w:t>
      </w:r>
      <w:r>
        <w:rPr>
          <w:spacing w:val="-66"/>
        </w:rPr>
        <w:t> </w:t>
      </w:r>
      <w:r>
        <w:rPr>
          <w:spacing w:val="-66"/>
        </w:rPr>
      </w:r>
      <w:r>
        <w:rPr>
          <w:spacing w:val="-2"/>
        </w:rPr>
        <w:t>职业院校提供教育信息化整体解决方案，包括教育云基础建设、智慧课堂等产品的设计、开发及实施。同时，昊育信息结合</w:t>
      </w:r>
      <w:r>
        <w:rPr>
          <w:spacing w:val="-66"/>
        </w:rPr>
        <w:t> </w:t>
      </w:r>
      <w:r>
        <w:rPr>
          <w:spacing w:val="-66"/>
        </w:rPr>
      </w:r>
      <w:r>
        <w:rPr/>
        <w:t>自身在职业教育领域的经验积累，为中小学及职业院校提供拓展型、研（探）究型的创新教育应用及配套服务。</w:t>
      </w:r>
    </w:p>
    <w:p>
      <w:pPr>
        <w:pStyle w:val="BodyText"/>
        <w:spacing w:line="316" w:lineRule="auto" w:before="59"/>
        <w:ind w:right="1129" w:firstLine="360"/>
        <w:jc w:val="both"/>
      </w:pPr>
      <w:r>
        <w:rPr>
          <w:spacing w:val="-2"/>
        </w:rPr>
        <w:t>在寻求外延式增长方面，公司通过进行对教育相关领域的实质性探索，结合自身文化建设，公司明确了涉足教育相关领</w:t>
      </w:r>
      <w:r>
        <w:rPr/>
        <w:t> </w:t>
      </w:r>
      <w:r>
        <w:rPr>
          <w:spacing w:val="-2"/>
        </w:rPr>
        <w:t>域的发展目标，实现由单一的艺术陶瓷业务向艺术陶瓷与教育产业并存的战略规划。报告期内，公司以发行股份及支付现金</w:t>
      </w:r>
      <w:r>
        <w:rPr>
          <w:spacing w:val="-66"/>
        </w:rPr>
        <w:t> </w:t>
      </w:r>
      <w:r>
        <w:rPr>
          <w:spacing w:val="-66"/>
        </w:rPr>
      </w:r>
      <w:r>
        <w:rPr/>
        <w:t>方式购买翡翠教育</w:t>
      </w:r>
      <w:r>
        <w:rPr>
          <w:rFonts w:ascii="宋体" w:hAnsi="宋体" w:cs="宋体" w:eastAsia="宋体" w:hint="default"/>
        </w:rPr>
        <w:t>100%</w:t>
      </w:r>
      <w:r>
        <w:rPr/>
        <w:t>股权事项处于实施阶段，双方已完成翡翠教育</w:t>
      </w:r>
      <w:r>
        <w:rPr>
          <w:rFonts w:ascii="宋体" w:hAnsi="宋体" w:cs="宋体" w:eastAsia="宋体" w:hint="default"/>
        </w:rPr>
        <w:t>100%</w:t>
      </w:r>
      <w:r>
        <w:rPr/>
        <w:t>股权过户事宜，</w:t>
      </w:r>
      <w:r>
        <w:rPr>
          <w:rFonts w:ascii="宋体" w:hAnsi="宋体" w:cs="宋体" w:eastAsia="宋体" w:hint="default"/>
        </w:rPr>
        <w:t>2018</w:t>
      </w:r>
      <w:r>
        <w:rPr/>
        <w:t>年</w:t>
      </w:r>
      <w:r>
        <w:rPr>
          <w:rFonts w:ascii="宋体" w:hAnsi="宋体" w:cs="宋体" w:eastAsia="宋体" w:hint="default"/>
        </w:rPr>
        <w:t>4</w:t>
      </w:r>
      <w:r>
        <w:rPr/>
        <w:t>月份翡翠教育财务报表全</w:t>
      </w:r>
      <w:r>
        <w:rPr>
          <w:spacing w:val="-83"/>
        </w:rPr>
        <w:t> </w:t>
      </w:r>
      <w:r>
        <w:rPr>
          <w:spacing w:val="-83"/>
        </w:rPr>
      </w:r>
      <w:r>
        <w:rPr>
          <w:spacing w:val="-2"/>
        </w:rPr>
        <w:t>部并入文化长城。公司于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日召开第四届董事会第八次会议、</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16</w:t>
      </w:r>
      <w:r>
        <w:rPr>
          <w:spacing w:val="-2"/>
        </w:rPr>
        <w:t>日召开公司</w:t>
      </w:r>
      <w:r>
        <w:rPr>
          <w:rFonts w:ascii="宋体" w:hAnsi="宋体" w:cs="宋体" w:eastAsia="宋体" w:hint="default"/>
          <w:spacing w:val="-2"/>
        </w:rPr>
        <w:t>2018</w:t>
      </w:r>
      <w:r>
        <w:rPr>
          <w:spacing w:val="-2"/>
        </w:rPr>
        <w:t>年第二次临时股东大会</w:t>
      </w:r>
      <w:r>
        <w:rPr>
          <w:spacing w:val="-46"/>
        </w:rPr>
        <w:t> </w:t>
      </w:r>
      <w:r>
        <w:rPr>
          <w:spacing w:val="-2"/>
        </w:rPr>
        <w:t>审议通过了《关于公司对外投资暨参与认购广东粤科文化长城文化产业并购投资中心（有限合伙）基金份额的议案》，同意</w:t>
      </w:r>
      <w:r>
        <w:rPr>
          <w:spacing w:val="-66"/>
        </w:rPr>
        <w:t> </w:t>
      </w:r>
      <w:r>
        <w:rPr>
          <w:spacing w:val="-66"/>
        </w:rPr>
      </w:r>
      <w:r>
        <w:rPr>
          <w:spacing w:val="-2"/>
        </w:rPr>
        <w:t>公司参与认购由广东省粤科母基金投资管理有限公司作为管理人，由横琴粤科母基金投资管理中心（有限合伙）作为普通合</w:t>
      </w:r>
      <w:r>
        <w:rPr>
          <w:spacing w:val="-66"/>
        </w:rPr>
        <w:t> </w:t>
      </w:r>
      <w:r>
        <w:rPr>
          <w:spacing w:val="-66"/>
        </w:rPr>
      </w:r>
      <w:r>
        <w:rPr>
          <w:spacing w:val="-5"/>
        </w:rPr>
        <w:t>伙人（执行事务合伙人），发起设立的广东粤科文化长城文化产业并购投资中心（有限合伙）（以下简称为“投资基金”）的</w:t>
      </w:r>
      <w:r>
        <w:rPr>
          <w:spacing w:val="-78"/>
        </w:rPr>
        <w:t> </w:t>
      </w:r>
      <w:r>
        <w:rPr>
          <w:spacing w:val="-78"/>
        </w:rPr>
      </w:r>
      <w:r>
        <w:rPr>
          <w:spacing w:val="-2"/>
        </w:rPr>
        <w:t>出资份额。投资基金规模为人民币</w:t>
      </w:r>
      <w:r>
        <w:rPr>
          <w:rFonts w:ascii="宋体" w:hAnsi="宋体" w:cs="宋体" w:eastAsia="宋体" w:hint="default"/>
          <w:spacing w:val="-2"/>
        </w:rPr>
        <w:t>50,100</w:t>
      </w:r>
      <w:r>
        <w:rPr>
          <w:spacing w:val="-2"/>
        </w:rPr>
        <w:t>万元，其中文化长城拟以自有资金出资人民币</w:t>
      </w:r>
      <w:r>
        <w:rPr>
          <w:rFonts w:ascii="宋体" w:hAnsi="宋体" w:cs="宋体" w:eastAsia="宋体" w:hint="default"/>
          <w:spacing w:val="-2"/>
        </w:rPr>
        <w:t>20,000</w:t>
      </w:r>
      <w:r>
        <w:rPr>
          <w:spacing w:val="-2"/>
        </w:rPr>
        <w:t>万元，作为投资基金的有限合</w:t>
      </w:r>
      <w:r>
        <w:rPr>
          <w:spacing w:val="-54"/>
        </w:rPr>
        <w:t> </w:t>
      </w:r>
      <w:r>
        <w:rPr>
          <w:spacing w:val="-54"/>
        </w:rPr>
      </w:r>
      <w:r>
        <w:rPr>
          <w:spacing w:val="-2"/>
        </w:rPr>
        <w:t>伙人。其他有限合伙人包括广东省粤科江门创新创业投资母基金有限公司及广东省粤科海格集成电路发展母基金投资中心合</w:t>
      </w:r>
      <w:r>
        <w:rPr>
          <w:spacing w:val="-64"/>
        </w:rPr>
        <w:t> </w:t>
      </w:r>
      <w:r>
        <w:rPr>
          <w:spacing w:val="-64"/>
        </w:rPr>
      </w:r>
      <w:r>
        <w:rPr>
          <w:spacing w:val="-2"/>
        </w:rPr>
        <w:t>伙企业（有限合伙）。投资基金主要围绕文化、新媒体产业、媒体融合发展、职业教育等产业领域进行股权投资。本次投资</w:t>
      </w:r>
      <w:r>
        <w:rPr>
          <w:spacing w:val="-65"/>
        </w:rPr>
        <w:t> </w:t>
      </w:r>
      <w:r>
        <w:rPr>
          <w:spacing w:val="-65"/>
        </w:rPr>
      </w:r>
      <w:r>
        <w:rPr>
          <w:spacing w:val="-2"/>
        </w:rPr>
        <w:t>有利于进一步推进公司在教育产业板块的战略布局，扩大公司在教育产业的影响力，有利于持续增强公司布局教育产业的综</w:t>
      </w:r>
      <w:r>
        <w:rPr>
          <w:spacing w:val="-64"/>
        </w:rPr>
        <w:t> </w:t>
      </w:r>
      <w:r>
        <w:rPr>
          <w:spacing w:val="-64"/>
        </w:rPr>
      </w:r>
      <w:r>
        <w:rPr/>
        <w:t>合竞争实力。</w:t>
      </w:r>
    </w:p>
    <w:p>
      <w:pPr>
        <w:spacing w:after="0" w:line="316" w:lineRule="auto"/>
        <w:jc w:val="both"/>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tabs>
                <w:tab w:pos="5142" w:val="left" w:leader="none"/>
              </w:tabs>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本期增加房屋建筑物 </w:t>
            </w:r>
            <w:r>
              <w:rPr>
                <w:rFonts w:ascii="Times New Roman" w:hAnsi="Times New Roman" w:cs="Times New Roman" w:eastAsia="Times New Roman" w:hint="default"/>
                <w:sz w:val="18"/>
                <w:szCs w:val="18"/>
              </w:rPr>
              <w:t>75,150,605.00 </w:t>
            </w:r>
            <w:r>
              <w:rPr>
                <w:rFonts w:ascii="宋体" w:hAnsi="宋体" w:cs="宋体" w:eastAsia="宋体" w:hint="default"/>
                <w:sz w:val="18"/>
                <w:szCs w:val="18"/>
              </w:rPr>
              <w:t>机器设备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16,341,022.72</w:t>
              <w:tab/>
            </w:r>
            <w:r>
              <w:rPr>
                <w:rFonts w:ascii="宋体" w:hAnsi="宋体" w:cs="宋体" w:eastAsia="宋体" w:hint="default"/>
                <w:sz w:val="18"/>
                <w:szCs w:val="18"/>
              </w:rPr>
              <w:t>运输工具</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685,342.87  </w:t>
            </w:r>
            <w:r>
              <w:rPr>
                <w:rFonts w:ascii="宋体" w:hAnsi="宋体" w:cs="宋体" w:eastAsia="宋体" w:hint="default"/>
                <w:sz w:val="18"/>
                <w:szCs w:val="18"/>
              </w:rPr>
              <w:t>办公设备 </w:t>
            </w:r>
            <w:r>
              <w:rPr>
                <w:rFonts w:ascii="Times New Roman" w:hAnsi="Times New Roman" w:cs="Times New Roman" w:eastAsia="Times New Roman" w:hint="default"/>
                <w:sz w:val="18"/>
                <w:szCs w:val="18"/>
              </w:rPr>
              <w:t>2,642,692.22  </w:t>
            </w:r>
            <w:r>
              <w:rPr>
                <w:rFonts w:ascii="宋体" w:hAnsi="宋体" w:cs="宋体" w:eastAsia="宋体" w:hint="default"/>
                <w:sz w:val="18"/>
                <w:szCs w:val="18"/>
              </w:rPr>
              <w:t>合计增加</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94,819,662.81</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本期减少土地使用权</w:t>
            </w:r>
            <w:r>
              <w:rPr>
                <w:rFonts w:ascii="Times New Roman" w:hAnsi="Times New Roman" w:cs="Times New Roman" w:eastAsia="Times New Roman" w:hint="default"/>
                <w:sz w:val="18"/>
                <w:szCs w:val="18"/>
              </w:rPr>
              <w:t>-6017293.8  </w:t>
            </w:r>
            <w:r>
              <w:rPr>
                <w:rFonts w:ascii="宋体" w:hAnsi="宋体" w:cs="宋体" w:eastAsia="宋体" w:hint="default"/>
                <w:sz w:val="18"/>
                <w:szCs w:val="18"/>
              </w:rPr>
              <w:t>增加应用软件 </w:t>
            </w:r>
            <w:r>
              <w:rPr>
                <w:rFonts w:ascii="Times New Roman" w:hAnsi="Times New Roman" w:cs="Times New Roman" w:eastAsia="Times New Roman" w:hint="default"/>
                <w:sz w:val="18"/>
                <w:szCs w:val="18"/>
              </w:rPr>
              <w:t>207,399,462.43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减少商标权</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-54596.99 </w:t>
            </w:r>
            <w:r>
              <w:rPr>
                <w:rFonts w:ascii="宋体" w:hAnsi="宋体" w:cs="宋体" w:eastAsia="宋体" w:hint="default"/>
                <w:sz w:val="18"/>
                <w:szCs w:val="18"/>
              </w:rPr>
              <w:t>合计增加</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201,300,557.31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19" w:lineRule="auto" w:before="25"/>
        <w:ind w:right="1133" w:firstLine="360"/>
        <w:jc w:val="both"/>
      </w:pPr>
      <w:r>
        <w:rPr>
          <w:spacing w:val="-2"/>
        </w:rPr>
        <w:t>一、公司在传承陶瓷文化的基础上，以“绿色环保，科技创新，文化创意”为理念，通过文化创意提高产品附加值，通</w:t>
      </w:r>
      <w:r>
        <w:rPr/>
        <w:t> </w:t>
      </w:r>
      <w:r>
        <w:rPr>
          <w:spacing w:val="-2"/>
        </w:rPr>
        <w:t>过科技创新提高产品品质、降低生产成本，在创意设计、自主品牌、营销渠道、资源整合等方面逐步形成了强有力的竞争优</w:t>
      </w:r>
      <w:r>
        <w:rPr>
          <w:spacing w:val="-66"/>
        </w:rPr>
        <w:t> </w:t>
      </w:r>
      <w:r>
        <w:rPr>
          <w:spacing w:val="-66"/>
        </w:rPr>
      </w:r>
      <w:r>
        <w:rPr/>
        <w:t>势，具体如下所述：</w:t>
      </w:r>
    </w:p>
    <w:p>
      <w:pPr>
        <w:pStyle w:val="BodyText"/>
        <w:spacing w:line="316" w:lineRule="auto" w:before="17"/>
        <w:ind w:left="474" w:right="0"/>
        <w:jc w:val="left"/>
      </w:pPr>
      <w:r>
        <w:rPr/>
        <w:t>（一）创意设计优势 </w:t>
      </w:r>
      <w:r>
        <w:rPr>
          <w:spacing w:val="-2"/>
        </w:rPr>
        <w:t>公司在传承陶瓷文化的基础上，以“绿色环保，科技创新，文化创意”为理念，在艺术陶瓷创意设计方面逐步形成了独</w:t>
      </w:r>
    </w:p>
    <w:p>
      <w:pPr>
        <w:pStyle w:val="BodyText"/>
        <w:spacing w:line="316" w:lineRule="auto" w:before="19"/>
        <w:ind w:left="474" w:right="1212" w:hanging="360"/>
        <w:jc w:val="left"/>
      </w:pPr>
      <w:r>
        <w:rPr/>
        <w:t>特的竞争优势，具体表现如下： </w:t>
      </w:r>
      <w:r>
        <w:rPr>
          <w:rFonts w:ascii="宋体" w:hAnsi="宋体" w:cs="宋体" w:eastAsia="宋体" w:hint="default"/>
        </w:rPr>
        <w:t>1</w:t>
      </w:r>
      <w:r>
        <w:rPr/>
        <w:t>、公司拥有面积约</w:t>
      </w:r>
      <w:r>
        <w:rPr>
          <w:rFonts w:ascii="宋体" w:hAnsi="宋体" w:cs="宋体" w:eastAsia="宋体" w:hint="default"/>
        </w:rPr>
        <w:t>10,000</w:t>
      </w:r>
      <w:r>
        <w:rPr/>
        <w:t>多平方米的艺术陶瓷展厅和</w:t>
      </w:r>
      <w:r>
        <w:rPr>
          <w:rFonts w:ascii="宋体" w:hAnsi="宋体" w:cs="宋体" w:eastAsia="宋体" w:hint="default"/>
        </w:rPr>
        <w:t>1,500</w:t>
      </w:r>
      <w:r>
        <w:rPr/>
        <w:t>多平方米的创意产品设计中心，艺术陶瓷种类已累积超过</w:t>
      </w:r>
    </w:p>
    <w:p>
      <w:pPr>
        <w:pStyle w:val="BodyText"/>
        <w:spacing w:line="316" w:lineRule="auto" w:before="19"/>
        <w:ind w:right="0"/>
        <w:jc w:val="left"/>
      </w:pPr>
      <w:r>
        <w:rPr>
          <w:rFonts w:ascii="宋体" w:hAnsi="宋体" w:cs="宋体" w:eastAsia="宋体" w:hint="default"/>
          <w:spacing w:val="-2"/>
        </w:rPr>
        <w:t>70,000</w:t>
      </w:r>
      <w:r>
        <w:rPr>
          <w:spacing w:val="-2"/>
        </w:rPr>
        <w:t>件，其中包含了</w:t>
      </w:r>
      <w:r>
        <w:rPr>
          <w:rFonts w:ascii="宋体" w:hAnsi="宋体" w:cs="宋体" w:eastAsia="宋体" w:hint="default"/>
          <w:spacing w:val="-2"/>
        </w:rPr>
        <w:t>68</w:t>
      </w:r>
      <w:r>
        <w:rPr>
          <w:spacing w:val="-2"/>
        </w:rPr>
        <w:t>个国家和地区的设计风格与文化理念，公司将其按属性和地区分类后加以信息化管理，形成业内领</w:t>
      </w:r>
      <w:r>
        <w:rPr>
          <w:spacing w:val="-59"/>
        </w:rPr>
        <w:t> </w:t>
      </w:r>
      <w:r>
        <w:rPr>
          <w:spacing w:val="-59"/>
        </w:rPr>
      </w:r>
      <w:r>
        <w:rPr>
          <w:spacing w:val="-2"/>
        </w:rPr>
        <w:t>先的“创意研发数据库”，通过该数据库可以极大提升公司快速设计能力、大幅缩短公司产品的设计周期。</w:t>
      </w:r>
    </w:p>
    <w:p>
      <w:pPr>
        <w:pStyle w:val="BodyText"/>
        <w:spacing w:line="316" w:lineRule="auto" w:before="19"/>
        <w:ind w:right="1042" w:firstLine="360"/>
        <w:jc w:val="both"/>
      </w:pPr>
      <w:r>
        <w:rPr>
          <w:rFonts w:ascii="宋体" w:hAnsi="宋体" w:cs="宋体" w:eastAsia="宋体" w:hint="default"/>
          <w:spacing w:val="-4"/>
        </w:rPr>
        <w:t>2</w:t>
      </w:r>
      <w:r>
        <w:rPr>
          <w:spacing w:val="-4"/>
        </w:rPr>
        <w:t>、公司自主研发的</w:t>
      </w:r>
      <w:r>
        <w:rPr>
          <w:spacing w:val="-10"/>
        </w:rPr>
        <w:t> </w:t>
      </w:r>
      <w:r>
        <w:rPr>
          <w:spacing w:val="-3"/>
        </w:rPr>
        <w:t>“宫廷式特种工艺陶瓷系列产品”和“镶嵌式抗菌陶瓷编织工艺制品”等产品在国内处于领先地位，</w:t>
      </w:r>
      <w:r>
        <w:rPr/>
        <w:t> 并获得广东省“优秀新产品”和“重点新产品”等称号。</w:t>
      </w:r>
    </w:p>
    <w:p>
      <w:pPr>
        <w:pStyle w:val="BodyText"/>
        <w:spacing w:line="316" w:lineRule="auto" w:before="19"/>
        <w:ind w:left="474" w:right="0"/>
        <w:jc w:val="left"/>
      </w:pPr>
      <w:r>
        <w:rPr/>
        <w:t>（二）营销渠道和自主品牌优势 </w:t>
      </w:r>
      <w:r>
        <w:rPr>
          <w:spacing w:val="-2"/>
        </w:rPr>
        <w:t>公司致力于创建民族艺术陶瓷领军品牌，并不断加强营销渠道的建设，在自主品牌和营销渠道方面具备明显优势，其具</w:t>
      </w:r>
    </w:p>
    <w:p>
      <w:pPr>
        <w:pStyle w:val="BodyText"/>
        <w:spacing w:line="240" w:lineRule="auto" w:before="19"/>
        <w:ind w:right="0"/>
        <w:jc w:val="left"/>
      </w:pPr>
      <w:r>
        <w:rPr/>
        <w:t>体表现如下：</w:t>
      </w:r>
    </w:p>
    <w:p>
      <w:pPr>
        <w:pStyle w:val="BodyText"/>
        <w:spacing w:line="316" w:lineRule="auto" w:before="76"/>
        <w:ind w:right="1139" w:firstLine="360"/>
        <w:jc w:val="both"/>
      </w:pPr>
      <w:r>
        <w:rPr>
          <w:rFonts w:ascii="宋体" w:hAnsi="宋体" w:cs="宋体" w:eastAsia="宋体" w:hint="default"/>
        </w:rPr>
        <w:t>1</w:t>
      </w:r>
      <w:r>
        <w:rPr/>
        <w:t>、经过多年积累，公司已拥有覆盖</w:t>
      </w:r>
      <w:r>
        <w:rPr>
          <w:rFonts w:ascii="宋体" w:hAnsi="宋体" w:cs="宋体" w:eastAsia="宋体" w:hint="default"/>
        </w:rPr>
        <w:t>68</w:t>
      </w:r>
      <w:r>
        <w:rPr/>
        <w:t>个国家和地区的</w:t>
      </w:r>
      <w:r>
        <w:rPr>
          <w:rFonts w:ascii="宋体" w:hAnsi="宋体" w:cs="宋体" w:eastAsia="宋体" w:hint="default"/>
        </w:rPr>
        <w:t>400</w:t>
      </w:r>
      <w:r>
        <w:rPr/>
        <w:t>多个客户，其中业务来往较频繁的客户达</w:t>
      </w:r>
      <w:r>
        <w:rPr>
          <w:rFonts w:ascii="宋体" w:hAnsi="宋体" w:cs="宋体" w:eastAsia="宋体" w:hint="default"/>
        </w:rPr>
        <w:t>120</w:t>
      </w:r>
      <w:r>
        <w:rPr/>
        <w:t>多个，并与国外 多个知名经销商建立了长期稳定的供销合作关系。</w:t>
      </w:r>
    </w:p>
    <w:p>
      <w:pPr>
        <w:pStyle w:val="BodyText"/>
        <w:spacing w:line="316" w:lineRule="auto" w:before="19"/>
        <w:ind w:right="1139" w:firstLine="360"/>
        <w:jc w:val="both"/>
      </w:pPr>
      <w:r>
        <w:rPr>
          <w:rFonts w:ascii="宋体" w:hAnsi="宋体" w:cs="宋体" w:eastAsia="宋体" w:hint="default"/>
        </w:rPr>
        <w:t>2</w:t>
      </w:r>
      <w:r>
        <w:rPr/>
        <w:t>、公司产品在国内外市场具有较高的市场知名度和良好口碑。公司品牌先后获得“中国驰名商标</w:t>
      </w:r>
      <w:r>
        <w:rPr>
          <w:spacing w:val="-90"/>
        </w:rPr>
        <w:t>”、</w:t>
      </w:r>
      <w:r>
        <w:rPr/>
        <w:t>“</w:t>
      </w:r>
      <w:r>
        <w:rPr>
          <w:spacing w:val="1"/>
        </w:rPr>
        <w:t>中</w:t>
      </w:r>
      <w:r>
        <w:rPr/>
        <w:t>国名牌</w:t>
      </w:r>
      <w:r>
        <w:rPr>
          <w:spacing w:val="-90"/>
        </w:rPr>
        <w:t>”、</w:t>
      </w:r>
      <w:r>
        <w:rPr/>
        <w:t>“出</w:t>
      </w:r>
      <w:r>
        <w:rPr/>
        <w:t> 口免验</w:t>
      </w:r>
      <w:r>
        <w:rPr>
          <w:spacing w:val="-90"/>
        </w:rPr>
        <w:t>”、</w:t>
      </w:r>
      <w:r>
        <w:rPr/>
        <w:t>“出口名牌”等荣誉称号。</w:t>
      </w:r>
    </w:p>
    <w:p>
      <w:pPr>
        <w:pStyle w:val="BodyText"/>
        <w:spacing w:line="316" w:lineRule="auto" w:before="19"/>
        <w:ind w:left="474" w:right="0"/>
        <w:jc w:val="left"/>
      </w:pPr>
      <w:r>
        <w:rPr/>
        <w:t>（三）资源整合能力优势 </w:t>
      </w:r>
      <w:r>
        <w:rPr>
          <w:spacing w:val="-2"/>
        </w:rPr>
        <w:t>公司在打造自身内在优势的同时，充分挖掘、整合外部稀缺资源，使内部和外部的资源相互配合与协调。公司整合内外</w:t>
      </w:r>
    </w:p>
    <w:p>
      <w:pPr>
        <w:pStyle w:val="BodyText"/>
        <w:spacing w:line="316" w:lineRule="auto" w:before="19"/>
        <w:ind w:left="474" w:right="1122" w:hanging="360"/>
        <w:jc w:val="left"/>
      </w:pPr>
      <w:r>
        <w:rPr/>
        <w:t>部资源的具体表现如下： </w:t>
      </w:r>
      <w:r>
        <w:rPr>
          <w:rFonts w:ascii="宋体" w:hAnsi="宋体" w:cs="宋体" w:eastAsia="宋体" w:hint="default"/>
        </w:rPr>
        <w:t>1</w:t>
      </w:r>
      <w:r>
        <w:rPr/>
        <w:t>、公司地处“中国瓷都”潮州市，潮州是目前国内陶瓷主要产区之一。公司充分挖掘利用潮州质地优良的瓷土矿资源</w:t>
      </w:r>
    </w:p>
    <w:p>
      <w:pPr>
        <w:pStyle w:val="BodyText"/>
        <w:spacing w:line="316" w:lineRule="auto" w:before="19"/>
        <w:ind w:right="0"/>
        <w:jc w:val="left"/>
      </w:pPr>
      <w:r>
        <w:rPr>
          <w:spacing w:val="-2"/>
        </w:rPr>
        <w:t>和成熟完整的陶瓷产业配套等产业区位优势，将有限的资源重点用于研发设计和市场营销，将部分简单生产环节外协给其他</w:t>
      </w:r>
      <w:r>
        <w:rPr>
          <w:spacing w:val="-64"/>
        </w:rPr>
        <w:t> </w:t>
      </w:r>
      <w:r>
        <w:rPr>
          <w:spacing w:val="-64"/>
        </w:rPr>
      </w:r>
      <w:r>
        <w:rPr/>
        <w:t>企业生产，大幅提高公司的盈利能力以及市场反应能力。</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right="1139" w:firstLine="360"/>
        <w:jc w:val="both"/>
      </w:pPr>
      <w:r>
        <w:rPr>
          <w:rFonts w:ascii="宋体" w:hAnsi="宋体" w:cs="宋体" w:eastAsia="宋体" w:hint="default"/>
        </w:rPr>
        <w:t>2</w:t>
      </w:r>
      <w:r>
        <w:rPr/>
        <w:t>、公司长期与国内知名工艺美术大师、国际知名陶瓷工作室等展开合作，共同开发适销产品，对“艺术产业化”进行 了有益探索，取得了良好的品牌效应和经济效益。</w:t>
      </w:r>
    </w:p>
    <w:p>
      <w:pPr>
        <w:pStyle w:val="BodyText"/>
        <w:spacing w:line="316" w:lineRule="auto" w:before="19"/>
        <w:ind w:right="1140" w:firstLine="360"/>
        <w:jc w:val="both"/>
      </w:pPr>
      <w:r>
        <w:rPr>
          <w:rFonts w:ascii="宋体" w:hAnsi="宋体" w:cs="宋体" w:eastAsia="宋体" w:hint="default"/>
        </w:rPr>
        <w:t>3</w:t>
      </w:r>
      <w:r>
        <w:rPr/>
        <w:t>、公司在传承传统陶瓷文化的基础上，将大量自主创新运用到现代艺术陶瓷的烧制当中，使其兼具悠久的历史文化底 蕴和现代艺术美感。</w:t>
      </w:r>
    </w:p>
    <w:p>
      <w:pPr>
        <w:pStyle w:val="BodyText"/>
        <w:spacing w:line="316" w:lineRule="auto" w:before="19"/>
        <w:ind w:right="1133" w:firstLine="360"/>
        <w:jc w:val="both"/>
      </w:pPr>
      <w:r>
        <w:rPr>
          <w:rFonts w:ascii="宋体" w:hAnsi="宋体" w:cs="宋体" w:eastAsia="宋体" w:hint="default"/>
        </w:rPr>
        <w:t>4</w:t>
      </w:r>
      <w:r>
        <w:rPr/>
        <w:t>、公司还充分利用奥运会等体育盛事的商业资源对产品进行宣传，不仅极大地提升了产品感召力，也延展了产品的应 </w:t>
      </w:r>
      <w:r>
        <w:rPr>
          <w:spacing w:val="-5"/>
        </w:rPr>
        <w:t>用触角。譬如公司成功开发的“奥运国娃”、“茅台水立方酒瓶”等具有艺术价值的陶瓷产品，为公司带来了较为长久的品牌</w:t>
      </w:r>
      <w:r>
        <w:rPr>
          <w:spacing w:val="-79"/>
        </w:rPr>
        <w:t> </w:t>
      </w:r>
      <w:r>
        <w:rPr>
          <w:spacing w:val="-79"/>
        </w:rPr>
      </w:r>
      <w:r>
        <w:rPr/>
        <w:t>效应和经济效益。</w:t>
      </w:r>
    </w:p>
    <w:p>
      <w:pPr>
        <w:pStyle w:val="BodyText"/>
        <w:spacing w:line="316" w:lineRule="auto" w:before="19"/>
        <w:ind w:left="474" w:right="0"/>
        <w:jc w:val="left"/>
      </w:pPr>
      <w:r>
        <w:rPr/>
        <w:t>（四）工艺技术优势 </w:t>
      </w:r>
      <w:r>
        <w:rPr>
          <w:spacing w:val="-2"/>
        </w:rPr>
        <w:t>公司将传统陶瓷文化与现代工艺技术相结合，在工艺技术等方面不断创新，从而降低生产成本，提高产品科技含量。公</w:t>
      </w:r>
    </w:p>
    <w:p>
      <w:pPr>
        <w:pStyle w:val="BodyText"/>
        <w:spacing w:line="240" w:lineRule="auto" w:before="19"/>
        <w:ind w:right="0"/>
        <w:jc w:val="left"/>
      </w:pPr>
      <w:r>
        <w:rPr/>
        <w:t>司工艺技术优势具体表现如下：</w:t>
      </w:r>
    </w:p>
    <w:p>
      <w:pPr>
        <w:pStyle w:val="BodyText"/>
        <w:spacing w:line="316" w:lineRule="auto" w:before="76"/>
        <w:ind w:right="1132" w:firstLine="360"/>
        <w:jc w:val="both"/>
      </w:pPr>
      <w:r>
        <w:rPr>
          <w:rFonts w:ascii="宋体" w:hAnsi="宋体" w:cs="宋体" w:eastAsia="宋体" w:hint="default"/>
          <w:spacing w:val="-2"/>
        </w:rPr>
        <w:t>1</w:t>
      </w:r>
      <w:r>
        <w:rPr>
          <w:spacing w:val="-2"/>
        </w:rPr>
        <w:t>、公司拥有占地</w:t>
      </w:r>
      <w:r>
        <w:rPr>
          <w:rFonts w:ascii="宋体" w:hAnsi="宋体" w:cs="宋体" w:eastAsia="宋体" w:hint="default"/>
          <w:spacing w:val="-2"/>
        </w:rPr>
        <w:t>6,000</w:t>
      </w:r>
      <w:r>
        <w:rPr>
          <w:rFonts w:ascii="宋体" w:hAnsi="宋体" w:cs="宋体" w:eastAsia="宋体" w:hint="default"/>
          <w:spacing w:val="18"/>
        </w:rPr>
        <w:t> </w:t>
      </w:r>
      <w:r>
        <w:rPr>
          <w:spacing w:val="-4"/>
        </w:rPr>
        <w:t>多平方米的“广东省陶瓷装饰材料工程技术研究开发中心”和“省级企业技术中心”。研发中心</w:t>
      </w:r>
      <w:r>
        <w:rPr/>
        <w:t> 拥有大量先进生产设备和仪器，可开展陶瓷行业相关的理化检测项目，能承担国家、省、市各级科研开发项目。</w:t>
      </w:r>
    </w:p>
    <w:p>
      <w:pPr>
        <w:pStyle w:val="BodyText"/>
        <w:spacing w:line="316" w:lineRule="auto" w:before="19"/>
        <w:ind w:right="1139" w:firstLine="360"/>
        <w:jc w:val="both"/>
      </w:pPr>
      <w:r>
        <w:rPr>
          <w:rFonts w:ascii="宋体" w:hAnsi="宋体" w:cs="宋体" w:eastAsia="宋体" w:hint="default"/>
          <w:spacing w:val="-2"/>
        </w:rPr>
        <w:t>2</w:t>
      </w:r>
      <w:r>
        <w:rPr>
          <w:spacing w:val="-2"/>
        </w:rPr>
        <w:t>、公司善于将新技术新设备引入到艺术陶瓷领域。例如公司在陶瓷行业最早订制“精雕</w:t>
      </w:r>
      <w:r>
        <w:rPr>
          <w:rFonts w:ascii="宋体" w:hAnsi="宋体" w:cs="宋体" w:eastAsia="宋体" w:hint="default"/>
          <w:spacing w:val="-2"/>
        </w:rPr>
        <w:t>CNC</w:t>
      </w:r>
      <w:r>
        <w:rPr>
          <w:spacing w:val="-2"/>
        </w:rPr>
        <w:t>数控雕刻机”，使得模具从</w:t>
      </w:r>
      <w:r>
        <w:rPr/>
        <w:t> 设计到成型制作均能实现信息化和机械化，缩短产品的设计周期、有效降低成本。</w:t>
      </w:r>
    </w:p>
    <w:p>
      <w:pPr>
        <w:pStyle w:val="BodyText"/>
        <w:spacing w:line="357" w:lineRule="auto" w:before="59"/>
        <w:ind w:left="474" w:right="0"/>
        <w:jc w:val="left"/>
      </w:pPr>
      <w:r>
        <w:rPr/>
        <w:t>（五）发展战略转型优势 </w:t>
      </w:r>
      <w:r>
        <w:rPr>
          <w:spacing w:val="-2"/>
        </w:rPr>
        <w:t>报告期内，通过参与认购广东粤科长城教育文化产业并购投资中心（有限合伙）基金份额来加强与专业的教育产业基金</w:t>
      </w:r>
    </w:p>
    <w:p>
      <w:pPr>
        <w:pStyle w:val="BodyText"/>
        <w:spacing w:line="224" w:lineRule="exact" w:before="0"/>
        <w:ind w:right="0"/>
        <w:jc w:val="left"/>
      </w:pPr>
      <w:r>
        <w:rPr/>
        <w:t>的合作，进一步推进公司在教育产业板块的战略布局，扩大公司在教育产业的影响力，有利于持续增强公司布局教育产业的</w:t>
      </w:r>
    </w:p>
    <w:p>
      <w:pPr>
        <w:pStyle w:val="BodyText"/>
        <w:spacing w:line="316" w:lineRule="auto" w:before="76"/>
        <w:ind w:right="0"/>
        <w:jc w:val="left"/>
      </w:pPr>
      <w:r>
        <w:rPr>
          <w:spacing w:val="-2"/>
        </w:rPr>
        <w:t>综合竞争实力。通过推进收购北京翡翠教育科技集团有限公司股权工作进一步拓宽公司在教育领域的发展路线。公司明确了</w:t>
      </w:r>
      <w:r>
        <w:rPr>
          <w:spacing w:val="-64"/>
        </w:rPr>
        <w:t> </w:t>
      </w:r>
      <w:r>
        <w:rPr>
          <w:spacing w:val="-64"/>
        </w:rPr>
      </w:r>
      <w:r>
        <w:rPr/>
        <w:t>涉足教育相关领域的发展目标，实现由单一的艺术陶瓷业务向艺术陶瓷与教育产业并存的战略规划。</w:t>
      </w:r>
    </w:p>
    <w:p>
      <w:pPr>
        <w:pStyle w:val="BodyText"/>
        <w:spacing w:line="240" w:lineRule="auto" w:before="19"/>
        <w:ind w:left="474" w:right="0"/>
        <w:jc w:val="left"/>
      </w:pPr>
      <w:r>
        <w:rPr/>
        <w:t>二、公司的全资子公司联汛教育是一家专业的教育信息化服务提供商，其核心竞争力有以下几点：</w:t>
      </w:r>
    </w:p>
    <w:p>
      <w:pPr>
        <w:pStyle w:val="BodyText"/>
        <w:spacing w:line="316" w:lineRule="auto" w:before="76"/>
        <w:ind w:left="494" w:right="0"/>
        <w:jc w:val="left"/>
      </w:pPr>
      <w:r>
        <w:rPr/>
        <w:t>（一）技术优势 教育运营服务方面，联汛教育通过综合利用移动通信、物联网、互联网等新技术，自主研发出</w:t>
      </w:r>
      <w:r>
        <w:rPr>
          <w:rFonts w:ascii="宋体" w:hAnsi="宋体" w:cs="宋体" w:eastAsia="宋体" w:hint="default"/>
        </w:rPr>
        <w:t>C/S</w:t>
      </w:r>
      <w:r>
        <w:rPr/>
        <w:t>＋</w:t>
      </w:r>
      <w:r>
        <w:rPr>
          <w:rFonts w:ascii="宋体" w:hAnsi="宋体" w:cs="宋体" w:eastAsia="宋体" w:hint="default"/>
        </w:rPr>
        <w:t>B/S</w:t>
      </w:r>
      <w:r>
        <w:rPr/>
        <w:t>架构相融合的</w:t>
      </w:r>
    </w:p>
    <w:p>
      <w:pPr>
        <w:pStyle w:val="BodyText"/>
        <w:spacing w:line="240" w:lineRule="auto" w:before="19"/>
        <w:ind w:right="0"/>
        <w:jc w:val="left"/>
      </w:pPr>
      <w:r>
        <w:rPr/>
        <w:t>信息化服务平台。联汛教育通过信息化服务平台，提升校园管理的效率，实现教学管理的全面信息化。</w:t>
      </w:r>
    </w:p>
    <w:p>
      <w:pPr>
        <w:pStyle w:val="BodyText"/>
        <w:spacing w:line="316" w:lineRule="auto" w:before="76"/>
        <w:ind w:left="474" w:right="0"/>
        <w:jc w:val="left"/>
      </w:pPr>
      <w:r>
        <w:rPr/>
        <w:t>（二）技术团队优势 </w:t>
      </w:r>
      <w:r>
        <w:rPr>
          <w:spacing w:val="-2"/>
        </w:rPr>
        <w:t>通过多年的业务发展，联汛教育已打造了一支以技术和教育专业人员为核心、结构合理、素质优良的队伍。联汛教育研</w:t>
      </w:r>
    </w:p>
    <w:p>
      <w:pPr>
        <w:pStyle w:val="BodyText"/>
        <w:spacing w:line="316" w:lineRule="auto" w:before="19"/>
        <w:ind w:right="1132"/>
        <w:jc w:val="both"/>
      </w:pPr>
      <w:r>
        <w:rPr>
          <w:spacing w:val="-2"/>
        </w:rPr>
        <w:t>发团队专注于教育信息化领域，不断创新。同时，联汛教育与各行业协会以及广东省职业技能鉴定指导中心建立长期合作交</w:t>
      </w:r>
      <w:r>
        <w:rPr>
          <w:spacing w:val="-66"/>
        </w:rPr>
        <w:t> </w:t>
      </w:r>
      <w:r>
        <w:rPr>
          <w:spacing w:val="-66"/>
        </w:rPr>
      </w:r>
      <w:r>
        <w:rPr>
          <w:spacing w:val="-2"/>
        </w:rPr>
        <w:t>流，经过长期的人力资源开发不断吸纳、充实和优化团队结构，提升其创新能力。经过近年来的技术积累，联汛教育已在客</w:t>
      </w:r>
      <w:r>
        <w:rPr>
          <w:spacing w:val="-66"/>
        </w:rPr>
        <w:t> </w:t>
      </w:r>
      <w:r>
        <w:rPr>
          <w:spacing w:val="-66"/>
        </w:rPr>
      </w:r>
      <w:r>
        <w:rPr/>
        <w:t>户端、服务器、系统平台架构、产品迭代开发等方面形成多项核心技术。</w:t>
      </w:r>
    </w:p>
    <w:p>
      <w:pPr>
        <w:pStyle w:val="BodyText"/>
        <w:spacing w:line="316" w:lineRule="auto" w:before="19"/>
        <w:ind w:left="474" w:right="1122"/>
        <w:jc w:val="left"/>
      </w:pPr>
      <w:r>
        <w:rPr/>
        <w:t>（三）产品优势 教育信息化服务应用产品主要优势包括：</w:t>
      </w:r>
      <w:r>
        <w:rPr>
          <w:rFonts w:ascii="宋体" w:hAnsi="宋体" w:cs="宋体" w:eastAsia="宋体" w:hint="default"/>
        </w:rPr>
        <w:t>1</w:t>
      </w:r>
      <w:r>
        <w:rPr/>
        <w:t>）可覆盖各类终端系统，包括</w:t>
      </w:r>
      <w:r>
        <w:rPr>
          <w:rFonts w:ascii="宋体" w:hAnsi="宋体" w:cs="宋体" w:eastAsia="宋体" w:hint="default"/>
        </w:rPr>
        <w:t>PC</w:t>
      </w:r>
      <w:r>
        <w:rPr/>
        <w:t>端、</w:t>
      </w:r>
      <w:r>
        <w:rPr>
          <w:rFonts w:ascii="宋体" w:hAnsi="宋体" w:cs="宋体" w:eastAsia="宋体" w:hint="default"/>
        </w:rPr>
        <w:t>IOS</w:t>
      </w:r>
      <w:r>
        <w:rPr/>
        <w:t>和</w:t>
      </w:r>
      <w:r>
        <w:rPr>
          <w:rFonts w:ascii="宋体" w:hAnsi="宋体" w:cs="宋体" w:eastAsia="宋体" w:hint="default"/>
        </w:rPr>
        <w:t>Android</w:t>
      </w:r>
      <w:r>
        <w:rPr/>
        <w:t>手机应用客户端、普通手</w:t>
      </w:r>
    </w:p>
    <w:p>
      <w:pPr>
        <w:pStyle w:val="BodyText"/>
        <w:spacing w:line="316" w:lineRule="auto" w:before="19"/>
        <w:ind w:right="1032"/>
        <w:jc w:val="left"/>
      </w:pPr>
      <w:r>
        <w:rPr/>
        <w:t>机等；</w:t>
      </w:r>
      <w:r>
        <w:rPr>
          <w:rFonts w:ascii="宋体" w:hAnsi="宋体" w:cs="宋体" w:eastAsia="宋体" w:hint="default"/>
        </w:rPr>
        <w:t>2</w:t>
      </w:r>
      <w:r>
        <w:rPr/>
        <w:t>）沟通方式多样，包括短信、语音、图片、视频等各种形式；</w:t>
      </w:r>
      <w:r>
        <w:rPr>
          <w:rFonts w:ascii="宋体" w:hAnsi="宋体" w:cs="宋体" w:eastAsia="宋体" w:hint="default"/>
        </w:rPr>
        <w:t>3</w:t>
      </w:r>
      <w:r>
        <w:rPr/>
        <w:t>）软硬件相结合，联汛教育在进行软件开发的同时， </w:t>
      </w:r>
      <w:r>
        <w:rPr>
          <w:spacing w:val="-2"/>
        </w:rPr>
        <w:t>引入了相关的硬件产品研发，并将软硬件进行结合，为学校提供系统性信息化平台，拓展了校园管理服务种类，提高了管理</w:t>
      </w:r>
      <w:r>
        <w:rPr>
          <w:spacing w:val="-66"/>
        </w:rPr>
        <w:t> </w:t>
      </w:r>
      <w:r>
        <w:rPr>
          <w:spacing w:val="-66"/>
        </w:rPr>
      </w:r>
      <w:r>
        <w:rPr/>
        <w:t>效率。</w:t>
      </w:r>
    </w:p>
    <w:p>
      <w:pPr>
        <w:pStyle w:val="BodyText"/>
        <w:spacing w:line="316" w:lineRule="auto" w:before="19"/>
        <w:ind w:right="1133" w:firstLine="380"/>
        <w:jc w:val="both"/>
      </w:pPr>
      <w:r>
        <w:rPr/>
        <w:t>同时，联汛教育的教育信息化服务不仅面向中小学校，还通过提供职业教育综合解决方案，进入职业教育领域。相对 </w:t>
      </w:r>
      <w:r>
        <w:rPr>
          <w:spacing w:val="-2"/>
        </w:rPr>
        <w:t>于传统家校互动业务学生高中毕业后丢失用户的问题，联汛教育开创了职业教育信息服务疏导分流毕业生，为初、高中毕业</w:t>
      </w:r>
      <w:r>
        <w:rPr>
          <w:spacing w:val="-66"/>
        </w:rPr>
        <w:t> </w:t>
      </w:r>
      <w:r>
        <w:rPr>
          <w:spacing w:val="-66"/>
        </w:rPr>
      </w:r>
      <w:r>
        <w:rPr/>
        <w:t>生提供职业教育信息服务，长期、持续保持用户的黏性。</w:t>
      </w:r>
    </w:p>
    <w:p>
      <w:pPr>
        <w:pStyle w:val="BodyText"/>
        <w:spacing w:line="316" w:lineRule="auto" w:before="19"/>
        <w:ind w:left="494" w:right="0"/>
        <w:jc w:val="left"/>
      </w:pPr>
      <w:r>
        <w:rPr/>
        <w:t>（四）业务模式优势 联汛教育根据行业发展的特性，选择了主要与基础运营商和社会渠道商深入合作共同推动业务发展的业务模式，借助</w:t>
      </w:r>
    </w:p>
    <w:p>
      <w:pPr>
        <w:pStyle w:val="BodyText"/>
        <w:spacing w:line="319" w:lineRule="auto" w:before="19"/>
        <w:ind w:right="0"/>
        <w:jc w:val="left"/>
      </w:pPr>
      <w:r>
        <w:rPr>
          <w:spacing w:val="-4"/>
        </w:rPr>
        <w:t>其在品牌影响力和属地关系等方面的优势，充分发挥了合作双方优势，形成了互惠共赢的快速发展局面。该业务模式的采用，</w:t>
      </w:r>
      <w:r>
        <w:rPr>
          <w:spacing w:val="-44"/>
        </w:rPr>
        <w:t> </w:t>
      </w:r>
      <w:r>
        <w:rPr>
          <w:spacing w:val="-44"/>
        </w:rPr>
      </w:r>
      <w:r>
        <w:rPr>
          <w:spacing w:val="-2"/>
        </w:rPr>
        <w:t>使联汛教育得以专注于业务创新、服务产品研发、市场开拓、用户服务、满足用户需求等核心运营工作，强化了在产业链中</w:t>
      </w:r>
      <w:r>
        <w:rPr>
          <w:spacing w:val="-66"/>
        </w:rPr>
        <w:t> </w:t>
      </w:r>
      <w:r>
        <w:rPr>
          <w:spacing w:val="-66"/>
        </w:rPr>
      </w:r>
      <w:r>
        <w:rPr/>
        <w:t>的专业运营能力。</w:t>
      </w:r>
    </w:p>
    <w:p>
      <w:pPr>
        <w:pStyle w:val="BodyText"/>
        <w:spacing w:line="316" w:lineRule="auto" w:before="17"/>
        <w:ind w:right="1131" w:firstLine="380"/>
        <w:jc w:val="both"/>
      </w:pPr>
      <w:r>
        <w:rPr/>
        <w:t>三、公司的全资子公司智游臻龙是一家专注于为社会和企业培养优秀就业人才的优秀公司，其在互联网领域，尤其是 </w:t>
      </w:r>
      <w:r>
        <w:rPr>
          <w:spacing w:val="-2"/>
        </w:rPr>
        <w:t>专业等细分领域的培训质量在全国范围内多年来名列前茅。其拥有丰富的职业技能培训经验和实力，同时拥有完善的课程体</w:t>
      </w:r>
      <w:r>
        <w:rPr>
          <w:spacing w:val="-64"/>
        </w:rPr>
        <w:t> </w:t>
      </w:r>
      <w:r>
        <w:rPr>
          <w:spacing w:val="-64"/>
        </w:rPr>
      </w:r>
      <w:r>
        <w:rPr/>
        <w:t>系和丰富的教学管理经验，是一家能够脚踏实地、</w:t>
      </w:r>
      <w:r>
        <w:rPr>
          <w:spacing w:val="-48"/>
        </w:rPr>
        <w:t> </w:t>
      </w:r>
      <w:r>
        <w:rPr/>
        <w:t>积极进取</w:t>
      </w:r>
      <w:r>
        <w:rPr>
          <w:spacing w:val="-36"/>
        </w:rPr>
        <w:t> </w:t>
      </w:r>
      <w:r>
        <w:rPr/>
        <w:t>、努力耕耘，并有自己核心体系和技术的优质职业技能培训机</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ind w:right="0"/>
        <w:jc w:val="left"/>
      </w:pPr>
      <w:r>
        <w:rPr/>
        <w:t>构。其核心竞争力有以下几点：</w:t>
      </w:r>
    </w:p>
    <w:p>
      <w:pPr>
        <w:pStyle w:val="BodyText"/>
        <w:spacing w:line="316" w:lineRule="auto" w:before="76"/>
        <w:ind w:left="494" w:right="0"/>
        <w:jc w:val="left"/>
      </w:pPr>
      <w:r>
        <w:rPr/>
        <w:t>（一）成熟稳定的管理团队 智游臻龙拥有一支伴随着公司成长起来的管理团队和专职教师队伍，报告期内未发生核心管理团队或关键人员离职情</w:t>
      </w:r>
    </w:p>
    <w:p>
      <w:pPr>
        <w:pStyle w:val="BodyText"/>
        <w:spacing w:line="240" w:lineRule="auto" w:before="19"/>
        <w:ind w:right="0"/>
        <w:jc w:val="left"/>
      </w:pPr>
      <w:r>
        <w:rPr/>
        <w:t>况。</w:t>
      </w:r>
    </w:p>
    <w:p>
      <w:pPr>
        <w:pStyle w:val="BodyText"/>
        <w:spacing w:line="316" w:lineRule="auto" w:before="77"/>
        <w:ind w:left="494" w:right="0"/>
        <w:jc w:val="left"/>
      </w:pPr>
      <w:r>
        <w:rPr/>
        <w:t>（二）稳固的院校合作关系 智游臻龙成立以来，始终重视与省内外大专院校的合作，建立了稳固的院校合作关系，这些院校已成为智游臻龙重要</w:t>
      </w:r>
    </w:p>
    <w:p>
      <w:pPr>
        <w:pStyle w:val="BodyText"/>
        <w:spacing w:line="240" w:lineRule="auto" w:before="19"/>
        <w:ind w:right="0"/>
        <w:jc w:val="left"/>
      </w:pPr>
      <w:r>
        <w:rPr/>
        <w:t>的招生渠道和业务合作伙伴。</w:t>
      </w:r>
    </w:p>
    <w:p>
      <w:pPr>
        <w:pStyle w:val="BodyText"/>
        <w:spacing w:line="316" w:lineRule="auto" w:before="76"/>
        <w:ind w:left="494" w:right="0"/>
        <w:jc w:val="left"/>
      </w:pPr>
      <w:r>
        <w:rPr/>
        <w:t>（三）严格的学员筛选机制 智游臻龙历来坚持品质第一，不管是教学品质还是学员整体素质，两手都要抓两手都要硬。经过多年的实践，智游臻</w:t>
      </w:r>
    </w:p>
    <w:p>
      <w:pPr>
        <w:pStyle w:val="BodyText"/>
        <w:spacing w:line="316" w:lineRule="auto" w:before="19"/>
        <w:ind w:right="0"/>
        <w:jc w:val="left"/>
      </w:pPr>
      <w:r>
        <w:rPr>
          <w:spacing w:val="-2"/>
        </w:rPr>
        <w:t>龙以形成一套科学、系统的学员筛选机制，经过综合考评，通过者方能成为智游臻龙的准学员，这也是智游臻龙连续多年保</w:t>
      </w:r>
      <w:r>
        <w:rPr>
          <w:spacing w:val="-66"/>
        </w:rPr>
        <w:t> </w:t>
      </w:r>
      <w:r>
        <w:rPr>
          <w:spacing w:val="-66"/>
        </w:rPr>
      </w:r>
      <w:r>
        <w:rPr/>
        <w:t>持高就业率和良好口碑的原因所在。</w:t>
      </w:r>
    </w:p>
    <w:p>
      <w:pPr>
        <w:pStyle w:val="BodyText"/>
        <w:spacing w:line="316" w:lineRule="auto" w:before="19"/>
        <w:ind w:left="494" w:right="0"/>
        <w:jc w:val="left"/>
      </w:pPr>
      <w:r>
        <w:rPr/>
        <w:t>（四）学研结合的培训体系 作为实践性非常强的</w:t>
      </w:r>
      <w:r>
        <w:rPr>
          <w:rFonts w:ascii="宋体" w:hAnsi="宋体" w:cs="宋体" w:eastAsia="宋体" w:hint="default"/>
        </w:rPr>
        <w:t>IT</w:t>
      </w:r>
      <w:r>
        <w:rPr/>
        <w:t>行业，智游臻龙利用现有的研发团队和项目资源，为学员精心设计毕业课题和实践指导，使学</w:t>
      </w:r>
    </w:p>
    <w:p>
      <w:pPr>
        <w:pStyle w:val="BodyText"/>
        <w:spacing w:line="316" w:lineRule="auto" w:before="19"/>
        <w:ind w:left="494" w:right="0" w:hanging="381"/>
        <w:jc w:val="left"/>
      </w:pPr>
      <w:r>
        <w:rPr/>
        <w:t>员具有很高的实操能力，可以更好的就业。 四、公司的全资子公司翡翠教育专注于</w:t>
      </w:r>
      <w:r>
        <w:rPr>
          <w:rFonts w:ascii="宋体" w:hAnsi="宋体" w:cs="宋体" w:eastAsia="宋体" w:hint="default"/>
        </w:rPr>
        <w:t>IT</w:t>
      </w:r>
      <w:r>
        <w:rPr/>
        <w:t>职业教育培训，项目经验丰富、科技研发能力较强、人才结构完善，服务范</w:t>
      </w:r>
    </w:p>
    <w:p>
      <w:pPr>
        <w:pStyle w:val="BodyText"/>
        <w:spacing w:line="316" w:lineRule="auto" w:before="19"/>
        <w:ind w:right="1118"/>
        <w:jc w:val="left"/>
      </w:pPr>
      <w:r>
        <w:rPr>
          <w:spacing w:val="-2"/>
        </w:rPr>
        <w:t>围覆盖广泛。同时，翡翠教育积极扩张全国不同地区的业务网络，并进一步深入全国的各个地区。其核心竞争力具体有以下</w:t>
      </w:r>
      <w:r>
        <w:rPr>
          <w:spacing w:val="-66"/>
        </w:rPr>
        <w:t> </w:t>
      </w:r>
      <w:r>
        <w:rPr>
          <w:spacing w:val="-66"/>
        </w:rPr>
      </w:r>
      <w:r>
        <w:rPr/>
        <w:t>几点：</w:t>
      </w:r>
    </w:p>
    <w:p>
      <w:pPr>
        <w:pStyle w:val="BodyText"/>
        <w:spacing w:line="316" w:lineRule="auto" w:before="19"/>
        <w:ind w:left="494" w:right="0"/>
        <w:jc w:val="left"/>
      </w:pPr>
      <w:r>
        <w:rPr/>
        <w:t>（一）品牌优势 翡翠教育经过多年的发展和积累，在国内教育培训行业拥有较高的知名度和良好的口碑，用户认可度较高。翡翠教育</w:t>
      </w:r>
    </w:p>
    <w:p>
      <w:pPr>
        <w:pStyle w:val="BodyText"/>
        <w:spacing w:line="240" w:lineRule="auto" w:before="19"/>
        <w:ind w:right="0"/>
        <w:jc w:val="left"/>
      </w:pPr>
      <w:r>
        <w:rPr/>
        <w:t>获取的荣誉奖项，详见如下：</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008"/>
        <w:gridCol w:w="7372"/>
      </w:tblGrid>
      <w:tr>
        <w:trPr>
          <w:trHeight w:val="454" w:hRule="exact"/>
        </w:trPr>
        <w:tc>
          <w:tcPr>
            <w:tcW w:w="10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73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1"/>
              <w:ind w:right="7"/>
              <w:jc w:val="center"/>
              <w:rPr>
                <w:rFonts w:ascii="宋体" w:hAnsi="宋体" w:cs="宋体" w:eastAsia="宋体" w:hint="default"/>
                <w:sz w:val="18"/>
                <w:szCs w:val="18"/>
              </w:rPr>
            </w:pPr>
            <w:r>
              <w:rPr>
                <w:rFonts w:ascii="宋体" w:hAnsi="宋体" w:cs="宋体" w:eastAsia="宋体" w:hint="default"/>
                <w:b/>
                <w:bCs/>
                <w:sz w:val="18"/>
                <w:szCs w:val="18"/>
              </w:rPr>
              <w:t>奖项及荣誉</w:t>
            </w:r>
            <w:r>
              <w:rPr>
                <w:rFonts w:ascii="宋体" w:hAnsi="宋体" w:cs="宋体" w:eastAsia="宋体" w:hint="default"/>
                <w:sz w:val="18"/>
                <w:szCs w:val="18"/>
              </w:rPr>
            </w:r>
          </w:p>
        </w:tc>
      </w:tr>
      <w:tr>
        <w:trPr>
          <w:trHeight w:val="453" w:hRule="exact"/>
        </w:trPr>
        <w:tc>
          <w:tcPr>
            <w:tcW w:w="10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7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翡翠教育荣获腾讯网回响中国“十年最具创新力</w:t>
            </w:r>
            <w:r>
              <w:rPr>
                <w:rFonts w:ascii="宋体" w:hAnsi="宋体" w:cs="宋体" w:eastAsia="宋体" w:hint="default"/>
                <w:sz w:val="18"/>
                <w:szCs w:val="18"/>
              </w:rPr>
              <w:t>IT</w:t>
            </w:r>
            <w:r>
              <w:rPr>
                <w:rFonts w:ascii="宋体" w:hAnsi="宋体" w:cs="宋体" w:eastAsia="宋体" w:hint="default"/>
                <w:sz w:val="18"/>
                <w:szCs w:val="18"/>
              </w:rPr>
              <w:t>教育品牌”</w:t>
            </w:r>
          </w:p>
        </w:tc>
      </w:tr>
      <w:tr>
        <w:trPr>
          <w:trHeight w:val="452" w:hRule="exact"/>
        </w:trPr>
        <w:tc>
          <w:tcPr>
            <w:tcW w:w="10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7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翡翠教育荣获腾讯网“中国最具影响力教育品牌”</w:t>
            </w:r>
          </w:p>
        </w:tc>
      </w:tr>
      <w:tr>
        <w:trPr>
          <w:trHeight w:val="451" w:hRule="exact"/>
        </w:trPr>
        <w:tc>
          <w:tcPr>
            <w:tcW w:w="10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7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翡翠教育获得“移动互联网行业</w:t>
            </w:r>
            <w:r>
              <w:rPr>
                <w:rFonts w:ascii="宋体" w:hAnsi="宋体" w:cs="宋体" w:eastAsia="宋体" w:hint="default"/>
                <w:sz w:val="18"/>
                <w:szCs w:val="18"/>
              </w:rPr>
              <w:t>2015</w:t>
            </w:r>
            <w:r>
              <w:rPr>
                <w:rFonts w:ascii="宋体" w:hAnsi="宋体" w:cs="宋体" w:eastAsia="宋体" w:hint="default"/>
                <w:sz w:val="18"/>
                <w:szCs w:val="18"/>
              </w:rPr>
              <w:t>年度优秀企业奖”</w:t>
            </w:r>
          </w:p>
        </w:tc>
      </w:tr>
      <w:tr>
        <w:trPr>
          <w:trHeight w:val="452" w:hRule="exact"/>
        </w:trPr>
        <w:tc>
          <w:tcPr>
            <w:tcW w:w="10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7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腾讯网</w:t>
            </w:r>
            <w:r>
              <w:rPr>
                <w:rFonts w:ascii="宋体" w:hAnsi="宋体" w:cs="宋体" w:eastAsia="宋体" w:hint="default"/>
                <w:sz w:val="18"/>
                <w:szCs w:val="18"/>
              </w:rPr>
              <w:t>:2016</w:t>
            </w:r>
            <w:r>
              <w:rPr>
                <w:rFonts w:ascii="宋体" w:hAnsi="宋体" w:cs="宋体" w:eastAsia="宋体" w:hint="default"/>
                <w:sz w:val="18"/>
                <w:szCs w:val="18"/>
              </w:rPr>
              <w:t>年度特色职业教育品牌</w:t>
            </w:r>
          </w:p>
        </w:tc>
      </w:tr>
      <w:tr>
        <w:trPr>
          <w:trHeight w:val="452" w:hRule="exact"/>
        </w:trPr>
        <w:tc>
          <w:tcPr>
            <w:tcW w:w="10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7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中国网：</w:t>
            </w:r>
            <w:r>
              <w:rPr>
                <w:rFonts w:ascii="宋体" w:hAnsi="宋体" w:cs="宋体" w:eastAsia="宋体" w:hint="default"/>
                <w:sz w:val="18"/>
                <w:szCs w:val="18"/>
              </w:rPr>
              <w:t>2016</w:t>
            </w:r>
            <w:r>
              <w:rPr>
                <w:rFonts w:ascii="宋体" w:hAnsi="宋体" w:cs="宋体" w:eastAsia="宋体" w:hint="default"/>
                <w:sz w:val="18"/>
                <w:szCs w:val="18"/>
              </w:rPr>
              <w:t>年度中国教育领军人物、</w:t>
            </w:r>
            <w:r>
              <w:rPr>
                <w:rFonts w:ascii="宋体" w:hAnsi="宋体" w:cs="宋体" w:eastAsia="宋体" w:hint="default"/>
                <w:sz w:val="18"/>
                <w:szCs w:val="18"/>
              </w:rPr>
              <w:t>2016</w:t>
            </w:r>
            <w:r>
              <w:rPr>
                <w:rFonts w:ascii="宋体" w:hAnsi="宋体" w:cs="宋体" w:eastAsia="宋体" w:hint="default"/>
                <w:sz w:val="18"/>
                <w:szCs w:val="18"/>
              </w:rPr>
              <w:t>年度广受学员好评职业教育品牌</w:t>
            </w:r>
          </w:p>
        </w:tc>
      </w:tr>
      <w:tr>
        <w:trPr>
          <w:trHeight w:val="451" w:hRule="exact"/>
        </w:trPr>
        <w:tc>
          <w:tcPr>
            <w:tcW w:w="10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7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新浪网：中国品牌知名度职业培训机构</w:t>
            </w:r>
          </w:p>
        </w:tc>
      </w:tr>
      <w:tr>
        <w:trPr>
          <w:trHeight w:val="452" w:hRule="exact"/>
        </w:trPr>
        <w:tc>
          <w:tcPr>
            <w:tcW w:w="10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7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新华网：</w:t>
            </w:r>
            <w:r>
              <w:rPr>
                <w:rFonts w:ascii="宋体" w:hAnsi="宋体" w:cs="宋体" w:eastAsia="宋体" w:hint="default"/>
                <w:sz w:val="18"/>
                <w:szCs w:val="18"/>
              </w:rPr>
              <w:t>2016</w:t>
            </w:r>
            <w:r>
              <w:rPr>
                <w:rFonts w:ascii="宋体" w:hAnsi="宋体" w:cs="宋体" w:eastAsia="宋体" w:hint="default"/>
                <w:sz w:val="18"/>
                <w:szCs w:val="18"/>
              </w:rPr>
              <w:t>年度影响力科技创新教育品牌</w:t>
            </w:r>
          </w:p>
        </w:tc>
      </w:tr>
      <w:tr>
        <w:trPr>
          <w:trHeight w:val="452" w:hRule="exact"/>
        </w:trPr>
        <w:tc>
          <w:tcPr>
            <w:tcW w:w="10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7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网易：</w:t>
            </w:r>
            <w:r>
              <w:rPr>
                <w:rFonts w:ascii="宋体" w:hAnsi="宋体" w:cs="宋体" w:eastAsia="宋体" w:hint="default"/>
                <w:sz w:val="18"/>
                <w:szCs w:val="18"/>
              </w:rPr>
              <w:t>2016</w:t>
            </w:r>
            <w:r>
              <w:rPr>
                <w:rFonts w:ascii="宋体" w:hAnsi="宋体" w:cs="宋体" w:eastAsia="宋体" w:hint="default"/>
                <w:sz w:val="18"/>
                <w:szCs w:val="18"/>
              </w:rPr>
              <w:t>年度最具综合实力教育集团</w:t>
            </w:r>
          </w:p>
        </w:tc>
      </w:tr>
    </w:tbl>
    <w:p>
      <w:pPr>
        <w:spacing w:line="240" w:lineRule="auto" w:before="3"/>
        <w:rPr>
          <w:rFonts w:ascii="宋体" w:hAnsi="宋体" w:cs="宋体" w:eastAsia="宋体" w:hint="default"/>
          <w:sz w:val="21"/>
          <w:szCs w:val="21"/>
        </w:rPr>
      </w:pPr>
    </w:p>
    <w:p>
      <w:pPr>
        <w:pStyle w:val="BodyText"/>
        <w:spacing w:line="316" w:lineRule="auto"/>
        <w:ind w:right="0" w:firstLine="380"/>
        <w:jc w:val="left"/>
      </w:pPr>
      <w:r>
        <w:rPr/>
        <w:t>同时，翡翠教育积极与各大高校，</w:t>
      </w:r>
      <w:r>
        <w:rPr>
          <w:rFonts w:ascii="宋体" w:hAnsi="宋体" w:cs="宋体" w:eastAsia="宋体" w:hint="default"/>
        </w:rPr>
        <w:t>IT</w:t>
      </w:r>
      <w:r>
        <w:rPr/>
        <w:t>行业知名公司积极合作，进一步推动品牌的发展，历年来在行业评选活动中多次 </w:t>
      </w:r>
      <w:r>
        <w:rPr>
          <w:spacing w:val="-3"/>
        </w:rPr>
        <w:t>获奖。消费者（学员）、合作院校和行业教育机构对翡翠教育的认同，有助于市场的开拓和发展。</w:t>
      </w:r>
    </w:p>
    <w:p>
      <w:pPr>
        <w:pStyle w:val="BodyText"/>
        <w:spacing w:line="316" w:lineRule="auto" w:before="19"/>
        <w:ind w:left="494" w:right="0"/>
        <w:jc w:val="left"/>
      </w:pPr>
      <w:r>
        <w:rPr/>
        <w:t>（二）教研内容及课程体系优势 翡翠教育经过多年的积累与沉淀，有独特、成熟、标准的教学体系，教研与老师团队合作，确保课件质量。通过多年</w:t>
      </w:r>
    </w:p>
    <w:p>
      <w:pPr>
        <w:pStyle w:val="BodyText"/>
        <w:spacing w:line="316" w:lineRule="auto" w:before="19"/>
        <w:ind w:right="1130"/>
        <w:jc w:val="both"/>
      </w:pPr>
      <w:r>
        <w:rPr>
          <w:spacing w:val="-2"/>
        </w:rPr>
        <w:t>的实践，教师任务材料、学生任务材料、课前教学视频、课上教材、商业案例等均实现了高度的标准化。核心教学内容已经</w:t>
      </w:r>
      <w:r>
        <w:rPr>
          <w:spacing w:val="-67"/>
        </w:rPr>
        <w:t> </w:t>
      </w:r>
      <w:r>
        <w:rPr>
          <w:spacing w:val="-67"/>
        </w:rPr>
      </w:r>
      <w:r>
        <w:rPr>
          <w:spacing w:val="-2"/>
        </w:rPr>
        <w:t>成为学校快速扩张的重要保障，促使翡翠教育成为行业优秀的培训机构。同时，翡翠教育紧跟行业发展，不断研发贴近行业</w:t>
      </w:r>
      <w:r>
        <w:rPr>
          <w:spacing w:val="-66"/>
        </w:rPr>
        <w:t> </w:t>
      </w:r>
      <w:r>
        <w:rPr>
          <w:spacing w:val="-66"/>
        </w:rPr>
      </w:r>
      <w:r>
        <w:rPr>
          <w:spacing w:val="-2"/>
        </w:rPr>
        <w:t>需求的课程内容与品类，以虚拟现实及增强现实相关专业的设置为例，具有未来发展性及实效热点性，翡翠教育积极分析市</w:t>
      </w:r>
      <w:r>
        <w:rPr>
          <w:spacing w:val="-66"/>
        </w:rPr>
        <w:t> </w:t>
      </w:r>
      <w:r>
        <w:rPr>
          <w:spacing w:val="-66"/>
        </w:rPr>
      </w:r>
      <w:r>
        <w:rPr>
          <w:spacing w:val="-2"/>
        </w:rPr>
        <w:t>场，并将技术实质应用领域进行拆分，通过研发人员的分析，将此热点课程的课程设置集中于游戏领域的应用，开发虚拟现</w:t>
      </w:r>
      <w:r>
        <w:rPr>
          <w:spacing w:val="-66"/>
        </w:rPr>
        <w:t> </w:t>
      </w:r>
      <w:r>
        <w:rPr>
          <w:spacing w:val="-66"/>
        </w:rPr>
      </w:r>
      <w:r>
        <w:rPr>
          <w:spacing w:val="-2"/>
        </w:rPr>
        <w:t>实的课程及内容，将新鲜市场热点融入实际的技术应用，保障课程设置符合行业发展方向，避免盲目开设热点却不能应用的</w:t>
      </w:r>
      <w:r>
        <w:rPr>
          <w:spacing w:val="-66"/>
        </w:rPr>
        <w:t> </w:t>
      </w:r>
      <w:r>
        <w:rPr>
          <w:spacing w:val="-66"/>
        </w:rPr>
      </w:r>
      <w:r>
        <w:rPr/>
        <w:t>课程，符合技术应用的具体需求，保持行业领先性。</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left="494" w:right="0"/>
        <w:jc w:val="left"/>
      </w:pPr>
      <w:r>
        <w:rPr/>
        <w:t>（三）教学方式优势 翡翠教育采用任务驱动式的教学方法。将教学内容转化成商业案例，按工时拆分成不同的知识点进行教学。针对实操</w:t>
      </w:r>
    </w:p>
    <w:p>
      <w:pPr>
        <w:pStyle w:val="BodyText"/>
        <w:spacing w:line="319" w:lineRule="auto" w:before="19"/>
        <w:ind w:right="1130"/>
        <w:jc w:val="both"/>
      </w:pPr>
      <w:r>
        <w:rPr>
          <w:spacing w:val="-2"/>
        </w:rPr>
        <w:t>性强的教学内容，以典型案例为指导，将各步骤教学与场景、游戏、演示、学员动手等授课方式相结合，翡翠教育不仅重视</w:t>
      </w:r>
      <w:r>
        <w:rPr>
          <w:spacing w:val="-67"/>
        </w:rPr>
        <w:t> </w:t>
      </w:r>
      <w:r>
        <w:rPr>
          <w:spacing w:val="-67"/>
        </w:rPr>
      </w:r>
      <w:r>
        <w:rPr>
          <w:spacing w:val="-2"/>
        </w:rPr>
        <w:t>理论知识的教学，更有老师负责学员操作实践、场景应用等实操练习。任务驱动的实施是以学习线上的碎片化基础理论知识</w:t>
      </w:r>
      <w:r>
        <w:rPr>
          <w:spacing w:val="-66"/>
        </w:rPr>
        <w:t> </w:t>
      </w:r>
      <w:r>
        <w:rPr>
          <w:spacing w:val="-66"/>
        </w:rPr>
      </w:r>
      <w:r>
        <w:rPr>
          <w:spacing w:val="-2"/>
        </w:rPr>
        <w:t>视频，与线下项目经理进行辅助互动实践相结合，把理论知识第一时间转化为实践，以此有效的保障学生学习兴趣与教学质</w:t>
      </w:r>
      <w:r>
        <w:rPr>
          <w:spacing w:val="-66"/>
        </w:rPr>
        <w:t> </w:t>
      </w:r>
      <w:r>
        <w:rPr>
          <w:spacing w:val="-66"/>
        </w:rPr>
      </w:r>
      <w:r>
        <w:rPr/>
        <w:t>量。</w:t>
      </w:r>
    </w:p>
    <w:p>
      <w:pPr>
        <w:pStyle w:val="BodyText"/>
        <w:spacing w:line="316" w:lineRule="auto" w:before="17"/>
        <w:ind w:left="494" w:right="0"/>
        <w:jc w:val="left"/>
      </w:pPr>
      <w:r>
        <w:rPr/>
        <w:t>（四）管理制度优势 翡翠教育通过平台信息化管理，让企业高效有序的运转，继而推动教学产品的研发迭代、学员多维立体化管理。通过</w:t>
      </w:r>
    </w:p>
    <w:p>
      <w:pPr>
        <w:pStyle w:val="BodyText"/>
        <w:spacing w:line="316" w:lineRule="auto" w:before="19"/>
        <w:ind w:right="0"/>
        <w:jc w:val="left"/>
      </w:pPr>
      <w:r>
        <w:rPr>
          <w:spacing w:val="-2"/>
        </w:rPr>
        <w:t>多系统的集成整合，高效的企业管理系统，使员工可以高质量、高效率的进行教学产品的研发迭代，推动教学管理部门在标</w:t>
      </w:r>
      <w:r>
        <w:rPr>
          <w:spacing w:val="-66"/>
        </w:rPr>
        <w:t> </w:t>
      </w:r>
      <w:r>
        <w:rPr>
          <w:spacing w:val="-66"/>
        </w:rPr>
      </w:r>
      <w:r>
        <w:rPr/>
        <w:t>准规范下对教学质量和学员进行管理，使学员学有所成，与企业用人标准高度匹配，促进就业。</w:t>
      </w:r>
    </w:p>
    <w:p>
      <w:pPr>
        <w:pStyle w:val="BodyText"/>
        <w:spacing w:line="316" w:lineRule="auto" w:before="19"/>
        <w:ind w:left="474" w:right="0" w:firstLine="20"/>
        <w:jc w:val="left"/>
      </w:pPr>
      <w:r>
        <w:rPr/>
        <w:t>（五）人才优势 </w:t>
      </w:r>
      <w:r>
        <w:rPr>
          <w:spacing w:val="-2"/>
        </w:rPr>
        <w:t>翡翠教育拥有完整的各岗位培养体系和利益分享机制：通过转岗管理，股权激励，员工忠诚奖，岗位晋升，管理职位晋</w:t>
      </w:r>
    </w:p>
    <w:p>
      <w:pPr>
        <w:pStyle w:val="BodyText"/>
        <w:spacing w:line="316" w:lineRule="auto" w:before="19"/>
        <w:ind w:right="0"/>
        <w:jc w:val="left"/>
      </w:pPr>
      <w:r>
        <w:rPr>
          <w:spacing w:val="-2"/>
        </w:rPr>
        <w:t>升等机制。通过构建合理的机制和可持续发展的职业培训、晋升渠道，翡翠教育有效凝聚了行业内大批人才，为公司的长期</w:t>
      </w:r>
      <w:r>
        <w:rPr>
          <w:spacing w:val="-66"/>
        </w:rPr>
        <w:t> </w:t>
      </w:r>
      <w:r>
        <w:rPr>
          <w:spacing w:val="-66"/>
        </w:rPr>
      </w:r>
      <w:r>
        <w:rPr/>
        <w:t>发展奠定了坚实的基础。</w:t>
      </w:r>
    </w:p>
    <w:p>
      <w:pPr>
        <w:pStyle w:val="BodyText"/>
        <w:spacing w:line="316" w:lineRule="auto" w:before="19"/>
        <w:ind w:left="494" w:right="0"/>
        <w:jc w:val="left"/>
      </w:pPr>
      <w:r>
        <w:rPr/>
        <w:t>（六）综合服务能力优势 翡翠教育在行业内较早开始提供多元化培训服务，除了传统授课服务以外，翡翠教育通过学员的数据分析，对学员和</w:t>
      </w:r>
    </w:p>
    <w:p>
      <w:pPr>
        <w:pStyle w:val="BodyText"/>
        <w:spacing w:line="316" w:lineRule="auto" w:before="19"/>
        <w:ind w:right="0"/>
        <w:jc w:val="left"/>
      </w:pPr>
      <w:r>
        <w:rPr>
          <w:spacing w:val="-2"/>
        </w:rPr>
        <w:t>就业岗位进行分析，为学员提供个性化辅导方案。同时翡翠教育为学员提供课程讲师，班主任，技术指导，就业辅导，职业</w:t>
      </w:r>
      <w:r>
        <w:rPr>
          <w:spacing w:val="-67"/>
        </w:rPr>
        <w:t> </w:t>
      </w:r>
      <w:r>
        <w:rPr>
          <w:spacing w:val="-67"/>
        </w:rPr>
      </w:r>
      <w:r>
        <w:rPr/>
        <w:t>生涯规划等服务，令学员快速掌握技能。增强翡翠教育的市场影响力和知名度，提高企业的持续发展能力。</w:t>
      </w:r>
    </w:p>
    <w:p>
      <w:pPr>
        <w:pStyle w:val="BodyText"/>
        <w:spacing w:line="319" w:lineRule="auto" w:before="19"/>
        <w:ind w:right="1032" w:firstLine="380"/>
        <w:jc w:val="left"/>
      </w:pPr>
      <w:r>
        <w:rPr/>
        <w:t>正是源于上述</w:t>
      </w:r>
      <w:r>
        <w:rPr>
          <w:rFonts w:ascii="宋体" w:hAnsi="宋体" w:cs="宋体" w:eastAsia="宋体" w:hint="default"/>
        </w:rPr>
        <w:t>6</w:t>
      </w:r>
      <w:r>
        <w:rPr/>
        <w:t>项核心特色全面发力，才让翡翠教育取得了商业模式的顺利升级，也为翡翠教育在市场竞争里形成了有 力的护城河。纵观中国职业教育的快速发展趋势，市场定会逐渐向规模化，品牌化，全国化龙头集中发展，龙头最为受益。 </w:t>
      </w:r>
      <w:r>
        <w:rPr>
          <w:spacing w:val="-2"/>
        </w:rPr>
        <w:t>翡翠教育作为一家全国性职业教育连锁品牌，在行业趋势向好的背景下，一方面基于全国终端网点设施建设和互联网教育平</w:t>
      </w:r>
      <w:r>
        <w:rPr>
          <w:spacing w:val="-63"/>
        </w:rPr>
        <w:t> </w:t>
      </w:r>
      <w:r>
        <w:rPr>
          <w:spacing w:val="-63"/>
        </w:rPr>
      </w:r>
      <w:r>
        <w:rPr>
          <w:spacing w:val="-2"/>
        </w:rPr>
        <w:t>台设施建设，一方面借助产教融合，加大内容研发力度，实现“跨区域，强支撑”的平台化运作，正在迅速成为行业领先的</w:t>
      </w:r>
      <w:r>
        <w:rPr>
          <w:spacing w:val="-72"/>
        </w:rPr>
        <w:t> </w:t>
      </w:r>
      <w:r>
        <w:rPr>
          <w:spacing w:val="-72"/>
        </w:rPr>
      </w:r>
      <w:r>
        <w:rPr/>
        <w:t>职业教育品牌，进入中国职业教育第一梯队企业。</w:t>
      </w:r>
    </w:p>
    <w:p>
      <w:pPr>
        <w:spacing w:after="0" w:line="319"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报告期内，公司董事会带领管理层和全体员工积极主动顺应市场发展趋势，持续调整发展战略，推进产业布局，并通过</w:t>
      </w:r>
      <w:r>
        <w:rPr/>
        <w:t> 内部整顿、协调团队，整合各方优势资源，进一步提升公司整体综合实力。</w:t>
      </w:r>
    </w:p>
    <w:p>
      <w:pPr>
        <w:pStyle w:val="BodyText"/>
        <w:spacing w:line="316" w:lineRule="auto" w:before="19"/>
        <w:ind w:left="474" w:right="1122"/>
        <w:jc w:val="left"/>
      </w:pPr>
      <w:r>
        <w:rPr/>
        <w:t>报告期内，公司主要做了以下几项重点工作： </w:t>
      </w:r>
      <w:r>
        <w:rPr>
          <w:rFonts w:ascii="宋体" w:hAnsi="宋体" w:cs="宋体" w:eastAsia="宋体" w:hint="default"/>
        </w:rPr>
        <w:t>1</w:t>
      </w:r>
      <w:r>
        <w:rPr/>
        <w:t>、在陶瓷业务方面，公司积极参加国内外各类展会，在巩固外销客户的基础上，加强国内市场客户的开拓；公司动员</w:t>
      </w:r>
    </w:p>
    <w:p>
      <w:pPr>
        <w:pStyle w:val="BodyText"/>
        <w:spacing w:line="316" w:lineRule="auto" w:before="19"/>
        <w:ind w:right="0"/>
        <w:jc w:val="left"/>
      </w:pPr>
      <w:r>
        <w:rPr>
          <w:spacing w:val="-2"/>
        </w:rPr>
        <w:t>全员响应节能降耗的号召，减少不必要的支出；精简人员，提高个人效率；狠抓产品质量；在适应市场的情况下不断提升创</w:t>
      </w:r>
      <w:r>
        <w:rPr>
          <w:spacing w:val="-66"/>
        </w:rPr>
        <w:t> </w:t>
      </w:r>
      <w:r>
        <w:rPr>
          <w:spacing w:val="-66"/>
        </w:rPr>
      </w:r>
      <w:r>
        <w:rPr/>
        <w:t>新能力，及时落实知识产权保护。</w:t>
      </w:r>
    </w:p>
    <w:p>
      <w:pPr>
        <w:pStyle w:val="BodyText"/>
        <w:spacing w:line="316" w:lineRule="auto" w:before="59"/>
        <w:ind w:right="0" w:firstLine="360"/>
        <w:jc w:val="left"/>
      </w:pPr>
      <w:r>
        <w:rPr>
          <w:rFonts w:ascii="宋体" w:hAnsi="宋体" w:cs="宋体" w:eastAsia="宋体" w:hint="default"/>
        </w:rPr>
        <w:t>2</w:t>
      </w:r>
      <w:r>
        <w:rPr/>
        <w:t>、在教育产业方面，联汛教育签约了多个区县智慧教育云平台建设及运营项目，具体为江苏省徐州市丰县智慧教育云 </w:t>
      </w:r>
      <w:r>
        <w:rPr>
          <w:spacing w:val="-2"/>
        </w:rPr>
        <w:t>平台建设及运营项目，该项目为丰县“互联网</w:t>
      </w:r>
      <w:r>
        <w:rPr>
          <w:rFonts w:ascii="宋体" w:hAnsi="宋体" w:cs="宋体" w:eastAsia="宋体" w:hint="default"/>
          <w:spacing w:val="-2"/>
        </w:rPr>
        <w:t>+</w:t>
      </w:r>
      <w:r>
        <w:rPr>
          <w:spacing w:val="-2"/>
        </w:rPr>
        <w:t>教育”创新行动的重点工程，也是丰县教育改革发展的重点项目，根据协议，</w:t>
      </w:r>
      <w:r>
        <w:rPr>
          <w:spacing w:val="-64"/>
        </w:rPr>
        <w:t> </w:t>
      </w:r>
      <w:r>
        <w:rPr>
          <w:spacing w:val="-64"/>
        </w:rPr>
      </w:r>
      <w:r>
        <w:rPr/>
        <w:t>该项目采用“政府规划服务</w:t>
      </w:r>
      <w:r>
        <w:rPr>
          <w:rFonts w:ascii="宋体" w:hAnsi="宋体" w:cs="宋体" w:eastAsia="宋体" w:hint="default"/>
        </w:rPr>
        <w:t>+</w:t>
      </w:r>
      <w:r>
        <w:rPr/>
        <w:t>企业投资建设运营”的合作模式，联汛教育将为丰县打造一个覆盖全县、互联互通、为“优质</w:t>
      </w:r>
      <w:r>
        <w:rPr>
          <w:spacing w:val="-83"/>
        </w:rPr>
        <w:t> </w:t>
      </w:r>
      <w:r>
        <w:rPr>
          <w:spacing w:val="-83"/>
        </w:rPr>
      </w:r>
      <w:r>
        <w:rPr>
          <w:spacing w:val="-2"/>
        </w:rPr>
        <w:t>资源班班通”和“网络学习空间人人通”提供技术支撑和网络服务的智慧教育云平台服务体系；签约河北省石家庄市藁城区</w:t>
      </w:r>
      <w:r>
        <w:rPr>
          <w:spacing w:val="-66"/>
        </w:rPr>
        <w:t> </w:t>
      </w:r>
      <w:r>
        <w:rPr>
          <w:spacing w:val="-66"/>
        </w:rPr>
      </w:r>
      <w:r>
        <w:rPr/>
        <w:t>智慧教育云平台建设及运营项目，该项目为藁城区“互联网</w:t>
      </w:r>
      <w:r>
        <w:rPr>
          <w:rFonts w:ascii="宋体" w:hAnsi="宋体" w:cs="宋体" w:eastAsia="宋体" w:hint="default"/>
        </w:rPr>
        <w:t>+</w:t>
      </w:r>
      <w:r>
        <w:rPr/>
        <w:t>教育”创新行动的重点工程，也是藁城区教育改革发展的重点</w:t>
      </w:r>
      <w:r>
        <w:rPr>
          <w:spacing w:val="-82"/>
        </w:rPr>
        <w:t> </w:t>
      </w:r>
      <w:r>
        <w:rPr>
          <w:spacing w:val="-82"/>
        </w:rPr>
      </w:r>
      <w:r>
        <w:rPr/>
        <w:t>项目，该项目采用“政府规划服务</w:t>
      </w:r>
      <w:r>
        <w:rPr>
          <w:rFonts w:ascii="宋体" w:hAnsi="宋体" w:cs="宋体" w:eastAsia="宋体" w:hint="default"/>
        </w:rPr>
        <w:t>+</w:t>
      </w:r>
      <w:r>
        <w:rPr/>
        <w:t>企业投资建设运营”的合作模式，将为藁城区打造一个覆盖全区、互联互通、为“优质</w:t>
      </w:r>
      <w:r>
        <w:rPr>
          <w:spacing w:val="-83"/>
        </w:rPr>
        <w:t> </w:t>
      </w:r>
      <w:r>
        <w:rPr>
          <w:spacing w:val="-83"/>
        </w:rPr>
      </w:r>
      <w:r>
        <w:rPr>
          <w:spacing w:val="-2"/>
        </w:rPr>
        <w:t>资源班班通”和“网络学习空间人人通”提供技术支撑和网络服务的智慧教育云平台服务体系等，同时中标多个千万级的基</w:t>
      </w:r>
      <w:r>
        <w:rPr>
          <w:spacing w:val="-66"/>
        </w:rPr>
        <w:t> </w:t>
      </w:r>
      <w:r>
        <w:rPr>
          <w:spacing w:val="-66"/>
        </w:rPr>
      </w:r>
      <w:r>
        <w:rPr>
          <w:spacing w:val="-2"/>
        </w:rPr>
        <w:t>础教育信息化系统集成项目。智游臻龙</w:t>
      </w:r>
      <w:r>
        <w:rPr>
          <w:rFonts w:ascii="宋体" w:hAnsi="宋体" w:cs="宋体" w:eastAsia="宋体" w:hint="default"/>
          <w:spacing w:val="-2"/>
        </w:rPr>
        <w:t>2018</w:t>
      </w:r>
      <w:r>
        <w:rPr>
          <w:spacing w:val="-2"/>
        </w:rPr>
        <w:t>年搭建了李克强总理提出的高职院校“现代学徒制”人才培养平台，智游臻龙联</w:t>
      </w:r>
      <w:r>
        <w:rPr>
          <w:spacing w:val="-62"/>
        </w:rPr>
        <w:t> </w:t>
      </w:r>
      <w:r>
        <w:rPr>
          <w:spacing w:val="-62"/>
        </w:rPr>
      </w:r>
      <w:r>
        <w:rPr/>
        <w:t>合院校进行“现代学徒制”人才培养，</w:t>
      </w:r>
      <w:r>
        <w:rPr>
          <w:rFonts w:ascii="宋体" w:hAnsi="宋体" w:cs="宋体" w:eastAsia="宋体" w:hint="default"/>
        </w:rPr>
        <w:t>VR</w:t>
      </w:r>
      <w:r>
        <w:rPr/>
        <w:t>、大数据学费增长</w:t>
      </w:r>
      <w:r>
        <w:rPr>
          <w:rFonts w:ascii="宋体" w:hAnsi="宋体" w:cs="宋体" w:eastAsia="宋体" w:hint="default"/>
        </w:rPr>
        <w:t>50%</w:t>
      </w:r>
      <w:r>
        <w:rPr/>
        <w:t>，招生效果显著。报告期内，翡翠教育成为了文化长城的全</w:t>
      </w:r>
      <w:r>
        <w:rPr>
          <w:spacing w:val="-83"/>
        </w:rPr>
        <w:t> </w:t>
      </w:r>
      <w:r>
        <w:rPr>
          <w:spacing w:val="-83"/>
        </w:rPr>
      </w:r>
      <w:r>
        <w:rPr/>
        <w:t>资子公司，其财务报表于</w:t>
      </w:r>
      <w:r>
        <w:rPr>
          <w:rFonts w:ascii="宋体" w:hAnsi="宋体" w:cs="宋体" w:eastAsia="宋体" w:hint="default"/>
        </w:rPr>
        <w:t>2018</w:t>
      </w:r>
      <w:r>
        <w:rPr/>
        <w:t>年</w:t>
      </w:r>
      <w:r>
        <w:rPr>
          <w:rFonts w:ascii="宋体" w:hAnsi="宋体" w:cs="宋体" w:eastAsia="宋体" w:hint="default"/>
        </w:rPr>
        <w:t>4</w:t>
      </w:r>
      <w:r>
        <w:rPr/>
        <w:t>月份全部并入文化长城。报告期内，翡翠教育完善了公司的架构设计升级，将翡翠教育的</w:t>
      </w:r>
      <w:r>
        <w:rPr>
          <w:spacing w:val="-83"/>
        </w:rPr>
        <w:t> </w:t>
      </w:r>
      <w:r>
        <w:rPr>
          <w:spacing w:val="-83"/>
        </w:rPr>
      </w:r>
      <w:r>
        <w:rPr>
          <w:spacing w:val="-2"/>
        </w:rPr>
        <w:t>校区管理架构做了调整，有效地提高了项目管理的效率和效能，为后期的业务快速复制提供了组织发展平台；完成了年初制</w:t>
      </w:r>
      <w:r>
        <w:rPr>
          <w:spacing w:val="-66"/>
        </w:rPr>
        <w:t> </w:t>
      </w:r>
      <w:r>
        <w:rPr>
          <w:spacing w:val="-66"/>
        </w:rPr>
      </w:r>
      <w:r>
        <w:rPr>
          <w:spacing w:val="-2"/>
        </w:rPr>
        <w:t>定的网点扩张布局；完善了产品结构，新进研发的课程品类也已经启动了招生；同时，翡翠教育还建立了学员学习生命周期</w:t>
      </w:r>
      <w:r>
        <w:rPr>
          <w:spacing w:val="-66"/>
        </w:rPr>
        <w:t> </w:t>
      </w:r>
      <w:r>
        <w:rPr>
          <w:spacing w:val="-66"/>
        </w:rPr>
      </w:r>
      <w:r>
        <w:rPr/>
        <w:t>评价体系，可以有效评价学员学习成果，有效保证教学质量和学员学习体验。</w:t>
      </w:r>
    </w:p>
    <w:p>
      <w:pPr>
        <w:pStyle w:val="BodyText"/>
        <w:spacing w:line="316" w:lineRule="auto" w:before="57"/>
        <w:ind w:right="1133" w:firstLine="360"/>
        <w:jc w:val="both"/>
      </w:pPr>
      <w:r>
        <w:rPr>
          <w:rFonts w:ascii="宋体" w:hAnsi="宋体" w:cs="宋体" w:eastAsia="宋体" w:hint="default"/>
        </w:rPr>
        <w:t>3</w:t>
      </w:r>
      <w:r>
        <w:rPr/>
        <w:t>、进一步优化平台化控股集团管理模式。报告期内，公司建立了有效的公司治理机制，加强公司在业务经营、财务运 </w:t>
      </w:r>
      <w:r>
        <w:rPr>
          <w:spacing w:val="-2"/>
        </w:rPr>
        <w:t>作、对外投资、抵押担保、资产处置等方面对新收购公司的管理与控制，使上市公司与新收购公司形成有机整体，提高整体</w:t>
      </w:r>
      <w:r>
        <w:rPr>
          <w:spacing w:val="-66"/>
        </w:rPr>
        <w:t> </w:t>
      </w:r>
      <w:r>
        <w:rPr>
          <w:spacing w:val="-66"/>
        </w:rPr>
      </w:r>
      <w:r>
        <w:rPr/>
        <w:t>决策水平和风险管控能力，提升整体经营管理水平和运营效率，以适应上市公司资产和业务规模的增长。</w:t>
      </w:r>
    </w:p>
    <w:p>
      <w:pPr>
        <w:pStyle w:val="BodyText"/>
        <w:spacing w:line="316" w:lineRule="auto" w:before="19"/>
        <w:ind w:right="0" w:firstLine="420"/>
        <w:jc w:val="left"/>
      </w:pPr>
      <w:r>
        <w:rPr>
          <w:rFonts w:ascii="宋体" w:hAnsi="宋体" w:cs="宋体" w:eastAsia="宋体" w:hint="default"/>
          <w:spacing w:val="-2"/>
        </w:rPr>
        <w:t>4</w:t>
      </w:r>
      <w:r>
        <w:rPr>
          <w:spacing w:val="-2"/>
        </w:rPr>
        <w:t>、充分利用资本市场平台，全面推动并购工作。报告期内，公司积极探索多渠道融资，在继续发挥以商业银行为主要</w:t>
      </w:r>
      <w:r>
        <w:rPr/>
        <w:t> 融资渠道的同时，利用资本市场的优势，积极拓展其它融资渠道；加快教育相关领域资产的收购兼并进程。</w:t>
      </w:r>
    </w:p>
    <w:p>
      <w:pPr>
        <w:pStyle w:val="BodyText"/>
        <w:spacing w:line="240" w:lineRule="auto" w:before="19"/>
        <w:ind w:left="474" w:right="0"/>
        <w:jc w:val="left"/>
      </w:pPr>
      <w:r>
        <w:rPr>
          <w:rFonts w:ascii="宋体" w:hAnsi="宋体" w:cs="宋体" w:eastAsia="宋体" w:hint="default"/>
        </w:rPr>
        <w:t>2018</w:t>
      </w:r>
      <w:r>
        <w:rPr/>
        <w:t>年度，公司实现合并营业收入 </w:t>
      </w:r>
      <w:r>
        <w:rPr>
          <w:rFonts w:ascii="宋体" w:hAnsi="宋体" w:cs="宋体" w:eastAsia="宋体" w:hint="default"/>
        </w:rPr>
        <w:t>1,173,736,794.08 </w:t>
      </w:r>
      <w:r>
        <w:rPr/>
        <w:t>元，其中，主营业务收入</w:t>
      </w:r>
      <w:r>
        <w:rPr>
          <w:rFonts w:ascii="宋体" w:hAnsi="宋体" w:cs="宋体" w:eastAsia="宋体" w:hint="default"/>
        </w:rPr>
        <w:t>1,164,826,430.11</w:t>
      </w:r>
      <w:r>
        <w:rPr/>
        <w:t>元；国内销售收入</w:t>
      </w:r>
    </w:p>
    <w:p>
      <w:pPr>
        <w:pStyle w:val="BodyText"/>
        <w:spacing w:line="240" w:lineRule="auto" w:before="76"/>
        <w:ind w:right="0"/>
        <w:jc w:val="both"/>
      </w:pPr>
      <w:r>
        <w:rPr>
          <w:rFonts w:ascii="宋体" w:hAnsi="宋体" w:cs="宋体" w:eastAsia="宋体" w:hint="default"/>
        </w:rPr>
        <w:t>975,569,799.25</w:t>
      </w:r>
      <w:r>
        <w:rPr/>
        <w:t>元，占主营业务收入的</w:t>
      </w:r>
      <w:r>
        <w:rPr>
          <w:rFonts w:ascii="宋体" w:hAnsi="宋体" w:cs="宋体" w:eastAsia="宋体" w:hint="default"/>
        </w:rPr>
        <w:t>83.75%</w:t>
      </w:r>
      <w:r>
        <w:rPr/>
        <w:t>，境外销售</w:t>
      </w:r>
      <w:r>
        <w:rPr>
          <w:rFonts w:ascii="宋体" w:hAnsi="宋体" w:cs="宋体" w:eastAsia="宋体" w:hint="default"/>
        </w:rPr>
        <w:t>189,256,630.86</w:t>
      </w:r>
      <w:r>
        <w:rPr/>
        <w:t>元，占主营业务收入的</w:t>
      </w:r>
      <w:r>
        <w:rPr>
          <w:rFonts w:ascii="宋体" w:hAnsi="宋体" w:cs="宋体" w:eastAsia="宋体" w:hint="default"/>
        </w:rPr>
        <w:t>16.25%</w:t>
      </w:r>
      <w:r>
        <w:rPr/>
        <w:t>；实现净利润</w:t>
      </w:r>
    </w:p>
    <w:p>
      <w:pPr>
        <w:pStyle w:val="BodyText"/>
        <w:spacing w:line="240" w:lineRule="auto" w:before="76"/>
        <w:ind w:right="0"/>
        <w:jc w:val="both"/>
      </w:pPr>
      <w:r>
        <w:rPr>
          <w:rFonts w:ascii="宋体" w:hAnsi="宋体" w:cs="宋体" w:eastAsia="宋体" w:hint="default"/>
        </w:rPr>
        <w:t>218,490,225.95 </w:t>
      </w:r>
      <w:r>
        <w:rPr/>
        <w:t>元。</w:t>
      </w:r>
    </w:p>
    <w:p>
      <w:pPr>
        <w:pStyle w:val="BodyText"/>
        <w:spacing w:line="240" w:lineRule="auto" w:before="76"/>
        <w:ind w:left="474" w:right="0"/>
        <w:jc w:val="left"/>
        <w:rPr>
          <w:rFonts w:ascii="宋体" w:hAnsi="宋体" w:cs="宋体" w:eastAsia="宋体" w:hint="default"/>
        </w:rPr>
      </w:pPr>
      <w:r>
        <w:rPr>
          <w:rFonts w:ascii="宋体" w:hAnsi="宋体" w:cs="宋体" w:eastAsia="宋体" w:hint="default"/>
        </w:rPr>
        <w:t>2018</w:t>
      </w:r>
      <w:r>
        <w:rPr/>
        <w:t>年度，销售费用 </w:t>
      </w:r>
      <w:r>
        <w:rPr>
          <w:rFonts w:ascii="宋体" w:hAnsi="宋体" w:cs="宋体" w:eastAsia="宋体" w:hint="default"/>
        </w:rPr>
        <w:t>130,082,530.41</w:t>
      </w:r>
      <w:r>
        <w:rPr>
          <w:rFonts w:ascii="宋体" w:hAnsi="宋体" w:cs="宋体" w:eastAsia="宋体" w:hint="default"/>
          <w:spacing w:val="6"/>
        </w:rPr>
        <w:t> </w:t>
      </w:r>
      <w:r>
        <w:rPr/>
        <w:t>元，增幅为</w:t>
      </w:r>
      <w:r>
        <w:rPr>
          <w:rFonts w:ascii="宋体" w:hAnsi="宋体" w:cs="宋体" w:eastAsia="宋体" w:hint="default"/>
        </w:rPr>
        <w:t>178.28%</w:t>
      </w:r>
      <w:r>
        <w:rPr/>
        <w:t>，主要是本期翡翠报表并入所致；管理费用</w:t>
      </w:r>
      <w:r>
        <w:rPr>
          <w:rFonts w:ascii="宋体" w:hAnsi="宋体" w:cs="宋体" w:eastAsia="宋体" w:hint="default"/>
        </w:rPr>
        <w:t>102,145,957.45</w:t>
      </w:r>
    </w:p>
    <w:p>
      <w:pPr>
        <w:pStyle w:val="BodyText"/>
        <w:spacing w:line="240" w:lineRule="auto" w:before="76"/>
        <w:ind w:right="0"/>
        <w:jc w:val="both"/>
      </w:pPr>
      <w:r>
        <w:rPr/>
        <w:t>元，比去年上升</w:t>
      </w:r>
      <w:r>
        <w:rPr>
          <w:rFonts w:ascii="宋体" w:hAnsi="宋体" w:cs="宋体" w:eastAsia="宋体" w:hint="default"/>
        </w:rPr>
        <w:t>87.13%</w:t>
      </w:r>
      <w:r>
        <w:rPr/>
        <w:t>，主要是本期翡翠报表并入所致；财务费用 </w:t>
      </w:r>
      <w:r>
        <w:rPr>
          <w:rFonts w:ascii="宋体" w:hAnsi="宋体" w:cs="宋体" w:eastAsia="宋体" w:hint="default"/>
        </w:rPr>
        <w:t>50,313,457.00 </w:t>
      </w:r>
      <w:r>
        <w:rPr/>
        <w:t>元。</w:t>
      </w:r>
    </w:p>
    <w:p>
      <w:pPr>
        <w:pStyle w:val="BodyText"/>
        <w:spacing w:line="240" w:lineRule="auto" w:before="117"/>
        <w:ind w:left="474" w:right="0"/>
        <w:jc w:val="left"/>
      </w:pPr>
      <w:r>
        <w:rPr>
          <w:rFonts w:ascii="宋体" w:hAnsi="宋体" w:cs="宋体" w:eastAsia="宋体" w:hint="default"/>
        </w:rPr>
        <w:t>2018</w:t>
      </w:r>
      <w:r>
        <w:rPr/>
        <w:t>年度，经营活动产生的现金净流 </w:t>
      </w:r>
      <w:r>
        <w:rPr>
          <w:rFonts w:ascii="宋体" w:hAnsi="宋体" w:cs="宋体" w:eastAsia="宋体" w:hint="default"/>
        </w:rPr>
        <w:t>154,398,878.61</w:t>
      </w:r>
      <w:r>
        <w:rPr>
          <w:rFonts w:ascii="宋体" w:hAnsi="宋体" w:cs="宋体" w:eastAsia="宋体" w:hint="default"/>
          <w:spacing w:val="7"/>
        </w:rPr>
        <w:t> </w:t>
      </w:r>
      <w:r>
        <w:rPr>
          <w:spacing w:val="-3"/>
        </w:rPr>
        <w:t>元，比去年增加</w:t>
      </w:r>
      <w:r>
        <w:rPr>
          <w:rFonts w:ascii="宋体" w:hAnsi="宋体" w:cs="宋体" w:eastAsia="宋体" w:hint="default"/>
          <w:spacing w:val="-3"/>
        </w:rPr>
        <w:t>26.74%</w:t>
      </w:r>
      <w:r>
        <w:rPr>
          <w:spacing w:val="-3"/>
        </w:rPr>
        <w:t>，主要是本期翡翠报表并入所致；投资活</w:t>
      </w:r>
    </w:p>
    <w:p>
      <w:pPr>
        <w:pStyle w:val="BodyText"/>
        <w:spacing w:line="240" w:lineRule="auto" w:before="75"/>
        <w:ind w:right="0"/>
        <w:jc w:val="both"/>
      </w:pPr>
      <w:r>
        <w:rPr>
          <w:spacing w:val="15"/>
        </w:rPr>
        <w:t>动产生的现金净量</w:t>
      </w:r>
      <w:r>
        <w:rPr>
          <w:spacing w:val="46"/>
        </w:rPr>
        <w:t> </w:t>
      </w:r>
      <w:r>
        <w:rPr>
          <w:rFonts w:ascii="宋体" w:hAnsi="宋体" w:cs="宋体" w:eastAsia="宋体" w:hint="default"/>
        </w:rPr>
        <w:t>-368,820,304.75</w:t>
      </w:r>
      <w:r>
        <w:rPr>
          <w:rFonts w:ascii="宋体" w:hAnsi="宋体" w:cs="宋体" w:eastAsia="宋体" w:hint="default"/>
          <w:spacing w:val="26"/>
        </w:rPr>
        <w:t> </w:t>
      </w:r>
      <w:r>
        <w:rPr>
          <w:spacing w:val="15"/>
        </w:rPr>
        <w:t>元，比去年减少</w:t>
      </w:r>
      <w:r>
        <w:rPr>
          <w:spacing w:val="-71"/>
        </w:rPr>
        <w:t> </w:t>
      </w:r>
      <w:r>
        <w:rPr>
          <w:rFonts w:ascii="宋体" w:hAnsi="宋体" w:cs="宋体" w:eastAsia="宋体" w:hint="default"/>
        </w:rPr>
        <w:t>27.24%</w:t>
      </w:r>
      <w:r>
        <w:rPr>
          <w:rFonts w:ascii="宋体" w:hAnsi="宋体" w:cs="宋体" w:eastAsia="宋体" w:hint="default"/>
          <w:spacing w:val="-71"/>
        </w:rPr>
        <w:t> </w:t>
      </w:r>
      <w:r>
        <w:rPr/>
        <w:t>，</w:t>
      </w:r>
      <w:r>
        <w:rPr>
          <w:spacing w:val="-72"/>
        </w:rPr>
        <w:t> </w:t>
      </w:r>
      <w:r>
        <w:rPr>
          <w:spacing w:val="15"/>
        </w:rPr>
        <w:t>主要是增加投资所致；</w:t>
      </w:r>
      <w:r>
        <w:rPr>
          <w:spacing w:val="-72"/>
        </w:rPr>
        <w:t> </w:t>
      </w:r>
      <w:r>
        <w:rPr>
          <w:spacing w:val="15"/>
        </w:rPr>
        <w:t>筹资活动生产的现金净流量</w:t>
      </w:r>
    </w:p>
    <w:p>
      <w:pPr>
        <w:pStyle w:val="BodyText"/>
        <w:spacing w:line="319" w:lineRule="auto" w:before="76"/>
        <w:ind w:right="1130"/>
        <w:jc w:val="both"/>
      </w:pPr>
      <w:r>
        <w:rPr>
          <w:rFonts w:ascii="宋体" w:hAnsi="宋体" w:cs="宋体" w:eastAsia="宋体" w:hint="default"/>
        </w:rPr>
        <w:t>96,060,823.84 </w:t>
      </w:r>
      <w:r>
        <w:rPr/>
        <w:t>元，比去年减少</w:t>
      </w:r>
      <w:r>
        <w:rPr>
          <w:rFonts w:ascii="宋体" w:hAnsi="宋体" w:cs="宋体" w:eastAsia="宋体" w:hint="default"/>
        </w:rPr>
        <w:t>47.89%</w:t>
      </w:r>
      <w:r>
        <w:rPr/>
        <w:t>，主要是吸收投资减少所致；汇率变动对现金的影响额为</w:t>
      </w:r>
      <w:r>
        <w:rPr>
          <w:rFonts w:ascii="宋体" w:hAnsi="宋体" w:cs="宋体" w:eastAsia="宋体" w:hint="default"/>
        </w:rPr>
        <w:t>-152,481.51</w:t>
      </w:r>
      <w:r>
        <w:rPr>
          <w:rFonts w:ascii="宋体" w:hAnsi="宋体" w:cs="宋体" w:eastAsia="宋体" w:hint="default"/>
          <w:spacing w:val="-58"/>
        </w:rPr>
        <w:t> </w:t>
      </w:r>
      <w:r>
        <w:rPr>
          <w:spacing w:val="-4"/>
        </w:rPr>
        <w:t>元，比去年减</w:t>
      </w:r>
      <w:r>
        <w:rPr/>
        <w:t> 少</w:t>
      </w:r>
      <w:r>
        <w:rPr>
          <w:rFonts w:ascii="宋体" w:hAnsi="宋体" w:cs="宋体" w:eastAsia="宋体" w:hint="default"/>
        </w:rPr>
        <w:t>89.15%</w:t>
      </w:r>
      <w:r>
        <w:rPr/>
        <w:t>，主要是</w:t>
      </w:r>
      <w:r>
        <w:rPr>
          <w:rFonts w:ascii="宋体" w:hAnsi="宋体" w:cs="宋体" w:eastAsia="宋体" w:hint="default"/>
        </w:rPr>
        <w:t>2018</w:t>
      </w:r>
      <w:r>
        <w:rPr/>
        <w:t>年汇率浮动大，以致汇兑损益变化大所致。现金及现金等价物的净增加额</w:t>
      </w:r>
      <w:r>
        <w:rPr>
          <w:rFonts w:ascii="宋体" w:hAnsi="宋体" w:cs="宋体" w:eastAsia="宋体" w:hint="default"/>
        </w:rPr>
        <w:t>-118,513,083.81</w:t>
      </w:r>
      <w:r>
        <w:rPr/>
        <w:t>元。期初</w:t>
      </w:r>
      <w:r>
        <w:rPr>
          <w:spacing w:val="-83"/>
        </w:rPr>
        <w:t> </w:t>
      </w:r>
      <w:r>
        <w:rPr/>
        <w:t>现金及现金等价物余额 </w:t>
      </w:r>
      <w:r>
        <w:rPr>
          <w:rFonts w:ascii="宋体" w:hAnsi="宋体" w:cs="宋体" w:eastAsia="宋体" w:hint="default"/>
        </w:rPr>
        <w:t>547,933,217.83 </w:t>
      </w:r>
      <w:r>
        <w:rPr/>
        <w:t>元，期末现金及现金等价物余额 </w:t>
      </w:r>
      <w:r>
        <w:rPr>
          <w:rFonts w:ascii="宋体" w:hAnsi="宋体" w:cs="宋体" w:eastAsia="宋体" w:hint="default"/>
        </w:rPr>
        <w:t>429,420,134.02 </w:t>
      </w:r>
      <w:r>
        <w:rPr/>
        <w:t>元。</w:t>
      </w:r>
    </w:p>
    <w:p>
      <w:pPr>
        <w:spacing w:after="0" w:line="319" w:lineRule="auto"/>
        <w:jc w:val="both"/>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参见“经营情况讨论与分析”中的“一、概述”相关内容。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972"/>
        <w:jc w:val="left"/>
      </w:pPr>
      <w:r>
        <w:rPr/>
        <w:t>公司是否需要遵守光伏产业链相关业的披露要求 否</w:t>
      </w:r>
    </w:p>
    <w:p>
      <w:pPr>
        <w:pStyle w:val="BodyText"/>
        <w:spacing w:line="338" w:lineRule="auto" w:before="26"/>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340" w:lineRule="auto" w:before="42"/>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号——上市公司从事医疗器械业务》的披露要求： 否</w:t>
      </w:r>
    </w:p>
    <w:p>
      <w:pPr>
        <w:pStyle w:val="BodyText"/>
        <w:spacing w:line="338" w:lineRule="auto" w:before="43"/>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号——上市公司从软件与信息技术服务业务》的披露要求 否</w:t>
      </w:r>
    </w:p>
    <w:p>
      <w:pPr>
        <w:pStyle w:val="BodyText"/>
        <w:spacing w:line="240" w:lineRule="auto" w:before="42"/>
        <w:ind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1,173,736,794.08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540,117,836.79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117.31%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陶瓷类产品行业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242,098,211.10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294,259,255.88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教育系统集成及 运营行业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426,877,233.96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113,848,778.11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274.95%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教育培训行业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401,618,282.68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62,694,492.84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540.60%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软件开发和技术 服务行业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50,448,527.90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38,941,349.15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29.55%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电子产品销售行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43,784,174.47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25,870,365.45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8,910,363.97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4,503,595.36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97.85%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陶瓷类产品业务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242,098,211.10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294,259,255.88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-17.73%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教育系统集成及 运营业务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426,877,233.96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113,848,778.11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274.95%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教育培训业务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401,618,282.68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62,694,492.84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540.60%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软件开发和技术 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50,448,527.90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38,941,349.15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29.55%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电子产品销售业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43,784,174.47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25,870,365.45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8,910,363.97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4,503,595.36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97.85%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984,480,163.22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280,551,360.17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250.91%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189,256,630.86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259,566,476.62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60" w:lineRule="auto"/>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3" w:right="0"/>
        <w:jc w:val="left"/>
      </w:pPr>
      <w:r>
        <w:rPr/>
        <w:t>单位：元</w:t>
      </w:r>
    </w:p>
    <w:p>
      <w:pPr>
        <w:spacing w:after="0" w:line="240" w:lineRule="auto"/>
        <w:jc w:val="left"/>
        <w:sectPr>
          <w:type w:val="continuous"/>
          <w:pgSz w:w="11910" w:h="16840"/>
          <w:pgMar w:top="1100" w:bottom="1200" w:left="1020" w:right="0"/>
          <w:cols w:num="2" w:equalWidth="0">
            <w:col w:w="3175" w:space="5745"/>
            <w:col w:w="197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陶瓷类产品行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242,098,211.10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165,405,021.72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教育系统集成 及运营行业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426,877,233.96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280,607,256.02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1,140.46%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教育培训行业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401,618,282.68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77,938,926.56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425.04%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陶瓷类产品业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242,098,211.10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165,405,021.72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教育系统集成 及运营业务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426,877,233.96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280,607,256.02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1,140.46%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教育培训业务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401,618,282.68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77,938,926.56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425.04%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984,480,163.22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406,495,331.60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404.07%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境外（含香港）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189,256,630.86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165,787,131.90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-14.05%</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t>□ 适用 √ 不适用</w:t>
      </w:r>
    </w:p>
    <w:p>
      <w:pPr>
        <w:spacing w:after="0" w:line="240" w:lineRule="auto"/>
        <w:jc w:val="left"/>
        <w:sectPr>
          <w:type w:val="continuous"/>
          <w:pgSz w:w="11910" w:h="16840"/>
          <w:pgMar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60" w:lineRule="auto"/>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3" w:right="0"/>
        <w:jc w:val="left"/>
      </w:pPr>
      <w:r>
        <w:rPr/>
        <w:t>单位：元</w:t>
      </w:r>
    </w:p>
    <w:p>
      <w:pPr>
        <w:spacing w:after="0" w:line="240" w:lineRule="auto"/>
        <w:jc w:val="left"/>
        <w:sectPr>
          <w:type w:val="continuous"/>
          <w:pgSz w:w="11910" w:h="16840"/>
          <w:pgMar w:top="1100" w:bottom="1200" w:left="1020" w:right="0"/>
          <w:cols w:num="2" w:equalWidth="0">
            <w:col w:w="835" w:space="8085"/>
            <w:col w:w="197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陶瓷类产品业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陶瓷类产品业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165,405,021.72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203,330,981.60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教育系统集成 及运营业务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教育系统集成 及运营业务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280,607,256.02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22,621,204.66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1,140.46%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教育培训业务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教育培训业务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77,938,926.56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14,844,456.16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425.04%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软件开发和技 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软件开发和技 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6,318,076.21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5,108,666.88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23.67%</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电子产品销售 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电子产品销售 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34,052,569.33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23,399,201.73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45.53%</w:t>
            </w:r>
          </w:p>
        </w:tc>
      </w:tr>
    </w:tbl>
    <w:p>
      <w:pPr>
        <w:pStyle w:val="BodyText"/>
        <w:spacing w:line="240" w:lineRule="auto" w:before="51"/>
        <w:ind w:right="0"/>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是 □ 否</w:t>
      </w:r>
    </w:p>
    <w:p>
      <w:pPr>
        <w:pStyle w:val="Heading4"/>
        <w:spacing w:line="240" w:lineRule="auto" w:before="89"/>
        <w:ind w:left="534" w:right="0"/>
        <w:jc w:val="left"/>
      </w:pPr>
      <w:r>
        <w:rPr/>
        <w:t>本期纳入合并财务报表范围的主体共</w:t>
      </w:r>
      <w:r>
        <w:rPr>
          <w:rFonts w:ascii="宋体" w:hAnsi="宋体" w:cs="宋体" w:eastAsia="宋体" w:hint="default"/>
        </w:rPr>
        <w:t>115</w:t>
      </w:r>
      <w:r>
        <w:rPr/>
        <w:t>户</w:t>
      </w:r>
    </w:p>
    <w:p>
      <w:pPr>
        <w:spacing w:line="240" w:lineRule="auto" w:before="11"/>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667"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07" w:right="9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表决权比例</w:t>
            </w:r>
          </w:p>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潮州市万泉瓷业有限公司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深圳万城投资管理有限公司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355"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13" w:right="0"/>
              <w:jc w:val="left"/>
              <w:rPr>
                <w:rFonts w:ascii="宋体" w:hAnsi="宋体" w:cs="宋体" w:eastAsia="宋体" w:hint="default"/>
                <w:sz w:val="18"/>
                <w:szCs w:val="18"/>
              </w:rPr>
            </w:pPr>
            <w:r>
              <w:rPr>
                <w:rFonts w:ascii="宋体"/>
                <w:sz w:val="18"/>
              </w:rPr>
              <w:t>8</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河南长城绿色瓷艺科技有限公司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潮州市长城世家瓷业有限公司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郑州长城世家商贸有限公司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广州韵网信息科技有限公司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新疆联汛展望教育科技有限公司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郑州市智游职业培训学校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郑州智游爱峰科技有限公司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郑州智游联动教育咨询有限公司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北京京师智游教育科技有限公司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19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南京欧米伽网络科技有限公司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霍尔果斯臻龙教育科技有限公司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山西智游臻龙互联网科技有限公司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河北臻龙科技有限公司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厦门爱峰沐川科技有限公司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北京完美空间教育科技有限公司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成都翡翠教育咨询有限公司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北京市朝阳区昭阳软件教育培训学校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北京创思兰德教育科技有限公司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29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上海志趣动漫设计有限公司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广州市翡翠教育信息咨询有限公司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武汉翡翠空间数字科技有限公司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郑州翡翠计算机科技有限公司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成都卓新思创科技有限公司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安徽省创思兰博信息科技有限公司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西安品优创意文化发展有限公司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西安卓新数码科技有限公司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西安完美空间职业技能培训学校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上海昊育信息技术有限公司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39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上海安逆杰信息技术有限公司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40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沈阳磐岳网络科技有限公司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41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创思兰博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科技股份有限公司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42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上海翡翠职业技能培训学校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43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天津卓运天成科技有限公司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44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上海卓雅网络科技有限公司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45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天津完美空间数字技术有限责任公司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9" w:right="0"/>
              <w:jc w:val="left"/>
              <w:rPr>
                <w:rFonts w:ascii="宋体" w:hAnsi="宋体" w:cs="宋体" w:eastAsia="宋体" w:hint="default"/>
                <w:sz w:val="18"/>
                <w:szCs w:val="18"/>
              </w:rPr>
            </w:pPr>
            <w:r>
              <w:rPr>
                <w:rFonts w:ascii="宋体"/>
                <w:sz w:val="18"/>
              </w:rPr>
              <w:t>46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杭州并轨者网络科技有限公司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355"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47</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安徽省智趣兰德科技有限公司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北京畅晟宏达科技有限公司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常州世宏南骏信息科技有限公司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大连中钰睿泓科技有限公司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福州点积信息科技有限公司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河北翊思卓科技有限公司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无锡市智慧天空信息科技有限公司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南昌卡戎网络科技有限公司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宁波盛逸计算机科技有限公司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盛世光影（深圳）传媒有限公司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沈阳凯宣科技有限公司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天津众云金泰科技有限公司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广州市南跃科技有限公司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南宁易达讯网络科技有限公司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山西钰陆教育科技有限公司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山西智帆教育科技有限公司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重庆阿克提吾科技有限公司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北京创意之星艺术设计有限公司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西安拓客网络科技有限公司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北京优逸睿智科技有限公司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深圳市世纪星联科技有限公司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广州市联核攻源科技有限公司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湖南卓越新腾信息技术有限公司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南京诺博连信息科技有限公司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南昌五芒星科技有限公司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青岛龙果科技技术有限公司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成都智慧创想科技有限公司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上海嗣峰网络科技有限公司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重庆卓思迅杰科技有限公司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上海犇迩网络科技有限公司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西安易创智达科技有限公司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霍尔果斯众妙合一信息技术有限公司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成都龙腾讯飞科技有限公司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贵阳华腾天创科技有限公司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济南凡格信息科技有限公司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柳州墨本科技有限公司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南京小鸡卓米网络科技有限公司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武汉创思兰博科技有限公司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郑州智世睿通软件科技有限公司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355"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86</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杭州果脉科技有限公司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苏州深层纬度教育科技有限公司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上海墨林教育科技有限公司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长沙翡翠网络游戏有限公司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济南迅奇网络科技有限公司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深圳市灵动空间网络科技有限公司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长春市完美空间教育科技有限公司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哈尔滨聚谦电子信息技术有限公司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重庆翊思卓科技有限公司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西安完美创意科技有限公司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广州九点网络有限公司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杭州千程万码软件有限公司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55.00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55.00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昆明添力网络科技有限公司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米果科技</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深圳凌点网络科技有限公司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大连创睿网络技术有限公司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常州网之合信息科技有限公司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河北佳岷科技有限公司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烟台丛聚网络技术有限公司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湖南正致教育科技有限公司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贺州市盛东网络科技有限公司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武汉索思艾特科技有限公司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南京睿斯博信息科技有限公司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海南翊思卓网络科技有限公司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海南完美空间网络科技有限公司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潮州市润潮陶瓷有限公司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潮州市长城世家贸易有限公司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湖北智游臻龙教育科技有限公司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60.00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60.00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南京巅峰数据服务有限公司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苏州云柯数据服务有限公司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line="240" w:lineRule="auto" w:before="4"/>
        <w:rPr>
          <w:rFonts w:ascii="Times New Roman" w:hAnsi="Times New Roman" w:cs="Times New Roman" w:eastAsia="Times New Roman" w:hint="default"/>
          <w:sz w:val="9"/>
          <w:szCs w:val="9"/>
        </w:rPr>
      </w:pPr>
    </w:p>
    <w:p>
      <w:pPr>
        <w:pStyle w:val="Heading4"/>
        <w:spacing w:line="273" w:lineRule="auto" w:before="35"/>
        <w:ind w:right="1722" w:firstLine="420"/>
        <w:jc w:val="left"/>
      </w:pPr>
      <w:r>
        <w:rPr/>
        <w:t>本期纳入合并财务报表范围的主体较上期相比，增加</w:t>
      </w:r>
      <w:r>
        <w:rPr>
          <w:rFonts w:ascii="宋体" w:hAnsi="宋体" w:cs="宋体" w:eastAsia="宋体" w:hint="default"/>
        </w:rPr>
        <w:t>92</w:t>
      </w:r>
      <w:r>
        <w:rPr/>
        <w:t>户，减少</w:t>
      </w:r>
      <w:r>
        <w:rPr>
          <w:rFonts w:ascii="宋体" w:hAnsi="宋体" w:cs="宋体" w:eastAsia="宋体" w:hint="default"/>
        </w:rPr>
        <w:t>2</w:t>
      </w:r>
      <w:r>
        <w:rPr/>
        <w:t>户，其中： 本期新纳入合并范围的子公司、特殊目的主体、通过受托经营或承租等方式形成控制权的经营实体</w:t>
      </w: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北京完美空间教育科技有限公司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成都翡翠教育咨询有限公司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北京市朝阳区昭阳软件教育培训学校</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北京创思兰德教育科技有限公司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上海志趣动漫设计有限公司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广州市翡翠教育信息咨询有限公司</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武汉翡翠空间数字科技有限公司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郑州翡翠计算机科技有限公司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成都卓新思创科技有限公司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安徽省创思兰博信息科技有限公司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西安品优创意文化发展有限公司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西安卓新数码科技有限公司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西安完美空间职业技能培训学校</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上海昊育信息技术有限公司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上海安逆杰信息技术有限公司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沈阳磐岳网络科技有限公司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创思兰博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科技股份有限公司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上海翡翠职业技能培训学校</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天津卓运天成科技有限公司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上海卓雅网络科技有限公司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天津完美空间数字技术有限责任公司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杭州并轨者网络科技有限公司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安徽省智趣兰德科技有限公司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北京畅晟宏达科技有限公司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常州世宏南骏信息科技有限公司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大连中钰睿泓科技有限公司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福州点积信息科技有限公司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河北翊思卓科技有限公司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无锡市智慧天空信息科技有限公司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南昌卡戎网络科技有限公司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宁波盛逸计算机科技有限公司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盛世光影（深圳）传媒有限公司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沈阳凯宣科技有限公司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天津众云金泰科技有限公司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广州市南跃科技有限公司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南宁易达讯网络科技有限公司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山西钰陆教育科技有限公司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山西智帆教育科技有限公司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重庆阿克提吾科技有限公司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北京创意之星艺术设计有限公司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西安拓客网络科技有限公司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北京优逸睿智科技有限公司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深圳市世纪星联科技有限公司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广州市联核攻源科技有限公司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46</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湖南卓越新腾信息技术有限公司</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南京诺博连信息科技有限公司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南昌五芒星科技有限公司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青岛龙果科技技术有限公司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成都智慧创想科技有限公司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上海嗣峰网络科技有限公司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重庆卓思迅杰科技有限公司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上海犇迩网络科技有限公司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西安易创智达科技有限公司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霍尔果斯众妙合一信息技术有限公司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成都龙腾讯飞科技有限公司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贵阳华腾天创科技有限公司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济南凡格信息科技有限公司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柳州墨本科技有限公司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南京小鸡卓米网络科技有限公司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武汉创思兰博科技有限公司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郑州智世睿通软件科技有限公司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杭州果脉科技有限公司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苏州深层纬度教育科技有限公司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上海墨林教育科技有限公司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长沙翡翠网络游戏有限公司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济南迅奇网络科技有限公司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深圳市灵动空间网络科技有限公司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长春市完美空间教育科技有限公司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哈尔滨聚谦电子信息技术有限公司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重庆翊思卓科技有限公司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西安完美创意科技有限公司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广州九点网络有限公司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杭州千程万码软件有限公司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昆明添力网络科技有限公司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米果科技</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深圳凌点网络科技有限公司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大连创睿网络技术有限公司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常州网之合信息科技有限公司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河北佳岷科技有限公司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烟台丛聚网络技术有限公司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湖南正致教育科技有限公司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贺州市盛东网络科技有限公司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武汉索思艾特科技有限公司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85</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南京睿斯博信息科技有限公司</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海南翊思卓网络科技有限公司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海南完美空间网络科技有限公司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潮州市润潮陶瓷有限公司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潮州市长城世家贸易有限公司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湖北智游臻龙教育科技有限公司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南京巅峰数据服务有限公司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苏州云柯数据服务有限公司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spacing w:line="240" w:lineRule="auto" w:before="2"/>
        <w:rPr>
          <w:rFonts w:ascii="Times New Roman" w:hAnsi="Times New Roman" w:cs="Times New Roman" w:eastAsia="Times New Roman" w:hint="default"/>
          <w:sz w:val="9"/>
          <w:szCs w:val="9"/>
        </w:rPr>
      </w:pPr>
    </w:p>
    <w:p>
      <w:pPr>
        <w:pStyle w:val="Heading4"/>
        <w:spacing w:line="240" w:lineRule="auto" w:before="35"/>
        <w:ind w:right="0"/>
        <w:jc w:val="left"/>
      </w:pPr>
      <w:r>
        <w:rPr/>
        <w:t>本期不再纳入合并范围的子公司、特殊目的主体、通过委托经营或出租等方式丧失控制权的经营实体</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818"/>
        <w:gridCol w:w="4509"/>
        <w:gridCol w:w="3203"/>
      </w:tblGrid>
      <w:tr>
        <w:trPr>
          <w:trHeight w:val="356" w:hRule="exact"/>
        </w:trPr>
        <w:tc>
          <w:tcPr>
            <w:tcW w:w="8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32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8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江西联汛教育科技有限公司</w:t>
            </w:r>
          </w:p>
        </w:tc>
        <w:tc>
          <w:tcPr>
            <w:tcW w:w="32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8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新疆智游点石教育科技有限公司</w:t>
            </w:r>
          </w:p>
        </w:tc>
        <w:tc>
          <w:tcPr>
            <w:tcW w:w="32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237,290,708.69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上海哔哩哔哩科技有限公司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120,222,864.56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阳江市慧阳教育科技有限公司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33,018,867.91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信宜市教育局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29,530,309.23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抚州科融汇智教育科技有限公司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28,301,886.87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26,216,780.12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237,290,708.69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20.22%</w:t>
            </w:r>
          </w:p>
        </w:tc>
      </w:tr>
    </w:tbl>
    <w:p>
      <w:pPr>
        <w:pStyle w:val="BodyText"/>
        <w:spacing w:line="240" w:lineRule="auto" w:before="51"/>
        <w:ind w:right="0"/>
        <w:jc w:val="left"/>
      </w:pPr>
      <w:r>
        <w:rPr/>
        <w:t>主要客户其他情况说明</w:t>
      </w:r>
    </w:p>
    <w:p>
      <w:pPr>
        <w:pStyle w:val="BodyText"/>
        <w:spacing w:line="357" w:lineRule="auto" w:before="117"/>
        <w:ind w:right="9132"/>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566,837,527.90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戴尔（中国）有限公司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75,249,980.78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上海众达信息产业有限公司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42,540,988.50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潮州威龙燃气有限公司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32,947,311.13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重庆中科云从科技有限公司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29,744,884.82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广州邦讯信息系统有限公司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25,933,299.83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566,837,527.90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36.42%</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130,082,530.41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46,745,855.08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178.28%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报告期内翡翠并表影响</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102,145,957.45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54,585,854.34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报告期内翡翠并表影响</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50,313,457.00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53,051,054.75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42,415,315.22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21,405,392.57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98.15%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报告期内翡翠并表影响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322"/>
        <w:jc w:val="left"/>
      </w:pPr>
      <w:r>
        <w:rPr/>
        <w:t>√ 适用 □ 不适用 </w:t>
      </w:r>
      <w:r>
        <w:rPr>
          <w:rFonts w:ascii="宋体" w:hAnsi="宋体" w:cs="宋体" w:eastAsia="宋体" w:hint="default"/>
        </w:rPr>
        <w:t>1</w:t>
      </w:r>
      <w:r>
        <w:rPr/>
        <w:t>、陶瓷智能自动注浆技术研究</w:t>
      </w:r>
    </w:p>
    <w:p>
      <w:pPr>
        <w:pStyle w:val="BodyText"/>
        <w:spacing w:line="224" w:lineRule="exact" w:before="0"/>
        <w:ind w:right="0"/>
        <w:jc w:val="left"/>
      </w:pPr>
      <w:r>
        <w:rPr/>
        <w:t>陶瓷注浆成型工艺是陶瓷制作中一个重要手段，是一种适应性广、生产效率高的成型方法。在日用、工艺陶瓷工业中，注浆</w:t>
      </w:r>
    </w:p>
    <w:p>
      <w:pPr>
        <w:pStyle w:val="BodyText"/>
        <w:spacing w:line="316" w:lineRule="auto" w:before="76"/>
        <w:ind w:right="1130"/>
        <w:jc w:val="both"/>
      </w:pPr>
      <w:r>
        <w:rPr>
          <w:spacing w:val="-2"/>
        </w:rPr>
        <w:t>成型主要以手工完成。设备方面一般利用通用或专用的流体机械、管路元件、输送机械等来实现注浆成型的目的。所用注浆</w:t>
      </w:r>
      <w:r>
        <w:rPr>
          <w:spacing w:val="-66"/>
        </w:rPr>
        <w:t> </w:t>
      </w:r>
      <w:r>
        <w:rPr>
          <w:spacing w:val="-66"/>
        </w:rPr>
      </w:r>
      <w:r>
        <w:rPr>
          <w:spacing w:val="-2"/>
        </w:rPr>
        <w:t>成型设备主要有高位压力管道注浆成型机械、气体压力管道注浆成型机械和离心注浆机。其共同缺陷是自动化程度不高，手</w:t>
      </w:r>
      <w:r>
        <w:rPr>
          <w:spacing w:val="-66"/>
        </w:rPr>
        <w:t> </w:t>
      </w:r>
      <w:r>
        <w:rPr>
          <w:spacing w:val="-66"/>
        </w:rPr>
      </w:r>
      <w:r>
        <w:rPr>
          <w:spacing w:val="-2"/>
        </w:rPr>
        <w:t>工操作较多，整个生产过程，完全依靠经验操作，倒桨时间的长短，倒浆的手法，都会导致产品厚薄不同，重量不均，导致</w:t>
      </w:r>
      <w:r>
        <w:rPr>
          <w:spacing w:val="-72"/>
        </w:rPr>
        <w:t> </w:t>
      </w:r>
      <w:r>
        <w:rPr>
          <w:spacing w:val="-72"/>
        </w:rPr>
      </w:r>
      <w:r>
        <w:rPr>
          <w:spacing w:val="-2"/>
        </w:rPr>
        <w:t>后期烧成的成品率不高，生产效率较低，产品质量难以提高。该项目主要是把传统手工操作的注浆生产线改造为全自动机械</w:t>
      </w:r>
      <w:r>
        <w:rPr>
          <w:spacing w:val="-66"/>
        </w:rPr>
        <w:t> </w:t>
      </w:r>
      <w:r>
        <w:rPr>
          <w:spacing w:val="-66"/>
        </w:rPr>
      </w:r>
      <w:r>
        <w:rPr/>
        <w:t>注浆生产线，</w:t>
      </w:r>
      <w:r>
        <w:rPr>
          <w:spacing w:val="-9"/>
        </w:rPr>
        <w:t> </w:t>
      </w:r>
      <w:r>
        <w:rPr/>
        <w:t>并配套链式烘干机加快瓷坯干燥，经改造后，将形成一条新的自动化生产线，有助于提高企业生产自动化程</w:t>
      </w:r>
      <w:r>
        <w:rPr>
          <w:spacing w:val="-80"/>
        </w:rPr>
        <w:t> </w:t>
      </w:r>
      <w:r>
        <w:rPr>
          <w:spacing w:val="-80"/>
        </w:rPr>
      </w:r>
      <w:r>
        <w:rPr>
          <w:spacing w:val="-2"/>
        </w:rPr>
        <w:t>度、生产效率，改善产品质量，降低工人劳动强度，减少人工成本，具有显著经济效益和社会效益。技术开发工作顺利进展</w:t>
      </w:r>
      <w:r>
        <w:rPr>
          <w:spacing w:val="-68"/>
        </w:rPr>
        <w:t> </w:t>
      </w:r>
      <w:r>
        <w:rPr>
          <w:spacing w:val="-68"/>
        </w:rPr>
      </w:r>
      <w:r>
        <w:rPr/>
        <w:t>中。</w:t>
      </w:r>
    </w:p>
    <w:p>
      <w:pPr>
        <w:pStyle w:val="BodyText"/>
        <w:spacing w:line="316" w:lineRule="auto" w:before="19"/>
        <w:ind w:right="0"/>
        <w:jc w:val="left"/>
      </w:pPr>
      <w:r>
        <w:rPr>
          <w:rFonts w:ascii="宋体" w:hAnsi="宋体" w:cs="宋体" w:eastAsia="宋体" w:hint="default"/>
        </w:rPr>
        <w:t>2</w:t>
      </w:r>
      <w:r>
        <w:rPr/>
        <w:t>、</w:t>
      </w:r>
      <w:r>
        <w:rPr>
          <w:spacing w:val="-45"/>
        </w:rPr>
        <w:t> </w:t>
      </w:r>
      <w:r>
        <w:rPr/>
        <w:t>用于日用陶瓷窑变釉的制作技术研究</w:t>
      </w:r>
      <w:r>
        <w:rPr/>
        <w:t> </w:t>
      </w:r>
      <w:r>
        <w:rPr>
          <w:spacing w:val="-2"/>
        </w:rPr>
        <w:t>本项目研究一种可用于日用陶瓷的窑变釉的生产制作方法。以往的窑变釉一般用于陈设艺术陶瓷，并已取得满意的成果，但</w:t>
      </w:r>
      <w:r>
        <w:rPr>
          <w:spacing w:val="-66"/>
        </w:rPr>
        <w:t> </w:t>
      </w:r>
      <w:r>
        <w:rPr>
          <w:spacing w:val="-66"/>
        </w:rPr>
      </w:r>
      <w:r>
        <w:rPr>
          <w:spacing w:val="-2"/>
        </w:rPr>
        <w:t>艺术陶瓷与日用陶瓷有所区别，不会受与食物接触容器卫生标准等规范的限制。现在要将该技术用于日用陶瓷，则需要在保</w:t>
      </w:r>
      <w:r>
        <w:rPr>
          <w:spacing w:val="-66"/>
        </w:rPr>
        <w:t> </w:t>
      </w:r>
      <w:r>
        <w:rPr>
          <w:spacing w:val="-66"/>
        </w:rPr>
      </w:r>
      <w:r>
        <w:rPr>
          <w:spacing w:val="-2"/>
        </w:rPr>
        <w:t>持外观效果的基础上加入考虑铅、镉溶出量等是否符合日用瓷卫生标准，因此需要在原材料上进行研究。目前已完成前期研</w:t>
      </w:r>
      <w:r>
        <w:rPr>
          <w:spacing w:val="-65"/>
        </w:rPr>
        <w:t> </w:t>
      </w:r>
      <w:r>
        <w:rPr>
          <w:spacing w:val="-65"/>
        </w:rPr>
      </w:r>
      <w:r>
        <w:rPr/>
        <w:t>究工作并取得满意效果，已进入小批量试产。</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right="0"/>
        <w:jc w:val="left"/>
      </w:pPr>
      <w:r>
        <w:rPr>
          <w:rFonts w:ascii="宋体" w:hAnsi="宋体" w:cs="宋体" w:eastAsia="宋体" w:hint="default"/>
        </w:rPr>
        <w:t>3</w:t>
      </w:r>
      <w:r>
        <w:rPr/>
        <w:t>、陶瓷自动印花技术研究 </w:t>
      </w:r>
      <w:r>
        <w:rPr>
          <w:spacing w:val="-2"/>
        </w:rPr>
        <w:t>贴花陶瓷是陶瓷的一种装饰手法，因其规整度高、可批量化生产而广泛用于陶瓷生产上。但以往的陶瓷贴花工序全部是由人</w:t>
      </w:r>
      <w:r>
        <w:rPr>
          <w:spacing w:val="-66"/>
        </w:rPr>
        <w:t> </w:t>
      </w:r>
      <w:r>
        <w:rPr>
          <w:spacing w:val="-66"/>
        </w:rPr>
      </w:r>
      <w:r>
        <w:rPr>
          <w:spacing w:val="-2"/>
        </w:rPr>
        <w:t>工完成，生产效率较低，而且经常会出现较明显的接缝，特别是几何图案型的画面。采用自动印花技术代替人工贴花纸，将</w:t>
      </w:r>
      <w:r>
        <w:rPr>
          <w:spacing w:val="-66"/>
        </w:rPr>
        <w:t> </w:t>
      </w:r>
      <w:r>
        <w:rPr>
          <w:spacing w:val="-66"/>
        </w:rPr>
      </w:r>
      <w:r>
        <w:rPr>
          <w:spacing w:val="-2"/>
        </w:rPr>
        <w:t>极大提高生产效率，同时避免人工贴花纸出现接缝问题，并有效减少花纸的损耗，降低成本。目前该项技术已研发成功，可</w:t>
      </w:r>
      <w:r>
        <w:rPr>
          <w:spacing w:val="-66"/>
        </w:rPr>
        <w:t> </w:t>
      </w:r>
      <w:r>
        <w:rPr>
          <w:spacing w:val="-66"/>
        </w:rPr>
      </w:r>
      <w:r>
        <w:rPr>
          <w:spacing w:val="-2"/>
        </w:rPr>
        <w:t>用于盘、碗、杯等瓷器的内表面较平整部位的印花需要，并将继续研发用于瓷器外表面有弧度部位的印花，并逐步完善至投</w:t>
      </w:r>
      <w:r>
        <w:rPr>
          <w:spacing w:val="-66"/>
        </w:rPr>
        <w:t> </w:t>
      </w:r>
      <w:r>
        <w:rPr>
          <w:spacing w:val="-66"/>
        </w:rPr>
      </w:r>
      <w:r>
        <w:rPr/>
        <w:t>入大批量生产。</w:t>
      </w:r>
    </w:p>
    <w:p>
      <w:pPr>
        <w:pStyle w:val="BodyText"/>
        <w:spacing w:line="316" w:lineRule="auto" w:before="19"/>
        <w:ind w:right="0"/>
        <w:jc w:val="left"/>
      </w:pPr>
      <w:r>
        <w:rPr>
          <w:rFonts w:ascii="宋体" w:hAnsi="宋体" w:cs="宋体" w:eastAsia="宋体" w:hint="default"/>
        </w:rPr>
        <w:t>4</w:t>
      </w:r>
      <w:r>
        <w:rPr/>
        <w:t>、瓷板画立体雕刻技术研究 </w:t>
      </w:r>
      <w:r>
        <w:rPr>
          <w:spacing w:val="-2"/>
        </w:rPr>
        <w:t>瓷板画作为陶瓷品种的一个陈设艺术种类，广泛被用于制作成相框、屏风等摆件挂件，后来更开始有用于建筑装修装饰。以</w:t>
      </w:r>
      <w:r>
        <w:rPr>
          <w:spacing w:val="-66"/>
        </w:rPr>
        <w:t> </w:t>
      </w:r>
      <w:r>
        <w:rPr>
          <w:spacing w:val="-66"/>
        </w:rPr>
      </w:r>
      <w:r>
        <w:rPr>
          <w:spacing w:val="-2"/>
        </w:rPr>
        <w:t>往的瓷板画一般都是采用贴花纸或由人工直接在瓷板上彩绘完成，缺乏凹凸立体感。而人工彩绘可以采用堆料的方式增加浮</w:t>
      </w:r>
      <w:r>
        <w:rPr>
          <w:spacing w:val="-64"/>
        </w:rPr>
        <w:t> </w:t>
      </w:r>
      <w:r>
        <w:rPr>
          <w:spacing w:val="-64"/>
        </w:rPr>
      </w:r>
      <w:r>
        <w:rPr>
          <w:spacing w:val="-2"/>
        </w:rPr>
        <w:t>雕效果，但只能在小面积的图案上显现（例如花蕊、树枝），立体效果并不明显。现采用瓷板立体雕刻技术，可将任意设计</w:t>
      </w:r>
      <w:r>
        <w:rPr>
          <w:spacing w:val="-65"/>
        </w:rPr>
        <w:t> </w:t>
      </w:r>
      <w:r>
        <w:rPr>
          <w:spacing w:val="-65"/>
        </w:rPr>
      </w:r>
      <w:r>
        <w:rPr>
          <w:spacing w:val="-2"/>
        </w:rPr>
        <w:t>好的图案在瓷板上雕刻出来，浮雕深浅自由调控，立体感明显。雕刻好的瓷板再配以彩绘，能使画面栩栩如生，具有更高的</w:t>
      </w:r>
      <w:r>
        <w:rPr>
          <w:spacing w:val="-66"/>
        </w:rPr>
        <w:t> </w:t>
      </w:r>
      <w:r>
        <w:rPr>
          <w:spacing w:val="-66"/>
        </w:rPr>
      </w:r>
      <w:r>
        <w:rPr/>
        <w:t>艺术性和欣赏性。目前已完成前期技术研究，并开始试产。</w:t>
      </w:r>
    </w:p>
    <w:p>
      <w:pPr>
        <w:pStyle w:val="BodyText"/>
        <w:spacing w:line="316" w:lineRule="auto" w:before="19"/>
        <w:ind w:right="1042"/>
        <w:jc w:val="left"/>
      </w:pPr>
      <w:r>
        <w:rPr>
          <w:rFonts w:ascii="宋体" w:hAnsi="宋体" w:cs="宋体" w:eastAsia="宋体" w:hint="default"/>
        </w:rPr>
        <w:t>5</w:t>
      </w:r>
      <w:r>
        <w:rPr/>
        <w:t>、瓷板画彩色自动喷印技术研究 </w:t>
      </w:r>
      <w:r>
        <w:rPr>
          <w:spacing w:val="-2"/>
        </w:rPr>
        <w:t>瓷板画作为陶瓷品种的一个陈设艺术种类，广泛被用于制作成相框、屏风等摆件挂件，后来更开始有用于建筑装修装饰。以</w:t>
      </w:r>
      <w:r>
        <w:rPr>
          <w:spacing w:val="-66"/>
        </w:rPr>
        <w:t> </w:t>
      </w:r>
      <w:r>
        <w:rPr>
          <w:spacing w:val="-66"/>
        </w:rPr>
      </w:r>
      <w:r>
        <w:rPr>
          <w:spacing w:val="-4"/>
        </w:rPr>
        <w:t>往的瓷板画一般都是采用贴花纸或由人工直接在瓷板上彩绘完成，贴花纸或彩绘后需要再经过经过一次煅烧，且生产效率慢，</w:t>
      </w:r>
      <w:r>
        <w:rPr>
          <w:spacing w:val="-44"/>
        </w:rPr>
        <w:t> </w:t>
      </w:r>
      <w:r>
        <w:rPr>
          <w:spacing w:val="-44"/>
        </w:rPr>
      </w:r>
      <w:r>
        <w:rPr>
          <w:spacing w:val="-2"/>
        </w:rPr>
        <w:t>色彩也鲜艳程度、饱和度、立体感等都不是很强烈。现采用电脑辅助设计，并与大型瓷板彩色打印设备连接，可解决上述问</w:t>
      </w:r>
      <w:r>
        <w:rPr>
          <w:spacing w:val="-66"/>
        </w:rPr>
        <w:t> </w:t>
      </w:r>
      <w:r>
        <w:rPr>
          <w:spacing w:val="-66"/>
        </w:rPr>
      </w:r>
      <w:r>
        <w:rPr/>
        <w:t>题，配以瓷板立体雕刻技术，更能使瓷板画具有更高的艺术性和欣赏性。项目目前还在试运行阶段。 </w:t>
      </w:r>
      <w:r>
        <w:rPr>
          <w:rFonts w:ascii="宋体" w:hAnsi="宋体" w:cs="宋体" w:eastAsia="宋体" w:hint="default"/>
        </w:rPr>
        <w:t>6</w:t>
      </w:r>
      <w:r>
        <w:rPr/>
        <w:t>、陶瓷生产综合信息技术研究 </w:t>
      </w:r>
      <w:r>
        <w:rPr>
          <w:spacing w:val="-2"/>
        </w:rPr>
        <w:t>采用无线网络通讯技术，开发无线远程数据采集系统，建立数据服务云平台，在此平台上开发了具有数据分析和故障诊断功</w:t>
      </w:r>
      <w:r>
        <w:rPr>
          <w:spacing w:val="-66"/>
        </w:rPr>
        <w:t> </w:t>
      </w:r>
      <w:r>
        <w:rPr>
          <w:spacing w:val="-66"/>
        </w:rPr>
      </w:r>
      <w:r>
        <w:rPr>
          <w:spacing w:val="-2"/>
        </w:rPr>
        <w:t>能的生产智能管理系统，利用该系统可以提供能源管理、碳排放管理、温室气体排放管理、大气污染物在线监测、设备实时</w:t>
      </w:r>
      <w:r>
        <w:rPr>
          <w:spacing w:val="-66"/>
        </w:rPr>
        <w:t> </w:t>
      </w:r>
      <w:r>
        <w:rPr>
          <w:spacing w:val="-66"/>
        </w:rPr>
      </w:r>
      <w:r>
        <w:rPr>
          <w:spacing w:val="-2"/>
        </w:rPr>
        <w:t>监控等全方位多样化的服务，为实施节能考核、能耗统计、能效评估、绩效考核等提供准确、可靠的数据，使企业准确合理</w:t>
      </w:r>
      <w:r>
        <w:rPr>
          <w:spacing w:val="-68"/>
        </w:rPr>
        <w:t> </w:t>
      </w:r>
      <w:r>
        <w:rPr>
          <w:spacing w:val="-68"/>
        </w:rPr>
      </w:r>
      <w:r>
        <w:rPr>
          <w:spacing w:val="-2"/>
        </w:rPr>
        <w:t>地分析、评价自身的能源利用状况和各项指标，从而降低单位产品的能源消耗、提高能源的利用效率，降低生产成本，提高</w:t>
      </w:r>
      <w:r>
        <w:rPr>
          <w:spacing w:val="-66"/>
        </w:rPr>
        <w:t> </w:t>
      </w:r>
      <w:r>
        <w:rPr>
          <w:spacing w:val="-66"/>
        </w:rPr>
      </w:r>
      <w:r>
        <w:rPr/>
        <w:t>经济效益。技术开发工作顺利进展中。</w:t>
      </w:r>
    </w:p>
    <w:p>
      <w:pPr>
        <w:pStyle w:val="BodyText"/>
        <w:spacing w:line="240" w:lineRule="auto" w:before="19"/>
        <w:ind w:right="0"/>
        <w:jc w:val="left"/>
      </w:pPr>
      <w:r>
        <w:rPr>
          <w:rFonts w:ascii="宋体" w:hAnsi="宋体" w:cs="宋体" w:eastAsia="宋体" w:hint="default"/>
        </w:rPr>
        <w:t>7</w:t>
      </w:r>
      <w:r>
        <w:rPr/>
        <w:t>、透水陶瓷板及其制备方法研究</w:t>
      </w:r>
    </w:p>
    <w:p>
      <w:pPr>
        <w:pStyle w:val="BodyText"/>
        <w:spacing w:line="316" w:lineRule="auto" w:before="76"/>
        <w:ind w:right="1042"/>
        <w:jc w:val="left"/>
      </w:pPr>
      <w:r>
        <w:rPr/>
        <w:t>陶瓷行业是一个资源消耗大户。以潮州为例，每年待处理的废陶瓷碎片不少于</w:t>
      </w:r>
      <w:r>
        <w:rPr>
          <w:spacing w:val="-12"/>
        </w:rPr>
        <w:t> </w:t>
      </w:r>
      <w:r>
        <w:rPr>
          <w:rFonts w:ascii="宋体" w:hAnsi="宋体" w:cs="宋体" w:eastAsia="宋体" w:hint="default"/>
          <w:spacing w:val="-3"/>
        </w:rPr>
        <w:t>3</w:t>
      </w:r>
      <w:r>
        <w:rPr>
          <w:spacing w:val="-3"/>
        </w:rPr>
        <w:t>万吨。如果能把这些都充分利用起来，对社</w:t>
      </w:r>
      <w:r>
        <w:rPr/>
        <w:t> </w:t>
      </w:r>
      <w:r>
        <w:rPr>
          <w:spacing w:val="-2"/>
        </w:rPr>
        <w:t>会经济的发展将起到积极的作用。因此提供一种适用于城市广场路面和行人便道的环保型绿色建筑材料，对建筑垃圾的利用</w:t>
      </w:r>
      <w:r>
        <w:rPr>
          <w:spacing w:val="-64"/>
        </w:rPr>
        <w:t> </w:t>
      </w:r>
      <w:r>
        <w:rPr>
          <w:spacing w:val="-64"/>
        </w:rPr>
      </w:r>
      <w:r>
        <w:rPr>
          <w:spacing w:val="-2"/>
        </w:rPr>
        <w:t>和地下水位的保持有重大意义。陶瓷透水砖作为兼有节水和治理污染双重功能的新型建筑装饰材料而备受关注。项目主要是</w:t>
      </w:r>
      <w:r>
        <w:rPr>
          <w:spacing w:val="-64"/>
        </w:rPr>
        <w:t> </w:t>
      </w:r>
      <w:r>
        <w:rPr>
          <w:spacing w:val="-64"/>
        </w:rPr>
      </w:r>
      <w:r>
        <w:rPr/>
        <w:t>提供一种透水陶瓷板及其制备方法，该透水陶瓷板，其特征在于，按质量百分比计，包括如下物质：废瓷</w:t>
      </w:r>
      <w:r>
        <w:rPr>
          <w:rFonts w:ascii="宋体" w:hAnsi="宋体" w:cs="宋体" w:eastAsia="宋体" w:hint="default"/>
        </w:rPr>
        <w:t>A</w:t>
      </w:r>
      <w:r>
        <w:rPr>
          <w:rFonts w:ascii="宋体" w:hAnsi="宋体" w:cs="宋体" w:eastAsia="宋体" w:hint="default"/>
          <w:spacing w:val="-58"/>
        </w:rPr>
        <w:t> </w:t>
      </w:r>
      <w:r>
        <w:rPr>
          <w:rFonts w:ascii="宋体" w:hAnsi="宋体" w:cs="宋体" w:eastAsia="宋体" w:hint="default"/>
        </w:rPr>
        <w:t>45%~52%</w:t>
      </w:r>
      <w:r>
        <w:rPr/>
        <w:t>；废瓷</w:t>
      </w:r>
      <w:r>
        <w:rPr>
          <w:rFonts w:ascii="宋体" w:hAnsi="宋体" w:cs="宋体" w:eastAsia="宋体" w:hint="default"/>
        </w:rPr>
        <w:t>B 30%~40%</w:t>
      </w:r>
      <w:r>
        <w:rPr/>
        <w:t>；高温粘结剂</w:t>
      </w:r>
      <w:r>
        <w:rPr>
          <w:rFonts w:ascii="宋体" w:hAnsi="宋体" w:cs="宋体" w:eastAsia="宋体" w:hint="default"/>
        </w:rPr>
        <w:t>6%~8%</w:t>
      </w:r>
      <w:r>
        <w:rPr/>
        <w:t>；</w:t>
      </w:r>
      <w:r>
        <w:rPr>
          <w:rFonts w:ascii="宋体" w:hAnsi="宋体" w:cs="宋体" w:eastAsia="宋体" w:hint="default"/>
        </w:rPr>
        <w:t>CMC</w:t>
      </w:r>
      <w:r>
        <w:rPr>
          <w:rFonts w:ascii="宋体" w:hAnsi="宋体" w:cs="宋体" w:eastAsia="宋体" w:hint="default"/>
          <w:spacing w:val="-50"/>
        </w:rPr>
        <w:t> </w:t>
      </w:r>
      <w:r>
        <w:rPr>
          <w:rFonts w:ascii="宋体" w:hAnsi="宋体" w:cs="宋体" w:eastAsia="宋体" w:hint="default"/>
        </w:rPr>
        <w:t>3%~4%</w:t>
      </w:r>
      <w:r>
        <w:rPr/>
        <w:t>；稻谷壳</w:t>
      </w:r>
      <w:r>
        <w:rPr>
          <w:spacing w:val="-9"/>
        </w:rPr>
        <w:t> </w:t>
      </w:r>
      <w:r>
        <w:rPr>
          <w:rFonts w:ascii="宋体" w:hAnsi="宋体" w:cs="宋体" w:eastAsia="宋体" w:hint="default"/>
        </w:rPr>
        <w:t>5%~6%</w:t>
      </w:r>
      <w:r>
        <w:rPr/>
        <w:t>；米粉</w:t>
      </w:r>
      <w:r>
        <w:rPr>
          <w:spacing w:val="-10"/>
        </w:rPr>
        <w:t> </w:t>
      </w:r>
      <w:r>
        <w:rPr>
          <w:rFonts w:ascii="宋体" w:hAnsi="宋体" w:cs="宋体" w:eastAsia="宋体" w:hint="default"/>
        </w:rPr>
        <w:t>3%~4%</w:t>
      </w:r>
      <w:r>
        <w:rPr/>
        <w:t>。所得产品可起到补充地下水</w:t>
      </w:r>
      <w:r>
        <w:rPr>
          <w:rFonts w:ascii="宋体" w:hAnsi="宋体" w:cs="宋体" w:eastAsia="宋体" w:hint="default"/>
        </w:rPr>
        <w:t>,</w:t>
      </w:r>
      <w:r>
        <w:rPr>
          <w:rFonts w:ascii="宋体" w:hAnsi="宋体" w:cs="宋体" w:eastAsia="宋体" w:hint="default"/>
          <w:spacing w:val="-9"/>
        </w:rPr>
        <w:t> </w:t>
      </w:r>
      <w:r>
        <w:rPr/>
        <w:t>调节空气湿度、温度</w:t>
      </w:r>
      <w:r>
        <w:rPr>
          <w:rFonts w:ascii="宋体" w:hAnsi="宋体" w:cs="宋体" w:eastAsia="宋体" w:hint="default"/>
        </w:rPr>
        <w:t>, </w:t>
      </w:r>
      <w:r>
        <w:rPr/>
        <w:t>吸收城市噪音污染</w:t>
      </w:r>
      <w:r>
        <w:rPr>
          <w:rFonts w:ascii="宋体" w:hAnsi="宋体" w:cs="宋体" w:eastAsia="宋体" w:hint="default"/>
        </w:rPr>
        <w:t>,</w:t>
      </w:r>
      <w:r>
        <w:rPr>
          <w:rFonts w:ascii="宋体" w:hAnsi="宋体" w:cs="宋体" w:eastAsia="宋体" w:hint="default"/>
          <w:spacing w:val="3"/>
        </w:rPr>
        <w:t> </w:t>
      </w:r>
      <w:r>
        <w:rPr/>
        <w:t>方便行人特别是雨季行走等多种功能</w:t>
      </w:r>
      <w:r>
        <w:rPr>
          <w:rFonts w:ascii="宋体" w:hAnsi="宋体" w:cs="宋体" w:eastAsia="宋体" w:hint="default"/>
        </w:rPr>
        <w:t>,</w:t>
      </w:r>
      <w:r>
        <w:rPr>
          <w:rFonts w:ascii="宋体" w:hAnsi="宋体" w:cs="宋体" w:eastAsia="宋体" w:hint="default"/>
          <w:spacing w:val="3"/>
        </w:rPr>
        <w:t> </w:t>
      </w:r>
      <w:r>
        <w:rPr/>
        <w:t>还能改善人们的居住环境</w:t>
      </w:r>
      <w:r>
        <w:rPr>
          <w:rFonts w:ascii="宋体" w:hAnsi="宋体" w:cs="宋体" w:eastAsia="宋体" w:hint="default"/>
        </w:rPr>
        <w:t>,</w:t>
      </w:r>
      <w:r>
        <w:rPr>
          <w:rFonts w:ascii="宋体" w:hAnsi="宋体" w:cs="宋体" w:eastAsia="宋体" w:hint="default"/>
          <w:spacing w:val="3"/>
        </w:rPr>
        <w:t> </w:t>
      </w:r>
      <w:r>
        <w:rPr>
          <w:spacing w:val="-6"/>
        </w:rPr>
        <w:t>提高生活质量。同时所得陶瓷透水砖</w:t>
      </w:r>
      <w:r>
        <w:rPr>
          <w:spacing w:val="-87"/>
        </w:rPr>
        <w:t> </w:t>
      </w:r>
      <w:r>
        <w:rPr>
          <w:spacing w:val="-87"/>
        </w:rPr>
      </w:r>
      <w:r>
        <w:rPr/>
        <w:t>以废瓷为主要原料</w:t>
      </w:r>
      <w:r>
        <w:rPr>
          <w:rFonts w:ascii="宋体" w:hAnsi="宋体" w:cs="宋体" w:eastAsia="宋体" w:hint="default"/>
        </w:rPr>
        <w:t>, </w:t>
      </w:r>
      <w:r>
        <w:rPr/>
        <w:t>减少了废瓷堆放对环境的影响</w:t>
      </w:r>
      <w:r>
        <w:rPr>
          <w:rFonts w:ascii="宋体" w:hAnsi="宋体" w:cs="宋体" w:eastAsia="宋体" w:hint="default"/>
        </w:rPr>
        <w:t>, </w:t>
      </w:r>
      <w:r>
        <w:rPr/>
        <w:t>使资源得以再利用</w:t>
      </w:r>
      <w:r>
        <w:rPr>
          <w:rFonts w:ascii="宋体" w:hAnsi="宋体" w:cs="宋体" w:eastAsia="宋体" w:hint="default"/>
        </w:rPr>
        <w:t>, </w:t>
      </w:r>
      <w:r>
        <w:rPr/>
        <w:t>节约了资源。该项目研发工作正在顺利进行中。 </w:t>
      </w:r>
      <w:r>
        <w:rPr>
          <w:rFonts w:ascii="宋体" w:hAnsi="宋体" w:cs="宋体" w:eastAsia="宋体" w:hint="default"/>
        </w:rPr>
        <w:t>8</w:t>
      </w:r>
      <w:r>
        <w:rPr/>
        <w:t>、全自动陶瓷酒瓶注浆线技术研发 </w:t>
      </w:r>
      <w:r>
        <w:rPr>
          <w:spacing w:val="-2"/>
        </w:rPr>
        <w:t>全自动陶瓷酒瓶注浆生产线采用立式循环工作方式，完成坯体注浆成型过程。具有自动注浆功能，注浆量精确可调，注浆头</w:t>
      </w:r>
      <w:r>
        <w:rPr>
          <w:spacing w:val="-66"/>
        </w:rPr>
        <w:t> </w:t>
      </w:r>
      <w:r>
        <w:rPr>
          <w:spacing w:val="-66"/>
        </w:rPr>
      </w:r>
      <w:r>
        <w:rPr>
          <w:spacing w:val="-5"/>
        </w:rPr>
        <w:t>可单独控制、调整。自动温控功能，循环回风温度可在室温～</w:t>
      </w:r>
      <w:r>
        <w:rPr>
          <w:rFonts w:ascii="宋体" w:hAnsi="宋体" w:cs="宋体" w:eastAsia="宋体" w:hint="default"/>
          <w:spacing w:val="-5"/>
        </w:rPr>
        <w:t>80</w:t>
      </w:r>
      <w:r>
        <w:rPr>
          <w:spacing w:val="-5"/>
        </w:rPr>
        <w:t>℃范围任意设定。自动倒浆功能，倒浆角度可调（</w:t>
      </w:r>
      <w:r>
        <w:rPr>
          <w:rFonts w:ascii="宋体" w:hAnsi="宋体" w:cs="宋体" w:eastAsia="宋体" w:hint="default"/>
          <w:spacing w:val="-5"/>
        </w:rPr>
        <w:t>0</w:t>
      </w:r>
      <w:r>
        <w:rPr>
          <w:spacing w:val="-5"/>
        </w:rPr>
        <w:t>～</w:t>
      </w:r>
      <w:r>
        <w:rPr>
          <w:rFonts w:ascii="宋体" w:hAnsi="宋体" w:cs="宋体" w:eastAsia="宋体" w:hint="default"/>
          <w:spacing w:val="-5"/>
        </w:rPr>
        <w:t>90</w:t>
      </w:r>
      <w:r>
        <w:rPr>
          <w:spacing w:val="-5"/>
        </w:rPr>
        <w:t>°），</w:t>
      </w:r>
      <w:r>
        <w:rPr>
          <w:spacing w:val="-64"/>
        </w:rPr>
        <w:t> </w:t>
      </w:r>
      <w:r>
        <w:rPr>
          <w:spacing w:val="-64"/>
        </w:rPr>
      </w:r>
      <w:r>
        <w:rPr>
          <w:spacing w:val="-2"/>
        </w:rPr>
        <w:t>两次倒浆，倒浆彻底，倒浆时间可调（</w:t>
      </w:r>
      <w:r>
        <w:rPr>
          <w:rFonts w:ascii="宋体" w:hAnsi="宋体" w:cs="宋体" w:eastAsia="宋体" w:hint="default"/>
          <w:spacing w:val="-2"/>
        </w:rPr>
        <w:t>0</w:t>
      </w:r>
      <w:r>
        <w:rPr>
          <w:spacing w:val="-2"/>
        </w:rPr>
        <w:t>～</w:t>
      </w:r>
      <w:r>
        <w:rPr>
          <w:rFonts w:ascii="宋体" w:hAnsi="宋体" w:cs="宋体" w:eastAsia="宋体" w:hint="default"/>
          <w:spacing w:val="-2"/>
        </w:rPr>
        <w:t>999</w:t>
      </w:r>
      <w:r>
        <w:rPr>
          <w:spacing w:val="-2"/>
        </w:rPr>
        <w:t>秒）。该酒瓶注浆生产线同时利用余热回收技术及链式干燥线等设备，形成一</w:t>
      </w:r>
      <w:r>
        <w:rPr>
          <w:spacing w:val="-61"/>
        </w:rPr>
        <w:t> </w:t>
      </w:r>
      <w:r>
        <w:rPr>
          <w:spacing w:val="-61"/>
        </w:rPr>
      </w:r>
      <w:r>
        <w:rPr>
          <w:spacing w:val="-2"/>
        </w:rPr>
        <w:t>套可提高自动化程度、生产效率和产品成品率，减少人工及劳动强度，降低人工成本的自动化注浆成型生产线。通过将原先</w:t>
      </w:r>
      <w:r>
        <w:rPr>
          <w:spacing w:val="-66"/>
        </w:rPr>
        <w:t> </w:t>
      </w:r>
      <w:r>
        <w:rPr>
          <w:spacing w:val="-66"/>
        </w:rPr>
      </w:r>
      <w:r>
        <w:rPr>
          <w:spacing w:val="-2"/>
        </w:rPr>
        <w:t>手工注浆改造为自动注浆，酒瓶瓷坯不再因倒桨时间的长短以及倒浆的手法的不同而影响酒瓶的厚薄不同，重量不均，从而</w:t>
      </w:r>
      <w:r>
        <w:rPr>
          <w:spacing w:val="-66"/>
        </w:rPr>
        <w:t> </w:t>
      </w:r>
      <w:r>
        <w:rPr>
          <w:spacing w:val="-66"/>
        </w:rPr>
      </w:r>
      <w:r>
        <w:rPr>
          <w:spacing w:val="-2"/>
        </w:rPr>
        <w:t>提高后期产品烧成的成品率，可精确控制瓷坯厚度和重量，使产品生产效率和产品品质大幅度提升。技术开发工作顺利进展</w:t>
      </w:r>
      <w:r>
        <w:rPr>
          <w:spacing w:val="-66"/>
        </w:rPr>
        <w:t> </w:t>
      </w:r>
      <w:r>
        <w:rPr>
          <w:spacing w:val="-66"/>
        </w:rPr>
      </w:r>
      <w:r>
        <w:rPr/>
        <w:t>中。</w:t>
      </w:r>
    </w:p>
    <w:p>
      <w:pPr>
        <w:pStyle w:val="BodyText"/>
        <w:spacing w:line="338" w:lineRule="auto" w:before="59"/>
        <w:ind w:right="1122"/>
        <w:jc w:val="left"/>
      </w:pPr>
      <w:r>
        <w:rPr>
          <w:rFonts w:ascii="宋体" w:hAnsi="宋体" w:cs="宋体" w:eastAsia="宋体" w:hint="default"/>
        </w:rPr>
        <w:t>9</w:t>
      </w:r>
      <w:r>
        <w:rPr/>
        <w:t>、现代陶瓷窑炉节能技术研发 陶瓷制造业是能耗大户，能耗在陶瓷生产成本中占</w:t>
      </w:r>
      <w:r>
        <w:rPr>
          <w:rFonts w:ascii="宋体" w:hAnsi="宋体" w:cs="宋体" w:eastAsia="宋体" w:hint="default"/>
        </w:rPr>
        <w:t>35%</w:t>
      </w:r>
      <w:r>
        <w:rPr/>
        <w:t>以上，近年来能源价格不断上升，导致陶瓷企业成本不断增加。通过</w:t>
      </w:r>
      <w:r>
        <w:rPr>
          <w:spacing w:val="-82"/>
        </w:rPr>
        <w:t> </w:t>
      </w:r>
      <w:r>
        <w:rPr>
          <w:spacing w:val="-82"/>
        </w:rPr>
      </w:r>
      <w:r>
        <w:rPr>
          <w:spacing w:val="-2"/>
        </w:rPr>
        <w:t>本项目的技术改造，达到促进节能减排和降本增效目的。为进一步开展节能减排的目标，将现有</w:t>
      </w:r>
      <w:r>
        <w:rPr>
          <w:rFonts w:ascii="宋体" w:hAnsi="宋体" w:cs="宋体" w:eastAsia="宋体" w:hint="default"/>
          <w:spacing w:val="-2"/>
        </w:rPr>
        <w:t>2</w:t>
      </w:r>
      <w:r>
        <w:rPr>
          <w:spacing w:val="-2"/>
        </w:rPr>
        <w:t>条传统梭式窑改造为</w:t>
      </w:r>
      <w:r>
        <w:rPr>
          <w:rFonts w:ascii="宋体" w:hAnsi="宋体" w:cs="宋体" w:eastAsia="宋体" w:hint="default"/>
          <w:spacing w:val="-2"/>
        </w:rPr>
        <w:t>1</w:t>
      </w:r>
      <w:r>
        <w:rPr>
          <w:spacing w:val="-2"/>
        </w:rPr>
        <w:t>条辊</w:t>
      </w:r>
    </w:p>
    <w:p>
      <w:pPr>
        <w:pStyle w:val="BodyText"/>
        <w:spacing w:line="316" w:lineRule="auto" w:before="2"/>
        <w:ind w:right="1122"/>
        <w:jc w:val="left"/>
      </w:pPr>
      <w:r>
        <w:rPr>
          <w:spacing w:val="-2"/>
        </w:rPr>
        <w:t>道窑，该辊道窑可按照产品器型、规格的特点分门别类进行烧成工艺改造。梭式窑由于间歇操作，热损失较大，其热效率不</w:t>
      </w:r>
      <w:r>
        <w:rPr>
          <w:spacing w:val="-66"/>
        </w:rPr>
        <w:t> </w:t>
      </w:r>
      <w:r>
        <w:rPr>
          <w:spacing w:val="-66"/>
        </w:rPr>
      </w:r>
      <w:r>
        <w:rPr/>
        <w:t>高，而该辊道窑可大幅度提高热效率。同时将新窑炉余热进行回收，主要应用于一下几个环节：</w:t>
      </w:r>
      <w:r>
        <w:rPr>
          <w:rFonts w:ascii="宋体" w:hAnsi="宋体" w:cs="宋体" w:eastAsia="宋体" w:hint="default"/>
        </w:rPr>
        <w:t>1</w:t>
      </w:r>
      <w:r>
        <w:rPr/>
        <w:t>、取代过去使用燃气的干</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right="1032"/>
        <w:jc w:val="left"/>
      </w:pPr>
      <w:r>
        <w:rPr>
          <w:spacing w:val="-2"/>
        </w:rPr>
        <w:t>燥房</w:t>
      </w:r>
      <w:r>
        <w:rPr>
          <w:rFonts w:ascii="宋体" w:hAnsi="宋体" w:cs="宋体" w:eastAsia="宋体" w:hint="default"/>
          <w:spacing w:val="-2"/>
        </w:rPr>
        <w:t>,</w:t>
      </w:r>
      <w:r>
        <w:rPr>
          <w:spacing w:val="-2"/>
        </w:rPr>
        <w:t>与公司最新引进的</w:t>
      </w:r>
      <w:r>
        <w:rPr>
          <w:rFonts w:ascii="宋体" w:hAnsi="宋体" w:cs="宋体" w:eastAsia="宋体" w:hint="default"/>
          <w:spacing w:val="-2"/>
        </w:rPr>
        <w:t>2</w:t>
      </w:r>
      <w:r>
        <w:rPr>
          <w:spacing w:val="-2"/>
        </w:rPr>
        <w:t>条自动注浆线、链式干燥线结合，以全自动流水作业完成注浆、成型及烘干等工序，烘干成型后的</w:t>
      </w:r>
      <w:r>
        <w:rPr>
          <w:spacing w:val="-64"/>
        </w:rPr>
        <w:t> </w:t>
      </w:r>
      <w:r>
        <w:rPr>
          <w:spacing w:val="-64"/>
        </w:rPr>
      </w:r>
      <w:r>
        <w:rPr/>
        <w:t>瓷坯全部使用电窑炉的烟气和热风取代液化石油气，不仅提高生产效率和产品质量，同时可节约干燥房使用的液化石油气， 达到安全环保，节能减排的良好经济效益和社会效益。</w:t>
      </w:r>
      <w:r>
        <w:rPr>
          <w:rFonts w:ascii="宋体" w:hAnsi="宋体" w:cs="宋体" w:eastAsia="宋体" w:hint="default"/>
        </w:rPr>
        <w:t>2</w:t>
      </w:r>
      <w:r>
        <w:rPr/>
        <w:t>、自动注浆线改造项目主要是把传统手工操作的注浆生产线改造为</w:t>
      </w:r>
      <w:r>
        <w:rPr>
          <w:spacing w:val="-82"/>
        </w:rPr>
        <w:t> </w:t>
      </w:r>
      <w:r>
        <w:rPr>
          <w:spacing w:val="-82"/>
        </w:rPr>
      </w:r>
      <w:r>
        <w:rPr>
          <w:spacing w:val="-2"/>
        </w:rPr>
        <w:t>全自动机械注浆生产线，并配套链式烘干机加快瓷坯干燥，经改造后，将形成一条新的自动化生产线，有助于提高企业生产</w:t>
      </w:r>
      <w:r>
        <w:rPr>
          <w:spacing w:val="-66"/>
        </w:rPr>
        <w:t> </w:t>
      </w:r>
      <w:r>
        <w:rPr>
          <w:spacing w:val="-66"/>
        </w:rPr>
      </w:r>
      <w:r>
        <w:rPr/>
        <w:t>自动化程度、生产效率，改善产品质量，降低工人劳动强度，减少人工成本，具有显著经济效益和社会效益。</w:t>
      </w:r>
      <w:r>
        <w:rPr>
          <w:rFonts w:ascii="宋体" w:hAnsi="宋体" w:cs="宋体" w:eastAsia="宋体" w:hint="default"/>
        </w:rPr>
        <w:t>3</w:t>
      </w:r>
      <w:r>
        <w:rPr/>
        <w:t>、利用换热</w:t>
      </w:r>
      <w:r>
        <w:rPr>
          <w:spacing w:val="-81"/>
        </w:rPr>
        <w:t> </w:t>
      </w:r>
      <w:r>
        <w:rPr/>
        <w:t>器充分回收窑炉的余热，进一步提高能源综合利用率。技术开发工作顺利进展中。</w:t>
      </w:r>
    </w:p>
    <w:p>
      <w:pPr>
        <w:pStyle w:val="BodyText"/>
        <w:spacing w:line="338" w:lineRule="auto" w:before="59"/>
        <w:ind w:right="1032"/>
        <w:jc w:val="left"/>
      </w:pPr>
      <w:r>
        <w:rPr>
          <w:rFonts w:ascii="宋体" w:hAnsi="宋体" w:cs="宋体" w:eastAsia="宋体" w:hint="default"/>
        </w:rPr>
        <w:t>10</w:t>
      </w:r>
      <w:r>
        <w:rPr/>
        <w:t>、加水分解法制备纳米氧化锆粉体研发 采用水热法制备氧化锆粉体的方法，技术路线为以氯氧锆为原料，氯化钇为稳定剂，经溶解过滤后配制成一定浓度的溶液， </w:t>
      </w:r>
      <w:r>
        <w:rPr>
          <w:spacing w:val="-2"/>
        </w:rPr>
        <w:t>加入少量分散剂和抗老化剂氧化铝，以氨水作为沉淀剂，滴加氨水至溶液</w:t>
      </w:r>
      <w:r>
        <w:rPr>
          <w:rFonts w:ascii="宋体" w:hAnsi="宋体" w:cs="宋体" w:eastAsia="宋体" w:hint="default"/>
          <w:spacing w:val="-2"/>
        </w:rPr>
        <w:t>pH</w:t>
      </w:r>
      <w:r>
        <w:rPr>
          <w:spacing w:val="-2"/>
        </w:rPr>
        <w:t>值为一定值，然后均化和陈化一定时间，将其固</w:t>
      </w:r>
    </w:p>
    <w:p>
      <w:pPr>
        <w:pStyle w:val="BodyText"/>
        <w:spacing w:line="316" w:lineRule="auto" w:before="2"/>
        <w:ind w:right="1042"/>
        <w:jc w:val="left"/>
      </w:pPr>
      <w:r>
        <w:rPr>
          <w:spacing w:val="-4"/>
        </w:rPr>
        <w:t>液分离，并洗涤凝胶去除杂质离子，将氢氧化锆凝胶移至水热釜中，在适当的水热参数下作溶解，结晶成氧化锆晶体并长大。</w:t>
      </w:r>
      <w:r>
        <w:rPr>
          <w:spacing w:val="-46"/>
        </w:rPr>
        <w:t> </w:t>
      </w:r>
      <w:r>
        <w:rPr>
          <w:spacing w:val="-46"/>
        </w:rPr>
      </w:r>
      <w:r>
        <w:rPr>
          <w:spacing w:val="-2"/>
        </w:rPr>
        <w:t>水热反应后，将其经洗涤，干燥，煅烧制得氧化锆粉体。粉体经表征测试达到预期目标后，再经造粒、成型、烧结成高附加</w:t>
      </w:r>
      <w:r>
        <w:rPr>
          <w:spacing w:val="-72"/>
        </w:rPr>
        <w:t> </w:t>
      </w:r>
      <w:r>
        <w:rPr>
          <w:spacing w:val="-72"/>
        </w:rPr>
      </w:r>
      <w:r>
        <w:rPr>
          <w:spacing w:val="-2"/>
        </w:rPr>
        <w:t>值、高性能氧化锆产品如超高压泵氧化锆活塞、激光焊接用高温高压气体氧化锆喷头以及氧化锆轴承。技术开发工作顺利进</w:t>
      </w:r>
      <w:r>
        <w:rPr>
          <w:spacing w:val="-66"/>
        </w:rPr>
        <w:t> </w:t>
      </w:r>
      <w:r>
        <w:rPr>
          <w:spacing w:val="-66"/>
        </w:rPr>
      </w:r>
      <w:r>
        <w:rPr/>
        <w:t>展中。</w:t>
      </w:r>
    </w:p>
    <w:p>
      <w:pPr>
        <w:pStyle w:val="BodyText"/>
        <w:spacing w:line="316" w:lineRule="auto" w:before="19"/>
        <w:ind w:right="1118"/>
        <w:jc w:val="left"/>
      </w:pPr>
      <w:r>
        <w:rPr>
          <w:rFonts w:ascii="宋体" w:hAnsi="宋体" w:cs="宋体" w:eastAsia="宋体" w:hint="default"/>
        </w:rPr>
        <w:t>11</w:t>
      </w:r>
      <w:r>
        <w:rPr/>
        <w:t>、基于云计算和大数据的智能门禁系统研究 </w:t>
      </w:r>
      <w:r>
        <w:rPr>
          <w:spacing w:val="-2"/>
        </w:rPr>
        <w:t>通过对当代门禁系统发展概况和技术的研究，本项目提出一种基于云计算和大数据的智能门禁系统，整套系统包括了考勤前</w:t>
      </w:r>
      <w:r>
        <w:rPr>
          <w:spacing w:val="-64"/>
        </w:rPr>
        <w:t> </w:t>
      </w:r>
      <w:r>
        <w:rPr>
          <w:spacing w:val="-64"/>
        </w:rPr>
      </w:r>
      <w:r>
        <w:rPr>
          <w:spacing w:val="-2"/>
        </w:rPr>
        <w:t>度、智能门禁系统云平台和智能查询终端等组成，其中考勤端采用</w:t>
      </w:r>
      <w:r>
        <w:rPr>
          <w:rFonts w:ascii="宋体" w:hAnsi="宋体" w:cs="宋体" w:eastAsia="宋体" w:hint="default"/>
          <w:spacing w:val="-2"/>
        </w:rPr>
        <w:t>2.4G</w:t>
      </w:r>
      <w:r>
        <w:rPr>
          <w:spacing w:val="-2"/>
        </w:rPr>
        <w:t>地感系统或者门禁通道系统；智能门禁系统云平台功</w:t>
      </w:r>
      <w:r>
        <w:rPr>
          <w:spacing w:val="-62"/>
        </w:rPr>
        <w:t> </w:t>
      </w:r>
      <w:r>
        <w:rPr>
          <w:spacing w:val="-62"/>
        </w:rPr>
      </w:r>
      <w:r>
        <w:rPr>
          <w:spacing w:val="-2"/>
        </w:rPr>
        <w:t>能包括门禁设备管理、门禁配置、门禁策略和考勤数据决策分析系统，云平台包括</w:t>
      </w:r>
      <w:r>
        <w:rPr>
          <w:rFonts w:ascii="宋体" w:hAnsi="宋体" w:cs="宋体" w:eastAsia="宋体" w:hint="default"/>
          <w:spacing w:val="-2"/>
        </w:rPr>
        <w:t>IE</w:t>
      </w:r>
      <w:r>
        <w:rPr>
          <w:spacing w:val="-2"/>
        </w:rPr>
        <w:t>端和微信端；智能查询终端提供学生查</w:t>
      </w:r>
      <w:r>
        <w:rPr>
          <w:spacing w:val="-64"/>
        </w:rPr>
        <w:t> </w:t>
      </w:r>
      <w:r>
        <w:rPr>
          <w:spacing w:val="-64"/>
        </w:rPr>
      </w:r>
      <w:r>
        <w:rPr>
          <w:spacing w:val="-2"/>
        </w:rPr>
        <w:t>询考勤记录。系统与智慧教育云平台无缝对接，系统功能全面、操作简单，安全可靠，将建立区域性校园门禁考勤统一信息</w:t>
      </w:r>
      <w:r>
        <w:rPr>
          <w:spacing w:val="-66"/>
        </w:rPr>
        <w:t> </w:t>
      </w:r>
      <w:r>
        <w:rPr>
          <w:spacing w:val="-66"/>
        </w:rPr>
      </w:r>
      <w:r>
        <w:rPr>
          <w:spacing w:val="-2"/>
        </w:rPr>
        <w:t>系统。项目的成功研发将达到国内领先水平。从教育信息化的大背景来看，国家政策的鼓励，学校教师的自我提升，以及厂</w:t>
      </w:r>
      <w:r>
        <w:rPr>
          <w:spacing w:val="-66"/>
        </w:rPr>
        <w:t> </w:t>
      </w:r>
      <w:r>
        <w:rPr>
          <w:spacing w:val="-66"/>
        </w:rPr>
      </w:r>
      <w:r>
        <w:rPr>
          <w:spacing w:val="-2"/>
        </w:rPr>
        <w:t>商对市场的“跃跃欲试”，基于云计算和大数据的智能门禁系统将是未来几年乃至“十三五”期间，中国教育信息化发展的</w:t>
      </w:r>
      <w:r>
        <w:rPr>
          <w:spacing w:val="-65"/>
        </w:rPr>
        <w:t> </w:t>
      </w:r>
      <w:r>
        <w:rPr>
          <w:spacing w:val="-65"/>
        </w:rPr>
      </w:r>
      <w:r>
        <w:rPr>
          <w:spacing w:val="-2"/>
        </w:rPr>
        <w:t>主要阵地。本项目的实行将随着智慧校园云教育平台的建设广泛推广，市场前景广阔。报告期内已经完成该项目的技术开发</w:t>
      </w:r>
      <w:r>
        <w:rPr>
          <w:spacing w:val="-66"/>
        </w:rPr>
        <w:t> </w:t>
      </w:r>
      <w:r>
        <w:rPr>
          <w:spacing w:val="-66"/>
        </w:rPr>
      </w:r>
      <w:r>
        <w:rPr/>
        <w:t>工作。</w:t>
      </w:r>
    </w:p>
    <w:p>
      <w:pPr>
        <w:pStyle w:val="BodyText"/>
        <w:spacing w:line="316" w:lineRule="auto" w:before="19"/>
        <w:ind w:right="0"/>
        <w:jc w:val="left"/>
      </w:pPr>
      <w:r>
        <w:rPr>
          <w:rFonts w:ascii="宋体" w:hAnsi="宋体" w:cs="宋体" w:eastAsia="宋体" w:hint="default"/>
        </w:rPr>
        <w:t>12</w:t>
      </w:r>
      <w:r>
        <w:rPr/>
        <w:t>、基于云计算和大数据的录播系统研究 </w:t>
      </w:r>
      <w:r>
        <w:rPr>
          <w:spacing w:val="-2"/>
        </w:rPr>
        <w:t>本项目研究开发的</w:t>
      </w:r>
      <w:r>
        <w:rPr>
          <w:color w:val="181818"/>
          <w:spacing w:val="-2"/>
        </w:rPr>
        <w:t>基于云计算和大数据的录播系统解决了</w:t>
      </w:r>
      <w:r>
        <w:rPr>
          <w:spacing w:val="-2"/>
        </w:rPr>
        <w:t>区域内多教室、多信号源甚至多单位部门的录制管理问题，实现了</w:t>
      </w:r>
      <w:r>
        <w:rPr>
          <w:spacing w:val="-64"/>
        </w:rPr>
        <w:t> </w:t>
      </w:r>
      <w:r>
        <w:rPr>
          <w:spacing w:val="-64"/>
        </w:rPr>
      </w:r>
      <w:r>
        <w:rPr>
          <w:spacing w:val="-2"/>
        </w:rPr>
        <w:t>多信号录播、视频优化、云存储以及形成区域内优质教学资源大数据、资源共享及传承。项目的成功研究开发将达到国内领</w:t>
      </w:r>
      <w:r>
        <w:rPr>
          <w:spacing w:val="-66"/>
        </w:rPr>
        <w:t> </w:t>
      </w:r>
      <w:r>
        <w:rPr>
          <w:spacing w:val="-66"/>
        </w:rPr>
      </w:r>
      <w:r>
        <w:rPr/>
        <w:t>先水平。报告期内已经完成该项目的技术开发工作。</w:t>
      </w:r>
    </w:p>
    <w:p>
      <w:pPr>
        <w:pStyle w:val="BodyText"/>
        <w:spacing w:line="316" w:lineRule="auto" w:before="19"/>
        <w:ind w:right="0"/>
        <w:jc w:val="left"/>
      </w:pPr>
      <w:r>
        <w:rPr>
          <w:rFonts w:ascii="宋体" w:hAnsi="宋体" w:cs="宋体" w:eastAsia="宋体" w:hint="default"/>
        </w:rPr>
        <w:t>13</w:t>
      </w:r>
      <w:r>
        <w:rPr/>
        <w:t>、基于云计算技术的教育电视电话会议系统研究 本项目研究开发的基于云计算技术的教育电视电话会议系统为国内首个将电视电话会议系统搭建在教育云平台上的电视电</w:t>
      </w:r>
      <w:r>
        <w:rPr>
          <w:spacing w:val="-9"/>
        </w:rPr>
        <w:t> </w:t>
      </w:r>
      <w:r>
        <w:rPr>
          <w:spacing w:val="-9"/>
        </w:rPr>
      </w:r>
      <w:r>
        <w:rPr>
          <w:spacing w:val="-2"/>
        </w:rPr>
        <w:t>话会议系统，项目将利用教育部门的原有会议系统和设备，而且</w:t>
      </w:r>
      <w:r>
        <w:rPr>
          <w:rFonts w:ascii="宋体" w:hAnsi="宋体" w:cs="宋体" w:eastAsia="宋体" w:hint="default"/>
          <w:spacing w:val="-2"/>
        </w:rPr>
        <w:t>PC</w:t>
      </w:r>
      <w:r>
        <w:rPr>
          <w:spacing w:val="-2"/>
        </w:rPr>
        <w:t>客户端以及移动手机能够随时接入会议系，项目将真正实</w:t>
      </w:r>
      <w:r>
        <w:rPr>
          <w:spacing w:val="-64"/>
        </w:rPr>
        <w:t> </w:t>
      </w:r>
      <w:r>
        <w:rPr>
          <w:spacing w:val="-64"/>
        </w:rPr>
      </w:r>
      <w:r>
        <w:rPr/>
        <w:t>现随时随地的召开会议。项目的成功研究开发将达到国内领先水平。报告期内已经完成该项目的技术开发工作。 </w:t>
      </w:r>
      <w:r>
        <w:rPr>
          <w:rFonts w:ascii="宋体" w:hAnsi="宋体" w:cs="宋体" w:eastAsia="宋体" w:hint="default"/>
        </w:rPr>
        <w:t>14</w:t>
      </w:r>
      <w:r>
        <w:rPr/>
        <w:t>、基于云计算和大数据的多层架构教育办公管理系统研究 </w:t>
      </w:r>
      <w:r>
        <w:rPr>
          <w:spacing w:val="-2"/>
        </w:rPr>
        <w:t>本项目研究开发的基于云计算和大数据的多层架构教育办公管理系统为国内首个区域性教育</w:t>
      </w:r>
      <w:r>
        <w:rPr>
          <w:rFonts w:ascii="宋体" w:hAnsi="宋体" w:cs="宋体" w:eastAsia="宋体" w:hint="default"/>
          <w:spacing w:val="-2"/>
        </w:rPr>
        <w:t>OA</w:t>
      </w:r>
      <w:r>
        <w:rPr>
          <w:spacing w:val="-2"/>
        </w:rPr>
        <w:t>系统，项目的成功研究开发将</w:t>
      </w:r>
      <w:r>
        <w:rPr>
          <w:spacing w:val="-61"/>
        </w:rPr>
        <w:t> </w:t>
      </w:r>
      <w:r>
        <w:rPr>
          <w:spacing w:val="-61"/>
        </w:rPr>
      </w:r>
      <w:r>
        <w:rPr>
          <w:spacing w:val="-2"/>
        </w:rPr>
        <w:t>达到国内领先水平。国家中长期教育改革和发展规划纲要要求全国实行校园信息化目标：基本建成人人可享有优质教育资源</w:t>
      </w:r>
      <w:r>
        <w:rPr>
          <w:spacing w:val="-64"/>
        </w:rPr>
        <w:t> </w:t>
      </w:r>
      <w:r>
        <w:rPr>
          <w:spacing w:val="-64"/>
        </w:rPr>
      </w:r>
      <w:r>
        <w:rPr>
          <w:spacing w:val="-2"/>
        </w:rPr>
        <w:t>的信息化学习环境；基本实现宽带网络的全面覆盖；教育管理信息化水平显著提高；信息技术与教育融合发展的水平显著提</w:t>
      </w:r>
      <w:r>
        <w:rPr>
          <w:spacing w:val="-66"/>
        </w:rPr>
        <w:t> </w:t>
      </w:r>
      <w:r>
        <w:rPr>
          <w:spacing w:val="-66"/>
        </w:rPr>
      </w:r>
      <w:r>
        <w:rPr>
          <w:spacing w:val="-2"/>
        </w:rPr>
        <w:t>升。刘延东在全国教育信息化工作电视电话会议上讲话中提出：“十二五”期间，要以建设好“三通两平台”为抓手，建设</w:t>
      </w:r>
      <w:r>
        <w:rPr>
          <w:spacing w:val="-64"/>
        </w:rPr>
        <w:t> </w:t>
      </w:r>
      <w:r>
        <w:rPr>
          <w:spacing w:val="-64"/>
        </w:rPr>
      </w:r>
      <w:r>
        <w:rPr>
          <w:spacing w:val="-2"/>
        </w:rPr>
        <w:t>教育资源公共服务平台和教育管理公共服务平台。目前国内不存在与智慧校园云教育平台衔接的教育办公管理系统。本项目</w:t>
      </w:r>
      <w:r>
        <w:rPr>
          <w:spacing w:val="-64"/>
        </w:rPr>
        <w:t> </w:t>
      </w:r>
      <w:r>
        <w:rPr>
          <w:spacing w:val="-64"/>
        </w:rPr>
      </w:r>
      <w:r>
        <w:rPr/>
        <w:t>的实行将随着智慧校园云教育平台的建设广泛推广，市场前景广阔。报告期内已经完成该项目的技术开发工作。 </w:t>
      </w:r>
      <w:r>
        <w:rPr>
          <w:rFonts w:ascii="宋体" w:hAnsi="宋体" w:cs="宋体" w:eastAsia="宋体" w:hint="default"/>
        </w:rPr>
        <w:t>15</w:t>
      </w:r>
      <w:r>
        <w:rPr/>
        <w:t>、联汛新型平板、新型台式智能消费机的系统研究 </w:t>
      </w:r>
      <w:r>
        <w:rPr>
          <w:spacing w:val="-2"/>
        </w:rPr>
        <w:t>本项目研究开发的挂式消费智能设备处于国内领先水平；消费系统与平安校园管理平台无缝衔接，增加全市校园商家统一能</w:t>
      </w:r>
      <w:r>
        <w:rPr>
          <w:spacing w:val="-64"/>
        </w:rPr>
        <w:t> </w:t>
      </w:r>
      <w:r>
        <w:rPr>
          <w:spacing w:val="-64"/>
        </w:rPr>
      </w:r>
      <w:r>
        <w:rPr>
          <w:spacing w:val="-2"/>
        </w:rPr>
        <w:t>够消费的云消费系统，微信充值、家长查看消费汇总等功能，全国中小学有几十万所，在校师生</w:t>
      </w:r>
      <w:r>
        <w:rPr>
          <w:rFonts w:ascii="宋体" w:hAnsi="宋体" w:cs="宋体" w:eastAsia="宋体" w:hint="default"/>
          <w:spacing w:val="-2"/>
        </w:rPr>
        <w:t>2</w:t>
      </w:r>
      <w:r>
        <w:rPr>
          <w:spacing w:val="-2"/>
        </w:rPr>
        <w:t>亿多，本项目的研究开发，</w:t>
      </w:r>
      <w:r>
        <w:rPr>
          <w:spacing w:val="-64"/>
        </w:rPr>
        <w:t> </w:t>
      </w:r>
      <w:r>
        <w:rPr>
          <w:spacing w:val="-64"/>
        </w:rPr>
      </w:r>
      <w:r>
        <w:rPr/>
        <w:t>市场前景比较广阔。报告期内已经完成该项目的技术开发工作。</w:t>
      </w:r>
    </w:p>
    <w:p>
      <w:pPr>
        <w:pStyle w:val="BodyText"/>
        <w:spacing w:line="316" w:lineRule="auto" w:before="19"/>
        <w:ind w:right="0"/>
        <w:jc w:val="left"/>
      </w:pPr>
      <w:r>
        <w:rPr>
          <w:rFonts w:ascii="宋体" w:hAnsi="宋体" w:cs="宋体" w:eastAsia="宋体" w:hint="default"/>
        </w:rPr>
        <w:t>16</w:t>
      </w:r>
      <w:r>
        <w:rPr/>
        <w:t>、智游臻龙移动应用高玩平台 </w:t>
      </w:r>
      <w:r>
        <w:rPr>
          <w:spacing w:val="-2"/>
        </w:rPr>
        <w:t>智游臻龙移动应用高玩平台主要是用来对高玩资讯进行查看操作的平台，软件能够分析软件数据信息，同时，还可以对软件</w:t>
      </w:r>
      <w:r>
        <w:rPr>
          <w:spacing w:val="-66"/>
        </w:rPr>
        <w:t> </w:t>
      </w:r>
      <w:r>
        <w:rPr>
          <w:spacing w:val="-66"/>
        </w:rPr>
      </w:r>
      <w:r>
        <w:rPr>
          <w:spacing w:val="-2"/>
        </w:rPr>
        <w:t>相关参数信息进行配置操作。系统具有资源占用低、运行效率高、扩展能力强等优点。软件带有升级功能，可以自动升级为</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right="1032"/>
        <w:jc w:val="left"/>
      </w:pPr>
      <w:r>
        <w:rPr/>
        <w:t>软件版本。报告期内已经完成该项目的技术开发工作并进行了软件著作权登记，登记号为</w:t>
      </w:r>
      <w:r>
        <w:rPr>
          <w:rFonts w:ascii="宋体" w:hAnsi="宋体" w:cs="宋体" w:eastAsia="宋体" w:hint="default"/>
        </w:rPr>
        <w:t>2018SR867065</w:t>
      </w:r>
      <w:r>
        <w:rPr/>
        <w:t>。 </w:t>
      </w:r>
      <w:r>
        <w:rPr>
          <w:rFonts w:ascii="宋体" w:hAnsi="宋体" w:cs="宋体" w:eastAsia="宋体" w:hint="default"/>
        </w:rPr>
        <w:t>17</w:t>
      </w:r>
      <w:r>
        <w:rPr/>
        <w:t>、智游臻龙移动应用女生进化论平台 </w:t>
      </w:r>
      <w:r>
        <w:rPr>
          <w:spacing w:val="-2"/>
        </w:rPr>
        <w:t>智游臻龙移动应用女生进化论平台主要是用来对女生进化论进行管理的系统，该系统具有实时采集监控记录系统产生的相关</w:t>
      </w:r>
      <w:r>
        <w:rPr>
          <w:spacing w:val="-63"/>
        </w:rPr>
        <w:t> </w:t>
      </w:r>
      <w:r>
        <w:rPr>
          <w:spacing w:val="-63"/>
        </w:rPr>
      </w:r>
      <w:r>
        <w:rPr>
          <w:spacing w:val="-2"/>
        </w:rPr>
        <w:t>数据，并能实时记录并处理该数据信息。系统界面风格自定义，为用户提供了多皮肤，可以根据自己的个性和喜好打造一个</w:t>
      </w:r>
      <w:r>
        <w:rPr>
          <w:spacing w:val="-66"/>
        </w:rPr>
        <w:t> </w:t>
      </w:r>
      <w:r>
        <w:rPr>
          <w:spacing w:val="-66"/>
        </w:rPr>
      </w:r>
      <w:r>
        <w:rPr/>
        <w:t>个性化的软件界面。报告期内已经完成该项目的技术开发工作并进行了软件著作权登记，登记号为</w:t>
      </w:r>
      <w:r>
        <w:rPr>
          <w:rFonts w:ascii="宋体" w:hAnsi="宋体" w:cs="宋体" w:eastAsia="宋体" w:hint="default"/>
        </w:rPr>
        <w:t>2018SR866727</w:t>
      </w:r>
      <w:r>
        <w:rPr/>
        <w:t>。 </w:t>
      </w:r>
      <w:r>
        <w:rPr>
          <w:rFonts w:ascii="宋体" w:hAnsi="宋体" w:cs="宋体" w:eastAsia="宋体" w:hint="default"/>
        </w:rPr>
        <w:t>18</w:t>
      </w:r>
      <w:r>
        <w:rPr/>
        <w:t>、智游臻龙移动应用拍客系统 </w:t>
      </w:r>
      <w:r>
        <w:rPr>
          <w:spacing w:val="-2"/>
        </w:rPr>
        <w:t>智游臻龙移动应用拍客系统主要是用来对拍客进行操控的软件，系统能够分析及处理软件产生的数据，并对其进行实时优化</w:t>
      </w:r>
      <w:r>
        <w:rPr>
          <w:spacing w:val="-64"/>
        </w:rPr>
        <w:t> </w:t>
      </w:r>
      <w:r>
        <w:rPr>
          <w:spacing w:val="-64"/>
        </w:rPr>
      </w:r>
      <w:r>
        <w:rPr>
          <w:spacing w:val="-2"/>
        </w:rPr>
        <w:t>并记录操作。软件带有升级功能，可以自动升级为软件版本。软件正在不断扩展应用接口，完善系统数据维护功能。系统还</w:t>
      </w:r>
      <w:r>
        <w:rPr>
          <w:spacing w:val="-66"/>
        </w:rPr>
        <w:t> </w:t>
      </w:r>
      <w:r>
        <w:rPr>
          <w:spacing w:val="-66"/>
        </w:rPr>
      </w:r>
      <w:r>
        <w:rPr/>
        <w:t>具有数据回收站机制。能对数据进行回收和撤回操作。报告期内已经完成该项目的技术开发工作并进行了软件著作权登记， 登记号</w:t>
      </w:r>
      <w:r>
        <w:rPr>
          <w:rFonts w:ascii="宋体" w:hAnsi="宋体" w:cs="宋体" w:eastAsia="宋体" w:hint="default"/>
        </w:rPr>
        <w:t>2018SR868395</w:t>
      </w:r>
      <w:r>
        <w:rPr/>
        <w:t>。</w:t>
      </w:r>
    </w:p>
    <w:p>
      <w:pPr>
        <w:pStyle w:val="BodyText"/>
        <w:spacing w:line="316" w:lineRule="auto" w:before="19"/>
        <w:ind w:right="1029"/>
        <w:jc w:val="left"/>
      </w:pPr>
      <w:r>
        <w:rPr>
          <w:rFonts w:ascii="宋体" w:hAnsi="宋体" w:cs="宋体" w:eastAsia="宋体" w:hint="default"/>
        </w:rPr>
        <w:t>19</w:t>
      </w:r>
      <w:r>
        <w:rPr/>
        <w:t>、智游臻龙移动应用跑吧软件 智游臻龙移动应用跑吧软件主要是用来对健身进行管理的平台，通过使用该系统，用户可以全面分析软件的相关数据信息， </w:t>
      </w:r>
      <w:r>
        <w:rPr>
          <w:spacing w:val="-2"/>
        </w:rPr>
        <w:t>并可以对其数据进行展示操作。用户可通过互联网实现多个站点间数据的实时交换，在网络故障的情况下，仍可独立完成主</w:t>
      </w:r>
      <w:r>
        <w:rPr>
          <w:spacing w:val="-66"/>
        </w:rPr>
        <w:t> </w:t>
      </w:r>
      <w:r>
        <w:rPr>
          <w:spacing w:val="-66"/>
        </w:rPr>
      </w:r>
      <w:r>
        <w:rPr/>
        <w:t>要业务的操作。报告期内已经完成该项目的技术开发工作并进行了软件著作权登记，登记号为</w:t>
      </w:r>
      <w:r>
        <w:rPr>
          <w:rFonts w:ascii="宋体" w:hAnsi="宋体" w:cs="宋体" w:eastAsia="宋体" w:hint="default"/>
        </w:rPr>
        <w:t>2018SR868480</w:t>
      </w:r>
      <w:r>
        <w:rPr/>
        <w:t>。 </w:t>
      </w:r>
      <w:r>
        <w:rPr>
          <w:rFonts w:ascii="宋体" w:hAnsi="宋体" w:cs="宋体" w:eastAsia="宋体" w:hint="default"/>
        </w:rPr>
        <w:t>20</w:t>
      </w:r>
      <w:r>
        <w:rPr/>
        <w:t>、智游臻龙在线视频教育系统 </w:t>
      </w:r>
      <w:r>
        <w:rPr>
          <w:spacing w:val="-2"/>
        </w:rPr>
        <w:t>智游臻龙在线视频教育系统主要是用来对视频教育进行管理的系统，该软件可以直观的查看相关数据信息，该软件能够进行</w:t>
      </w:r>
      <w:r>
        <w:rPr>
          <w:spacing w:val="-64"/>
        </w:rPr>
        <w:t> </w:t>
      </w:r>
      <w:r>
        <w:rPr>
          <w:spacing w:val="-64"/>
        </w:rPr>
      </w:r>
      <w:r>
        <w:rPr>
          <w:spacing w:val="-2"/>
        </w:rPr>
        <w:t>后台优化的功能，加强了客户的用户体验。系统全面提升了对钓鱼网站的拦截能力。智能广告拦截。具有完善的数据备份和</w:t>
      </w:r>
      <w:r>
        <w:rPr>
          <w:spacing w:val="-66"/>
        </w:rPr>
        <w:t> </w:t>
      </w:r>
      <w:r>
        <w:rPr>
          <w:spacing w:val="-66"/>
        </w:rPr>
      </w:r>
      <w:r>
        <w:rPr/>
        <w:t>数据自动维护功能。报告期内已经完成该项目的技术开发工作并进行了软件著作权登记，登记号为</w:t>
      </w:r>
      <w:r>
        <w:rPr>
          <w:rFonts w:ascii="宋体" w:hAnsi="宋体" w:cs="宋体" w:eastAsia="宋体" w:hint="default"/>
        </w:rPr>
        <w:t>2018SR867680</w:t>
      </w:r>
      <w:r>
        <w:rPr/>
        <w:t>。 </w:t>
      </w:r>
      <w:r>
        <w:rPr>
          <w:rFonts w:ascii="宋体" w:hAnsi="宋体" w:cs="宋体" w:eastAsia="宋体" w:hint="default"/>
        </w:rPr>
        <w:t>21</w:t>
      </w:r>
      <w:r>
        <w:rPr/>
        <w:t>、基于区块链的闲置车辆租赁系统 基于区块链的闲置车辆租赁系统主要功能和技术特点：</w:t>
      </w:r>
      <w:r>
        <w:rPr>
          <w:rFonts w:ascii="宋体" w:hAnsi="宋体" w:cs="宋体" w:eastAsia="宋体" w:hint="default"/>
        </w:rPr>
        <w:t>1.</w:t>
      </w:r>
      <w:r>
        <w:rPr/>
        <w:t>该系统采用前后端分离的开发方式。</w:t>
      </w:r>
      <w:r>
        <w:rPr>
          <w:rFonts w:ascii="宋体" w:hAnsi="宋体" w:cs="宋体" w:eastAsia="宋体" w:hint="default"/>
        </w:rPr>
        <w:t>2.</w:t>
      </w:r>
      <w:r>
        <w:rPr/>
        <w:t>前端使用</w:t>
      </w:r>
      <w:r>
        <w:rPr>
          <w:rFonts w:ascii="宋体" w:hAnsi="宋体" w:cs="宋体" w:eastAsia="宋体" w:hint="default"/>
        </w:rPr>
        <w:t>Bootstrap </w:t>
      </w:r>
      <w:r>
        <w:rPr/>
        <w:t>框架， 通过</w:t>
      </w:r>
      <w:r>
        <w:rPr>
          <w:spacing w:val="-17"/>
        </w:rPr>
        <w:t> </w:t>
      </w:r>
      <w:r>
        <w:rPr>
          <w:rFonts w:ascii="宋体" w:hAnsi="宋体" w:cs="宋体" w:eastAsia="宋体" w:hint="default"/>
        </w:rPr>
        <w:t>rpc</w:t>
      </w:r>
      <w:r>
        <w:rPr>
          <w:rFonts w:ascii="宋体" w:hAnsi="宋体" w:cs="宋体" w:eastAsia="宋体" w:hint="default"/>
          <w:spacing w:val="-17"/>
        </w:rPr>
        <w:t> </w:t>
      </w:r>
      <w:r>
        <w:rPr/>
        <w:t>框架</w:t>
      </w:r>
      <w:r>
        <w:rPr>
          <w:rFonts w:ascii="宋体" w:hAnsi="宋体" w:cs="宋体" w:eastAsia="宋体" w:hint="default"/>
        </w:rPr>
        <w:t>web3JS</w:t>
      </w:r>
      <w:r>
        <w:rPr/>
        <w:t>从以太坊区块链上获取数据并展示。</w:t>
      </w:r>
      <w:r>
        <w:rPr>
          <w:rFonts w:ascii="宋体" w:hAnsi="宋体" w:cs="宋体" w:eastAsia="宋体" w:hint="default"/>
        </w:rPr>
        <w:t>3.</w:t>
      </w:r>
      <w:r>
        <w:rPr/>
        <w:t>后台使用</w:t>
      </w:r>
      <w:r>
        <w:rPr>
          <w:rFonts w:ascii="宋体" w:hAnsi="宋体" w:cs="宋体" w:eastAsia="宋体" w:hint="default"/>
        </w:rPr>
        <w:t>NodeJs</w:t>
      </w:r>
      <w:r>
        <w:rPr>
          <w:rFonts w:ascii="宋体" w:hAnsi="宋体" w:cs="宋体" w:eastAsia="宋体" w:hint="default"/>
          <w:spacing w:val="-54"/>
        </w:rPr>
        <w:t> </w:t>
      </w:r>
      <w:r>
        <w:rPr>
          <w:rFonts w:ascii="宋体" w:hAnsi="宋体" w:cs="宋体" w:eastAsia="宋体" w:hint="default"/>
        </w:rPr>
        <w:t>express</w:t>
      </w:r>
      <w:r>
        <w:rPr>
          <w:rFonts w:ascii="宋体" w:hAnsi="宋体" w:cs="宋体" w:eastAsia="宋体" w:hint="default"/>
          <w:spacing w:val="-17"/>
        </w:rPr>
        <w:t> </w:t>
      </w:r>
      <w:r>
        <w:rPr>
          <w:spacing w:val="-4"/>
        </w:rPr>
        <w:t>框架。</w:t>
      </w:r>
      <w:r>
        <w:rPr>
          <w:rFonts w:ascii="宋体" w:hAnsi="宋体" w:cs="宋体" w:eastAsia="宋体" w:hint="default"/>
          <w:spacing w:val="-4"/>
        </w:rPr>
        <w:t>4.</w:t>
      </w:r>
      <w:r>
        <w:rPr>
          <w:spacing w:val="-4"/>
        </w:rPr>
        <w:t>使用以太坊区块链存储数据。</w:t>
      </w:r>
      <w:r>
        <w:rPr/>
        <w:t> 报告期内已经完成该项目的技术开发工作并进行了软件著作权登记，登记号为</w:t>
      </w:r>
      <w:r>
        <w:rPr>
          <w:rFonts w:ascii="宋体" w:hAnsi="宋体" w:cs="宋体" w:eastAsia="宋体" w:hint="default"/>
        </w:rPr>
        <w:t>2018SR326913</w:t>
      </w:r>
      <w:r>
        <w:rPr/>
        <w:t>。</w:t>
      </w:r>
    </w:p>
    <w:p>
      <w:pPr>
        <w:pStyle w:val="BodyText"/>
        <w:spacing w:line="316" w:lineRule="auto" w:before="19"/>
        <w:ind w:right="0"/>
        <w:jc w:val="left"/>
      </w:pPr>
      <w:r>
        <w:rPr>
          <w:rFonts w:ascii="宋体" w:hAnsi="宋体" w:cs="宋体" w:eastAsia="宋体" w:hint="default"/>
        </w:rPr>
        <w:t>22</w:t>
      </w:r>
      <w:r>
        <w:rPr/>
        <w:t>、保险终端平台</w:t>
      </w:r>
      <w:r>
        <w:rPr>
          <w:rFonts w:ascii="宋体" w:hAnsi="宋体" w:cs="宋体" w:eastAsia="宋体" w:hint="default"/>
        </w:rPr>
        <w:t>V1.0 </w:t>
      </w:r>
      <w:r>
        <w:rPr>
          <w:spacing w:val="-2"/>
        </w:rPr>
        <w:t>保险终端平台通过网络拓扑、智能管理以及自动化工作流图，能够有效提高系统关键配置的运维管理效率，降低成本和管理</w:t>
      </w:r>
      <w:r>
        <w:rPr>
          <w:spacing w:val="-66"/>
        </w:rPr>
        <w:t> </w:t>
      </w:r>
      <w:r>
        <w:rPr>
          <w:spacing w:val="-66"/>
        </w:rPr>
      </w:r>
      <w:r>
        <w:rPr>
          <w:spacing w:val="-2"/>
        </w:rPr>
        <w:t>复杂度，用来对保险终端进行管理。系统人性化的设置使得其能够进行控制管理参数设置，并对软件进行智能管理。软件可</w:t>
      </w:r>
      <w:r>
        <w:rPr>
          <w:spacing w:val="-66"/>
        </w:rPr>
        <w:t> </w:t>
      </w:r>
      <w:r>
        <w:rPr>
          <w:spacing w:val="-66"/>
        </w:rPr>
      </w:r>
      <w:r>
        <w:rPr>
          <w:spacing w:val="-2"/>
        </w:rPr>
        <w:t>以整理压缩数据库，加快用户访问速度，以及腾出更多的可用空间，提升保险终端的服务性能。报告期内已经完成该项目的</w:t>
      </w:r>
      <w:r>
        <w:rPr>
          <w:spacing w:val="-66"/>
        </w:rPr>
        <w:t> </w:t>
      </w:r>
      <w:r>
        <w:rPr>
          <w:spacing w:val="-66"/>
        </w:rPr>
      </w:r>
      <w:r>
        <w:rPr/>
        <w:t>技术开发工作并进行了软件著作权登记，登记号为</w:t>
      </w:r>
      <w:r>
        <w:rPr>
          <w:rFonts w:ascii="宋体" w:hAnsi="宋体" w:cs="宋体" w:eastAsia="宋体" w:hint="default"/>
        </w:rPr>
        <w:t>2018SR899320</w:t>
      </w:r>
      <w:r>
        <w:rPr/>
        <w:t>。</w:t>
      </w:r>
    </w:p>
    <w:p>
      <w:pPr>
        <w:pStyle w:val="BodyText"/>
        <w:spacing w:line="316" w:lineRule="auto" w:before="19"/>
        <w:ind w:right="0"/>
        <w:jc w:val="left"/>
      </w:pPr>
      <w:r>
        <w:rPr>
          <w:rFonts w:ascii="宋体" w:hAnsi="宋体" w:cs="宋体" w:eastAsia="宋体" w:hint="default"/>
        </w:rPr>
        <w:t>23</w:t>
      </w:r>
      <w:r>
        <w:rPr/>
        <w:t>、美绣软件</w:t>
      </w:r>
      <w:r>
        <w:rPr>
          <w:rFonts w:ascii="宋体" w:hAnsi="宋体" w:cs="宋体" w:eastAsia="宋体" w:hint="default"/>
        </w:rPr>
        <w:t>V1.0 </w:t>
      </w:r>
      <w:r>
        <w:rPr>
          <w:spacing w:val="-2"/>
        </w:rPr>
        <w:t>美绣软件采用无边框窗口设计方式，具有数据库优化、高效率存储以及高性能信息处理等优势，同时具有关键数据存储记录</w:t>
      </w:r>
      <w:r>
        <w:rPr>
          <w:spacing w:val="-66"/>
        </w:rPr>
        <w:t> </w:t>
      </w:r>
      <w:r>
        <w:rPr>
          <w:spacing w:val="-66"/>
        </w:rPr>
      </w:r>
      <w:r>
        <w:rPr>
          <w:spacing w:val="-2"/>
        </w:rPr>
        <w:t>功能，用来对美绣软件进行管理。系统包含处理系统内部信息并进行在线展示浏览，能显示出具体的数据信息，能够有效地</w:t>
      </w:r>
      <w:r>
        <w:rPr>
          <w:spacing w:val="-66"/>
        </w:rPr>
        <w:t> </w:t>
      </w:r>
      <w:r>
        <w:rPr>
          <w:spacing w:val="-66"/>
        </w:rPr>
      </w:r>
      <w:r>
        <w:rPr>
          <w:spacing w:val="-2"/>
        </w:rPr>
        <w:t>帮助用户了解软件相关信息；简化操作系统设置步骤；提升系统运行效率。定时自动后台清理系统运行产生的垃圾信息，维</w:t>
      </w:r>
      <w:r>
        <w:rPr>
          <w:spacing w:val="-66"/>
        </w:rPr>
        <w:t> </w:t>
      </w:r>
      <w:r>
        <w:rPr>
          <w:spacing w:val="-66"/>
        </w:rPr>
      </w:r>
      <w:r>
        <w:rPr>
          <w:spacing w:val="-2"/>
        </w:rPr>
        <w:t>护美绣软件的正常运转。主要包括美秀大师、纹眉护理、预约等功能组成。报告期内已经完成该项目的技术开发工作并进行</w:t>
      </w:r>
      <w:r>
        <w:rPr>
          <w:spacing w:val="-65"/>
        </w:rPr>
        <w:t> </w:t>
      </w:r>
      <w:r>
        <w:rPr>
          <w:spacing w:val="-65"/>
        </w:rPr>
      </w:r>
      <w:r>
        <w:rPr/>
        <w:t>了软件著作权登记，登记号为</w:t>
      </w:r>
      <w:r>
        <w:rPr>
          <w:rFonts w:ascii="宋体" w:hAnsi="宋体" w:cs="宋体" w:eastAsia="宋体" w:hint="default"/>
        </w:rPr>
        <w:t>2018SR864453</w:t>
      </w:r>
      <w:r>
        <w:rPr/>
        <w:t>。</w:t>
      </w:r>
    </w:p>
    <w:p>
      <w:pPr>
        <w:pStyle w:val="BodyText"/>
        <w:spacing w:line="316" w:lineRule="auto" w:before="19"/>
        <w:ind w:right="1032"/>
        <w:jc w:val="left"/>
      </w:pPr>
      <w:r>
        <w:rPr>
          <w:rFonts w:ascii="宋体" w:hAnsi="宋体" w:cs="宋体" w:eastAsia="宋体" w:hint="default"/>
        </w:rPr>
        <w:t>24</w:t>
      </w:r>
      <w:r>
        <w:rPr/>
        <w:t>、同学会软件 </w:t>
      </w:r>
      <w:r>
        <w:rPr>
          <w:spacing w:val="-2"/>
        </w:rPr>
        <w:t>同学会软件具有处理多种系统需求的能力，可对软件产生的数据进行优化，并存储记录，用户可以对系统内信息进行登记记</w:t>
      </w:r>
      <w:r>
        <w:rPr>
          <w:spacing w:val="-66"/>
        </w:rPr>
        <w:t> </w:t>
      </w:r>
      <w:r>
        <w:rPr>
          <w:spacing w:val="-66"/>
        </w:rPr>
      </w:r>
      <w:r>
        <w:rPr/>
        <w:t>录操作，用来对同学会软件进行管理。系统应用特定的并行开发软件体系结构模式满足系统质量需求</w:t>
      </w:r>
      <w:r>
        <w:rPr>
          <w:rFonts w:ascii="宋体" w:hAnsi="宋体" w:cs="宋体" w:eastAsia="宋体" w:hint="default"/>
        </w:rPr>
        <w:t>,</w:t>
      </w:r>
      <w:r>
        <w:rPr/>
        <w:t>进而优化软件体系结</w:t>
      </w:r>
      <w:r>
        <w:rPr>
          <w:spacing w:val="-81"/>
        </w:rPr>
        <w:t> </w:t>
      </w:r>
      <w:r>
        <w:rPr>
          <w:spacing w:val="-81"/>
        </w:rPr>
      </w:r>
      <w:r>
        <w:rPr>
          <w:spacing w:val="-2"/>
        </w:rPr>
        <w:t>构的设计。该软件能够进行后台优化数据处理，加强了同学相互之间的联络性。软件的权限管理非常强大，可以根据需要来</w:t>
      </w:r>
      <w:r>
        <w:rPr>
          <w:spacing w:val="-66"/>
        </w:rPr>
        <w:t> </w:t>
      </w:r>
      <w:r>
        <w:rPr>
          <w:spacing w:val="-66"/>
        </w:rPr>
      </w:r>
      <w:r>
        <w:rPr/>
        <w:t>授权查看敏感信息。主要包括同学圈、公开课、七嘴八舌等功能组成。主要包括计划书、产品推荐、产品发现等功能组成。 报告期内已经完成该项目的技术开发工作并进行了软件著作权登记，登记号为</w:t>
      </w:r>
      <w:r>
        <w:rPr>
          <w:rFonts w:ascii="宋体" w:hAnsi="宋体" w:cs="宋体" w:eastAsia="宋体" w:hint="default"/>
        </w:rPr>
        <w:t>2018SR864455</w:t>
      </w:r>
      <w:r>
        <w:rPr/>
        <w:t>。</w:t>
      </w:r>
    </w:p>
    <w:p>
      <w:pPr>
        <w:pStyle w:val="BodyText"/>
        <w:spacing w:line="319" w:lineRule="auto" w:before="19"/>
        <w:ind w:right="0"/>
        <w:jc w:val="left"/>
      </w:pPr>
      <w:r>
        <w:rPr>
          <w:rFonts w:ascii="宋体" w:hAnsi="宋体" w:cs="宋体" w:eastAsia="宋体" w:hint="default"/>
        </w:rPr>
        <w:t>25</w:t>
      </w:r>
      <w:r>
        <w:rPr/>
        <w:t>、图书馆管理系统</w:t>
      </w:r>
      <w:r>
        <w:rPr>
          <w:rFonts w:ascii="宋体" w:hAnsi="宋体" w:cs="宋体" w:eastAsia="宋体" w:hint="default"/>
        </w:rPr>
        <w:t>V1.0 </w:t>
      </w:r>
      <w:r>
        <w:rPr>
          <w:spacing w:val="-2"/>
        </w:rPr>
        <w:t>图书馆管理系统采用智能自动化信息处理技术，搭建智能服务平台，采用集中式资源数据处理算法，构建高效、智能、敏捷</w:t>
      </w:r>
      <w:r>
        <w:rPr>
          <w:spacing w:val="-66"/>
        </w:rPr>
        <w:t> </w:t>
      </w:r>
      <w:r>
        <w:rPr>
          <w:spacing w:val="-66"/>
        </w:rPr>
      </w:r>
      <w:r>
        <w:rPr>
          <w:spacing w:val="-2"/>
        </w:rPr>
        <w:t>的系统管理平台，用来对图书馆进行管理。系统具有信息处理、后台驱动管理等软件参数，并对软件进行在线控制管理。该</w:t>
      </w:r>
      <w:r>
        <w:rPr>
          <w:spacing w:val="-66"/>
        </w:rPr>
        <w:t> </w:t>
      </w:r>
      <w:r>
        <w:rPr>
          <w:spacing w:val="-66"/>
        </w:rPr>
      </w:r>
      <w:r>
        <w:rPr>
          <w:spacing w:val="-2"/>
        </w:rPr>
        <w:t>系统还能够进行背景图片设置，设置信息的过滤以及设置自动登录等功能，综合提升用户的阅读体验。主要有借阅管理、借</w:t>
      </w:r>
      <w:r>
        <w:rPr>
          <w:spacing w:val="-65"/>
        </w:rPr>
        <w:t> </w:t>
      </w:r>
      <w:r>
        <w:rPr>
          <w:spacing w:val="-65"/>
        </w:rPr>
      </w:r>
      <w:r>
        <w:rPr>
          <w:spacing w:val="-2"/>
        </w:rPr>
        <w:t>阅查询、资料管理、书籍管理、期刊管理、在线客服、咨询板块等功能。报告期内已经完成该项目的技术开发工作并进行了</w:t>
      </w:r>
    </w:p>
    <w:p>
      <w:pPr>
        <w:spacing w:after="0" w:line="319"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right="7332"/>
        <w:jc w:val="left"/>
        <w:rPr>
          <w:rFonts w:ascii="宋体" w:hAnsi="宋体" w:cs="宋体" w:eastAsia="宋体" w:hint="default"/>
        </w:rPr>
      </w:pPr>
      <w:r>
        <w:rPr/>
        <w:t>软件著作权登记，登记号为</w:t>
      </w:r>
      <w:r>
        <w:rPr>
          <w:rFonts w:ascii="宋体" w:hAnsi="宋体" w:cs="宋体" w:eastAsia="宋体" w:hint="default"/>
        </w:rPr>
        <w:t>2018SR864460</w:t>
      </w:r>
      <w:r>
        <w:rPr/>
        <w:t>。 </w:t>
      </w:r>
      <w:r>
        <w:rPr>
          <w:rFonts w:ascii="宋体" w:hAnsi="宋体" w:cs="宋体" w:eastAsia="宋体" w:hint="default"/>
        </w:rPr>
        <w:t>26</w:t>
      </w:r>
      <w:r>
        <w:rPr/>
        <w:t>、文化商城供应链智能分析系统</w:t>
      </w:r>
      <w:r>
        <w:rPr>
          <w:rFonts w:ascii="宋体" w:hAnsi="宋体" w:cs="宋体" w:eastAsia="宋体" w:hint="default"/>
        </w:rPr>
        <w:t>V1.0</w:t>
      </w:r>
    </w:p>
    <w:p>
      <w:pPr>
        <w:pStyle w:val="BodyText"/>
        <w:spacing w:line="319" w:lineRule="auto" w:before="19"/>
        <w:ind w:right="1041"/>
        <w:jc w:val="left"/>
      </w:pPr>
      <w:r>
        <w:rPr/>
        <w:t>文化商城供应链智能分析系统具有强大的自动化功能和个性化处理能力，可满足用户的多种定制要求，进行智能控制管理， 系统由相当数量的局部自治模块关联而成，用来对文化商城供应链进行智能分析，主要有非遗收藏</w:t>
      </w:r>
      <w:r>
        <w:rPr>
          <w:rFonts w:ascii="宋体" w:hAnsi="宋体" w:cs="宋体" w:eastAsia="宋体" w:hint="default"/>
        </w:rPr>
        <w:t>-</w:t>
      </w:r>
      <w:r>
        <w:rPr/>
        <w:t>商品详情、商城</w:t>
      </w:r>
      <w:r>
        <w:rPr>
          <w:rFonts w:ascii="宋体" w:hAnsi="宋体" w:cs="宋体" w:eastAsia="宋体" w:hint="default"/>
        </w:rPr>
        <w:t>-</w:t>
      </w:r>
      <w:r>
        <w:rPr/>
        <w:t>分类、 </w:t>
      </w:r>
      <w:r>
        <w:rPr>
          <w:spacing w:val="-2"/>
        </w:rPr>
        <w:t>商城</w:t>
      </w:r>
      <w:r>
        <w:rPr>
          <w:rFonts w:ascii="宋体" w:hAnsi="宋体" w:cs="宋体" w:eastAsia="宋体" w:hint="default"/>
          <w:spacing w:val="-2"/>
        </w:rPr>
        <w:t>-</w:t>
      </w:r>
      <w:r>
        <w:rPr>
          <w:spacing w:val="-2"/>
        </w:rPr>
        <w:t>筛选等功能。文化商城供应链智能分析系统已开发的功能可采集监控记录相关的数据，能实时记录并处理相关的信息。</w:t>
      </w:r>
      <w:r>
        <w:rPr>
          <w:spacing w:val="-62"/>
        </w:rPr>
        <w:t> </w:t>
      </w:r>
      <w:r>
        <w:rPr>
          <w:spacing w:val="-62"/>
        </w:rPr>
      </w:r>
      <w:r>
        <w:rPr>
          <w:spacing w:val="-2"/>
        </w:rPr>
        <w:t>该软件具有很强的兼容性，能在不同的设备上运行本软件。报告期内已经完成该项目的技术开发工作并进行了软件著作权登</w:t>
      </w:r>
      <w:r>
        <w:rPr>
          <w:spacing w:val="-64"/>
        </w:rPr>
        <w:t> </w:t>
      </w:r>
      <w:r>
        <w:rPr>
          <w:spacing w:val="-64"/>
        </w:rPr>
      </w:r>
      <w:r>
        <w:rPr/>
        <w:t>记，登记号为</w:t>
      </w:r>
      <w:r>
        <w:rPr>
          <w:rFonts w:ascii="宋体" w:hAnsi="宋体" w:cs="宋体" w:eastAsia="宋体" w:hint="default"/>
        </w:rPr>
        <w:t>2018SR902149</w:t>
      </w:r>
      <w:r>
        <w:rPr/>
        <w:t>。</w:t>
      </w:r>
    </w:p>
    <w:p>
      <w:pPr>
        <w:pStyle w:val="BodyText"/>
        <w:spacing w:line="316" w:lineRule="auto" w:before="17"/>
        <w:ind w:right="1032"/>
        <w:jc w:val="left"/>
      </w:pPr>
      <w:r>
        <w:rPr>
          <w:rFonts w:ascii="宋体" w:hAnsi="宋体" w:cs="宋体" w:eastAsia="宋体" w:hint="default"/>
        </w:rPr>
        <w:t>27</w:t>
      </w:r>
      <w:r>
        <w:rPr/>
        <w:t>、鲜果时刻平台</w:t>
      </w:r>
      <w:r>
        <w:rPr>
          <w:rFonts w:ascii="宋体" w:hAnsi="宋体" w:cs="宋体" w:eastAsia="宋体" w:hint="default"/>
        </w:rPr>
        <w:t>V1.0 </w:t>
      </w:r>
      <w:r>
        <w:rPr>
          <w:spacing w:val="-2"/>
        </w:rPr>
        <w:t>鲜果时刻平台能够根据实际应用需求对系统信息识别和关键资源进行动态调配，实现信息应用和资源的系统内最佳结合，同</w:t>
      </w:r>
      <w:r>
        <w:rPr>
          <w:spacing w:val="-64"/>
        </w:rPr>
        <w:t> </w:t>
      </w:r>
      <w:r>
        <w:rPr>
          <w:spacing w:val="-64"/>
        </w:rPr>
      </w:r>
      <w:r>
        <w:rPr>
          <w:spacing w:val="-2"/>
        </w:rPr>
        <w:t>时满足后台用户需求，用来对鲜果时刻平台进行管理。该软件能够进行后台优化，加强了客户的用户体验。系统提升了稳定</w:t>
      </w:r>
      <w:r>
        <w:rPr>
          <w:spacing w:val="-66"/>
        </w:rPr>
        <w:t> </w:t>
      </w:r>
      <w:r>
        <w:rPr>
          <w:spacing w:val="-66"/>
        </w:rPr>
      </w:r>
      <w:r>
        <w:rPr/>
        <w:t>性、速度和安全性，并创造出简单且有效率的使用者界面，具有简洁、快速等特点，为用户提供一个便捷的水果服务平台。</w:t>
      </w:r>
      <w:r>
        <w:rPr/>
        <w:t> 主要包括水果商城、果品批发、查看物流等功能组成。报告期内已经完成该项目的技术开发工作并进行了软件著作权登记， 登记号为</w:t>
      </w:r>
      <w:r>
        <w:rPr>
          <w:rFonts w:ascii="宋体" w:hAnsi="宋体" w:cs="宋体" w:eastAsia="宋体" w:hint="default"/>
        </w:rPr>
        <w:t>2018SR864461</w:t>
      </w:r>
      <w:r>
        <w:rPr/>
        <w:t>。</w:t>
      </w:r>
    </w:p>
    <w:p>
      <w:pPr>
        <w:pStyle w:val="BodyText"/>
        <w:spacing w:line="316" w:lineRule="auto" w:before="19"/>
        <w:ind w:right="0"/>
        <w:jc w:val="left"/>
      </w:pPr>
      <w:r>
        <w:rPr>
          <w:rFonts w:ascii="宋体" w:hAnsi="宋体" w:cs="宋体" w:eastAsia="宋体" w:hint="default"/>
        </w:rPr>
        <w:t>28</w:t>
      </w:r>
      <w:r>
        <w:rPr/>
        <w:t>、有好生鲜后台管理系统【简称：生鲜后台管理】</w:t>
      </w:r>
      <w:r>
        <w:rPr>
          <w:rFonts w:ascii="宋体" w:hAnsi="宋体" w:cs="宋体" w:eastAsia="宋体" w:hint="default"/>
        </w:rPr>
        <w:t>V1.0 </w:t>
      </w:r>
      <w:r>
        <w:rPr>
          <w:spacing w:val="-2"/>
        </w:rPr>
        <w:t>有好生鲜后台管理系统，是针对有好生鲜线上商城进行商品店铺货物管理，可以添加修改商品，进行商品上架编辑操作，并</w:t>
      </w:r>
      <w:r>
        <w:rPr>
          <w:spacing w:val="-66"/>
        </w:rPr>
        <w:t> </w:t>
      </w:r>
      <w:r>
        <w:rPr>
          <w:spacing w:val="-66"/>
        </w:rPr>
      </w:r>
      <w:r>
        <w:rPr>
          <w:spacing w:val="-2"/>
        </w:rPr>
        <w:t>根据商品价格以及会员推广进行结算优惠等流程管理。并针对订单结算流程，将结算的流程按照相应的比例分配给推广销售</w:t>
      </w:r>
      <w:r>
        <w:rPr>
          <w:spacing w:val="-64"/>
        </w:rPr>
        <w:t> </w:t>
      </w:r>
      <w:r>
        <w:rPr>
          <w:spacing w:val="-64"/>
        </w:rPr>
      </w:r>
      <w:r>
        <w:rPr>
          <w:spacing w:val="-2"/>
        </w:rPr>
        <w:t>人员余额之中，并将用户充值支付记录存储成报表对接财务管理系统。报告期内已经完成该项目的技术开发工作并进行了软</w:t>
      </w:r>
      <w:r>
        <w:rPr>
          <w:spacing w:val="-64"/>
        </w:rPr>
        <w:t> </w:t>
      </w:r>
      <w:r>
        <w:rPr>
          <w:spacing w:val="-64"/>
        </w:rPr>
      </w:r>
      <w:r>
        <w:rPr/>
        <w:t>件著作权登记，登记号为</w:t>
      </w:r>
      <w:r>
        <w:rPr>
          <w:rFonts w:ascii="宋体" w:hAnsi="宋体" w:cs="宋体" w:eastAsia="宋体" w:hint="default"/>
        </w:rPr>
        <w:t>2018SR878535</w:t>
      </w:r>
      <w:r>
        <w:rPr/>
        <w:t>。</w:t>
      </w:r>
    </w:p>
    <w:p>
      <w:pPr>
        <w:pStyle w:val="BodyText"/>
        <w:spacing w:line="316" w:lineRule="auto" w:before="19"/>
        <w:ind w:right="0"/>
        <w:jc w:val="left"/>
      </w:pPr>
      <w:r>
        <w:rPr>
          <w:rFonts w:ascii="宋体" w:hAnsi="宋体" w:cs="宋体" w:eastAsia="宋体" w:hint="default"/>
        </w:rPr>
        <w:t>29</w:t>
      </w:r>
      <w:r>
        <w:rPr/>
        <w:t>、智慧眼科软件</w:t>
      </w:r>
      <w:r>
        <w:rPr>
          <w:rFonts w:ascii="宋体" w:hAnsi="宋体" w:cs="宋体" w:eastAsia="宋体" w:hint="default"/>
        </w:rPr>
        <w:t>V1.0 </w:t>
      </w:r>
      <w:r>
        <w:rPr>
          <w:spacing w:val="-2"/>
        </w:rPr>
        <w:t>智慧眼科软件采用深度学习进行动态选择和修正，将系统样本点提取其分类特征，能够通过数据库自动识别系统内节点中心</w:t>
      </w:r>
      <w:r>
        <w:rPr>
          <w:spacing w:val="-64"/>
        </w:rPr>
        <w:t> </w:t>
      </w:r>
      <w:r>
        <w:rPr>
          <w:spacing w:val="-64"/>
        </w:rPr>
      </w:r>
      <w:r>
        <w:rPr>
          <w:spacing w:val="-2"/>
        </w:rPr>
        <w:t>信息，系统基于微软平台，具有较好的跨平台运行能力，用来对智慧眼科进行管理。通过该系统架构，用户可以对系统内部</w:t>
      </w:r>
      <w:r>
        <w:rPr>
          <w:spacing w:val="-66"/>
        </w:rPr>
        <w:t> </w:t>
      </w:r>
      <w:r>
        <w:rPr>
          <w:spacing w:val="-66"/>
        </w:rPr>
      </w:r>
      <w:r>
        <w:rPr>
          <w:spacing w:val="-2"/>
        </w:rPr>
        <w:t>进行全面的管理操作。系统具有安全、快速、保密性强、压缩率高、兼容性好等优点，综合提升智慧眼科软件服务性能。主</w:t>
      </w:r>
      <w:r>
        <w:rPr>
          <w:spacing w:val="-71"/>
        </w:rPr>
        <w:t> </w:t>
      </w:r>
      <w:r>
        <w:rPr>
          <w:spacing w:val="-71"/>
        </w:rPr>
      </w:r>
      <w:r>
        <w:rPr>
          <w:spacing w:val="-4"/>
        </w:rPr>
        <w:t>要包括健康报告、评论内容、近视治疗资讯等功能组成。报告期内已经完成该项目的技术开发工作并进行了软件著作权登记，</w:t>
      </w:r>
      <w:r>
        <w:rPr>
          <w:spacing w:val="-44"/>
        </w:rPr>
        <w:t> </w:t>
      </w:r>
      <w:r>
        <w:rPr>
          <w:spacing w:val="-44"/>
        </w:rPr>
      </w:r>
      <w:r>
        <w:rPr/>
        <w:t>登记号为</w:t>
      </w:r>
      <w:r>
        <w:rPr>
          <w:rFonts w:ascii="宋体" w:hAnsi="宋体" w:cs="宋体" w:eastAsia="宋体" w:hint="default"/>
        </w:rPr>
        <w:t>2018SR864464</w:t>
      </w:r>
      <w:r>
        <w:rPr/>
        <w:t>。</w:t>
      </w:r>
    </w:p>
    <w:p>
      <w:pPr>
        <w:pStyle w:val="BodyText"/>
        <w:spacing w:line="240" w:lineRule="auto" w:before="19"/>
        <w:ind w:right="0"/>
        <w:jc w:val="left"/>
      </w:pPr>
      <w:r>
        <w:rPr>
          <w:rFonts w:ascii="宋体" w:hAnsi="宋体" w:cs="宋体" w:eastAsia="宋体" w:hint="default"/>
        </w:rPr>
        <w:t>30</w:t>
      </w:r>
      <w:r>
        <w:rPr/>
        <w:t>、信息分析计算平台</w:t>
      </w:r>
    </w:p>
    <w:p>
      <w:pPr>
        <w:pStyle w:val="BodyText"/>
        <w:spacing w:line="316" w:lineRule="auto" w:before="76"/>
        <w:ind w:right="1032"/>
        <w:jc w:val="left"/>
      </w:pPr>
      <w:r>
        <w:rPr>
          <w:spacing w:val="-2"/>
        </w:rPr>
        <w:t>《信息分析计算平台》是一款关于信息分析的平台，这是一款专为公司内部人员打造的一款平台，使工作人员能够快速的进</w:t>
      </w:r>
      <w:r>
        <w:rPr>
          <w:spacing w:val="-66"/>
        </w:rPr>
        <w:t> </w:t>
      </w:r>
      <w:r>
        <w:rPr>
          <w:spacing w:val="-66"/>
        </w:rPr>
      </w:r>
      <w:r>
        <w:rPr>
          <w:spacing w:val="-2"/>
        </w:rPr>
        <w:t>入工作状态，并高效率的完成工作。从信息分析的整个工作流程来看，信息分析后台平台主要分为四个模块，分别是：模型</w:t>
      </w:r>
      <w:r>
        <w:rPr>
          <w:spacing w:val="-66"/>
        </w:rPr>
        <w:t> </w:t>
      </w:r>
      <w:r>
        <w:rPr>
          <w:spacing w:val="-66"/>
        </w:rPr>
      </w:r>
      <w:r>
        <w:rPr>
          <w:spacing w:val="-4"/>
        </w:rPr>
        <w:t>应用、模型开发、算法管理、数据源管理。这四个模块下又有很多不同的子页面，我们通过这些子页面的数据分析以及计算，</w:t>
      </w:r>
      <w:r>
        <w:rPr>
          <w:spacing w:val="-44"/>
        </w:rPr>
        <w:t> </w:t>
      </w:r>
      <w:r>
        <w:rPr>
          <w:spacing w:val="-44"/>
        </w:rPr>
      </w:r>
      <w:r>
        <w:rPr>
          <w:spacing w:val="-2"/>
        </w:rPr>
        <w:t>来构建工程。我们考虑到需要涉及到信息的分析以及计算，由此我们设计了许多的子页面，使工作流程更加清晰明确，致使</w:t>
      </w:r>
      <w:r>
        <w:rPr>
          <w:spacing w:val="-65"/>
        </w:rPr>
        <w:t> </w:t>
      </w:r>
      <w:r>
        <w:rPr>
          <w:spacing w:val="-65"/>
        </w:rPr>
      </w:r>
      <w:r>
        <w:rPr/>
        <w:t>工作人员操作更加流畅快捷。报告期内已经完成该项目的技术开发工作并进行了软件著作权登记，登记号为</w:t>
      </w:r>
      <w:r>
        <w:rPr>
          <w:rFonts w:ascii="宋体" w:hAnsi="宋体" w:cs="宋体" w:eastAsia="宋体" w:hint="default"/>
        </w:rPr>
        <w:t>2018SR842149</w:t>
      </w:r>
      <w:r>
        <w:rPr/>
        <w:t>。 </w:t>
      </w:r>
      <w:r>
        <w:rPr>
          <w:rFonts w:ascii="宋体" w:hAnsi="宋体" w:cs="宋体" w:eastAsia="宋体" w:hint="default"/>
        </w:rPr>
        <w:t>31</w:t>
      </w:r>
      <w:r>
        <w:rPr/>
        <w:t>、大数据分析计算平台</w:t>
      </w:r>
    </w:p>
    <w:p>
      <w:pPr>
        <w:pStyle w:val="BodyText"/>
        <w:spacing w:line="316" w:lineRule="auto" w:before="19"/>
        <w:ind w:right="0"/>
        <w:jc w:val="left"/>
      </w:pPr>
      <w:r>
        <w:rPr>
          <w:spacing w:val="3"/>
        </w:rPr>
        <w:t>大数据分析是指对规模巨大的数据进行分析。大数据可以概括为</w:t>
      </w:r>
      <w:r>
        <w:rPr>
          <w:rFonts w:ascii="宋体" w:hAnsi="宋体" w:cs="宋体" w:eastAsia="宋体" w:hint="default"/>
          <w:spacing w:val="3"/>
        </w:rPr>
        <w:t>5</w:t>
      </w:r>
      <w:r>
        <w:rPr>
          <w:spacing w:val="3"/>
        </w:rPr>
        <w:t>个</w:t>
      </w:r>
      <w:r>
        <w:rPr>
          <w:rFonts w:ascii="宋体" w:hAnsi="宋体" w:cs="宋体" w:eastAsia="宋体" w:hint="default"/>
          <w:spacing w:val="3"/>
        </w:rPr>
        <w:t>V</w:t>
      </w:r>
      <w:r>
        <w:rPr>
          <w:spacing w:val="3"/>
        </w:rPr>
        <w:t>， </w:t>
      </w:r>
      <w:r>
        <w:rPr/>
        <w:t>数据量大</w:t>
      </w:r>
      <w:r>
        <w:rPr>
          <w:rFonts w:ascii="宋体" w:hAnsi="宋体" w:cs="宋体" w:eastAsia="宋体" w:hint="default"/>
        </w:rPr>
        <w:t>(Volume)</w:t>
      </w:r>
      <w:r>
        <w:rPr/>
        <w:t>、速度快</w:t>
      </w:r>
      <w:r>
        <w:rPr>
          <w:rFonts w:ascii="宋体" w:hAnsi="宋体" w:cs="宋体" w:eastAsia="宋体" w:hint="default"/>
        </w:rPr>
        <w:t>(Velocity)</w:t>
      </w:r>
      <w:r>
        <w:rPr/>
        <w:t>、类型多</w:t>
      </w:r>
      <w:r>
        <w:rPr>
          <w:spacing w:val="-26"/>
        </w:rPr>
        <w:t> </w:t>
      </w:r>
      <w:r>
        <w:rPr>
          <w:spacing w:val="-26"/>
        </w:rPr>
      </w:r>
      <w:r>
        <w:rPr>
          <w:rFonts w:ascii="宋体" w:hAnsi="宋体" w:cs="宋体" w:eastAsia="宋体" w:hint="default"/>
          <w:spacing w:val="-3"/>
        </w:rPr>
        <w:t>(Variety)</w:t>
      </w:r>
      <w:r>
        <w:rPr>
          <w:spacing w:val="-3"/>
        </w:rPr>
        <w:t>、</w:t>
      </w:r>
      <w:r>
        <w:rPr>
          <w:rFonts w:ascii="宋体" w:hAnsi="宋体" w:cs="宋体" w:eastAsia="宋体" w:hint="default"/>
          <w:spacing w:val="-3"/>
        </w:rPr>
        <w:t>Value</w:t>
      </w:r>
      <w:r>
        <w:rPr>
          <w:spacing w:val="-3"/>
        </w:rPr>
        <w:t>（价值）、真实性</w:t>
      </w:r>
      <w:r>
        <w:rPr>
          <w:rFonts w:ascii="宋体" w:hAnsi="宋体" w:cs="宋体" w:eastAsia="宋体" w:hint="default"/>
          <w:spacing w:val="-3"/>
        </w:rPr>
        <w:t>(Veracity)</w:t>
      </w:r>
      <w:r>
        <w:rPr>
          <w:spacing w:val="-3"/>
        </w:rPr>
        <w:t>。大数据作为时下最火热的</w:t>
      </w:r>
      <w:r>
        <w:rPr>
          <w:rFonts w:ascii="宋体" w:hAnsi="宋体" w:cs="宋体" w:eastAsia="宋体" w:hint="default"/>
          <w:spacing w:val="-3"/>
        </w:rPr>
        <w:t>IT</w:t>
      </w:r>
      <w:r>
        <w:rPr>
          <w:spacing w:val="-3"/>
        </w:rPr>
        <w:t>行业的词汇，随之而来的数据仓库、数据安全、</w:t>
      </w:r>
      <w:r>
        <w:rPr>
          <w:spacing w:val="-61"/>
        </w:rPr>
        <w:t> </w:t>
      </w:r>
      <w:r>
        <w:rPr>
          <w:spacing w:val="-61"/>
        </w:rPr>
      </w:r>
      <w:r>
        <w:rPr>
          <w:spacing w:val="-2"/>
        </w:rPr>
        <w:t>数据分析、数据挖掘等等围绕大数据的商业价值的利用逐渐成为行业人士争相追捧的利润焦点。随着大数据时代的来临，大</w:t>
      </w:r>
      <w:r>
        <w:rPr>
          <w:spacing w:val="-65"/>
        </w:rPr>
        <w:t> </w:t>
      </w:r>
      <w:r>
        <w:rPr>
          <w:spacing w:val="-65"/>
        </w:rPr>
      </w:r>
      <w:r>
        <w:rPr>
          <w:spacing w:val="-2"/>
        </w:rPr>
        <w:t>数据分析也应运而生。《大数据分析计算平台》是一款后台平台，主要为后台工作人员能够更好的完成大数据的分析及计算</w:t>
      </w:r>
      <w:r>
        <w:rPr>
          <w:spacing w:val="-65"/>
        </w:rPr>
        <w:t> </w:t>
      </w:r>
      <w:r>
        <w:rPr>
          <w:spacing w:val="-65"/>
        </w:rPr>
      </w:r>
      <w:r>
        <w:rPr/>
        <w:t>而研发的一款平台软件。报告期内已经完成该项目的技术开发工作并进行了软件著作权登记，登记号为</w:t>
      </w:r>
      <w:r>
        <w:rPr>
          <w:rFonts w:ascii="宋体" w:hAnsi="宋体" w:cs="宋体" w:eastAsia="宋体" w:hint="default"/>
        </w:rPr>
        <w:t>2018SR842164</w:t>
      </w:r>
      <w:r>
        <w:rPr/>
        <w:t>。 </w:t>
      </w:r>
      <w:r>
        <w:rPr>
          <w:rFonts w:ascii="宋体" w:hAnsi="宋体" w:cs="宋体" w:eastAsia="宋体" w:hint="default"/>
        </w:rPr>
        <w:t>32</w:t>
      </w:r>
      <w:r>
        <w:rPr/>
        <w:t>、青青创意官方软件</w:t>
      </w:r>
    </w:p>
    <w:p>
      <w:pPr>
        <w:pStyle w:val="BodyText"/>
        <w:spacing w:line="316" w:lineRule="auto" w:before="19"/>
        <w:ind w:right="1042"/>
        <w:jc w:val="left"/>
      </w:pPr>
      <w:r>
        <w:rPr>
          <w:spacing w:val="-2"/>
        </w:rPr>
        <w:t>《青青创意》是一款企业管理平台软件，本平台分：首页、品牌设计、内容营销、新媒体创意、公关活动、定制手礼、创意</w:t>
      </w:r>
      <w:r>
        <w:rPr>
          <w:spacing w:val="-69"/>
        </w:rPr>
        <w:t> </w:t>
      </w:r>
      <w:r>
        <w:rPr>
          <w:spacing w:val="-69"/>
        </w:rPr>
      </w:r>
      <w:r>
        <w:rPr>
          <w:spacing w:val="-2"/>
        </w:rPr>
        <w:t>动画、关于青青这八个模块。青青创意是一款以营销策略为先导，创意表现为核心的管理平台，为提供各个成长型企业提供</w:t>
      </w:r>
      <w:r>
        <w:rPr>
          <w:spacing w:val="-66"/>
        </w:rPr>
        <w:t> </w:t>
      </w:r>
      <w:r>
        <w:rPr>
          <w:spacing w:val="-66"/>
        </w:rPr>
      </w:r>
      <w:r>
        <w:rPr>
          <w:spacing w:val="-3"/>
        </w:rPr>
        <w:t>品牌定位传播建议、创意表现与活动策划与执行等方面的服内容管销</w:t>
      </w:r>
      <w:r>
        <w:rPr>
          <w:spacing w:val="7"/>
        </w:rPr>
        <w:t> </w:t>
      </w:r>
      <w:r>
        <w:rPr>
          <w:spacing w:val="-7"/>
        </w:rPr>
        <w:t>务。青青主创团队的怍品多次收录在中国长城奖、</w:t>
      </w:r>
      <w:r>
        <w:rPr>
          <w:rFonts w:ascii="宋体" w:hAnsi="宋体" w:cs="宋体" w:eastAsia="宋体" w:hint="default"/>
          <w:spacing w:val="-7"/>
        </w:rPr>
        <w:t>ONE</w:t>
      </w:r>
      <w:r>
        <w:rPr>
          <w:spacing w:val="-7"/>
        </w:rPr>
        <w:t>、</w:t>
      </w:r>
      <w:r>
        <w:rPr/>
        <w:t> </w:t>
      </w:r>
      <w:r>
        <w:rPr>
          <w:rFonts w:ascii="宋体" w:hAnsi="宋体" w:cs="宋体" w:eastAsia="宋体" w:hint="default"/>
          <w:spacing w:val="-2"/>
        </w:rPr>
        <w:t>SHOW</w:t>
      </w:r>
      <w:r>
        <w:rPr>
          <w:spacing w:val="-2"/>
        </w:rPr>
        <w:t>、中国青年创新竞昆新蝴体创意赛中，凭借多年品牌塑造与推广经验，目前已成功为</w:t>
      </w:r>
      <w:r>
        <w:rPr>
          <w:rFonts w:ascii="宋体" w:hAnsi="宋体" w:cs="宋体" w:eastAsia="宋体" w:hint="default"/>
          <w:spacing w:val="-2"/>
        </w:rPr>
        <w:t>30</w:t>
      </w:r>
      <w:r>
        <w:rPr>
          <w:spacing w:val="-2"/>
        </w:rPr>
        <w:t>余家本土喜户提供了全面不同类</w:t>
      </w:r>
      <w:r>
        <w:rPr>
          <w:spacing w:val="-60"/>
        </w:rPr>
        <w:t> </w:t>
      </w:r>
      <w:r>
        <w:rPr>
          <w:spacing w:val="-2"/>
        </w:rPr>
        <w:t>型、不同功能的品牌服务，有效的帮助客户提开品牌价值与产品收园公关活动。平台开始进行产品服务改革，不再只着眼于</w:t>
      </w:r>
      <w:r>
        <w:rPr>
          <w:spacing w:val="-66"/>
        </w:rPr>
        <w:t> </w:t>
      </w:r>
      <w:r>
        <w:rPr>
          <w:spacing w:val="-66"/>
        </w:rPr>
      </w:r>
      <w:r>
        <w:rPr/>
        <w:t>企业品牌与产品的形象塑造以及单人定制</w:t>
      </w:r>
      <w:r>
        <w:rPr>
          <w:rFonts w:ascii="宋体" w:hAnsi="宋体" w:cs="宋体" w:eastAsia="宋体" w:hint="default"/>
        </w:rPr>
        <w:t>7</w:t>
      </w:r>
      <w:r>
        <w:rPr/>
        <w:t>礼线程的短期规划，开始进一步以客户产品自身特点出发，全面分析，验证、</w:t>
      </w:r>
      <w:r>
        <w:rPr>
          <w:spacing w:val="-47"/>
        </w:rPr>
        <w:t> </w:t>
      </w:r>
      <w:r>
        <w:rPr/>
        <w:t>制</w:t>
      </w:r>
      <w:r>
        <w:rPr/>
        <w:t> 定凹创量动画 </w:t>
      </w:r>
      <w:r>
        <w:rPr>
          <w:spacing w:val="14"/>
        </w:rPr>
        <w:t> </w:t>
      </w:r>
      <w:r>
        <w:rPr>
          <w:spacing w:val="-2"/>
        </w:rPr>
        <w:t>策略</w:t>
      </w:r>
      <w:r>
        <w:rPr>
          <w:rFonts w:ascii="宋体" w:hAnsi="宋体" w:cs="宋体" w:eastAsia="宋体" w:hint="default"/>
          <w:spacing w:val="-2"/>
        </w:rPr>
        <w:t>.</w:t>
      </w:r>
      <w:r>
        <w:rPr>
          <w:spacing w:val="-2"/>
        </w:rPr>
        <w:t>针对不同客户进行评估与量身定制，全方面激发客户潜力</w:t>
      </w:r>
      <w:r>
        <w:rPr>
          <w:rFonts w:ascii="宋体" w:hAnsi="宋体" w:cs="宋体" w:eastAsia="宋体" w:hint="default"/>
          <w:spacing w:val="-2"/>
        </w:rPr>
        <w:t>,</w:t>
      </w:r>
      <w:r>
        <w:rPr>
          <w:spacing w:val="-2"/>
        </w:rPr>
        <w:t>应用更具实效的专业方法为客户提供品牌策</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right="0"/>
        <w:jc w:val="left"/>
      </w:pPr>
      <w:r>
        <w:rPr>
          <w:spacing w:val="-2"/>
        </w:rPr>
        <w:t>划及相关推广服务。与成长型企业共同成长，是青日关于青青一直以来的不变的初心。报告期内已经完成该项目的技术开发</w:t>
      </w:r>
      <w:r>
        <w:rPr>
          <w:spacing w:val="-66"/>
        </w:rPr>
        <w:t> </w:t>
      </w:r>
      <w:r>
        <w:rPr>
          <w:spacing w:val="-66"/>
        </w:rPr>
      </w:r>
      <w:r>
        <w:rPr/>
        <w:t>工作并进行了软件著作权登记，登记号为</w:t>
      </w:r>
      <w:r>
        <w:rPr>
          <w:rFonts w:ascii="宋体" w:hAnsi="宋体" w:cs="宋体" w:eastAsia="宋体" w:hint="default"/>
        </w:rPr>
        <w:t>2018SR886776</w:t>
      </w:r>
      <w:r>
        <w:rPr/>
        <w:t>。</w:t>
      </w:r>
    </w:p>
    <w:p>
      <w:pPr>
        <w:pStyle w:val="BodyText"/>
        <w:spacing w:line="319" w:lineRule="auto" w:before="19"/>
        <w:ind w:right="0"/>
        <w:jc w:val="left"/>
      </w:pPr>
      <w:r>
        <w:rPr>
          <w:rFonts w:ascii="宋体" w:hAnsi="宋体" w:cs="宋体" w:eastAsia="宋体" w:hint="default"/>
        </w:rPr>
        <w:t>33</w:t>
      </w:r>
      <w:r>
        <w:rPr/>
        <w:t>、</w:t>
      </w:r>
      <w:r>
        <w:rPr>
          <w:rFonts w:ascii="宋体" w:hAnsi="宋体" w:cs="宋体" w:eastAsia="宋体" w:hint="default"/>
        </w:rPr>
        <w:t>OK</w:t>
      </w:r>
      <w:r>
        <w:rPr/>
        <w:t>天使币行软件 </w:t>
      </w:r>
      <w:r>
        <w:rPr>
          <w:spacing w:val="-4"/>
        </w:rPr>
        <w:t>该软件基于底层技术研发区块链模式算法，旨在提供优质，安全并且值得信任的金融交易平台。天使币是一种网络虚拟货币，</w:t>
      </w:r>
      <w:r>
        <w:rPr>
          <w:spacing w:val="-44"/>
        </w:rPr>
        <w:t> </w:t>
      </w:r>
      <w:r>
        <w:rPr>
          <w:spacing w:val="-44"/>
        </w:rPr>
      </w:r>
      <w:r>
        <w:rPr>
          <w:spacing w:val="-2"/>
        </w:rPr>
        <w:t>可以使用天使币购买一些虚拟的物品，比如网络游戏当中的衣服、帽子、装备等，只要有人接受，你也可以使用天使币购买</w:t>
      </w:r>
      <w:r>
        <w:rPr>
          <w:spacing w:val="-66"/>
        </w:rPr>
        <w:t> </w:t>
      </w:r>
      <w:r>
        <w:rPr>
          <w:spacing w:val="-66"/>
        </w:rPr>
      </w:r>
      <w:r>
        <w:rPr/>
        <w:t>现实生活当中的物品。</w:t>
      </w:r>
      <w:r>
        <w:rPr>
          <w:rFonts w:ascii="宋体" w:hAnsi="宋体" w:cs="宋体" w:eastAsia="宋体" w:hint="default"/>
        </w:rPr>
        <w:t>OK</w:t>
      </w:r>
      <w:r>
        <w:rPr/>
        <w:t>天使币行基于</w:t>
      </w:r>
      <w:r>
        <w:rPr>
          <w:rFonts w:ascii="宋体" w:hAnsi="宋体" w:cs="宋体" w:eastAsia="宋体" w:hint="default"/>
        </w:rPr>
        <w:t>P2P</w:t>
      </w:r>
      <w:r>
        <w:rPr/>
        <w:t>技术运作，交易管理和天使币发行由网络统一进行。其设计是公开的，人人都可</w:t>
      </w:r>
      <w:r>
        <w:rPr>
          <w:spacing w:val="-83"/>
        </w:rPr>
        <w:t> </w:t>
      </w:r>
      <w:r>
        <w:rPr>
          <w:spacing w:val="-83"/>
        </w:rPr>
      </w:r>
      <w:r>
        <w:rPr/>
        <w:t>参与其中。报告期内已经完成该项目的技术开发工作并进行了软件著作权登记，登记号为</w:t>
      </w:r>
      <w:r>
        <w:rPr>
          <w:rFonts w:ascii="宋体" w:hAnsi="宋体" w:cs="宋体" w:eastAsia="宋体" w:hint="default"/>
        </w:rPr>
        <w:t>2018SR819109</w:t>
      </w:r>
      <w:r>
        <w:rPr/>
        <w:t>。</w:t>
      </w:r>
    </w:p>
    <w:p>
      <w:pPr>
        <w:pStyle w:val="BodyText"/>
        <w:spacing w:line="316" w:lineRule="auto" w:before="17"/>
        <w:ind w:right="1032"/>
        <w:jc w:val="left"/>
      </w:pPr>
      <w:r>
        <w:rPr>
          <w:rFonts w:ascii="宋体" w:hAnsi="宋体" w:cs="宋体" w:eastAsia="宋体" w:hint="default"/>
        </w:rPr>
        <w:t>34</w:t>
      </w:r>
      <w:r>
        <w:rPr/>
        <w:t>、爱律师软件 爱律师是一款法律咨询平台的移动</w:t>
      </w:r>
      <w:r>
        <w:rPr>
          <w:rFonts w:ascii="宋体" w:hAnsi="宋体" w:cs="宋体" w:eastAsia="宋体" w:hint="default"/>
        </w:rPr>
        <w:t>APP</w:t>
      </w:r>
      <w:r>
        <w:rPr/>
        <w:t>，主要功能整合律师和当事人资源，让用户快速咨询各类法律相关问题。爱律师是一</w:t>
      </w:r>
      <w:r>
        <w:rPr>
          <w:spacing w:val="-83"/>
        </w:rPr>
        <w:t> </w:t>
      </w:r>
      <w:r>
        <w:rPr>
          <w:spacing w:val="-83"/>
        </w:rPr>
      </w:r>
      <w:r>
        <w:rPr/>
        <w:t>款法律咨询平台的移动</w:t>
      </w:r>
      <w:r>
        <w:rPr>
          <w:rFonts w:ascii="宋体" w:hAnsi="宋体" w:cs="宋体" w:eastAsia="宋体" w:hint="default"/>
        </w:rPr>
        <w:t>APP</w:t>
      </w:r>
      <w:r>
        <w:rPr/>
        <w:t>，由专业律师事务所打造的“互联网</w:t>
      </w:r>
      <w:r>
        <w:rPr>
          <w:rFonts w:ascii="宋体" w:hAnsi="宋体" w:cs="宋体" w:eastAsia="宋体" w:hint="default"/>
        </w:rPr>
        <w:t>+</w:t>
      </w:r>
      <w:r>
        <w:rPr/>
        <w:t>法律 线上服务平台，提供免费法律咨询，自营律师团队， 汇聚律界精英，致力于提供各类专业的法律咨询服务。其主要服务内容涵盖免费法律咨询，自营律师团队，汇聚律界精英， </w:t>
      </w:r>
      <w:r>
        <w:rPr>
          <w:spacing w:val="-2"/>
        </w:rPr>
        <w:t>致力于提供各类专业的法律咨询服务同时，为全国人民管理服务。报告期内已经完成该项目的技术开发工作并进行了软件著</w:t>
      </w:r>
      <w:r>
        <w:rPr>
          <w:spacing w:val="-64"/>
        </w:rPr>
        <w:t> </w:t>
      </w:r>
      <w:r>
        <w:rPr>
          <w:spacing w:val="-64"/>
        </w:rPr>
      </w:r>
      <w:r>
        <w:rPr/>
        <w:t>作权登记，登记号为</w:t>
      </w:r>
      <w:r>
        <w:rPr>
          <w:rFonts w:ascii="宋体" w:hAnsi="宋体" w:cs="宋体" w:eastAsia="宋体" w:hint="default"/>
        </w:rPr>
        <w:t>2018SR819353</w:t>
      </w:r>
      <w:r>
        <w:rPr/>
        <w:t>。</w:t>
      </w:r>
    </w:p>
    <w:p>
      <w:pPr>
        <w:pStyle w:val="BodyText"/>
        <w:spacing w:line="316" w:lineRule="auto" w:before="19"/>
        <w:ind w:right="1122"/>
        <w:jc w:val="left"/>
      </w:pPr>
      <w:r>
        <w:rPr>
          <w:rFonts w:ascii="宋体" w:hAnsi="宋体" w:cs="宋体" w:eastAsia="宋体" w:hint="default"/>
        </w:rPr>
        <w:t>35</w:t>
      </w:r>
      <w:r>
        <w:rPr/>
        <w:t>、车架宝软件 </w:t>
      </w:r>
      <w:r>
        <w:rPr>
          <w:spacing w:val="-2"/>
        </w:rPr>
        <w:t>汽车和手机，俨然已经成为现代生活的两大必备工具。而移动互联网，更是让汽车生活与手机发生了日益紧密的联系。围绕</w:t>
      </w:r>
      <w:r>
        <w:rPr>
          <w:spacing w:val="-66"/>
        </w:rPr>
        <w:t> </w:t>
      </w:r>
      <w:r>
        <w:rPr>
          <w:spacing w:val="-66"/>
        </w:rPr>
      </w:r>
      <w:r>
        <w:rPr>
          <w:spacing w:val="-2"/>
        </w:rPr>
        <w:t>汽车的手机软件有很多，当前比较热门的，功能通常是围绕导航、停车、路况、违章查询等等。在汽车保有量飞速发展的今</w:t>
      </w:r>
      <w:r>
        <w:rPr>
          <w:spacing w:val="-68"/>
        </w:rPr>
        <w:t> </w:t>
      </w:r>
      <w:r>
        <w:rPr>
          <w:spacing w:val="-68"/>
        </w:rPr>
      </w:r>
      <w:r>
        <w:rPr>
          <w:spacing w:val="-2"/>
        </w:rPr>
        <w:t>天，手机科技也没有停下自己的脚步，各种实用的汽车类应用软件层出不穷。车架宝—全国交通违章查询处理，是一款超人</w:t>
      </w:r>
      <w:r>
        <w:rPr>
          <w:spacing w:val="-66"/>
        </w:rPr>
        <w:t> </w:t>
      </w:r>
      <w:r>
        <w:rPr>
          <w:spacing w:val="-66"/>
        </w:rPr>
      </w:r>
      <w:r>
        <w:rPr/>
        <w:t>气的免费查违章</w:t>
      </w:r>
      <w:r>
        <w:rPr>
          <w:rFonts w:ascii="宋体" w:hAnsi="宋体" w:cs="宋体" w:eastAsia="宋体" w:hint="default"/>
        </w:rPr>
        <w:t>APP</w:t>
      </w:r>
      <w:r>
        <w:rPr/>
        <w:t>。直连交管数据源，交通违章查询准确快速，无论是普通车还是大车、微车都能查询和代缴。报告期内</w:t>
      </w:r>
      <w:r>
        <w:rPr>
          <w:spacing w:val="-83"/>
        </w:rPr>
        <w:t> </w:t>
      </w:r>
      <w:r>
        <w:rPr>
          <w:spacing w:val="-83"/>
        </w:rPr>
      </w:r>
      <w:r>
        <w:rPr/>
        <w:t>已经完成该项目的技术开发工作并进行了软件著作权登记，登记号为</w:t>
      </w:r>
      <w:r>
        <w:rPr>
          <w:rFonts w:ascii="宋体" w:hAnsi="宋体" w:cs="宋体" w:eastAsia="宋体" w:hint="default"/>
        </w:rPr>
        <w:t>2018SR819356</w:t>
      </w:r>
      <w:r>
        <w:rPr/>
        <w:t>。</w:t>
      </w:r>
    </w:p>
    <w:p>
      <w:pPr>
        <w:pStyle w:val="BodyText"/>
        <w:spacing w:line="316" w:lineRule="auto" w:before="19"/>
        <w:ind w:right="1122"/>
        <w:jc w:val="left"/>
      </w:pPr>
      <w:r>
        <w:rPr>
          <w:rFonts w:ascii="宋体" w:hAnsi="宋体" w:cs="宋体" w:eastAsia="宋体" w:hint="default"/>
        </w:rPr>
        <w:t>36</w:t>
      </w:r>
      <w:r>
        <w:rPr/>
        <w:t>、车通云智能维修平台 </w:t>
      </w:r>
      <w:r>
        <w:rPr>
          <w:spacing w:val="-2"/>
        </w:rPr>
        <w:t>车通云智能维修平台，是专门做汽车配件网上交易、链通配件供销商与修理厂用户的</w:t>
      </w:r>
      <w:r>
        <w:rPr>
          <w:rFonts w:ascii="宋体" w:hAnsi="宋体" w:cs="宋体" w:eastAsia="宋体" w:hint="default"/>
          <w:spacing w:val="-2"/>
        </w:rPr>
        <w:t>B2B</w:t>
      </w:r>
      <w:r>
        <w:rPr>
          <w:spacing w:val="-2"/>
        </w:rPr>
        <w:t>平台。车通云</w:t>
      </w:r>
      <w:r>
        <w:rPr>
          <w:rFonts w:ascii="宋体" w:hAnsi="宋体" w:cs="宋体" w:eastAsia="宋体" w:hint="default"/>
          <w:spacing w:val="-2"/>
        </w:rPr>
        <w:t>app</w:t>
      </w:r>
      <w:r>
        <w:rPr>
          <w:spacing w:val="-2"/>
        </w:rPr>
        <w:t>服务内容涵盖车辆</w:t>
      </w:r>
      <w:r>
        <w:rPr>
          <w:spacing w:val="-60"/>
        </w:rPr>
        <w:t> </w:t>
      </w:r>
      <w:r>
        <w:rPr/>
        <w:t>信息识别、定损维修估价、配件信息查询、保险到期查询、在线商城等核心元素。同时，车通云</w:t>
      </w:r>
      <w:r>
        <w:rPr>
          <w:rFonts w:ascii="宋体" w:hAnsi="宋体" w:cs="宋体" w:eastAsia="宋体" w:hint="default"/>
        </w:rPr>
        <w:t>app</w:t>
      </w:r>
      <w:r>
        <w:rPr/>
        <w:t>成立配件周转中心，为</w:t>
      </w:r>
      <w:r>
        <w:rPr>
          <w:spacing w:val="-82"/>
        </w:rPr>
        <w:t> </w:t>
      </w:r>
      <w:r>
        <w:rPr>
          <w:spacing w:val="-82"/>
        </w:rPr>
      </w:r>
      <w:r>
        <w:rPr>
          <w:spacing w:val="-4"/>
        </w:rPr>
        <w:t>全国范围内的车辆维修企业提供采购、配送及仓储管理服务。“车通云</w:t>
      </w:r>
      <w:r>
        <w:rPr>
          <w:rFonts w:ascii="宋体" w:hAnsi="宋体" w:cs="宋体" w:eastAsia="宋体" w:hint="default"/>
          <w:spacing w:val="-4"/>
        </w:rPr>
        <w:t>app</w:t>
      </w:r>
      <w:r>
        <w:rPr>
          <w:spacing w:val="-4"/>
        </w:rPr>
        <w:t>”收集并积累了大量品牌的车型和价格数据，目前</w:t>
      </w:r>
      <w:r>
        <w:rPr>
          <w:spacing w:val="-40"/>
        </w:rPr>
        <w:t> </w:t>
      </w:r>
      <w:r>
        <w:rPr>
          <w:spacing w:val="-40"/>
        </w:rPr>
      </w:r>
      <w:r>
        <w:rPr>
          <w:spacing w:val="-2"/>
        </w:rPr>
        <w:t>这套数据库已经囊括了八个方面，包括整车数据库、配件数据库、在保险车辆数据库、保险定损配件数据库、维修工时数据</w:t>
      </w:r>
      <w:r>
        <w:rPr>
          <w:spacing w:val="-66"/>
        </w:rPr>
        <w:t> </w:t>
      </w:r>
      <w:r>
        <w:rPr>
          <w:spacing w:val="-66"/>
        </w:rPr>
      </w:r>
      <w:r>
        <w:rPr/>
        <w:t>库、</w:t>
      </w:r>
      <w:r>
        <w:rPr>
          <w:rFonts w:ascii="宋体" w:hAnsi="宋体" w:cs="宋体" w:eastAsia="宋体" w:hint="default"/>
        </w:rPr>
        <w:t>VIN</w:t>
      </w:r>
      <w:r>
        <w:rPr/>
        <w:t>解码数据库、保险工时数据库、以及同质化配件数据库。报告期内已经完成该项目的技术开发工作并进行了软件著</w:t>
      </w:r>
      <w:r>
        <w:rPr>
          <w:spacing w:val="-83"/>
        </w:rPr>
        <w:t> </w:t>
      </w:r>
      <w:r>
        <w:rPr>
          <w:spacing w:val="-83"/>
        </w:rPr>
      </w:r>
      <w:r>
        <w:rPr/>
        <w:t>作权登记，登记号为</w:t>
      </w:r>
      <w:r>
        <w:rPr>
          <w:rFonts w:ascii="宋体" w:hAnsi="宋体" w:cs="宋体" w:eastAsia="宋体" w:hint="default"/>
        </w:rPr>
        <w:t>2018SR844074</w:t>
      </w:r>
      <w:r>
        <w:rPr/>
        <w:t>。</w:t>
      </w:r>
    </w:p>
    <w:p>
      <w:pPr>
        <w:pStyle w:val="BodyText"/>
        <w:spacing w:line="240" w:lineRule="auto" w:before="19"/>
        <w:ind w:right="0"/>
        <w:jc w:val="left"/>
      </w:pPr>
      <w:r>
        <w:rPr>
          <w:rFonts w:ascii="宋体" w:hAnsi="宋体" w:cs="宋体" w:eastAsia="宋体" w:hint="default"/>
        </w:rPr>
        <w:t>37</w:t>
      </w:r>
      <w:r>
        <w:rPr/>
        <w:t>、金融类理财</w:t>
      </w:r>
      <w:r>
        <w:rPr>
          <w:rFonts w:ascii="宋体" w:hAnsi="宋体" w:cs="宋体" w:eastAsia="宋体" w:hint="default"/>
        </w:rPr>
        <w:t>APP-U</w:t>
      </w:r>
      <w:r>
        <w:rPr/>
        <w:t>族软件</w:t>
      </w:r>
    </w:p>
    <w:p>
      <w:pPr>
        <w:pStyle w:val="BodyText"/>
        <w:spacing w:line="316" w:lineRule="auto" w:before="76"/>
        <w:ind w:right="1130"/>
        <w:jc w:val="both"/>
      </w:pPr>
      <w:r>
        <w:rPr/>
        <w:t>金融类理财</w:t>
      </w:r>
      <w:r>
        <w:rPr>
          <w:rFonts w:ascii="宋体" w:hAnsi="宋体" w:cs="宋体" w:eastAsia="宋体" w:hint="default"/>
        </w:rPr>
        <w:t>APP-U</w:t>
      </w:r>
      <w:r>
        <w:rPr/>
        <w:t>族软件能够让用户知道本软件的最新消息，也可以拿启动页，拿来招租，引进各大金融公司的最新金融消</w:t>
      </w:r>
      <w:r>
        <w:rPr>
          <w:spacing w:val="-83"/>
        </w:rPr>
        <w:t> </w:t>
      </w:r>
      <w:r>
        <w:rPr>
          <w:spacing w:val="-83"/>
        </w:rPr>
      </w:r>
      <w:r>
        <w:rPr>
          <w:spacing w:val="-2"/>
        </w:rPr>
        <w:t>息。本</w:t>
      </w:r>
      <w:r>
        <w:rPr>
          <w:rFonts w:ascii="宋体" w:hAnsi="宋体" w:cs="宋体" w:eastAsia="宋体" w:hint="default"/>
          <w:spacing w:val="-2"/>
        </w:rPr>
        <w:t>APP</w:t>
      </w:r>
      <w:r>
        <w:rPr>
          <w:spacing w:val="-2"/>
        </w:rPr>
        <w:t>的核心是能够更直观的展现出</w:t>
      </w:r>
      <w:r>
        <w:rPr>
          <w:rFonts w:ascii="宋体" w:hAnsi="宋体" w:cs="宋体" w:eastAsia="宋体" w:hint="default"/>
          <w:spacing w:val="-2"/>
        </w:rPr>
        <w:t>APP</w:t>
      </w:r>
      <w:r>
        <w:rPr>
          <w:spacing w:val="-2"/>
        </w:rPr>
        <w:t>的一些核心功能，如最上面的通知的</w:t>
      </w:r>
      <w:r>
        <w:rPr>
          <w:rFonts w:ascii="宋体" w:hAnsi="宋体" w:cs="宋体" w:eastAsia="宋体" w:hint="default"/>
          <w:spacing w:val="-2"/>
        </w:rPr>
        <w:t>banner</w:t>
      </w:r>
      <w:r>
        <w:rPr>
          <w:spacing w:val="-2"/>
        </w:rPr>
        <w:t>图，还有中间的期货模版，能够更快</w:t>
      </w:r>
      <w:r>
        <w:rPr>
          <w:spacing w:val="-54"/>
        </w:rPr>
        <w:t> </w:t>
      </w:r>
      <w:r>
        <w:rPr>
          <w:spacing w:val="-54"/>
        </w:rPr>
      </w:r>
      <w:r>
        <w:rPr/>
        <w:t>及时推新，让用户能够在第一时间接触并且浏览。</w:t>
      </w:r>
      <w:r>
        <w:rPr>
          <w:rFonts w:ascii="宋体" w:hAnsi="宋体" w:cs="宋体" w:eastAsia="宋体" w:hint="default"/>
        </w:rPr>
        <w:t>UU</w:t>
      </w:r>
      <w:r>
        <w:rPr>
          <w:rFonts w:ascii="宋体" w:hAnsi="宋体" w:cs="宋体" w:eastAsia="宋体" w:hint="default"/>
          <w:spacing w:val="8"/>
        </w:rPr>
        <w:t> </w:t>
      </w:r>
      <w:r>
        <w:rPr/>
        <w:t>头条推送能够更快更及时的，为用户推送最新消息，也能够分享与点 </w:t>
      </w:r>
      <w:r>
        <w:rPr>
          <w:spacing w:val="-2"/>
        </w:rPr>
        <w:t>赞，让用户群体融入进来，用户交流层次更加深入，对于重要信息也会及时标注，不让用户错过每一个重要的消息。报告期</w:t>
      </w:r>
      <w:r>
        <w:rPr>
          <w:spacing w:val="-66"/>
        </w:rPr>
        <w:t> </w:t>
      </w:r>
      <w:r>
        <w:rPr>
          <w:spacing w:val="-66"/>
        </w:rPr>
      </w:r>
      <w:r>
        <w:rPr/>
        <w:t>内已经完成该项目的技术开发工作并进行了软件著作权登记，登记号为</w:t>
      </w:r>
      <w:r>
        <w:rPr>
          <w:rFonts w:ascii="宋体" w:hAnsi="宋体" w:cs="宋体" w:eastAsia="宋体" w:hint="default"/>
        </w:rPr>
        <w:t>2018SR805501</w:t>
      </w:r>
      <w:r>
        <w:rPr/>
        <w:t>。</w:t>
      </w:r>
    </w:p>
    <w:p>
      <w:pPr>
        <w:pStyle w:val="BodyText"/>
        <w:spacing w:line="316" w:lineRule="auto" w:before="19"/>
        <w:ind w:right="0"/>
        <w:jc w:val="left"/>
      </w:pPr>
      <w:r>
        <w:rPr>
          <w:rFonts w:ascii="宋体" w:hAnsi="宋体" w:cs="宋体" w:eastAsia="宋体" w:hint="default"/>
        </w:rPr>
        <w:t>38</w:t>
      </w:r>
      <w:r>
        <w:rPr/>
        <w:t>、大数据</w:t>
      </w:r>
      <w:r>
        <w:rPr>
          <w:rFonts w:ascii="宋体" w:hAnsi="宋体" w:cs="宋体" w:eastAsia="宋体" w:hint="default"/>
        </w:rPr>
        <w:t>DA</w:t>
      </w:r>
      <w:r>
        <w:rPr/>
        <w:t>加速软件 </w:t>
      </w:r>
      <w:r>
        <w:rPr>
          <w:spacing w:val="-2"/>
        </w:rPr>
        <w:t>数据</w:t>
      </w:r>
      <w:r>
        <w:rPr>
          <w:rFonts w:ascii="宋体" w:hAnsi="宋体" w:cs="宋体" w:eastAsia="宋体" w:hint="default"/>
          <w:spacing w:val="-2"/>
        </w:rPr>
        <w:t>DA</w:t>
      </w:r>
      <w:r>
        <w:rPr>
          <w:spacing w:val="-2"/>
        </w:rPr>
        <w:t>加速软件，是把数据分析的结果以图形化、图像化的方式展现，帮助人们理解复杂的数据，快速获得数据的价值。在</w:t>
      </w:r>
      <w:r>
        <w:rPr>
          <w:spacing w:val="-64"/>
        </w:rPr>
        <w:t> </w:t>
      </w:r>
      <w:r>
        <w:rPr>
          <w:spacing w:val="-64"/>
        </w:rPr>
      </w:r>
      <w:r>
        <w:rPr>
          <w:spacing w:val="-2"/>
        </w:rPr>
        <w:t>此平台中，所有抽象的数据分析都将以动态变化的可视化数据图表展现。</w:t>
      </w:r>
      <w:r>
        <w:rPr>
          <w:rFonts w:ascii="宋体" w:hAnsi="宋体" w:cs="宋体" w:eastAsia="宋体" w:hint="default"/>
          <w:spacing w:val="-2"/>
        </w:rPr>
        <w:t>DA</w:t>
      </w:r>
      <w:r>
        <w:rPr>
          <w:spacing w:val="-2"/>
        </w:rPr>
        <w:t>主打的安全无忧、快速交付、管理简单、成本下</w:t>
      </w:r>
      <w:r>
        <w:rPr>
          <w:spacing w:val="-64"/>
        </w:rPr>
        <w:t> </w:t>
      </w:r>
      <w:r>
        <w:rPr>
          <w:spacing w:val="-64"/>
        </w:rPr>
      </w:r>
      <w:r>
        <w:rPr>
          <w:spacing w:val="-4"/>
        </w:rPr>
        <w:t>降、以及其它特点，安全无忧板块以公司自主研发的公布式存储软件为核心，以及硬件的可靠支持以及多年的安全运行经验，</w:t>
      </w:r>
      <w:r>
        <w:rPr>
          <w:spacing w:val="-44"/>
        </w:rPr>
        <w:t> </w:t>
      </w:r>
      <w:r>
        <w:rPr>
          <w:spacing w:val="-44"/>
        </w:rPr>
      </w:r>
      <w:r>
        <w:rPr>
          <w:spacing w:val="-2"/>
        </w:rPr>
        <w:t>来保证用户的安全使用、快速交付功能，以内置网络，配合系统软件，服务器硬件，快速高效的是用户更快闪付，管理服务</w:t>
      </w:r>
      <w:r>
        <w:rPr>
          <w:spacing w:val="-68"/>
        </w:rPr>
        <w:t> </w:t>
      </w:r>
      <w:r>
        <w:rPr>
          <w:spacing w:val="-68"/>
        </w:rPr>
      </w:r>
      <w:r>
        <w:rPr>
          <w:spacing w:val="-2"/>
        </w:rPr>
        <w:t>简单，界面管理的统一易懂，不需要专门的网络维护，就能运行管理，升级扩容的方便，使业务繁忙也不中断。报告期内已</w:t>
      </w:r>
      <w:r>
        <w:rPr>
          <w:spacing w:val="-68"/>
        </w:rPr>
        <w:t> </w:t>
      </w:r>
      <w:r>
        <w:rPr>
          <w:spacing w:val="-68"/>
        </w:rPr>
      </w:r>
      <w:r>
        <w:rPr/>
        <w:t>经完成该项目的技术开发工作并进行了软件著作权登记，登记号为</w:t>
      </w:r>
      <w:r>
        <w:rPr>
          <w:rFonts w:ascii="宋体" w:hAnsi="宋体" w:cs="宋体" w:eastAsia="宋体" w:hint="default"/>
        </w:rPr>
        <w:t>2018SR886782</w:t>
      </w:r>
      <w:r>
        <w:rPr/>
        <w:t>。</w:t>
      </w:r>
    </w:p>
    <w:p>
      <w:pPr>
        <w:pStyle w:val="BodyText"/>
        <w:spacing w:line="319" w:lineRule="auto" w:before="19"/>
        <w:ind w:right="0"/>
        <w:jc w:val="left"/>
      </w:pPr>
      <w:r>
        <w:rPr>
          <w:rFonts w:ascii="宋体" w:hAnsi="宋体" w:cs="宋体" w:eastAsia="宋体" w:hint="default"/>
        </w:rPr>
        <w:t>39</w:t>
      </w:r>
      <w:r>
        <w:rPr/>
        <w:t>、</w:t>
      </w:r>
      <w:r>
        <w:rPr>
          <w:rFonts w:ascii="宋体" w:hAnsi="宋体" w:cs="宋体" w:eastAsia="宋体" w:hint="default"/>
        </w:rPr>
        <w:t>ME</w:t>
      </w:r>
      <w:r>
        <w:rPr/>
        <w:t>课程</w:t>
      </w:r>
      <w:r>
        <w:rPr>
          <w:rFonts w:ascii="宋体" w:hAnsi="宋体" w:cs="宋体" w:eastAsia="宋体" w:hint="default"/>
        </w:rPr>
        <w:t>APP</w:t>
      </w:r>
      <w:r>
        <w:rPr/>
        <w:t>软件 </w:t>
      </w:r>
      <w:r>
        <w:rPr>
          <w:spacing w:val="-2"/>
        </w:rPr>
        <w:t>当前教育</w:t>
      </w:r>
      <w:r>
        <w:rPr>
          <w:rFonts w:ascii="宋体" w:hAnsi="宋体" w:cs="宋体" w:eastAsia="宋体" w:hint="default"/>
          <w:spacing w:val="-2"/>
        </w:rPr>
        <w:t>APP</w:t>
      </w:r>
      <w:r>
        <w:rPr>
          <w:spacing w:val="-2"/>
        </w:rPr>
        <w:t>市场广阔，</w:t>
      </w:r>
      <w:r>
        <w:rPr>
          <w:rFonts w:ascii="宋体" w:hAnsi="宋体" w:cs="宋体" w:eastAsia="宋体" w:hint="default"/>
          <w:spacing w:val="-2"/>
        </w:rPr>
        <w:t>80</w:t>
      </w:r>
      <w:r>
        <w:rPr>
          <w:spacing w:val="-2"/>
        </w:rPr>
        <w:t>后家长甚至是</w:t>
      </w:r>
      <w:r>
        <w:rPr>
          <w:rFonts w:ascii="宋体" w:hAnsi="宋体" w:cs="宋体" w:eastAsia="宋体" w:hint="default"/>
          <w:spacing w:val="-2"/>
        </w:rPr>
        <w:t>90</w:t>
      </w:r>
      <w:r>
        <w:rPr>
          <w:spacing w:val="-2"/>
        </w:rPr>
        <w:t>后家长对教育</w:t>
      </w:r>
      <w:r>
        <w:rPr>
          <w:rFonts w:ascii="宋体" w:hAnsi="宋体" w:cs="宋体" w:eastAsia="宋体" w:hint="default"/>
          <w:spacing w:val="-2"/>
        </w:rPr>
        <w:t>APP</w:t>
      </w:r>
      <w:r>
        <w:rPr>
          <w:spacing w:val="-2"/>
        </w:rPr>
        <w:t>认可度高，愿意为孩子支付这笔开支。而开放二孩政策，庞大的</w:t>
      </w:r>
      <w:r>
        <w:rPr>
          <w:spacing w:val="-56"/>
        </w:rPr>
        <w:t> </w:t>
      </w:r>
      <w:r>
        <w:rPr>
          <w:spacing w:val="-56"/>
        </w:rPr>
      </w:r>
      <w:r>
        <w:rPr>
          <w:spacing w:val="-2"/>
        </w:rPr>
        <w:t>新增人群为教育</w:t>
      </w:r>
      <w:r>
        <w:rPr>
          <w:rFonts w:ascii="宋体" w:hAnsi="宋体" w:cs="宋体" w:eastAsia="宋体" w:hint="default"/>
          <w:spacing w:val="-2"/>
        </w:rPr>
        <w:t>APP</w:t>
      </w:r>
      <w:r>
        <w:rPr>
          <w:spacing w:val="-2"/>
        </w:rPr>
        <w:t>带来巨大的市场潜力。但是教育类</w:t>
      </w:r>
      <w:r>
        <w:rPr>
          <w:rFonts w:ascii="宋体" w:hAnsi="宋体" w:cs="宋体" w:eastAsia="宋体" w:hint="default"/>
          <w:spacing w:val="-2"/>
        </w:rPr>
        <w:t>APP</w:t>
      </w:r>
      <w:r>
        <w:rPr>
          <w:spacing w:val="-2"/>
        </w:rPr>
        <w:t>发展趋势也应该紧跟时代发展在首页界面中，有学习必备，校园动</w:t>
      </w:r>
      <w:r>
        <w:rPr>
          <w:spacing w:val="-60"/>
        </w:rPr>
        <w:t> </w:t>
      </w:r>
      <w:r>
        <w:rPr>
          <w:spacing w:val="-60"/>
        </w:rPr>
      </w:r>
      <w:r>
        <w:rPr>
          <w:spacing w:val="-2"/>
        </w:rPr>
        <w:t>态，跳蚤市场的子级界面，在学习必备里有课表安排，方便用户去查阅今天的课程计划，更加高效的去利用时间，还有笔记</w:t>
      </w:r>
      <w:r>
        <w:rPr>
          <w:spacing w:val="-66"/>
        </w:rPr>
        <w:t> </w:t>
      </w:r>
      <w:r>
        <w:rPr>
          <w:spacing w:val="-66"/>
        </w:rPr>
      </w:r>
      <w:r>
        <w:rPr>
          <w:spacing w:val="-2"/>
        </w:rPr>
        <w:t>记录，能够更加完善笔记记录，通过</w:t>
      </w:r>
      <w:r>
        <w:rPr>
          <w:rFonts w:ascii="宋体" w:hAnsi="宋体" w:cs="宋体" w:eastAsia="宋体" w:hint="default"/>
          <w:spacing w:val="-2"/>
        </w:rPr>
        <w:t>AI</w:t>
      </w:r>
      <w:r>
        <w:rPr>
          <w:spacing w:val="-2"/>
        </w:rPr>
        <w:t>去帮助用户整理笔记，这一个交互设计，让用户对于</w:t>
      </w:r>
      <w:r>
        <w:rPr>
          <w:rFonts w:ascii="宋体" w:hAnsi="宋体" w:cs="宋体" w:eastAsia="宋体" w:hint="default"/>
          <w:spacing w:val="-2"/>
        </w:rPr>
        <w:t>ME</w:t>
      </w:r>
      <w:r>
        <w:rPr>
          <w:spacing w:val="-2"/>
        </w:rPr>
        <w:t>课程</w:t>
      </w:r>
      <w:r>
        <w:rPr>
          <w:rFonts w:ascii="宋体" w:hAnsi="宋体" w:cs="宋体" w:eastAsia="宋体" w:hint="default"/>
          <w:spacing w:val="-2"/>
        </w:rPr>
        <w:t>APP</w:t>
      </w:r>
      <w:r>
        <w:rPr>
          <w:spacing w:val="-2"/>
        </w:rPr>
        <w:t>黏度增加。校园头条，</w:t>
      </w:r>
    </w:p>
    <w:p>
      <w:pPr>
        <w:spacing w:after="0" w:line="319"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right="0"/>
        <w:jc w:val="left"/>
      </w:pPr>
      <w:r>
        <w:rPr>
          <w:spacing w:val="-2"/>
        </w:rPr>
        <w:t>在头条里面用户可以了解时下最新的教育规章制度，所学专业的相关知识，让用户在学习中能够清晰的知道学习的方向。报</w:t>
      </w:r>
      <w:r>
        <w:rPr>
          <w:spacing w:val="-66"/>
        </w:rPr>
        <w:t> </w:t>
      </w:r>
      <w:r>
        <w:rPr>
          <w:spacing w:val="-66"/>
        </w:rPr>
      </w:r>
      <w:r>
        <w:rPr/>
        <w:t>告期内已经完成该项目的技术开发工作并进行了软件著作权登记，登记号为</w:t>
      </w:r>
      <w:r>
        <w:rPr>
          <w:rFonts w:ascii="宋体" w:hAnsi="宋体" w:cs="宋体" w:eastAsia="宋体" w:hint="default"/>
        </w:rPr>
        <w:t>2018SR805533</w:t>
      </w:r>
      <w:r>
        <w:rPr/>
        <w:t>。</w:t>
      </w:r>
    </w:p>
    <w:p>
      <w:pPr>
        <w:pStyle w:val="BodyText"/>
        <w:spacing w:line="316" w:lineRule="auto" w:before="19"/>
        <w:ind w:right="1042"/>
        <w:jc w:val="left"/>
      </w:pPr>
      <w:r>
        <w:rPr>
          <w:rFonts w:ascii="宋体" w:hAnsi="宋体" w:cs="宋体" w:eastAsia="宋体" w:hint="default"/>
        </w:rPr>
        <w:t>40</w:t>
      </w:r>
      <w:r>
        <w:rPr/>
        <w:t>、</w:t>
      </w:r>
      <w:r>
        <w:rPr>
          <w:rFonts w:ascii="宋体" w:hAnsi="宋体" w:cs="宋体" w:eastAsia="宋体" w:hint="default"/>
        </w:rPr>
        <w:t>now</w:t>
      </w:r>
      <w:r>
        <w:rPr/>
        <w:t>闹软件 </w:t>
      </w:r>
      <w:r>
        <w:rPr>
          <w:spacing w:val="-4"/>
        </w:rPr>
        <w:t>“春困秋乏夏打盹</w:t>
      </w:r>
      <w:r>
        <w:rPr>
          <w:rFonts w:ascii="宋体" w:hAnsi="宋体" w:cs="宋体" w:eastAsia="宋体" w:hint="default"/>
          <w:spacing w:val="-4"/>
        </w:rPr>
        <w:t>,</w:t>
      </w:r>
      <w:r>
        <w:rPr>
          <w:spacing w:val="-4"/>
        </w:rPr>
        <w:t>睡不醒的冬三月”，起床，对很多人来说，都是每天的一大考验。为了起床各种五花八门的办法也被大家</w:t>
      </w:r>
      <w:r>
        <w:rPr>
          <w:spacing w:val="-44"/>
        </w:rPr>
        <w:t> </w:t>
      </w:r>
      <w:r>
        <w:rPr>
          <w:spacing w:val="-44"/>
        </w:rPr>
      </w:r>
      <w:r>
        <w:rPr>
          <w:spacing w:val="-2"/>
        </w:rPr>
        <w:t>拿来使用，其中最多的要算是定闹钟了。上班族每天要早起是非常痛苦的一件事，每天都睡得死死的不想起床。有时候，得</w:t>
      </w:r>
      <w:r>
        <w:rPr>
          <w:spacing w:val="-67"/>
        </w:rPr>
        <w:t> </w:t>
      </w:r>
      <w:r>
        <w:rPr>
          <w:spacing w:val="-67"/>
        </w:rPr>
      </w:r>
      <w:r>
        <w:rPr>
          <w:spacing w:val="-2"/>
        </w:rPr>
        <w:t>需要借用一些很特别的外力来帮助自己起床，而且养成一种准时起床的好习惯。像是具有魔性的那种，让你听到后立马就起</w:t>
      </w:r>
      <w:r>
        <w:rPr>
          <w:spacing w:val="-66"/>
        </w:rPr>
        <w:t> </w:t>
      </w:r>
      <w:r>
        <w:rPr>
          <w:spacing w:val="-66"/>
        </w:rPr>
      </w:r>
      <w:r>
        <w:rPr>
          <w:spacing w:val="-2"/>
        </w:rPr>
        <w:t>床。“</w:t>
      </w:r>
      <w:r>
        <w:rPr>
          <w:rFonts w:ascii="宋体" w:hAnsi="宋体" w:cs="宋体" w:eastAsia="宋体" w:hint="default"/>
          <w:spacing w:val="-2"/>
        </w:rPr>
        <w:t>now</w:t>
      </w:r>
      <w:r>
        <w:rPr>
          <w:spacing w:val="-2"/>
        </w:rPr>
        <w:t>闹”是一款可以帮你改善晚睡拖延症、辅助睡眠的应用。下图是它的</w:t>
      </w:r>
      <w:r>
        <w:rPr>
          <w:rFonts w:ascii="宋体" w:hAnsi="宋体" w:cs="宋体" w:eastAsia="宋体" w:hint="default"/>
          <w:spacing w:val="-2"/>
        </w:rPr>
        <w:t>UI</w:t>
      </w:r>
      <w:r>
        <w:rPr>
          <w:spacing w:val="-2"/>
        </w:rPr>
        <w:t>界面，采用了极简主义设计。闹铃、编辑。</w:t>
      </w:r>
      <w:r>
        <w:rPr>
          <w:spacing w:val="-66"/>
        </w:rPr>
        <w:t> </w:t>
      </w:r>
      <w:r>
        <w:rPr/>
        <w:t>报告期内已经完成该项目的技术开发工作并进行了软件著作权登记，登记号为</w:t>
      </w:r>
      <w:r>
        <w:rPr>
          <w:rFonts w:ascii="宋体" w:hAnsi="宋体" w:cs="宋体" w:eastAsia="宋体" w:hint="default"/>
        </w:rPr>
        <w:t>2018SR805352</w:t>
      </w:r>
      <w:r>
        <w:rPr/>
        <w:t>。</w:t>
      </w:r>
    </w:p>
    <w:p>
      <w:pPr>
        <w:pStyle w:val="BodyText"/>
        <w:spacing w:line="316" w:lineRule="auto" w:before="19"/>
        <w:ind w:right="1122"/>
        <w:jc w:val="left"/>
      </w:pPr>
      <w:r>
        <w:rPr>
          <w:rFonts w:ascii="宋体" w:hAnsi="宋体" w:cs="宋体" w:eastAsia="宋体" w:hint="default"/>
        </w:rPr>
        <w:t>41</w:t>
      </w:r>
      <w:r>
        <w:rPr/>
        <w:t>、西窗烛软件 “西窗烛”是一款阅读类</w:t>
      </w:r>
      <w:r>
        <w:rPr>
          <w:rFonts w:ascii="宋体" w:hAnsi="宋体" w:cs="宋体" w:eastAsia="宋体" w:hint="default"/>
        </w:rPr>
        <w:t>APP</w:t>
      </w:r>
      <w:r>
        <w:rPr/>
        <w:t>，是知识经济领域的全新探索，提供古诗词免费阅读的新模式。这也是用户最喜欢的地方，因</w:t>
      </w:r>
      <w:r>
        <w:rPr>
          <w:spacing w:val="-83"/>
        </w:rPr>
        <w:t> </w:t>
      </w:r>
      <w:r>
        <w:rPr>
          <w:spacing w:val="-83"/>
        </w:rPr>
      </w:r>
      <w:r>
        <w:rPr>
          <w:spacing w:val="-2"/>
        </w:rPr>
        <w:t>为几乎不用付费就可以阅读到自己喜欢的图书。西窗烛”整体的设计思路也是走的简约风格，让用户初上手几乎没有学习成</w:t>
      </w:r>
      <w:r>
        <w:rPr>
          <w:spacing w:val="-66"/>
        </w:rPr>
        <w:t> </w:t>
      </w:r>
      <w:r>
        <w:rPr>
          <w:spacing w:val="-66"/>
        </w:rPr>
      </w:r>
      <w:r>
        <w:rPr>
          <w:spacing w:val="-2"/>
        </w:rPr>
        <w:t>本。书籍资源丰富，分类条理清晰，社交功能完善，适合大众群体使用。相比以前用眼睛去看纸质书，现在更多的人喜欢用</w:t>
      </w:r>
      <w:r>
        <w:rPr>
          <w:spacing w:val="-68"/>
        </w:rPr>
        <w:t> </w:t>
      </w:r>
      <w:r>
        <w:rPr>
          <w:spacing w:val="-68"/>
        </w:rPr>
      </w:r>
      <w:r>
        <w:rPr/>
        <w:t>手机看电子书了。报告期内已经完成该项目的技术开发工作并进行了软件著作权登记，登记号为</w:t>
      </w:r>
      <w:r>
        <w:rPr>
          <w:rFonts w:ascii="宋体" w:hAnsi="宋体" w:cs="宋体" w:eastAsia="宋体" w:hint="default"/>
        </w:rPr>
        <w:t>2018SR805141</w:t>
      </w:r>
      <w:r>
        <w:rPr/>
        <w:t>。 </w:t>
      </w:r>
      <w:r>
        <w:rPr>
          <w:rFonts w:ascii="宋体" w:hAnsi="宋体" w:cs="宋体" w:eastAsia="宋体" w:hint="default"/>
        </w:rPr>
        <w:t>42</w:t>
      </w:r>
      <w:r>
        <w:rPr/>
        <w:t>、小筑软件 </w:t>
      </w:r>
      <w:r>
        <w:rPr>
          <w:spacing w:val="-2"/>
        </w:rPr>
        <w:t>“小筑软件”是一款免费的家装设计软件，“小筑”汇聚了海量的房屋室内装修实景图，不管是设计师还是老百姓要装修都</w:t>
      </w:r>
      <w:r>
        <w:rPr>
          <w:spacing w:val="-64"/>
        </w:rPr>
        <w:t> </w:t>
      </w:r>
      <w:r>
        <w:rPr>
          <w:spacing w:val="-64"/>
        </w:rPr>
      </w:r>
      <w:r>
        <w:rPr/>
        <w:t>能用得上，在</w:t>
      </w:r>
      <w:r>
        <w:rPr>
          <w:rFonts w:ascii="宋体" w:hAnsi="宋体" w:cs="宋体" w:eastAsia="宋体" w:hint="default"/>
        </w:rPr>
        <w:t>app</w:t>
      </w:r>
      <w:r>
        <w:rPr/>
        <w:t>上选好装修样式，直接约设计师上门装修，不用再纠结，方便省事。通过依托于传统建筑行业，打通产业</w:t>
      </w:r>
      <w:r>
        <w:rPr>
          <w:spacing w:val="-83"/>
        </w:rPr>
        <w:t> </w:t>
      </w:r>
      <w:r>
        <w:rPr>
          <w:spacing w:val="-83"/>
        </w:rPr>
      </w:r>
      <w:r>
        <w:rPr/>
        <w:t>链上下游，实现发包方、承包方、工人三位垂直一体化的互联网</w:t>
      </w:r>
      <w:r>
        <w:rPr>
          <w:rFonts w:ascii="宋体" w:hAnsi="宋体" w:cs="宋体" w:eastAsia="宋体" w:hint="default"/>
        </w:rPr>
        <w:t>+</w:t>
      </w:r>
      <w:r>
        <w:rPr/>
        <w:t>建筑平台。是房屋家装必备神器，让你的装修不在操一点</w:t>
      </w:r>
      <w:r>
        <w:rPr>
          <w:spacing w:val="-82"/>
        </w:rPr>
        <w:t> </w:t>
      </w:r>
      <w:r>
        <w:rPr>
          <w:spacing w:val="-82"/>
        </w:rPr>
      </w:r>
      <w:r>
        <w:rPr>
          <w:spacing w:val="-2"/>
        </w:rPr>
        <w:t>心，不管多大的房子“小筑”都能帮你轻松搞定，所有东西“全部包干，做完验收在交付。报告期内已经完成该项目的技术</w:t>
      </w:r>
      <w:r>
        <w:rPr>
          <w:spacing w:val="-72"/>
        </w:rPr>
        <w:t> </w:t>
      </w:r>
      <w:r>
        <w:rPr>
          <w:spacing w:val="-72"/>
        </w:rPr>
      </w:r>
      <w:r>
        <w:rPr/>
        <w:t>开发工作并进行了软件著作权登记，登记号为</w:t>
      </w:r>
      <w:r>
        <w:rPr>
          <w:rFonts w:ascii="宋体" w:hAnsi="宋体" w:cs="宋体" w:eastAsia="宋体" w:hint="default"/>
        </w:rPr>
        <w:t>2018SR805413</w:t>
      </w:r>
      <w:r>
        <w:rPr/>
        <w:t>。</w:t>
      </w:r>
    </w:p>
    <w:p>
      <w:pPr>
        <w:pStyle w:val="BodyText"/>
        <w:spacing w:line="316" w:lineRule="auto" w:before="19"/>
        <w:ind w:right="1032"/>
        <w:jc w:val="left"/>
      </w:pPr>
      <w:r>
        <w:rPr>
          <w:rFonts w:ascii="宋体" w:hAnsi="宋体" w:cs="宋体" w:eastAsia="宋体" w:hint="default"/>
        </w:rPr>
        <w:t>43</w:t>
      </w:r>
      <w:r>
        <w:rPr/>
        <w:t>、联璧金融</w:t>
      </w:r>
      <w:r>
        <w:rPr>
          <w:rFonts w:ascii="宋体" w:hAnsi="宋体" w:cs="宋体" w:eastAsia="宋体" w:hint="default"/>
        </w:rPr>
        <w:t>APP</w:t>
      </w:r>
      <w:r>
        <w:rPr/>
        <w:t>软件 随着移动互联网的发展，越来越多的用户开始通过移动</w:t>
      </w:r>
      <w:r>
        <w:rPr>
          <w:rFonts w:ascii="宋体" w:hAnsi="宋体" w:cs="宋体" w:eastAsia="宋体" w:hint="default"/>
        </w:rPr>
        <w:t>APP</w:t>
      </w:r>
      <w:r>
        <w:rPr/>
        <w:t>进行投资理财、移动支付、记账、炒股，了解金融行业的动态和</w:t>
      </w:r>
      <w:r>
        <w:rPr>
          <w:spacing w:val="-82"/>
        </w:rPr>
        <w:t> </w:t>
      </w:r>
      <w:r>
        <w:rPr>
          <w:spacing w:val="-82"/>
        </w:rPr>
      </w:r>
      <w:r>
        <w:rPr>
          <w:spacing w:val="-5"/>
        </w:rPr>
        <w:t>及时新闻资讯。而为了迎合用户的投资理财需求，包括银行、证券、基金等等在内的各大金融机构也开始投身于开发金融</w:t>
      </w:r>
      <w:r>
        <w:rPr>
          <w:rFonts w:ascii="宋体" w:hAnsi="宋体" w:cs="宋体" w:eastAsia="宋体" w:hint="default"/>
          <w:spacing w:val="-5"/>
        </w:rPr>
        <w:t>APP</w:t>
      </w:r>
      <w:r>
        <w:rPr>
          <w:spacing w:val="-5"/>
        </w:rPr>
        <w:t>。</w:t>
      </w:r>
      <w:r>
        <w:rPr>
          <w:spacing w:val="-71"/>
        </w:rPr>
        <w:t> </w:t>
      </w:r>
      <w:r>
        <w:rPr/>
        <w:t>互联网与金融的连续融合和发展，给生活理财</w:t>
      </w:r>
      <w:r>
        <w:rPr>
          <w:rFonts w:ascii="宋体" w:hAnsi="宋体" w:cs="宋体" w:eastAsia="宋体" w:hint="default"/>
        </w:rPr>
        <w:t>APP</w:t>
      </w:r>
      <w:r>
        <w:rPr/>
        <w:t>软件的发展提供了一个较好的外部环境。联璧金融是一款生活理财类</w:t>
      </w:r>
      <w:r>
        <w:rPr>
          <w:rFonts w:ascii="宋体" w:hAnsi="宋体" w:cs="宋体" w:eastAsia="宋体" w:hint="default"/>
        </w:rPr>
        <w:t>app</w:t>
      </w:r>
      <w:r>
        <w:rPr/>
        <w:t>， </w:t>
      </w:r>
      <w:r>
        <w:rPr>
          <w:spacing w:val="-3"/>
        </w:rPr>
        <w:t>它为用户的投资理财提供了一个安全与高收益的平台。联璧金融项目为用户提供更专业的服务，平台专注小额富余资金，</w:t>
      </w:r>
      <w:r>
        <w:rPr>
          <w:spacing w:val="-47"/>
        </w:rPr>
        <w:t> </w:t>
      </w:r>
      <w:r>
        <w:rPr/>
        <w:t>随</w:t>
      </w:r>
      <w:r>
        <w:rPr>
          <w:spacing w:val="-58"/>
        </w:rPr>
        <w:t> </w:t>
      </w:r>
      <w:r>
        <w:rPr>
          <w:spacing w:val="-58"/>
        </w:rPr>
      </w:r>
      <w:r>
        <w:rPr>
          <w:spacing w:val="-2"/>
        </w:rPr>
        <w:t>心投、轻松赚。产品收益率浮动小，稳定性强，用户更安心。平台提供多样产品供用户灵活投资自主选择。报告期内已经完</w:t>
      </w:r>
      <w:r>
        <w:rPr>
          <w:spacing w:val="-68"/>
        </w:rPr>
        <w:t> </w:t>
      </w:r>
      <w:r>
        <w:rPr>
          <w:spacing w:val="-68"/>
        </w:rPr>
      </w:r>
      <w:r>
        <w:rPr/>
        <w:t>成该项目的技术开发工作并进行了软件著作权登记，登记号为</w:t>
      </w:r>
      <w:r>
        <w:rPr>
          <w:rFonts w:ascii="宋体" w:hAnsi="宋体" w:cs="宋体" w:eastAsia="宋体" w:hint="default"/>
        </w:rPr>
        <w:t>2018SR805147</w:t>
      </w:r>
      <w:r>
        <w:rPr/>
        <w:t>。</w:t>
      </w:r>
    </w:p>
    <w:p>
      <w:pPr>
        <w:pStyle w:val="BodyText"/>
        <w:spacing w:line="316" w:lineRule="auto" w:before="19"/>
        <w:ind w:right="1122"/>
        <w:jc w:val="left"/>
      </w:pPr>
      <w:r>
        <w:rPr>
          <w:rFonts w:ascii="宋体" w:hAnsi="宋体" w:cs="宋体" w:eastAsia="宋体" w:hint="default"/>
        </w:rPr>
        <w:t>44</w:t>
      </w:r>
      <w:r>
        <w:rPr/>
        <w:t>、叮咚上门维修软件 叮咚上门维修软件“这款</w:t>
      </w:r>
      <w:r>
        <w:rPr>
          <w:rFonts w:ascii="宋体" w:hAnsi="宋体" w:cs="宋体" w:eastAsia="宋体" w:hint="default"/>
        </w:rPr>
        <w:t>app</w:t>
      </w:r>
      <w:r>
        <w:rPr/>
        <w:t>主打</w:t>
      </w:r>
      <w:r>
        <w:rPr>
          <w:rFonts w:ascii="宋体" w:hAnsi="宋体" w:cs="宋体" w:eastAsia="宋体" w:hint="default"/>
        </w:rPr>
        <w:t>O2O</w:t>
      </w:r>
      <w:r>
        <w:rPr/>
        <w:t>电商，提供社区周边生活家电维修的电商信息，在</w:t>
      </w:r>
      <w:r>
        <w:rPr>
          <w:rFonts w:ascii="宋体" w:hAnsi="宋体" w:cs="宋体" w:eastAsia="宋体" w:hint="default"/>
        </w:rPr>
        <w:t>app</w:t>
      </w:r>
      <w:r>
        <w:rPr/>
        <w:t>有三大版块，有生活维修、邻居</w:t>
      </w:r>
      <w:r>
        <w:rPr>
          <w:spacing w:val="-83"/>
        </w:rPr>
        <w:t> </w:t>
      </w:r>
      <w:r>
        <w:rPr>
          <w:spacing w:val="-83"/>
        </w:rPr>
      </w:r>
      <w:r>
        <w:rPr/>
        <w:t>推荐、省钱广播，分别抓住用户懒惰、爱凑热闹、贪便宜等共性，而其中上门维修是这款</w:t>
      </w:r>
      <w:r>
        <w:rPr>
          <w:rFonts w:ascii="宋体" w:hAnsi="宋体" w:cs="宋体" w:eastAsia="宋体" w:hint="default"/>
        </w:rPr>
        <w:t>app</w:t>
      </w:r>
      <w:r>
        <w:rPr/>
        <w:t>的重要功能，上门维修将周边</w:t>
      </w:r>
      <w:r>
        <w:rPr>
          <w:spacing w:val="-82"/>
        </w:rPr>
        <w:t> </w:t>
      </w:r>
      <w:r>
        <w:rPr>
          <w:spacing w:val="-82"/>
        </w:rPr>
      </w:r>
      <w:r>
        <w:rPr/>
        <w:t>生活区以列表的形式显现出来并提供拨号评价支持，信息比较常见，对于没有资金及数据支持的</w:t>
      </w:r>
      <w:r>
        <w:rPr>
          <w:rFonts w:ascii="宋体" w:hAnsi="宋体" w:cs="宋体" w:eastAsia="宋体" w:hint="default"/>
        </w:rPr>
        <w:t>app</w:t>
      </w:r>
      <w:r>
        <w:rPr/>
        <w:t>而言，这一块廉价但有</w:t>
      </w:r>
      <w:r>
        <w:rPr>
          <w:spacing w:val="-82"/>
        </w:rPr>
        <w:t> </w:t>
      </w:r>
      <w:r>
        <w:rPr>
          <w:spacing w:val="-82"/>
        </w:rPr>
      </w:r>
      <w:r>
        <w:rPr/>
        <w:t>用的数据还是能留住大部分用户。此类</w:t>
      </w:r>
      <w:r>
        <w:rPr>
          <w:rFonts w:ascii="宋体" w:hAnsi="宋体" w:cs="宋体" w:eastAsia="宋体" w:hint="default"/>
        </w:rPr>
        <w:t>APP</w:t>
      </w:r>
      <w:r>
        <w:rPr/>
        <w:t>弱点是客户重复使用率低。一般人，很少家里东西接二连三的坏掉。如果下载一</w:t>
      </w:r>
      <w:r>
        <w:rPr>
          <w:spacing w:val="-83"/>
        </w:rPr>
        <w:t> </w:t>
      </w:r>
      <w:r>
        <w:rPr>
          <w:spacing w:val="-83"/>
        </w:rPr>
      </w:r>
      <w:r>
        <w:rPr>
          <w:spacing w:val="-2"/>
        </w:rPr>
        <w:t>个</w:t>
      </w:r>
      <w:r>
        <w:rPr>
          <w:rFonts w:ascii="宋体" w:hAnsi="宋体" w:cs="宋体" w:eastAsia="宋体" w:hint="default"/>
          <w:spacing w:val="-2"/>
        </w:rPr>
        <w:t>APP,</w:t>
      </w:r>
      <w:r>
        <w:rPr>
          <w:spacing w:val="-2"/>
        </w:rPr>
        <w:t>一年也就用一次的话，大概会很快把它删除掉。为了提高客户回访率，那么设定后期逐步加入上门清洗，上门家政服</w:t>
      </w:r>
      <w:r>
        <w:rPr>
          <w:spacing w:val="-62"/>
        </w:rPr>
        <w:t> </w:t>
      </w:r>
      <w:r>
        <w:rPr>
          <w:spacing w:val="-62"/>
        </w:rPr>
      </w:r>
      <w:r>
        <w:rPr/>
        <w:t>务。报告期内已经完成该项目的技术开发工作并进行了软件著作权登记，登记号为</w:t>
      </w:r>
      <w:r>
        <w:rPr>
          <w:rFonts w:ascii="宋体" w:hAnsi="宋体" w:cs="宋体" w:eastAsia="宋体" w:hint="default"/>
        </w:rPr>
        <w:t>2018SR806315</w:t>
      </w:r>
      <w:r>
        <w:rPr/>
        <w:t>。</w:t>
      </w:r>
    </w:p>
    <w:p>
      <w:pPr>
        <w:pStyle w:val="BodyText"/>
        <w:spacing w:line="316" w:lineRule="auto" w:before="19"/>
        <w:ind w:right="1032"/>
        <w:jc w:val="left"/>
      </w:pPr>
      <w:r>
        <w:rPr>
          <w:rFonts w:ascii="宋体" w:hAnsi="宋体" w:cs="宋体" w:eastAsia="宋体" w:hint="default"/>
        </w:rPr>
        <w:t>45</w:t>
      </w:r>
      <w:r>
        <w:rPr/>
        <w:t>、玩技社软件 </w:t>
      </w:r>
      <w:r>
        <w:rPr>
          <w:spacing w:val="-4"/>
        </w:rPr>
        <w:t>据《中外玩具制造》</w:t>
      </w:r>
      <w:r>
        <w:rPr>
          <w:rFonts w:ascii="宋体" w:hAnsi="宋体" w:cs="宋体" w:eastAsia="宋体" w:hint="default"/>
          <w:spacing w:val="-4"/>
        </w:rPr>
        <w:t>1</w:t>
      </w:r>
      <w:r>
        <w:rPr>
          <w:spacing w:val="-4"/>
        </w:rPr>
        <w:t>月号报道：模型玩具受众面广，儿童和成年人等不同群体都有“粉丝”。模型玩具将模型和玩具的特性</w:t>
      </w:r>
      <w:r>
        <w:rPr>
          <w:spacing w:val="-45"/>
        </w:rPr>
        <w:t> </w:t>
      </w:r>
      <w:r>
        <w:rPr>
          <w:spacing w:val="-45"/>
        </w:rPr>
      </w:r>
      <w:r>
        <w:rPr>
          <w:spacing w:val="-2"/>
        </w:rPr>
        <w:t>结合在一起，既有仿真性，又具有娱乐性，同时还有收藏价值。因而它深受大众尤其是男孩的喜爱，所以它具有广阔的市场</w:t>
      </w:r>
      <w:r>
        <w:rPr>
          <w:spacing w:val="-66"/>
        </w:rPr>
        <w:t> </w:t>
      </w:r>
      <w:r>
        <w:rPr>
          <w:spacing w:val="-66"/>
        </w:rPr>
      </w:r>
      <w:r>
        <w:rPr>
          <w:spacing w:val="-2"/>
        </w:rPr>
        <w:t>前景，值得厂商特别关注。本文将模型玩具分为四大类：军事模型、机甲模型、动物模型、人物模型。军事模型大致包括汽</w:t>
      </w:r>
      <w:r>
        <w:rPr>
          <w:spacing w:val="-72"/>
        </w:rPr>
        <w:t> </w:t>
      </w:r>
      <w:r>
        <w:rPr>
          <w:spacing w:val="-72"/>
        </w:rPr>
      </w:r>
      <w:r>
        <w:rPr/>
        <w:t>车、救护车、消防车、飞机、直升机、坦克、航空母舰。机甲模型包括机器人等。而动物模型则包括恐龙、狮子、麋鹿等。 </w:t>
      </w:r>
      <w:r>
        <w:rPr>
          <w:spacing w:val="-2"/>
        </w:rPr>
        <w:t>人物模型则是各种形象的人偶。模型玩具，对成人而言，是其工作之余发展自身爱好、展现个性的收藏品；对儿童而言，根</w:t>
      </w:r>
      <w:r>
        <w:rPr>
          <w:spacing w:val="-67"/>
        </w:rPr>
        <w:t> </w:t>
      </w:r>
      <w:r>
        <w:rPr>
          <w:spacing w:val="-67"/>
        </w:rPr>
      </w:r>
      <w:r>
        <w:rPr>
          <w:spacing w:val="-2"/>
        </w:rPr>
        <w:t>据儿童心理特点的设计使得其更适合儿童玩耍，也使得这种玩具不仅有趣、安全，也更富于教育意义。报告期内已经完成该</w:t>
      </w:r>
      <w:r>
        <w:rPr>
          <w:spacing w:val="-66"/>
        </w:rPr>
        <w:t> </w:t>
      </w:r>
      <w:r>
        <w:rPr>
          <w:spacing w:val="-66"/>
        </w:rPr>
      </w:r>
      <w:r>
        <w:rPr/>
        <w:t>项目的技术开发工作并进行了软件著作权登记，登记号为</w:t>
      </w:r>
      <w:r>
        <w:rPr>
          <w:rFonts w:ascii="宋体" w:hAnsi="宋体" w:cs="宋体" w:eastAsia="宋体" w:hint="default"/>
        </w:rPr>
        <w:t>2018SR806341</w:t>
      </w:r>
      <w:r>
        <w:rPr/>
        <w:t>。</w:t>
      </w:r>
    </w:p>
    <w:p>
      <w:pPr>
        <w:pStyle w:val="BodyText"/>
        <w:spacing w:line="240" w:lineRule="auto" w:before="19"/>
        <w:ind w:right="0"/>
        <w:jc w:val="left"/>
      </w:pPr>
      <w:r>
        <w:rPr>
          <w:rFonts w:ascii="宋体" w:hAnsi="宋体" w:cs="宋体" w:eastAsia="宋体" w:hint="default"/>
        </w:rPr>
        <w:t>46</w:t>
      </w:r>
      <w:r>
        <w:rPr/>
        <w:t>、知音软件</w:t>
      </w:r>
    </w:p>
    <w:p>
      <w:pPr>
        <w:pStyle w:val="BodyText"/>
        <w:spacing w:line="316" w:lineRule="auto" w:before="76"/>
        <w:ind w:right="1115"/>
        <w:jc w:val="left"/>
      </w:pPr>
      <w:r>
        <w:rPr/>
        <w:t>知音软件是一个古筝学习类</w:t>
      </w:r>
      <w:r>
        <w:rPr>
          <w:rFonts w:ascii="宋体" w:hAnsi="宋体" w:cs="宋体" w:eastAsia="宋体" w:hint="default"/>
        </w:rPr>
        <w:t>app</w:t>
      </w:r>
      <w:r>
        <w:rPr/>
        <w:t>可以方便的学习各种古筝音乐，知音软件是古筝学习助手</w:t>
      </w:r>
      <w:r>
        <w:rPr>
          <w:rFonts w:ascii="宋体" w:hAnsi="宋体" w:cs="宋体" w:eastAsia="宋体" w:hint="default"/>
        </w:rPr>
        <w:t>,</w:t>
      </w:r>
      <w:r>
        <w:rPr>
          <w:rFonts w:ascii="宋体" w:hAnsi="宋体" w:cs="宋体" w:eastAsia="宋体" w:hint="default"/>
          <w:spacing w:val="7"/>
        </w:rPr>
        <w:t> </w:t>
      </w:r>
      <w:r>
        <w:rPr/>
        <w:t>筝是我国最古老的弹拔乐器，善 于表现优美抒情的曲调</w:t>
      </w:r>
      <w:r>
        <w:rPr>
          <w:rFonts w:ascii="宋体" w:hAnsi="宋体" w:cs="宋体" w:eastAsia="宋体" w:hint="default"/>
        </w:rPr>
        <w:t>,</w:t>
      </w:r>
      <w:r>
        <w:rPr/>
        <w:t>又能够抒发气势。这里有大量的古筝曲谱，是你学习古筝的好帮手。知音软件（以下简称知音）这</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right="1130"/>
        <w:jc w:val="both"/>
      </w:pPr>
      <w:r>
        <w:rPr>
          <w:spacing w:val="-2"/>
        </w:rPr>
        <w:t>是记录古筝知识的一款软件。与我们常说的学习记录不同，它可以记录在手机上，可以听到老师教学当时的录音，可以在上</w:t>
      </w:r>
      <w:r>
        <w:rPr>
          <w:spacing w:val="-65"/>
        </w:rPr>
        <w:t> </w:t>
      </w:r>
      <w:r>
        <w:rPr>
          <w:spacing w:val="-65"/>
        </w:rPr>
      </w:r>
      <w:r>
        <w:rPr>
          <w:spacing w:val="-2"/>
        </w:rPr>
        <w:t>面学习大量的曲谱，考级曲目等有助于以后对古筝的学习。报告期内已经完成该项目的技术开发工作并进行了软件著作权登</w:t>
      </w:r>
      <w:r>
        <w:rPr>
          <w:spacing w:val="-64"/>
        </w:rPr>
        <w:t> </w:t>
      </w:r>
      <w:r>
        <w:rPr>
          <w:spacing w:val="-64"/>
        </w:rPr>
      </w:r>
      <w:r>
        <w:rPr/>
        <w:t>记，登记号为</w:t>
      </w:r>
      <w:r>
        <w:rPr>
          <w:rFonts w:ascii="宋体" w:hAnsi="宋体" w:cs="宋体" w:eastAsia="宋体" w:hint="default"/>
        </w:rPr>
        <w:t>2018SR806723</w:t>
      </w:r>
      <w:r>
        <w:rPr/>
        <w:t>。</w:t>
      </w:r>
    </w:p>
    <w:p>
      <w:pPr>
        <w:pStyle w:val="BodyText"/>
        <w:spacing w:line="316" w:lineRule="auto" w:before="19"/>
        <w:ind w:right="1118"/>
        <w:jc w:val="left"/>
      </w:pPr>
      <w:r>
        <w:rPr>
          <w:rFonts w:ascii="宋体" w:hAnsi="宋体" w:cs="宋体" w:eastAsia="宋体" w:hint="default"/>
        </w:rPr>
        <w:t>47</w:t>
      </w:r>
      <w:r>
        <w:rPr/>
        <w:t>、优审软件 </w:t>
      </w:r>
      <w:r>
        <w:rPr>
          <w:spacing w:val="-2"/>
        </w:rPr>
        <w:t>优审软件是一款方便的聊天工具，具备多种功能，比如视频聊天、多人语音会议、多人聊天、传送文件、文字聊天等。可以</w:t>
      </w:r>
      <w:r>
        <w:rPr>
          <w:spacing w:val="-72"/>
        </w:rPr>
        <w:t> </w:t>
      </w:r>
      <w:r>
        <w:rPr>
          <w:spacing w:val="-72"/>
        </w:rPr>
      </w:r>
      <w:r>
        <w:rPr>
          <w:spacing w:val="-2"/>
        </w:rPr>
        <w:t>打电话，还可以绑定你的电话，方便你和朋友间的联系。借助网络传输数据，无需复杂繁琐的注册和添加好友就能与其他用</w:t>
      </w:r>
      <w:r>
        <w:rPr>
          <w:spacing w:val="-66"/>
        </w:rPr>
        <w:t> </w:t>
      </w:r>
      <w:r>
        <w:rPr>
          <w:spacing w:val="-66"/>
        </w:rPr>
      </w:r>
      <w:r>
        <w:rPr>
          <w:spacing w:val="-2"/>
        </w:rPr>
        <w:t>户免费通话及发送短信、视频链接和共享照片。支持包括中文在内的多国语言。优审软件是一款免费聊天工具，以实际电话</w:t>
      </w:r>
      <w:r>
        <w:rPr>
          <w:spacing w:val="-66"/>
        </w:rPr>
        <w:t> </w:t>
      </w:r>
      <w:r>
        <w:rPr>
          <w:spacing w:val="-66"/>
        </w:rPr>
      </w:r>
      <w:r>
        <w:rPr>
          <w:spacing w:val="-2"/>
        </w:rPr>
        <w:t>号码来管理好友，借助推送通知服务，可以跟亲友和同事间快速收发短信，图片，视频，以及语音对讲。报告期内已经完成</w:t>
      </w:r>
      <w:r>
        <w:rPr>
          <w:spacing w:val="-67"/>
        </w:rPr>
        <w:t> </w:t>
      </w:r>
      <w:r>
        <w:rPr>
          <w:spacing w:val="-67"/>
        </w:rPr>
      </w:r>
      <w:r>
        <w:rPr/>
        <w:t>该项目的技术开发工作并进行了软件著作权登记，登记号为</w:t>
      </w:r>
      <w:r>
        <w:rPr>
          <w:rFonts w:ascii="宋体" w:hAnsi="宋体" w:cs="宋体" w:eastAsia="宋体" w:hint="default"/>
        </w:rPr>
        <w:t>2018SR842130</w:t>
      </w:r>
      <w:r>
        <w:rPr/>
        <w:t>。</w:t>
      </w:r>
    </w:p>
    <w:p>
      <w:pPr>
        <w:pStyle w:val="BodyText"/>
        <w:spacing w:line="316" w:lineRule="auto" w:before="19"/>
        <w:ind w:right="1118"/>
        <w:jc w:val="left"/>
      </w:pPr>
      <w:r>
        <w:rPr>
          <w:rFonts w:ascii="宋体" w:hAnsi="宋体" w:cs="宋体" w:eastAsia="宋体" w:hint="default"/>
        </w:rPr>
        <w:t>48</w:t>
      </w:r>
      <w:r>
        <w:rPr/>
        <w:t>、易阅软件 </w:t>
      </w:r>
      <w:r>
        <w:rPr>
          <w:spacing w:val="-2"/>
        </w:rPr>
        <w:t>易阅软件是一款智能手机上看书的软件，是一款掌上书城类软件，用户可以对喜欢的图书进行阅读，及收藏，并且可以与其</w:t>
      </w:r>
      <w:r>
        <w:rPr>
          <w:spacing w:val="-66"/>
        </w:rPr>
        <w:t> </w:t>
      </w:r>
      <w:r>
        <w:rPr>
          <w:spacing w:val="-66"/>
        </w:rPr>
      </w:r>
      <w:r>
        <w:rPr>
          <w:spacing w:val="-2"/>
        </w:rPr>
        <w:t>他用户进行图书的交换，主要使用技术有环讯</w:t>
      </w:r>
      <w:r>
        <w:rPr>
          <w:rFonts w:ascii="宋体" w:hAnsi="宋体" w:cs="宋体" w:eastAsia="宋体" w:hint="default"/>
          <w:spacing w:val="-2"/>
        </w:rPr>
        <w:t>SDK</w:t>
      </w:r>
      <w:r>
        <w:rPr>
          <w:spacing w:val="-2"/>
        </w:rPr>
        <w:t>，</w:t>
      </w:r>
      <w:r>
        <w:rPr>
          <w:rFonts w:ascii="宋体" w:hAnsi="宋体" w:cs="宋体" w:eastAsia="宋体" w:hint="default"/>
          <w:spacing w:val="-2"/>
        </w:rPr>
        <w:t>Sharesdk</w:t>
      </w:r>
      <w:r>
        <w:rPr>
          <w:spacing w:val="-2"/>
        </w:rPr>
        <w:t>等以及自定义控件</w:t>
      </w:r>
      <w:r>
        <w:rPr>
          <w:rFonts w:ascii="宋体" w:hAnsi="宋体" w:cs="宋体" w:eastAsia="宋体" w:hint="default"/>
          <w:spacing w:val="-2"/>
        </w:rPr>
        <w:t>,</w:t>
      </w:r>
      <w:r>
        <w:rPr>
          <w:spacing w:val="-2"/>
        </w:rPr>
        <w:t>自动布局，网络，多线程，存储等方面的使</w:t>
      </w:r>
      <w:r>
        <w:rPr>
          <w:spacing w:val="-54"/>
        </w:rPr>
        <w:t> </w:t>
      </w:r>
      <w:r>
        <w:rPr>
          <w:spacing w:val="-54"/>
        </w:rPr>
      </w:r>
      <w:r>
        <w:rPr>
          <w:spacing w:val="-2"/>
        </w:rPr>
        <w:t>用。看书的习惯，在用户自小到大各种生活环境下都有影响，且是极易被改变的。一款很方便便利的阅读软件就能实在地改</w:t>
      </w:r>
      <w:r>
        <w:rPr>
          <w:spacing w:val="-66"/>
        </w:rPr>
        <w:t> </w:t>
      </w:r>
      <w:r>
        <w:rPr>
          <w:spacing w:val="-66"/>
        </w:rPr>
      </w:r>
      <w:r>
        <w:rPr>
          <w:spacing w:val="-2"/>
        </w:rPr>
        <w:t>变了大部分用户原来的阅读习惯。期望阅读能够越来越多的人参与进来，保持良好的阅读习惯与学习劲头，才能带动整个行</w:t>
      </w:r>
      <w:r>
        <w:rPr>
          <w:spacing w:val="-66"/>
        </w:rPr>
        <w:t> </w:t>
      </w:r>
      <w:r>
        <w:rPr>
          <w:spacing w:val="-66"/>
        </w:rPr>
      </w:r>
      <w:r>
        <w:rPr>
          <w:spacing w:val="8"/>
        </w:rPr>
        <w:t>业，乃至整个民族的不断成长与创新。报告期内已经完成该项目的技术开发工作并进行了软件著作权登记，登记号为</w:t>
      </w:r>
      <w:r>
        <w:rPr>
          <w:spacing w:val="-65"/>
        </w:rPr>
        <w:t> </w:t>
      </w:r>
      <w:r>
        <w:rPr>
          <w:spacing w:val="-65"/>
        </w:rPr>
      </w:r>
      <w:r>
        <w:rPr>
          <w:rFonts w:ascii="宋体" w:hAnsi="宋体" w:cs="宋体" w:eastAsia="宋体" w:hint="default"/>
        </w:rPr>
        <w:t>2018SR806737</w:t>
      </w:r>
      <w:r>
        <w:rPr/>
        <w:t>。</w:t>
      </w:r>
    </w:p>
    <w:p>
      <w:pPr>
        <w:pStyle w:val="BodyText"/>
        <w:spacing w:line="316" w:lineRule="auto" w:before="19"/>
        <w:ind w:right="0"/>
        <w:jc w:val="left"/>
      </w:pPr>
      <w:r>
        <w:rPr>
          <w:rFonts w:ascii="宋体" w:hAnsi="宋体" w:cs="宋体" w:eastAsia="宋体" w:hint="default"/>
        </w:rPr>
        <w:t>49</w:t>
      </w:r>
      <w:r>
        <w:rPr/>
        <w:t>、梦人生软件 </w:t>
      </w:r>
      <w:r>
        <w:rPr>
          <w:spacing w:val="-2"/>
        </w:rPr>
        <w:t>梦人生软件是一款</w:t>
      </w:r>
      <w:r>
        <w:rPr>
          <w:rFonts w:ascii="宋体" w:hAnsi="宋体" w:cs="宋体" w:eastAsia="宋体" w:hint="default"/>
          <w:spacing w:val="-2"/>
        </w:rPr>
        <w:t>VR</w:t>
      </w:r>
      <w:r>
        <w:rPr>
          <w:spacing w:val="-2"/>
        </w:rPr>
        <w:t>虚拟现实的社交类</w:t>
      </w:r>
      <w:r>
        <w:rPr>
          <w:rFonts w:ascii="宋体" w:hAnsi="宋体" w:cs="宋体" w:eastAsia="宋体" w:hint="default"/>
          <w:spacing w:val="-2"/>
        </w:rPr>
        <w:t>APP</w:t>
      </w:r>
      <w:r>
        <w:rPr>
          <w:spacing w:val="-2"/>
        </w:rPr>
        <w:t>。主要功能：在虚拟现实中交友、聚会、聊天等社交行为的平台。主要特色：</w:t>
      </w:r>
      <w:r>
        <w:rPr>
          <w:rFonts w:ascii="宋体" w:hAnsi="宋体" w:cs="宋体" w:eastAsia="宋体" w:hint="default"/>
          <w:spacing w:val="-2"/>
        </w:rPr>
        <w:t>1)</w:t>
      </w:r>
      <w:r>
        <w:rPr>
          <w:spacing w:val="-2"/>
        </w:rPr>
        <w:t>：</w:t>
      </w:r>
      <w:r>
        <w:rPr>
          <w:spacing w:val="-59"/>
        </w:rPr>
        <w:t> </w:t>
      </w:r>
      <w:r>
        <w:rPr>
          <w:rFonts w:ascii="宋体" w:hAnsi="宋体" w:cs="宋体" w:eastAsia="宋体" w:hint="default"/>
        </w:rPr>
        <w:t>AR</w:t>
      </w:r>
      <w:r>
        <w:rPr/>
        <w:t>场景多样。这款</w:t>
      </w:r>
      <w:r>
        <w:rPr>
          <w:rFonts w:ascii="宋体" w:hAnsi="宋体" w:cs="宋体" w:eastAsia="宋体" w:hint="default"/>
        </w:rPr>
        <w:t>APP</w:t>
      </w:r>
      <w:r>
        <w:rPr/>
        <w:t>的场景非常丰富，让用户通过这款虚拟现实的ＡＰＰ快速准确的结交理想中的朋友，通过聚会、交流</w:t>
      </w:r>
      <w:r>
        <w:rPr>
          <w:spacing w:val="-83"/>
        </w:rPr>
        <w:t> </w:t>
      </w:r>
      <w:r>
        <w:rPr>
          <w:spacing w:val="-83"/>
        </w:rPr>
      </w:r>
      <w:r>
        <w:rPr>
          <w:spacing w:val="-2"/>
        </w:rPr>
        <w:t>等社交行为建立优良的社交圈子。</w:t>
      </w:r>
      <w:r>
        <w:rPr>
          <w:rFonts w:ascii="宋体" w:hAnsi="宋体" w:cs="宋体" w:eastAsia="宋体" w:hint="default"/>
          <w:spacing w:val="-2"/>
        </w:rPr>
        <w:t>2)</w:t>
      </w:r>
      <w:r>
        <w:rPr>
          <w:spacing w:val="-2"/>
        </w:rPr>
        <w:t>角色的真实性。在虚拟现实中出现的人物，可以根据自己的体貌特征做设定，每一个人</w:t>
      </w:r>
      <w:r>
        <w:rPr>
          <w:spacing w:val="-64"/>
        </w:rPr>
        <w:t> </w:t>
      </w:r>
      <w:r>
        <w:rPr>
          <w:spacing w:val="-64"/>
        </w:rPr>
      </w:r>
      <w:r>
        <w:rPr>
          <w:spacing w:val="-2"/>
        </w:rPr>
        <w:t>物，都会是真实世界中的一个独立灵魂，轻松，自由的构建虚拟社交。报告期内已经完成该项目的技术开发工作并进行了软</w:t>
      </w:r>
      <w:r>
        <w:rPr>
          <w:spacing w:val="-66"/>
        </w:rPr>
        <w:t> </w:t>
      </w:r>
      <w:r>
        <w:rPr>
          <w:spacing w:val="-66"/>
        </w:rPr>
      </w:r>
      <w:r>
        <w:rPr/>
        <w:t>件著作权登记，登记号为</w:t>
      </w:r>
      <w:r>
        <w:rPr>
          <w:rFonts w:ascii="宋体" w:hAnsi="宋体" w:cs="宋体" w:eastAsia="宋体" w:hint="default"/>
        </w:rPr>
        <w:t>2018SR844076</w:t>
      </w:r>
      <w:r>
        <w:rPr/>
        <w:t>。 </w:t>
      </w:r>
      <w:r>
        <w:rPr>
          <w:rFonts w:ascii="宋体" w:hAnsi="宋体" w:cs="宋体" w:eastAsia="宋体" w:hint="default"/>
          <w:spacing w:val="-2"/>
        </w:rPr>
        <w:t>50</w:t>
      </w:r>
      <w:r>
        <w:rPr>
          <w:spacing w:val="-2"/>
        </w:rPr>
        <w:t>、基于区块链技术的智慧学习考核系统</w:t>
      </w:r>
      <w:r>
        <w:rPr>
          <w:rFonts w:ascii="宋体" w:hAnsi="宋体" w:cs="宋体" w:eastAsia="宋体" w:hint="default"/>
          <w:spacing w:val="-2"/>
        </w:rPr>
        <w:t>V1.0</w:t>
      </w:r>
      <w:r>
        <w:rPr>
          <w:spacing w:val="-2"/>
        </w:rPr>
        <w:t>、基于区块链技术的实训项目共享平台</w:t>
      </w:r>
      <w:r>
        <w:rPr>
          <w:rFonts w:ascii="宋体" w:hAnsi="宋体" w:cs="宋体" w:eastAsia="宋体" w:hint="default"/>
          <w:spacing w:val="-2"/>
        </w:rPr>
        <w:t>V1.0</w:t>
      </w:r>
      <w:r>
        <w:rPr>
          <w:spacing w:val="-2"/>
        </w:rPr>
        <w:t>、基于区块链技术的学习成果展示</w:t>
      </w:r>
      <w:r>
        <w:rPr>
          <w:spacing w:val="-56"/>
        </w:rPr>
        <w:t> </w:t>
      </w:r>
      <w:r>
        <w:rPr>
          <w:spacing w:val="-56"/>
        </w:rPr>
      </w:r>
      <w:r>
        <w:rPr>
          <w:spacing w:val="-2"/>
        </w:rPr>
        <w:t>平台</w:t>
      </w:r>
      <w:r>
        <w:rPr>
          <w:rFonts w:ascii="宋体" w:hAnsi="宋体" w:cs="宋体" w:eastAsia="宋体" w:hint="default"/>
          <w:spacing w:val="-2"/>
        </w:rPr>
        <w:t>V1.0</w:t>
      </w:r>
      <w:r>
        <w:rPr>
          <w:spacing w:val="-2"/>
        </w:rPr>
        <w:t>、基于区块链技术的校园师生共享平台</w:t>
      </w:r>
      <w:r>
        <w:rPr>
          <w:rFonts w:ascii="宋体" w:hAnsi="宋体" w:cs="宋体" w:eastAsia="宋体" w:hint="default"/>
          <w:spacing w:val="-2"/>
        </w:rPr>
        <w:t>V1.0</w:t>
      </w:r>
      <w:r>
        <w:rPr>
          <w:spacing w:val="-2"/>
        </w:rPr>
        <w:t>，报告期内已经完成上述四个软件的技术开发工作并进行了软件著作权</w:t>
      </w:r>
      <w:r>
        <w:rPr>
          <w:spacing w:val="-56"/>
        </w:rPr>
        <w:t> </w:t>
      </w:r>
      <w:r>
        <w:rPr>
          <w:spacing w:val="-56"/>
        </w:rPr>
      </w:r>
      <w:r>
        <w:rPr/>
        <w:t>登记，登记号分别为</w:t>
      </w:r>
      <w:r>
        <w:rPr>
          <w:rFonts w:ascii="宋体" w:hAnsi="宋体" w:cs="宋体" w:eastAsia="宋体" w:hint="default"/>
        </w:rPr>
        <w:t>2018SR207745</w:t>
      </w:r>
      <w:r>
        <w:rPr/>
        <w:t>、</w:t>
      </w:r>
      <w:r>
        <w:rPr>
          <w:rFonts w:ascii="宋体" w:hAnsi="宋体" w:cs="宋体" w:eastAsia="宋体" w:hint="default"/>
        </w:rPr>
        <w:t>2018SR191443</w:t>
      </w:r>
      <w:r>
        <w:rPr/>
        <w:t>、</w:t>
      </w:r>
      <w:r>
        <w:rPr>
          <w:rFonts w:ascii="宋体" w:hAnsi="宋体" w:cs="宋体" w:eastAsia="宋体" w:hint="default"/>
        </w:rPr>
        <w:t>2018SR207683</w:t>
      </w:r>
      <w:r>
        <w:rPr/>
        <w:t>、</w:t>
      </w:r>
      <w:r>
        <w:rPr>
          <w:rFonts w:ascii="宋体" w:hAnsi="宋体" w:cs="宋体" w:eastAsia="宋体" w:hint="default"/>
        </w:rPr>
        <w:t>2018SR209531</w:t>
      </w:r>
      <w:r>
        <w:rPr/>
        <w:t>。</w:t>
      </w:r>
    </w:p>
    <w:p>
      <w:pPr>
        <w:pStyle w:val="BodyText"/>
        <w:spacing w:line="240" w:lineRule="auto" w:before="59"/>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42,415,315.22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21,405,392.57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16,885,643.33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8"/>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1,269,712,997.97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622,828,440.62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103.86%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1,115,314,119.36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501,006,460.72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122.61%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154,398,878.61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121,821,979.90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1,139,533,369.17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520,379,842.78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118.98%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1,508,353,673.92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810,251,353.76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86.16%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-368,820,304.75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-289,871,510.98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503,270,000.00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654,399,095.86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407,209,176.16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470,062,942.66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-13.37%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96,060,823.84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184,336,153.20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-47.89%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-118,513,083.81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14,881,671.71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-896.37%</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360" w:lineRule="auto" w:before="116"/>
        <w:ind w:right="4272"/>
        <w:jc w:val="left"/>
      </w:pPr>
      <w:r>
        <w:rPr/>
        <w:t>□ 适用 √ 不适用 报告期内公司经营活动产生的现金净流量与本年度净利润存在重大差异的原因说明</w:t>
      </w:r>
    </w:p>
    <w:p>
      <w:pPr>
        <w:pStyle w:val="BodyText"/>
        <w:spacing w:line="240" w:lineRule="auto" w:before="26"/>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436,580,863.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552,835,056.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360,894,910.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181,820,430.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199,209,342.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center"/>
              <w:rPr>
                <w:rFonts w:ascii="Times New Roman" w:hAnsi="Times New Roman" w:cs="Times New Roman" w:eastAsia="Times New Roman" w:hint="default"/>
                <w:sz w:val="18"/>
                <w:szCs w:val="18"/>
              </w:rPr>
            </w:pPr>
            <w:r>
              <w:rPr>
                <w:rFonts w:ascii="Times New Roman"/>
                <w:sz w:val="18"/>
              </w:rPr>
              <w:t>95,191,612.3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214,000,010.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210,118,481.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319,503,000.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224,683,337.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1,619,692.28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1,970,781.39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389,965,000.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0.11%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7" w:right="0"/>
              <w:jc w:val="left"/>
              <w:rPr>
                <w:rFonts w:ascii="Times New Roman" w:hAnsi="Times New Roman" w:cs="Times New Roman" w:eastAsia="Times New Roman" w:hint="default"/>
                <w:sz w:val="18"/>
                <w:szCs w:val="18"/>
              </w:rPr>
            </w:pPr>
            <w:r>
              <w:rPr>
                <w:rFonts w:ascii="Times New Roman"/>
                <w:sz w:val="18"/>
              </w:rPr>
              <w:t>110,000,000.00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65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公开发 行普通 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47,659.1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50,061.6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7,590.75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无剩余 募集资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非公开 发行普 </w:t>
            </w:r>
            <w:r>
              <w:rPr>
                <w:rFonts w:ascii="宋体" w:hAnsi="宋体" w:cs="宋体" w:eastAsia="宋体" w:hint="default"/>
                <w:spacing w:val="-4"/>
                <w:sz w:val="18"/>
                <w:szCs w:val="18"/>
              </w:rPr>
              <w:t>通股（</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47,900.3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47,960.6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无剩余 募集资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非公开 发行公 司债券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34,300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34,414.9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全部存 放于募 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129,859.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132,437.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7,590.75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7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年首次公开发行股票募集资金基本情况</w:t>
            </w:r>
          </w:p>
          <w:p>
            <w:pPr>
              <w:pStyle w:val="TableParagraph"/>
              <w:spacing w:line="300" w:lineRule="auto" w:before="102"/>
              <w:ind w:left="103"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[2010]754 </w:t>
            </w:r>
            <w:r>
              <w:rPr>
                <w:rFonts w:ascii="宋体" w:hAnsi="宋体" w:cs="宋体" w:eastAsia="宋体" w:hint="default"/>
                <w:sz w:val="18"/>
                <w:szCs w:val="18"/>
              </w:rPr>
              <w:t>号核准，并经深圳证券交易所同意，</w:t>
            </w:r>
            <w:r>
              <w:rPr>
                <w:rFonts w:ascii="宋体" w:hAnsi="宋体" w:cs="宋体" w:eastAsia="宋体" w:hint="default"/>
                <w:spacing w:val="-1"/>
                <w:sz w:val="18"/>
                <w:szCs w:val="18"/>
              </w:rPr>
              <w:t> </w:t>
            </w:r>
            <w:r>
              <w:rPr>
                <w:rFonts w:ascii="宋体" w:hAnsi="宋体" w:cs="宋体" w:eastAsia="宋体" w:hint="default"/>
                <w:sz w:val="18"/>
                <w:szCs w:val="18"/>
              </w:rPr>
              <w:t>采用网下向询价对象配售与网上资 金申购定价发行相结合的方式向社会公开发行人民币普通股 </w:t>
            </w:r>
            <w:r>
              <w:rPr>
                <w:rFonts w:ascii="Times New Roman" w:hAnsi="Times New Roman" w:cs="Times New Roman" w:eastAsia="Times New Roman" w:hint="default"/>
                <w:w w:val="99"/>
                <w:sz w:val="18"/>
                <w:szCs w:val="18"/>
              </w:rPr>
              <w:t>A  </w:t>
            </w:r>
            <w:r>
              <w:rPr>
                <w:rFonts w:ascii="宋体" w:hAnsi="宋体" w:cs="宋体" w:eastAsia="宋体" w:hint="default"/>
                <w:sz w:val="18"/>
                <w:szCs w:val="18"/>
              </w:rPr>
              <w:t>股 </w:t>
            </w:r>
            <w:r>
              <w:rPr>
                <w:rFonts w:ascii="Times New Roman" w:hAnsi="Times New Roman" w:cs="Times New Roman" w:eastAsia="Times New Roman" w:hint="default"/>
                <w:sz w:val="18"/>
                <w:szCs w:val="18"/>
              </w:rPr>
              <w:t>2,500  </w:t>
            </w:r>
            <w:r>
              <w:rPr>
                <w:rFonts w:ascii="宋体" w:hAnsi="宋体" w:cs="宋体" w:eastAsia="宋体" w:hint="default"/>
                <w:spacing w:val="-13"/>
                <w:sz w:val="18"/>
                <w:szCs w:val="18"/>
              </w:rPr>
              <w:t>万股，每股面值</w:t>
            </w:r>
            <w:r>
              <w:rPr>
                <w:rFonts w:ascii="宋体" w:hAnsi="宋体" w:cs="宋体" w:eastAsia="宋体" w:hint="default"/>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9"/>
                <w:sz w:val="18"/>
                <w:szCs w:val="18"/>
              </w:rPr>
              <w:t>元，每股发行价人民币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20.50</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元。募集资金总额为人民币 </w:t>
            </w:r>
            <w:r>
              <w:rPr>
                <w:rFonts w:ascii="Times New Roman" w:hAnsi="Times New Roman" w:cs="Times New Roman" w:eastAsia="Times New Roman" w:hint="default"/>
                <w:sz w:val="18"/>
                <w:szCs w:val="18"/>
              </w:rPr>
              <w:t>51,250.00 </w:t>
            </w:r>
            <w:r>
              <w:rPr>
                <w:rFonts w:ascii="宋体" w:hAnsi="宋体" w:cs="宋体" w:eastAsia="宋体" w:hint="default"/>
                <w:sz w:val="18"/>
                <w:szCs w:val="18"/>
              </w:rPr>
              <w:t>万元，扣除承销及保荐费人民币 </w:t>
            </w:r>
            <w:r>
              <w:rPr>
                <w:rFonts w:ascii="Times New Roman" w:hAnsi="Times New Roman" w:cs="Times New Roman" w:eastAsia="Times New Roman" w:hint="default"/>
                <w:sz w:val="18"/>
                <w:szCs w:val="18"/>
              </w:rPr>
              <w:t>3,212.50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万元，实际募集资金到账金额为人民币</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48,037.50 </w:t>
            </w:r>
            <w:r>
              <w:rPr>
                <w:rFonts w:ascii="宋体" w:hAnsi="宋体" w:cs="宋体" w:eastAsia="宋体" w:hint="default"/>
                <w:sz w:val="18"/>
                <w:szCs w:val="18"/>
              </w:rPr>
              <w:t>万元。截止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日，公司上述发行募集的资金已全部到位，业</w:t>
            </w:r>
            <w:r>
              <w:rPr>
                <w:rFonts w:ascii="宋体" w:hAnsi="宋体" w:cs="宋体" w:eastAsia="宋体" w:hint="default"/>
                <w:spacing w:val="-34"/>
                <w:sz w:val="18"/>
                <w:szCs w:val="18"/>
              </w:rPr>
              <w:t> </w:t>
            </w:r>
            <w:r>
              <w:rPr>
                <w:rFonts w:ascii="宋体" w:hAnsi="宋体" w:cs="宋体" w:eastAsia="宋体" w:hint="default"/>
                <w:sz w:val="18"/>
                <w:szCs w:val="18"/>
              </w:rPr>
              <w:t>经广东正中珠江会计师事务所有</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限公司“广会所验字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 </w:t>
            </w:r>
            <w:r>
              <w:rPr>
                <w:rFonts w:ascii="Times New Roman" w:hAnsi="Times New Roman" w:cs="Times New Roman" w:eastAsia="Times New Roman" w:hint="default"/>
                <w:sz w:val="18"/>
                <w:szCs w:val="18"/>
              </w:rPr>
              <w:t>08000620185  </w:t>
            </w:r>
            <w:r>
              <w:rPr>
                <w:rFonts w:ascii="宋体" w:hAnsi="宋体" w:cs="宋体" w:eastAsia="宋体" w:hint="default"/>
                <w:spacing w:val="-3"/>
                <w:sz w:val="18"/>
                <w:szCs w:val="18"/>
              </w:rPr>
              <w:t>号”验资报告验证确认。募集资金到账金额为 </w:t>
            </w:r>
            <w:r>
              <w:rPr>
                <w:rFonts w:ascii="Times New Roman" w:hAnsi="Times New Roman" w:cs="Times New Roman" w:eastAsia="Times New Roman" w:hint="default"/>
                <w:sz w:val="18"/>
                <w:szCs w:val="18"/>
              </w:rPr>
              <w:t>48,037.50 </w:t>
            </w:r>
            <w:r>
              <w:rPr>
                <w:rFonts w:ascii="宋体" w:hAnsi="宋体" w:cs="宋体" w:eastAsia="宋体" w:hint="default"/>
                <w:spacing w:val="-3"/>
                <w:sz w:val="18"/>
                <w:szCs w:val="18"/>
              </w:rPr>
              <w:t>万元，扣除律师费、</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审计费、法定信息披露等发行费用 </w:t>
            </w:r>
            <w:r>
              <w:rPr>
                <w:rFonts w:ascii="Times New Roman" w:hAnsi="Times New Roman" w:cs="Times New Roman" w:eastAsia="Times New Roman" w:hint="default"/>
                <w:sz w:val="18"/>
                <w:szCs w:val="18"/>
              </w:rPr>
              <w:t>378.32 </w:t>
            </w:r>
            <w:r>
              <w:rPr>
                <w:rFonts w:ascii="宋体" w:hAnsi="宋体" w:cs="宋体" w:eastAsia="宋体" w:hint="default"/>
                <w:sz w:val="18"/>
                <w:szCs w:val="18"/>
              </w:rPr>
              <w:t>万元，募集资金净额为 </w:t>
            </w:r>
            <w:r>
              <w:rPr>
                <w:rFonts w:ascii="Times New Roman" w:hAnsi="Times New Roman" w:cs="Times New Roman" w:eastAsia="Times New Roman" w:hint="default"/>
                <w:sz w:val="18"/>
                <w:szCs w:val="18"/>
              </w:rPr>
              <w:t>47,659.18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日，公司对募集资金项目累计投入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500,616,444.75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元，其中：累计直接投入募投项目运用的募集资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 </w:t>
            </w:r>
            <w:r>
              <w:rPr>
                <w:rFonts w:ascii="Times New Roman" w:hAnsi="Times New Roman" w:cs="Times New Roman" w:eastAsia="Times New Roman" w:hint="default"/>
                <w:sz w:val="18"/>
                <w:szCs w:val="18"/>
              </w:rPr>
              <w:t>308,156,282.88  </w:t>
            </w:r>
            <w:r>
              <w:rPr>
                <w:rFonts w:ascii="宋体" w:hAnsi="宋体" w:cs="宋体" w:eastAsia="宋体" w:hint="default"/>
                <w:sz w:val="18"/>
                <w:szCs w:val="18"/>
              </w:rPr>
              <w:t>元，归还银行贷款 </w:t>
            </w:r>
            <w:r>
              <w:rPr>
                <w:rFonts w:ascii="Times New Roman" w:hAnsi="Times New Roman" w:cs="Times New Roman" w:eastAsia="Times New Roman" w:hint="default"/>
                <w:sz w:val="18"/>
                <w:szCs w:val="18"/>
              </w:rPr>
              <w:t>60,000,000.00  </w:t>
            </w:r>
            <w:r>
              <w:rPr>
                <w:rFonts w:ascii="宋体" w:hAnsi="宋体" w:cs="宋体" w:eastAsia="宋体" w:hint="default"/>
                <w:sz w:val="18"/>
                <w:szCs w:val="18"/>
              </w:rPr>
              <w:t>元，对外投资 </w:t>
            </w:r>
            <w:r>
              <w:rPr>
                <w:rFonts w:ascii="Times New Roman" w:hAnsi="Times New Roman" w:cs="Times New Roman" w:eastAsia="Times New Roman" w:hint="default"/>
                <w:sz w:val="18"/>
                <w:szCs w:val="18"/>
              </w:rPr>
              <w:t>40,000,000.00  </w:t>
            </w:r>
            <w:r>
              <w:rPr>
                <w:rFonts w:ascii="宋体" w:hAnsi="宋体" w:cs="宋体" w:eastAsia="宋体" w:hint="default"/>
                <w:sz w:val="18"/>
                <w:szCs w:val="18"/>
              </w:rPr>
              <w:t>元，补充流动资金 </w:t>
            </w:r>
            <w:r>
              <w:rPr>
                <w:rFonts w:ascii="Times New Roman" w:hAnsi="Times New Roman" w:cs="Times New Roman" w:eastAsia="Times New Roman" w:hint="default"/>
                <w:sz w:val="18"/>
                <w:szCs w:val="18"/>
              </w:rPr>
              <w:t>92,460,161.87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本年度使用募集资金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年发行股份及支付现金购买资产并募集配套资金</w:t>
            </w:r>
          </w:p>
          <w:p>
            <w:pPr>
              <w:pStyle w:val="TableParagraph"/>
              <w:spacing w:line="300" w:lineRule="auto" w:before="102"/>
              <w:ind w:left="103" w:right="11"/>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[2016]1612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号核准，并经深圳证券交易所同意，</w:t>
            </w:r>
            <w:r>
              <w:rPr>
                <w:rFonts w:ascii="宋体" w:hAnsi="宋体" w:cs="宋体" w:eastAsia="宋体" w:hint="default"/>
                <w:spacing w:val="-69"/>
                <w:sz w:val="18"/>
                <w:szCs w:val="18"/>
              </w:rPr>
              <w:t> </w:t>
            </w:r>
            <w:r>
              <w:rPr>
                <w:rFonts w:ascii="宋体" w:hAnsi="宋体" w:cs="宋体" w:eastAsia="宋体" w:hint="default"/>
                <w:spacing w:val="-5"/>
                <w:sz w:val="18"/>
                <w:szCs w:val="18"/>
              </w:rPr>
              <w:t>向陈湧彬发行人民币普通股（</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z w:val="18"/>
                <w:szCs w:val="18"/>
              </w:rPr>
              <w:t> </w:t>
            </w:r>
            <w:r>
              <w:rPr>
                <w:rFonts w:ascii="宋体" w:hAnsi="宋体" w:cs="宋体" w:eastAsia="宋体" w:hint="default"/>
                <w:sz w:val="18"/>
                <w:szCs w:val="18"/>
              </w:rPr>
              <w:t>股） </w:t>
            </w:r>
            <w:r>
              <w:rPr>
                <w:rFonts w:ascii="Times New Roman" w:hAnsi="Times New Roman" w:cs="Times New Roman" w:eastAsia="Times New Roman" w:hint="default"/>
                <w:sz w:val="18"/>
                <w:szCs w:val="18"/>
              </w:rPr>
              <w:t>10,006,671 </w:t>
            </w:r>
            <w:r>
              <w:rPr>
                <w:rFonts w:ascii="宋体" w:hAnsi="宋体" w:cs="宋体" w:eastAsia="宋体" w:hint="default"/>
                <w:sz w:val="18"/>
                <w:szCs w:val="18"/>
              </w:rPr>
              <w:t>股、北京风雪投资管理有限公司发行人民币普通股（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6,671,114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股、深圳市拉芳投资管理有限公司发 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6,671,114  </w:t>
            </w:r>
            <w:r>
              <w:rPr>
                <w:rFonts w:ascii="宋体" w:hAnsi="宋体" w:cs="宋体" w:eastAsia="宋体" w:hint="default"/>
                <w:sz w:val="18"/>
                <w:szCs w:val="18"/>
              </w:rPr>
              <w:t>股、张安东发行人民币普通股（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6,671,114  </w:t>
            </w:r>
            <w:r>
              <w:rPr>
                <w:rFonts w:ascii="宋体" w:hAnsi="宋体" w:cs="宋体" w:eastAsia="宋体" w:hint="default"/>
                <w:sz w:val="18"/>
                <w:szCs w:val="18"/>
              </w:rPr>
              <w:t>股、江苏</w:t>
            </w:r>
            <w:r>
              <w:rPr>
                <w:rFonts w:ascii="宋体" w:hAnsi="宋体" w:cs="宋体" w:eastAsia="宋体" w:hint="default"/>
                <w:spacing w:val="5"/>
                <w:sz w:val="18"/>
                <w:szCs w:val="18"/>
              </w:rPr>
              <w:t> </w:t>
            </w:r>
            <w:r>
              <w:rPr>
                <w:rFonts w:ascii="宋体" w:hAnsi="宋体" w:cs="宋体" w:eastAsia="宋体" w:hint="default"/>
                <w:sz w:val="18"/>
                <w:szCs w:val="18"/>
              </w:rPr>
              <w:t>叁加壹资产管理有限</w:t>
            </w:r>
          </w:p>
        </w:tc>
      </w:tr>
    </w:tbl>
    <w:p>
      <w:pPr>
        <w:spacing w:after="0" w:line="30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宋体" w:hAnsi="宋体" w:cs="宋体" w:eastAsia="宋体" w:hint="default"/>
          <w:sz w:val="25"/>
          <w:szCs w:val="25"/>
        </w:rPr>
      </w:pPr>
    </w:p>
    <w:p>
      <w:pPr>
        <w:spacing w:line="5867" w:lineRule="exact"/>
        <w:ind w:left="114" w:right="0" w:firstLine="0"/>
        <w:rPr>
          <w:rFonts w:ascii="宋体" w:hAnsi="宋体" w:cs="宋体" w:eastAsia="宋体" w:hint="default"/>
          <w:sz w:val="20"/>
          <w:szCs w:val="20"/>
        </w:rPr>
      </w:pPr>
      <w:r>
        <w:rPr>
          <w:rFonts w:ascii="宋体" w:hAnsi="宋体" w:cs="宋体" w:eastAsia="宋体" w:hint="default"/>
          <w:position w:val="-116"/>
          <w:sz w:val="20"/>
          <w:szCs w:val="20"/>
        </w:rPr>
        <w:pict>
          <v:shape style="width:478.2pt;height:293.4pt;mso-position-horizontal-relative:char;mso-position-vertical-relative:line" type="#_x0000_t202" filled="false" stroked="true" strokeweight=".48004pt" strokecolor="#000000">
            <w10:anchorlock/>
            <v:textbox inset="0,0,0,0">
              <w:txbxContent>
                <w:p>
                  <w:pPr>
                    <w:pStyle w:val="BodyText"/>
                    <w:spacing w:line="240" w:lineRule="auto" w:before="10"/>
                    <w:ind w:left="103" w:right="0"/>
                    <w:jc w:val="left"/>
                    <w:rPr>
                      <w:rFonts w:ascii="Times New Roman" w:hAnsi="Times New Roman" w:cs="Times New Roman" w:eastAsia="Times New Roman" w:hint="default"/>
                    </w:rPr>
                  </w:pPr>
                  <w:r>
                    <w:rPr/>
                    <w:t>公司发行人民币普通</w:t>
                  </w:r>
                  <w:r>
                    <w:rPr>
                      <w:spacing w:val="-45"/>
                    </w:rPr>
                    <w:t>股</w:t>
                  </w:r>
                  <w:r>
                    <w:rPr/>
                    <w:t>（</w:t>
                  </w:r>
                  <w:r>
                    <w:rPr>
                      <w:rFonts w:ascii="Times New Roman" w:hAnsi="Times New Roman" w:cs="Times New Roman" w:eastAsia="Times New Roman" w:hint="default"/>
                      <w:w w:val="99"/>
                    </w:rPr>
                    <w:t>A</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股</w:t>
                  </w:r>
                  <w:r>
                    <w:rPr>
                      <w:spacing w:val="-45"/>
                    </w:rPr>
                    <w:t>）</w:t>
                  </w:r>
                  <w:r>
                    <w:rPr>
                      <w:rFonts w:ascii="Times New Roman" w:hAnsi="Times New Roman" w:cs="Times New Roman" w:eastAsia="Times New Roman" w:hint="default"/>
                    </w:rPr>
                    <w:t>2,968,646</w:t>
                  </w:r>
                  <w:r>
                    <w:rPr>
                      <w:rFonts w:ascii="Times New Roman" w:hAnsi="Times New Roman" w:cs="Times New Roman" w:eastAsia="Times New Roman" w:hint="default"/>
                      <w:spacing w:val="-2"/>
                    </w:rPr>
                    <w:t> </w:t>
                  </w:r>
                  <w:r>
                    <w:rPr/>
                    <w:t>股</w:t>
                  </w:r>
                  <w:r>
                    <w:rPr>
                      <w:spacing w:val="-45"/>
                    </w:rPr>
                    <w:t>，</w:t>
                  </w:r>
                  <w:r>
                    <w:rPr/>
                    <w:t>每股发行价格为人民币 </w:t>
                  </w:r>
                  <w:r>
                    <w:rPr>
                      <w:rFonts w:ascii="Times New Roman" w:hAnsi="Times New Roman" w:cs="Times New Roman" w:eastAsia="Times New Roman" w:hint="default"/>
                    </w:rPr>
                    <w:t>14</w:t>
                  </w:r>
                  <w:r>
                    <w:rPr>
                      <w:rFonts w:ascii="Times New Roman" w:hAnsi="Times New Roman" w:cs="Times New Roman" w:eastAsia="Times New Roman" w:hint="default"/>
                      <w:spacing w:val="-1"/>
                    </w:rPr>
                    <w:t>.</w:t>
                  </w:r>
                  <w:r>
                    <w:rPr>
                      <w:rFonts w:ascii="Times New Roman" w:hAnsi="Times New Roman" w:cs="Times New Roman" w:eastAsia="Times New Roman" w:hint="default"/>
                    </w:rPr>
                    <w:t>99 </w:t>
                  </w:r>
                  <w:r>
                    <w:rPr>
                      <w:rFonts w:ascii="Times New Roman" w:hAnsi="Times New Roman" w:cs="Times New Roman" w:eastAsia="Times New Roman" w:hint="default"/>
                      <w:spacing w:val="-1"/>
                    </w:rPr>
                    <w:t> </w:t>
                  </w:r>
                  <w:r>
                    <w:rPr/>
                    <w:t>元</w:t>
                  </w:r>
                  <w:r>
                    <w:rPr>
                      <w:spacing w:val="-90"/>
                    </w:rPr>
                    <w:t>，</w:t>
                  </w:r>
                  <w:r>
                    <w:rPr>
                      <w:spacing w:val="-45"/>
                    </w:rPr>
                    <w:t>，</w:t>
                  </w:r>
                  <w:r>
                    <w:rPr/>
                    <w:t>募集资金总额为人民币 </w:t>
                  </w:r>
                  <w:r>
                    <w:rPr>
                      <w:rFonts w:ascii="Times New Roman" w:hAnsi="Times New Roman" w:cs="Times New Roman" w:eastAsia="Times New Roman" w:hint="default"/>
                    </w:rPr>
                    <w:t>494,499,99</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41</w:t>
                  </w:r>
                </w:p>
                <w:p>
                  <w:pPr>
                    <w:pStyle w:val="BodyText"/>
                    <w:spacing w:line="240" w:lineRule="auto" w:before="63"/>
                    <w:ind w:left="103" w:right="0"/>
                    <w:jc w:val="left"/>
                  </w:pPr>
                  <w:r>
                    <w:rPr/>
                    <w:t>元，扣除承销费 </w:t>
                  </w:r>
                  <w:r>
                    <w:rPr>
                      <w:rFonts w:ascii="Times New Roman" w:hAnsi="Times New Roman" w:cs="Times New Roman" w:eastAsia="Times New Roman" w:hint="default"/>
                    </w:rPr>
                    <w:t>14,000,000.00  </w:t>
                  </w:r>
                  <w:r>
                    <w:rPr/>
                    <w:t>元后，实际募集资金到账金额为人民币 </w:t>
                  </w:r>
                  <w:r>
                    <w:rPr>
                      <w:rFonts w:ascii="Times New Roman" w:hAnsi="Times New Roman" w:cs="Times New Roman" w:eastAsia="Times New Roman" w:hint="default"/>
                    </w:rPr>
                    <w:t>480,499,998.41</w:t>
                  </w:r>
                  <w:r>
                    <w:rPr>
                      <w:rFonts w:ascii="Times New Roman" w:hAnsi="Times New Roman" w:cs="Times New Roman" w:eastAsia="Times New Roman" w:hint="default"/>
                      <w:spacing w:val="-6"/>
                    </w:rPr>
                    <w:t> </w:t>
                  </w:r>
                  <w:r>
                    <w:rPr/>
                    <w:t>元。募集资金总额为人民币</w:t>
                  </w:r>
                </w:p>
                <w:p>
                  <w:pPr>
                    <w:pStyle w:val="BodyText"/>
                    <w:spacing w:line="240" w:lineRule="auto" w:before="63"/>
                    <w:ind w:left="103" w:right="0"/>
                    <w:jc w:val="left"/>
                    <w:rPr>
                      <w:rFonts w:ascii="Times New Roman" w:hAnsi="Times New Roman" w:cs="Times New Roman" w:eastAsia="Times New Roman" w:hint="default"/>
                    </w:rPr>
                  </w:pPr>
                  <w:r>
                    <w:rPr>
                      <w:rFonts w:ascii="Times New Roman" w:hAnsi="Times New Roman" w:cs="Times New Roman" w:eastAsia="Times New Roman" w:hint="default"/>
                    </w:rPr>
                    <w:t>480,499,998.41 </w:t>
                  </w:r>
                  <w:r>
                    <w:rPr/>
                    <w:t>元，扣除律师费、验资费等发行费用 </w:t>
                  </w:r>
                  <w:r>
                    <w:rPr>
                      <w:rFonts w:ascii="Times New Roman" w:hAnsi="Times New Roman" w:cs="Times New Roman" w:eastAsia="Times New Roman" w:hint="default"/>
                    </w:rPr>
                    <w:t>1,497,000.00  </w:t>
                  </w:r>
                  <w:r>
                    <w:rPr/>
                    <w:t>元，实际募集资金到账金额为人民币</w:t>
                  </w:r>
                  <w:r>
                    <w:rPr>
                      <w:spacing w:val="-9"/>
                    </w:rPr>
                    <w:t> </w:t>
                  </w:r>
                  <w:r>
                    <w:rPr>
                      <w:rFonts w:ascii="Times New Roman" w:hAnsi="Times New Roman" w:cs="Times New Roman" w:eastAsia="Times New Roman" w:hint="default"/>
                    </w:rPr>
                    <w:t>479,002,998.41</w:t>
                  </w:r>
                </w:p>
                <w:p>
                  <w:pPr>
                    <w:pStyle w:val="BodyText"/>
                    <w:spacing w:line="240" w:lineRule="auto" w:before="64"/>
                    <w:ind w:left="103" w:right="0"/>
                    <w:jc w:val="left"/>
                  </w:pPr>
                  <w:r>
                    <w:rPr/>
                    <w:t>元。</w:t>
                  </w:r>
                </w:p>
                <w:p>
                  <w:pPr>
                    <w:pStyle w:val="BodyText"/>
                    <w:spacing w:line="302" w:lineRule="auto" w:before="116"/>
                    <w:ind w:left="103" w:right="133"/>
                    <w:jc w:val="left"/>
                  </w:pPr>
                  <w:r>
                    <w:rPr/>
                    <w:t>截止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日，本公司上述发行募集的资金已全部到位，业经广东正中珠江会计师事务所（特殊普通合伙） 以“广会验字</w:t>
                  </w:r>
                  <w:r>
                    <w:rPr>
                      <w:rFonts w:ascii="Times New Roman" w:hAnsi="Times New Roman" w:cs="Times New Roman" w:eastAsia="Times New Roman" w:hint="default"/>
                    </w:rPr>
                    <w:t>[2016]G15006590125</w:t>
                  </w:r>
                  <w:r>
                    <w:rPr>
                      <w:rFonts w:ascii="Times New Roman" w:hAnsi="Times New Roman" w:cs="Times New Roman" w:eastAsia="Times New Roman" w:hint="default"/>
                      <w:spacing w:val="43"/>
                    </w:rPr>
                    <w:t> </w:t>
                  </w:r>
                  <w:r>
                    <w:rPr/>
                    <w:t>号”验资报告验证确认。</w:t>
                  </w:r>
                </w:p>
                <w:p>
                  <w:pPr>
                    <w:pStyle w:val="BodyText"/>
                    <w:spacing w:line="240" w:lineRule="auto" w:before="49"/>
                    <w:ind w:left="103" w:right="0"/>
                    <w:jc w:val="left"/>
                  </w:pPr>
                  <w:r>
                    <w:rPr/>
                    <w:t>截止</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日，公司对募集资金项目累计投入</w:t>
                  </w:r>
                  <w:r>
                    <w:rPr>
                      <w:spacing w:val="-47"/>
                    </w:rPr>
                    <w:t> </w:t>
                  </w:r>
                  <w:r>
                    <w:rPr>
                      <w:rFonts w:ascii="Times New Roman" w:hAnsi="Times New Roman" w:cs="Times New Roman" w:eastAsia="Times New Roman" w:hint="default"/>
                    </w:rPr>
                    <w:t>479,606,537.60</w:t>
                  </w:r>
                  <w:r>
                    <w:rPr>
                      <w:rFonts w:ascii="Times New Roman" w:hAnsi="Times New Roman" w:cs="Times New Roman" w:eastAsia="Times New Roman" w:hint="default"/>
                      <w:spacing w:val="-1"/>
                    </w:rPr>
                    <w:t> </w:t>
                  </w:r>
                  <w:r>
                    <w:rPr>
                      <w:spacing w:val="-4"/>
                    </w:rPr>
                    <w:t>元，其中：公司累计运用的</w:t>
                  </w:r>
                  <w:r>
                    <w:rPr>
                      <w:spacing w:val="-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2"/>
                    </w:rPr>
                    <w:t> </w:t>
                  </w:r>
                  <w:r>
                    <w:rPr/>
                    <w:t>年发行股份及</w:t>
                  </w:r>
                </w:p>
                <w:p>
                  <w:pPr>
                    <w:pStyle w:val="BodyText"/>
                    <w:spacing w:line="240" w:lineRule="auto" w:before="63"/>
                    <w:ind w:left="103" w:right="0"/>
                    <w:jc w:val="left"/>
                  </w:pPr>
                  <w:r>
                    <w:rPr/>
                    <w:t>支付现金购买资产并募集配套资金 </w:t>
                  </w:r>
                  <w:r>
                    <w:rPr>
                      <w:rFonts w:ascii="Times New Roman" w:hAnsi="Times New Roman" w:cs="Times New Roman" w:eastAsia="Times New Roman" w:hint="default"/>
                    </w:rPr>
                    <w:t>479,606,537.60  </w:t>
                  </w:r>
                  <w:r>
                    <w:rPr/>
                    <w:t>元，加上扣除手续费后的累计利息收入净额 </w:t>
                  </w:r>
                  <w:r>
                    <w:rPr>
                      <w:rFonts w:ascii="Times New Roman" w:hAnsi="Times New Roman" w:cs="Times New Roman" w:eastAsia="Times New Roman" w:hint="default"/>
                    </w:rPr>
                    <w:t>603,539.19</w:t>
                  </w:r>
                  <w:r>
                    <w:rPr>
                      <w:rFonts w:ascii="Times New Roman" w:hAnsi="Times New Roman" w:cs="Times New Roman" w:eastAsia="Times New Roman" w:hint="default"/>
                      <w:spacing w:val="38"/>
                    </w:rPr>
                    <w:t> </w:t>
                  </w:r>
                  <w:r>
                    <w:rPr/>
                    <w:t>元；本年度</w:t>
                  </w:r>
                </w:p>
                <w:p>
                  <w:pPr>
                    <w:pStyle w:val="BodyText"/>
                    <w:spacing w:line="240" w:lineRule="auto" w:before="64"/>
                    <w:ind w:left="103" w:right="0"/>
                    <w:jc w:val="left"/>
                  </w:pPr>
                  <w:r>
                    <w:rPr/>
                    <w:t>使用募集资金</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日，募集资金余额为人民币</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19" w:lineRule="auto" w:before="102"/>
                    <w:ind w:left="103" w:right="179"/>
                    <w:jc w:val="left"/>
                  </w:pPr>
                  <w:r>
                    <w:rPr/>
                    <w:t>（三）</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年发行非公开发行公司债券并募集资金 </w:t>
                  </w:r>
                  <w:r>
                    <w:rPr>
                      <w:spacing w:val="-3"/>
                    </w:rPr>
                    <w:t>经深圳证券交易所《符合深交所转让条件的无异议函》（深证函</w:t>
                  </w:r>
                  <w:r>
                    <w:rPr>
                      <w:rFonts w:ascii="Times New Roman" w:hAnsi="Times New Roman" w:cs="Times New Roman" w:eastAsia="Times New Roman" w:hint="default"/>
                      <w:spacing w:val="-3"/>
                    </w:rPr>
                    <w:t>[2016]772</w:t>
                  </w:r>
                  <w:r>
                    <w:rPr>
                      <w:rFonts w:ascii="Times New Roman" w:hAnsi="Times New Roman" w:cs="Times New Roman" w:eastAsia="Times New Roman" w:hint="default"/>
                    </w:rPr>
                    <w:t> </w:t>
                  </w:r>
                  <w:r>
                    <w:rPr/>
                    <w:t>号）核准，在深圳交易所转让总额为不超过</w:t>
                  </w:r>
                  <w:r>
                    <w:rPr>
                      <w:spacing w:val="-71"/>
                    </w:rPr>
                    <w:t> </w:t>
                  </w:r>
                  <w:r>
                    <w:rPr>
                      <w:rFonts w:ascii="Times New Roman" w:hAnsi="Times New Roman" w:cs="Times New Roman" w:eastAsia="Times New Roman" w:hint="default"/>
                    </w:rPr>
                    <w:t>35,000.00  </w:t>
                  </w:r>
                  <w:r>
                    <w:rPr/>
                    <w:t>万元（含 </w:t>
                  </w:r>
                  <w:r>
                    <w:rPr>
                      <w:rFonts w:ascii="Times New Roman" w:hAnsi="Times New Roman" w:cs="Times New Roman" w:eastAsia="Times New Roman" w:hint="default"/>
                    </w:rPr>
                    <w:t>35,000.00  </w:t>
                  </w:r>
                  <w:r>
                    <w:rPr/>
                    <w:t>万元）的非公开发行公司债券，每张面值为人民币 </w:t>
                  </w:r>
                  <w:r>
                    <w:rPr>
                      <w:rFonts w:ascii="Times New Roman" w:hAnsi="Times New Roman" w:cs="Times New Roman" w:eastAsia="Times New Roman" w:hint="default"/>
                    </w:rPr>
                    <w:t>100  </w:t>
                  </w:r>
                  <w:r>
                    <w:rPr/>
                    <w:t>元，每张发行价格为 </w:t>
                  </w:r>
                  <w:r>
                    <w:rPr>
                      <w:rFonts w:ascii="Times New Roman" w:hAnsi="Times New Roman" w:cs="Times New Roman" w:eastAsia="Times New Roman" w:hint="default"/>
                    </w:rPr>
                    <w:t>100</w:t>
                  </w:r>
                  <w:r>
                    <w:rPr>
                      <w:rFonts w:ascii="Times New Roman" w:hAnsi="Times New Roman" w:cs="Times New Roman" w:eastAsia="Times New Roman" w:hint="default"/>
                      <w:spacing w:val="42"/>
                    </w:rPr>
                    <w:t> </w:t>
                  </w:r>
                  <w:r>
                    <w:rPr/>
                    <w:t>元，</w:t>
                  </w:r>
                </w:p>
                <w:p>
                  <w:pPr>
                    <w:pStyle w:val="BodyText"/>
                    <w:spacing w:line="246" w:lineRule="exact" w:before="0"/>
                    <w:ind w:left="103" w:right="0"/>
                    <w:jc w:val="left"/>
                  </w:pPr>
                  <w:r>
                    <w:rPr/>
                    <w:t>票面利率为 </w:t>
                  </w:r>
                  <w:r>
                    <w:rPr>
                      <w:rFonts w:ascii="Times New Roman" w:hAnsi="Times New Roman" w:cs="Times New Roman" w:eastAsia="Times New Roman" w:hint="default"/>
                    </w:rPr>
                    <w:t>5.70%</w:t>
                  </w:r>
                  <w:r>
                    <w:rPr/>
                    <w:t>。募集资金总额为人民币 </w:t>
                  </w:r>
                  <w:r>
                    <w:rPr>
                      <w:rFonts w:ascii="Times New Roman" w:hAnsi="Times New Roman" w:cs="Times New Roman" w:eastAsia="Times New Roman" w:hint="default"/>
                    </w:rPr>
                    <w:t>350,000,000.00  </w:t>
                  </w:r>
                  <w:r>
                    <w:rPr/>
                    <w:t>元，扣除承销费 </w:t>
                  </w:r>
                  <w:r>
                    <w:rPr>
                      <w:rFonts w:ascii="Times New Roman" w:hAnsi="Times New Roman" w:cs="Times New Roman" w:eastAsia="Times New Roman" w:hint="default"/>
                    </w:rPr>
                    <w:t>7,000,000.00</w:t>
                  </w:r>
                  <w:r>
                    <w:rPr>
                      <w:rFonts w:ascii="Times New Roman" w:hAnsi="Times New Roman" w:cs="Times New Roman" w:eastAsia="Times New Roman" w:hint="default"/>
                      <w:spacing w:val="37"/>
                    </w:rPr>
                    <w:t> </w:t>
                  </w:r>
                  <w:r>
                    <w:rPr/>
                    <w:t>元后，实际募集资金到账金</w:t>
                  </w:r>
                </w:p>
                <w:p>
                  <w:pPr>
                    <w:pStyle w:val="BodyText"/>
                    <w:spacing w:line="240" w:lineRule="auto" w:before="63"/>
                    <w:ind w:left="103" w:right="0"/>
                    <w:jc w:val="left"/>
                  </w:pPr>
                  <w:r>
                    <w:rPr/>
                    <w:t>额为人民币 </w:t>
                  </w:r>
                  <w:r>
                    <w:rPr>
                      <w:rFonts w:ascii="Times New Roman" w:hAnsi="Times New Roman" w:cs="Times New Roman" w:eastAsia="Times New Roman" w:hint="default"/>
                    </w:rPr>
                    <w:t>343,000,000.00  </w:t>
                  </w:r>
                  <w:r>
                    <w:rPr/>
                    <w:t>元。该募集资金已于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41"/>
                    </w:rPr>
                    <w:t> </w:t>
                  </w:r>
                  <w:r>
                    <w:rPr/>
                    <w:t>日全部到账，存放在募集资金专户：中国银行股份</w:t>
                  </w:r>
                </w:p>
                <w:p>
                  <w:pPr>
                    <w:pStyle w:val="BodyText"/>
                    <w:spacing w:line="240" w:lineRule="auto" w:before="64"/>
                    <w:ind w:left="103" w:right="0"/>
                    <w:jc w:val="left"/>
                  </w:pPr>
                  <w:r>
                    <w:rPr/>
                    <w:t>有限公司潮州分</w:t>
                  </w:r>
                  <w:r>
                    <w:rPr>
                      <w:spacing w:val="-60"/>
                    </w:rPr>
                    <w:t>行</w:t>
                  </w:r>
                  <w:r>
                    <w:rPr/>
                    <w:t>（账号</w:t>
                  </w:r>
                  <w:r>
                    <w:rPr>
                      <w:spacing w:val="-60"/>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8</w:t>
                  </w:r>
                  <w:r>
                    <w:rPr>
                      <w:rFonts w:ascii="Times New Roman" w:hAnsi="Times New Roman" w:cs="Times New Roman" w:eastAsia="Times New Roman" w:hint="default"/>
                    </w:rPr>
                    <w:t>6068188616</w:t>
                  </w:r>
                  <w:r>
                    <w:rPr>
                      <w:spacing w:val="-90"/>
                    </w:rPr>
                    <w:t>）</w:t>
                  </w:r>
                  <w:r>
                    <w:rPr>
                      <w:spacing w:val="-60"/>
                    </w:rPr>
                    <w:t>。</w:t>
                  </w:r>
                  <w:r>
                    <w:rPr/>
                    <w:t>募集资金到账金额为</w:t>
                  </w:r>
                  <w:r>
                    <w:rPr>
                      <w:spacing w:val="-46"/>
                    </w:rPr>
                    <w:t> </w:t>
                  </w:r>
                  <w:r>
                    <w:rPr>
                      <w:rFonts w:ascii="Times New Roman" w:hAnsi="Times New Roman" w:cs="Times New Roman" w:eastAsia="Times New Roman" w:hint="default"/>
                    </w:rPr>
                    <w:t>343,000</w:t>
                  </w:r>
                  <w:r>
                    <w:rPr>
                      <w:rFonts w:ascii="Times New Roman" w:hAnsi="Times New Roman" w:cs="Times New Roman" w:eastAsia="Times New Roman" w:hint="default"/>
                      <w:spacing w:val="-1"/>
                    </w:rPr>
                    <w:t>,</w:t>
                  </w:r>
                  <w:r>
                    <w:rPr>
                      <w:rFonts w:ascii="Times New Roman" w:hAnsi="Times New Roman" w:cs="Times New Roman" w:eastAsia="Times New Roman" w:hint="default"/>
                    </w:rPr>
                    <w:t>000.00  </w:t>
                  </w:r>
                  <w:r>
                    <w:rPr/>
                    <w:t>元</w:t>
                  </w:r>
                  <w:r>
                    <w:rPr>
                      <w:spacing w:val="-60"/>
                    </w:rPr>
                    <w:t>，</w:t>
                  </w:r>
                  <w:r>
                    <w:rPr/>
                    <w:t>募集资金净额为 </w:t>
                  </w:r>
                  <w:r>
                    <w:rPr>
                      <w:rFonts w:ascii="Times New Roman" w:hAnsi="Times New Roman" w:cs="Times New Roman" w:eastAsia="Times New Roman" w:hint="default"/>
                    </w:rPr>
                    <w:t>343,000,00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 </w:t>
                  </w:r>
                  <w:r>
                    <w:rPr>
                      <w:rFonts w:ascii="Times New Roman" w:hAnsi="Times New Roman" w:cs="Times New Roman" w:eastAsia="Times New Roman" w:hint="default"/>
                      <w:spacing w:val="-1"/>
                    </w:rPr>
                    <w:t> </w:t>
                  </w:r>
                  <w:r>
                    <w:rPr/>
                    <w:t>元。</w:t>
                  </w:r>
                </w:p>
                <w:p>
                  <w:pPr>
                    <w:pStyle w:val="BodyText"/>
                    <w:spacing w:line="240" w:lineRule="auto" w:before="101"/>
                    <w:ind w:left="103" w:right="0"/>
                    <w:jc w:val="left"/>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日，公司对募集资金项目累计投入</w:t>
                  </w:r>
                  <w:r>
                    <w:rPr>
                      <w:spacing w:val="-45"/>
                    </w:rPr>
                    <w:t> </w:t>
                  </w:r>
                  <w:r>
                    <w:rPr>
                      <w:rFonts w:ascii="Times New Roman" w:hAnsi="Times New Roman" w:cs="Times New Roman" w:eastAsia="Times New Roman" w:hint="default"/>
                    </w:rPr>
                    <w:t>344,149,800.00 </w:t>
                  </w:r>
                  <w:r>
                    <w:rPr>
                      <w:spacing w:val="-10"/>
                    </w:rPr>
                    <w:t>元，其中：累计归还银行贷款</w:t>
                  </w:r>
                  <w:r>
                    <w:rPr>
                      <w:spacing w:val="1"/>
                    </w:rPr>
                    <w:t> </w:t>
                  </w:r>
                  <w:r>
                    <w:rPr>
                      <w:rFonts w:ascii="Times New Roman" w:hAnsi="Times New Roman" w:cs="Times New Roman" w:eastAsia="Times New Roman" w:hint="default"/>
                    </w:rPr>
                    <w:t>204,149,800.00  </w:t>
                  </w:r>
                  <w:r>
                    <w:rPr/>
                    <w:t>元，</w:t>
                  </w:r>
                </w:p>
                <w:p>
                  <w:pPr>
                    <w:pStyle w:val="BodyText"/>
                    <w:spacing w:line="240" w:lineRule="auto" w:before="63"/>
                    <w:ind w:left="103" w:right="0"/>
                    <w:jc w:val="left"/>
                  </w:pPr>
                  <w:r>
                    <w:rPr/>
                    <w:t>补充流动资金 </w:t>
                  </w:r>
                  <w:r>
                    <w:rPr>
                      <w:rFonts w:ascii="Times New Roman" w:hAnsi="Times New Roman" w:cs="Times New Roman" w:eastAsia="Times New Roman" w:hint="default"/>
                    </w:rPr>
                    <w:t>140,000,000.00 </w:t>
                  </w:r>
                  <w:r>
                    <w:rPr/>
                    <w:t>元；加上扣除手续费后累计利息收入净额 </w:t>
                  </w:r>
                  <w:r>
                    <w:rPr>
                      <w:rFonts w:ascii="Times New Roman" w:hAnsi="Times New Roman" w:cs="Times New Roman" w:eastAsia="Times New Roman" w:hint="default"/>
                    </w:rPr>
                    <w:t>1,292,136.01 </w:t>
                  </w:r>
                  <w:r>
                    <w:rPr/>
                    <w:t>元；本年度使用募集资金 </w:t>
                  </w:r>
                  <w:r>
                    <w:rPr>
                      <w:rFonts w:ascii="Times New Roman" w:hAnsi="Times New Roman" w:cs="Times New Roman" w:eastAsia="Times New Roman" w:hint="default"/>
                    </w:rPr>
                    <w:t>0.00</w:t>
                  </w:r>
                  <w:r>
                    <w:rPr>
                      <w:rFonts w:ascii="Times New Roman" w:hAnsi="Times New Roman" w:cs="Times New Roman" w:eastAsia="Times New Roman" w:hint="default"/>
                      <w:spacing w:val="-19"/>
                    </w:rPr>
                    <w:t> </w:t>
                  </w:r>
                  <w:r>
                    <w:rPr/>
                    <w:t>元。</w:t>
                  </w:r>
                </w:p>
                <w:p>
                  <w:pPr>
                    <w:pStyle w:val="BodyText"/>
                    <w:spacing w:line="240" w:lineRule="auto" w:before="64"/>
                    <w:ind w:left="103" w:right="0"/>
                    <w:jc w:val="left"/>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日，募集资金余额为人民币</w:t>
                  </w:r>
                  <w:r>
                    <w:rPr>
                      <w:spacing w:val="-46"/>
                    </w:rPr>
                    <w:t> </w:t>
                  </w:r>
                  <w:r>
                    <w:rPr>
                      <w:rFonts w:ascii="Times New Roman" w:hAnsi="Times New Roman" w:cs="Times New Roman" w:eastAsia="Times New Roman" w:hint="default"/>
                    </w:rPr>
                    <w:t>142,336.01</w:t>
                  </w:r>
                  <w:r>
                    <w:rPr>
                      <w:rFonts w:ascii="Times New Roman" w:hAnsi="Times New Roman" w:cs="Times New Roman" w:eastAsia="Times New Roman" w:hint="default"/>
                      <w:spacing w:val="-1"/>
                    </w:rPr>
                    <w:t> </w:t>
                  </w:r>
                  <w:r>
                    <w:rPr/>
                    <w:t>元。</w:t>
                  </w:r>
                </w:p>
              </w:txbxContent>
            </v:textbox>
          </v:shape>
        </w:pict>
      </w:r>
      <w:r>
        <w:rPr>
          <w:rFonts w:ascii="宋体" w:hAnsi="宋体" w:cs="宋体" w:eastAsia="宋体" w:hint="default"/>
          <w:position w:val="-116"/>
          <w:sz w:val="20"/>
          <w:szCs w:val="20"/>
        </w:rPr>
      </w:r>
    </w:p>
    <w:p>
      <w:pPr>
        <w:spacing w:line="240" w:lineRule="auto" w:before="7"/>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227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180"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46" w:right="14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5" w:right="174"/>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0" w:right="15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 后投 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75" w:right="173"/>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6" w:right="174"/>
              <w:jc w:val="both"/>
              <w:rPr>
                <w:rFonts w:ascii="宋体" w:hAnsi="宋体" w:cs="宋体" w:eastAsia="宋体" w:hint="default"/>
                <w:sz w:val="18"/>
                <w:szCs w:val="18"/>
              </w:rPr>
            </w:pPr>
            <w:r>
              <w:rPr>
                <w:rFonts w:ascii="宋体" w:hAnsi="宋体" w:cs="宋体" w:eastAsia="宋体" w:hint="default"/>
                <w:sz w:val="18"/>
                <w:szCs w:val="18"/>
              </w:rPr>
              <w:t>截至 期末 累计 投入 金额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121" w:right="118" w:firstLine="5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 期末 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5" w:right="174"/>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6" w:right="174"/>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6" w:right="174"/>
              <w:jc w:val="both"/>
              <w:rPr>
                <w:rFonts w:ascii="宋体" w:hAnsi="宋体" w:cs="宋体" w:eastAsia="宋体" w:hint="default"/>
                <w:sz w:val="18"/>
                <w:szCs w:val="18"/>
              </w:rPr>
            </w:pPr>
            <w:r>
              <w:rPr>
                <w:rFonts w:ascii="宋体" w:hAnsi="宋体" w:cs="宋体" w:eastAsia="宋体" w:hint="default"/>
                <w:sz w:val="18"/>
                <w:szCs w:val="18"/>
              </w:rPr>
              <w:t>截止 报告 期末 累计 实现 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75" w:right="17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6" w:right="174"/>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61"/>
              <w:jc w:val="left"/>
              <w:rPr>
                <w:rFonts w:ascii="宋体" w:hAnsi="宋体" w:cs="宋体" w:eastAsia="宋体" w:hint="default"/>
                <w:sz w:val="18"/>
                <w:szCs w:val="18"/>
              </w:rPr>
            </w:pPr>
            <w:r>
              <w:rPr>
                <w:rFonts w:ascii="宋体" w:hAnsi="宋体" w:cs="宋体" w:eastAsia="宋体" w:hint="default"/>
                <w:sz w:val="18"/>
                <w:szCs w:val="18"/>
              </w:rPr>
              <w:t>创意产品设计中 心项目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558.38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558.38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59"/>
              <w:jc w:val="left"/>
              <w:rPr>
                <w:rFonts w:ascii="宋体" w:hAnsi="宋体" w:cs="宋体" w:eastAsia="宋体" w:hint="default"/>
                <w:sz w:val="18"/>
                <w:szCs w:val="18"/>
              </w:rPr>
            </w:pPr>
            <w:r>
              <w:rPr>
                <w:rFonts w:ascii="宋体" w:hAnsi="宋体" w:cs="宋体" w:eastAsia="宋体" w:hint="default"/>
                <w:sz w:val="18"/>
                <w:szCs w:val="18"/>
              </w:rPr>
              <w:t>国内营销体系建 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5,964.</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38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4,191.</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37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4,191.</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8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骨质瓷生产线建 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6,213.</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67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362" w:hRule="exact"/>
        </w:trPr>
        <w:tc>
          <w:tcPr>
            <w:tcW w:w="1635"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61"/>
              <w:jc w:val="left"/>
              <w:rPr>
                <w:rFonts w:ascii="宋体" w:hAnsi="宋体" w:cs="宋体" w:eastAsia="宋体" w:hint="default"/>
                <w:sz w:val="18"/>
                <w:szCs w:val="18"/>
              </w:rPr>
            </w:pPr>
            <w:r>
              <w:rPr>
                <w:rFonts w:ascii="宋体" w:hAnsi="宋体" w:cs="宋体" w:eastAsia="宋体" w:hint="default"/>
                <w:sz w:val="18"/>
                <w:szCs w:val="18"/>
              </w:rPr>
              <w:t>废弃陶瓷循环利 用建设项目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1,857.</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979.5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979.5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支付交易现金对 价</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23,040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23,040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补充上市公司流 动资金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24,860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24,860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24,920</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.65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100.24</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偿还短期借款</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20,780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20,414</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.98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98.24</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13,520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13,520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102.77</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98,235</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90,644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.65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90,819</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.98</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69"/>
              <w:jc w:val="left"/>
              <w:rPr>
                <w:rFonts w:ascii="宋体" w:hAnsi="宋体" w:cs="宋体" w:eastAsia="宋体" w:hint="default"/>
                <w:sz w:val="18"/>
                <w:szCs w:val="18"/>
              </w:rPr>
            </w:pPr>
            <w:r>
              <w:rPr>
                <w:rFonts w:ascii="宋体" w:hAnsi="宋体" w:cs="宋体" w:eastAsia="宋体" w:hint="default"/>
                <w:sz w:val="18"/>
                <w:szCs w:val="18"/>
              </w:rPr>
              <w:t>河南首期年产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万只陶瓷酒 瓶建设项目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22,304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22,304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.95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22,371</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.27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100.30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广东联汛教育科 技有限公司</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10,244</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.37</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9,246.</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02</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9,246.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超募资金投向小 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34,304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41,550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41,617</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.29</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10,244</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.37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132,54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0.35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132,19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132,43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7.27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10,244</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.37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274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103" w:right="101"/>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3"/>
                <w:sz w:val="18"/>
                <w:szCs w:val="18"/>
              </w:rPr>
              <w:t>况和原因（分具体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41"/>
                <w:sz w:val="18"/>
                <w:szCs w:val="18"/>
              </w:rPr>
              <w:t>）</w:t>
            </w:r>
            <w:r>
              <w:rPr>
                <w:rFonts w:ascii="宋体" w:hAnsi="宋体" w:cs="宋体" w:eastAsia="宋体" w:hint="default"/>
                <w:sz w:val="18"/>
                <w:szCs w:val="18"/>
              </w:rPr>
              <w:t>“创意产品设计中心项目</w:t>
            </w:r>
            <w:r>
              <w:rPr>
                <w:rFonts w:ascii="宋体" w:hAnsi="宋体" w:cs="宋体" w:eastAsia="宋体" w:hint="default"/>
                <w:spacing w:val="-51"/>
                <w:sz w:val="18"/>
                <w:szCs w:val="18"/>
              </w:rPr>
              <w:t>”</w:t>
            </w:r>
            <w:r>
              <w:rPr>
                <w:rFonts w:ascii="宋体" w:hAnsi="宋体" w:cs="宋体" w:eastAsia="宋体" w:hint="default"/>
                <w:sz w:val="18"/>
                <w:szCs w:val="18"/>
              </w:rPr>
              <w:t>已终止</w:t>
            </w:r>
            <w:r>
              <w:rPr>
                <w:rFonts w:ascii="宋体" w:hAnsi="宋体" w:cs="宋体" w:eastAsia="宋体" w:hint="default"/>
                <w:spacing w:val="-51"/>
                <w:sz w:val="18"/>
                <w:szCs w:val="18"/>
              </w:rPr>
              <w:t>，</w:t>
            </w:r>
            <w:r>
              <w:rPr>
                <w:rFonts w:ascii="宋体" w:hAnsi="宋体" w:cs="宋体" w:eastAsia="宋体" w:hint="default"/>
                <w:sz w:val="18"/>
                <w:szCs w:val="18"/>
              </w:rPr>
              <w:t>详见本</w:t>
            </w:r>
            <w:r>
              <w:rPr>
                <w:rFonts w:ascii="宋体" w:hAnsi="宋体" w:cs="宋体" w:eastAsia="宋体" w:hint="default"/>
                <w:spacing w:val="-51"/>
                <w:sz w:val="18"/>
                <w:szCs w:val="18"/>
              </w:rPr>
              <w:t>表</w:t>
            </w:r>
            <w:r>
              <w:rPr>
                <w:rFonts w:ascii="宋体" w:hAnsi="宋体" w:cs="宋体" w:eastAsia="宋体" w:hint="default"/>
                <w:sz w:val="18"/>
                <w:szCs w:val="18"/>
              </w:rPr>
              <w:t>“项目可行性发生重大变化的情况说明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2" w:lineRule="auto" w:before="102"/>
              <w:ind w:left="103" w:right="1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“国内营销体系建设项目” 已终止，详见本表“项目可行性发生重大变化的情况说</w:t>
            </w:r>
            <w:r>
              <w:rPr>
                <w:rFonts w:ascii="宋体" w:hAnsi="宋体" w:cs="宋体" w:eastAsia="宋体" w:hint="default"/>
                <w:sz w:val="18"/>
                <w:szCs w:val="18"/>
              </w:rPr>
              <w:t> 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41"/>
                <w:sz w:val="18"/>
                <w:szCs w:val="18"/>
              </w:rPr>
              <w:t>）</w:t>
            </w:r>
            <w:r>
              <w:rPr>
                <w:rFonts w:ascii="宋体" w:hAnsi="宋体" w:cs="宋体" w:eastAsia="宋体" w:hint="default"/>
                <w:sz w:val="18"/>
                <w:szCs w:val="18"/>
              </w:rPr>
              <w:t>“骨质瓷生产线建设项目</w:t>
            </w:r>
            <w:r>
              <w:rPr>
                <w:rFonts w:ascii="宋体" w:hAnsi="宋体" w:cs="宋体" w:eastAsia="宋体" w:hint="default"/>
                <w:spacing w:val="-51"/>
                <w:sz w:val="18"/>
                <w:szCs w:val="18"/>
              </w:rPr>
              <w:t>”</w:t>
            </w:r>
            <w:r>
              <w:rPr>
                <w:rFonts w:ascii="宋体" w:hAnsi="宋体" w:cs="宋体" w:eastAsia="宋体" w:hint="default"/>
                <w:sz w:val="18"/>
                <w:szCs w:val="18"/>
              </w:rPr>
              <w:t>已终止</w:t>
            </w:r>
            <w:r>
              <w:rPr>
                <w:rFonts w:ascii="宋体" w:hAnsi="宋体" w:cs="宋体" w:eastAsia="宋体" w:hint="default"/>
                <w:spacing w:val="-51"/>
                <w:sz w:val="18"/>
                <w:szCs w:val="18"/>
              </w:rPr>
              <w:t>，</w:t>
            </w:r>
            <w:r>
              <w:rPr>
                <w:rFonts w:ascii="宋体" w:hAnsi="宋体" w:cs="宋体" w:eastAsia="宋体" w:hint="default"/>
                <w:sz w:val="18"/>
                <w:szCs w:val="18"/>
              </w:rPr>
              <w:t>详见本</w:t>
            </w:r>
            <w:r>
              <w:rPr>
                <w:rFonts w:ascii="宋体" w:hAnsi="宋体" w:cs="宋体" w:eastAsia="宋体" w:hint="default"/>
                <w:spacing w:val="-51"/>
                <w:sz w:val="18"/>
                <w:szCs w:val="18"/>
              </w:rPr>
              <w:t>表</w:t>
            </w:r>
            <w:r>
              <w:rPr>
                <w:rFonts w:ascii="宋体" w:hAnsi="宋体" w:cs="宋体" w:eastAsia="宋体" w:hint="default"/>
                <w:sz w:val="18"/>
                <w:szCs w:val="18"/>
              </w:rPr>
              <w:t>“项目可行性发生重大变化的情况说明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2" w:lineRule="auto" w:before="101"/>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95"/>
                <w:sz w:val="18"/>
                <w:szCs w:val="18"/>
              </w:rPr>
              <w:t>）</w:t>
            </w:r>
            <w:r>
              <w:rPr>
                <w:rFonts w:ascii="宋体" w:hAnsi="宋体" w:cs="宋体" w:eastAsia="宋体" w:hint="default"/>
                <w:sz w:val="18"/>
                <w:szCs w:val="18"/>
              </w:rPr>
              <w:t>“废弃陶瓷循环利用建设项目</w:t>
            </w:r>
            <w:r>
              <w:rPr>
                <w:rFonts w:ascii="宋体" w:hAnsi="宋体" w:cs="宋体" w:eastAsia="宋体" w:hint="default"/>
                <w:spacing w:val="-5"/>
                <w:sz w:val="18"/>
                <w:szCs w:val="18"/>
              </w:rPr>
              <w:t>”</w:t>
            </w:r>
            <w:r>
              <w:rPr>
                <w:rFonts w:ascii="宋体" w:hAnsi="宋体" w:cs="宋体" w:eastAsia="宋体" w:hint="default"/>
                <w:sz w:val="18"/>
                <w:szCs w:val="18"/>
              </w:rPr>
              <w:t>已终止</w:t>
            </w:r>
            <w:r>
              <w:rPr>
                <w:rFonts w:ascii="宋体" w:hAnsi="宋体" w:cs="宋体" w:eastAsia="宋体" w:hint="default"/>
                <w:spacing w:val="-5"/>
                <w:sz w:val="18"/>
                <w:szCs w:val="18"/>
              </w:rPr>
              <w:t>，</w:t>
            </w:r>
            <w:r>
              <w:rPr>
                <w:rFonts w:ascii="宋体" w:hAnsi="宋体" w:cs="宋体" w:eastAsia="宋体" w:hint="default"/>
                <w:sz w:val="18"/>
                <w:szCs w:val="18"/>
              </w:rPr>
              <w:t>详见本</w:t>
            </w:r>
            <w:r>
              <w:rPr>
                <w:rFonts w:ascii="宋体" w:hAnsi="宋体" w:cs="宋体" w:eastAsia="宋体" w:hint="default"/>
                <w:spacing w:val="-5"/>
                <w:sz w:val="18"/>
                <w:szCs w:val="18"/>
              </w:rPr>
              <w:t>表</w:t>
            </w:r>
            <w:r>
              <w:rPr>
                <w:rFonts w:ascii="宋体" w:hAnsi="宋体" w:cs="宋体" w:eastAsia="宋体" w:hint="default"/>
                <w:sz w:val="18"/>
                <w:szCs w:val="18"/>
              </w:rPr>
              <w:t>“项目可行性发生重大变</w:t>
            </w:r>
            <w:r>
              <w:rPr>
                <w:rFonts w:ascii="宋体" w:hAnsi="宋体" w:cs="宋体" w:eastAsia="宋体" w:hint="default"/>
                <w:spacing w:val="1"/>
                <w:sz w:val="18"/>
                <w:szCs w:val="18"/>
              </w:rPr>
              <w:t>化</w:t>
            </w:r>
            <w:r>
              <w:rPr>
                <w:rFonts w:ascii="宋体" w:hAnsi="宋体" w:cs="宋体" w:eastAsia="宋体" w:hint="default"/>
                <w:sz w:val="18"/>
                <w:szCs w:val="18"/>
              </w:rPr>
              <w:t>的</w:t>
            </w:r>
            <w:r>
              <w:rPr>
                <w:rFonts w:ascii="宋体" w:hAnsi="宋体" w:cs="宋体" w:eastAsia="宋体" w:hint="default"/>
                <w:spacing w:val="-2"/>
                <w:sz w:val="18"/>
                <w:szCs w:val="18"/>
              </w:rPr>
              <w:t>情</w:t>
            </w:r>
            <w:r>
              <w:rPr>
                <w:rFonts w:ascii="宋体" w:hAnsi="宋体" w:cs="宋体" w:eastAsia="宋体" w:hint="default"/>
                <w:sz w:val="18"/>
                <w:szCs w:val="18"/>
              </w:rPr>
              <w:t>况</w:t>
            </w:r>
            <w:r>
              <w:rPr>
                <w:rFonts w:ascii="宋体" w:hAnsi="宋体" w:cs="宋体" w:eastAsia="宋体" w:hint="default"/>
                <w:sz w:val="18"/>
                <w:szCs w:val="18"/>
              </w:rPr>
              <w:t> 说明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2" w:lineRule="auto" w:before="69"/>
              <w:ind w:left="103" w:right="102"/>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）“河南首期年产</w:t>
            </w:r>
            <w:r>
              <w:rPr>
                <w:rFonts w:ascii="宋体" w:hAnsi="宋体" w:cs="宋体" w:eastAsia="宋体" w:hint="default"/>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万只陶瓷酒瓶建设项目”未达到预计收益，是因为该项目已暂</w:t>
            </w:r>
            <w:r>
              <w:rPr>
                <w:rFonts w:ascii="宋体" w:hAnsi="宋体" w:cs="宋体" w:eastAsia="宋体" w:hint="default"/>
                <w:sz w:val="18"/>
                <w:szCs w:val="18"/>
              </w:rPr>
              <w:t> 停。</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项目可行性发生</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a.</w:t>
            </w:r>
            <w:r>
              <w:rPr>
                <w:rFonts w:ascii="宋体" w:hAnsi="宋体" w:cs="宋体" w:eastAsia="宋体" w:hint="default"/>
                <w:sz w:val="18"/>
                <w:szCs w:val="18"/>
              </w:rPr>
              <w:t>废弃陶瓷市场发生变化。在本项目可行性研究阶段，</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5"/>
        <w:gridCol w:w="721"/>
        <w:gridCol w:w="7216"/>
      </w:tblGrid>
      <w:tr>
        <w:trPr>
          <w:trHeight w:val="1109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61"/>
              <w:jc w:val="left"/>
              <w:rPr>
                <w:rFonts w:ascii="宋体" w:hAnsi="宋体" w:cs="宋体" w:eastAsia="宋体" w:hint="default"/>
                <w:sz w:val="18"/>
                <w:szCs w:val="18"/>
              </w:rPr>
            </w:pPr>
            <w:r>
              <w:rPr>
                <w:rFonts w:ascii="宋体" w:hAnsi="宋体" w:cs="宋体" w:eastAsia="宋体" w:hint="default"/>
                <w:sz w:val="18"/>
                <w:szCs w:val="18"/>
              </w:rPr>
              <w:t>重大变化的情况 说明</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整个潮州市的废弃陶瓷基本上是作为工业垃圾倾倒。进入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年之后，由于瓷土原料价 </w:t>
            </w:r>
            <w:r>
              <w:rPr>
                <w:rFonts w:ascii="宋体" w:hAnsi="宋体" w:cs="宋体" w:eastAsia="宋体" w:hint="default"/>
                <w:spacing w:val="-1"/>
                <w:sz w:val="18"/>
                <w:szCs w:val="18"/>
              </w:rPr>
              <w:t>格的上涨，以及政府鼓励资源循环利用各项政策的逐步落实，使废弃陶瓷作为再生资源的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经济价值得到提升。产区其他陶瓷企业也陆续有从事废瓷回收再利用的项目开发，致使废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瓷量逐步减少。同时也导致废瓷的回收也有成本出现。从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年开始，废弃陶瓷的收购</w:t>
            </w:r>
          </w:p>
          <w:p>
            <w:pPr>
              <w:pStyle w:val="TableParagraph"/>
              <w:spacing w:line="307" w:lineRule="auto" w:before="3"/>
              <w:ind w:left="103" w:right="102"/>
              <w:jc w:val="left"/>
              <w:rPr>
                <w:rFonts w:ascii="宋体" w:hAnsi="宋体" w:cs="宋体" w:eastAsia="宋体" w:hint="default"/>
                <w:sz w:val="18"/>
                <w:szCs w:val="18"/>
              </w:rPr>
            </w:pPr>
            <w:r>
              <w:rPr>
                <w:rFonts w:ascii="宋体" w:hAnsi="宋体" w:cs="宋体" w:eastAsia="宋体" w:hint="default"/>
                <w:spacing w:val="-3"/>
                <w:sz w:val="18"/>
                <w:szCs w:val="18"/>
              </w:rPr>
              <w:t>价格从之前的零元成本，逐步提高到每吨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元，而同期再生瓷泥的价格并没有同步上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涨。在这种情况下，公司对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后续投资效益进行了重新评估， 结论是：由于投产后所需要的废弃陶瓷均需要从市场上采购，在现行的市场价格每吨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 </w:t>
            </w:r>
            <w:r>
              <w:rPr>
                <w:rFonts w:ascii="宋体" w:hAnsi="宋体" w:cs="宋体" w:eastAsia="宋体" w:hint="default"/>
                <w:spacing w:val="-1"/>
                <w:sz w:val="18"/>
                <w:szCs w:val="18"/>
              </w:rPr>
              <w:t>元时，投资效益较差，达不到公司期望的投资回报水平。公司预测，废弃陶瓷的市场价格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从长期来看将呈现稳步提高的态势，本项目存在较大的投资风险。</w:t>
            </w:r>
            <w:r>
              <w:rPr>
                <w:rFonts w:ascii="Times New Roman" w:hAnsi="Times New Roman" w:cs="Times New Roman" w:eastAsia="Times New Roman" w:hint="default"/>
                <w:sz w:val="18"/>
                <w:szCs w:val="18"/>
              </w:rPr>
              <w:t>b.</w:t>
            </w:r>
            <w:r>
              <w:rPr>
                <w:rFonts w:ascii="宋体" w:hAnsi="宋体" w:cs="宋体" w:eastAsia="宋体" w:hint="default"/>
                <w:sz w:val="18"/>
                <w:szCs w:val="18"/>
              </w:rPr>
              <w:t>前期投资的阶段性目 标基本实现。该项目计划为分期建设，经过前期投资建设，已形成年产再生瓷泥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 </w:t>
            </w:r>
            <w:r>
              <w:rPr>
                <w:rFonts w:ascii="宋体" w:hAnsi="宋体" w:cs="宋体" w:eastAsia="宋体" w:hint="default"/>
                <w:spacing w:val="-1"/>
                <w:sz w:val="18"/>
                <w:szCs w:val="18"/>
              </w:rPr>
              <w:t>的生产能力。它能够完全消化本公司产生及协作工厂产生的所有废弃陶瓷，生产出来的再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生瓷泥也由本公司自行消化，用于生产低端工艺陶瓷产品，既能帮助公司实现绿色生产的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战略目标，也能产生一定的经济效益，基本上达到了预期的阶段性投资目标。</w:t>
            </w:r>
          </w:p>
          <w:p>
            <w:pPr>
              <w:pStyle w:val="TableParagraph"/>
              <w:spacing w:line="307" w:lineRule="auto" w:before="65"/>
              <w:ind w:left="103" w:right="10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）创意产品设计中心项目：该项目成功实施的前提是招聘到一流的工业设计师团队。 尽管近几年我国工业设计行业发展迅速，但优秀的工业设计师仍属于高度稀缺的人才资 </w:t>
            </w:r>
            <w:r>
              <w:rPr>
                <w:rFonts w:ascii="宋体" w:hAnsi="宋体" w:cs="宋体" w:eastAsia="宋体" w:hint="default"/>
                <w:spacing w:val="-2"/>
                <w:sz w:val="18"/>
                <w:szCs w:val="18"/>
              </w:rPr>
              <w:t>源。在北京</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上海等中心城市招聘优秀设计师，不仅代价大，而且流动性高，难以发挥预期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效果，导致该项目无法按计划实施完成。同时</w:t>
            </w:r>
            <w:r>
              <w:rPr>
                <w:rFonts w:ascii="Times New Roman" w:hAnsi="Times New Roman" w:cs="Times New Roman" w:eastAsia="Times New Roman" w:hint="default"/>
                <w:sz w:val="18"/>
                <w:szCs w:val="18"/>
              </w:rPr>
              <w:t>,</w:t>
            </w:r>
            <w:r>
              <w:rPr>
                <w:rFonts w:ascii="宋体" w:hAnsi="宋体" w:cs="宋体" w:eastAsia="宋体" w:hint="default"/>
                <w:sz w:val="18"/>
                <w:szCs w:val="18"/>
              </w:rPr>
              <w:t>随着设于潮州</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深圳两市的设计团队不断成 长成熟，加上高性能设计软硬性的配置，包括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打印设备的运用，使公司产品设计的品 </w:t>
            </w:r>
            <w:r>
              <w:rPr>
                <w:rFonts w:ascii="宋体" w:hAnsi="宋体" w:cs="宋体" w:eastAsia="宋体" w:hint="default"/>
                <w:spacing w:val="-1"/>
                <w:sz w:val="18"/>
                <w:szCs w:val="18"/>
              </w:rPr>
              <w:t>质和效率得到极大的提高，已经能够充分支撑公司产品战略的实施。因此，该项目也没有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继续推进的必要。经公司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年第一次临时股东大会审议通过，终止该项目。</w:t>
            </w:r>
          </w:p>
          <w:p>
            <w:pPr>
              <w:pStyle w:val="TableParagraph"/>
              <w:spacing w:line="309"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）国内营销体系建设项目：公司国内营销体系建设项目推进过程中，正遇我国电子商 </w:t>
            </w:r>
            <w:r>
              <w:rPr>
                <w:rFonts w:ascii="宋体" w:hAnsi="宋体" w:cs="宋体" w:eastAsia="宋体" w:hint="default"/>
                <w:spacing w:val="-1"/>
                <w:sz w:val="18"/>
                <w:szCs w:val="18"/>
              </w:rPr>
              <w:t>务从起步转向迅猛发展的时期，传统的实体渠道受到剧烈冲击。在这一大的背景之下，结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合该项目实施以来的总体效果情况，为降低募集资金的投资风险，节约运营成本，审慎使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用募集资金，公司管理层结合市场发展形势，决定终止该项目的实施。经公司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 一次临时股东大会审议通过，终止该项目。</w:t>
            </w:r>
          </w:p>
          <w:p>
            <w:pPr>
              <w:pStyle w:val="TableParagraph"/>
              <w:spacing w:line="314" w:lineRule="auto" w:before="62"/>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）骨质瓷生产线建设项目：该项目的产品主要面向高端消费和礼品市场。在高端消费 </w:t>
            </w:r>
            <w:r>
              <w:rPr>
                <w:rFonts w:ascii="宋体" w:hAnsi="宋体" w:cs="宋体" w:eastAsia="宋体" w:hint="default"/>
                <w:spacing w:val="-1"/>
                <w:sz w:val="18"/>
                <w:szCs w:val="18"/>
              </w:rPr>
              <w:t>市场上，由于消费者对中高端骨质瓷的接受度还不是很高，国内市场对骨质瓷的消费能力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有限，加之公司骨瓷产品的主要指标骨炭含量严格按照国家标准执行，在行业里处于较高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的水平，但相应的成本也较高，销售价格也较高，普通消费者无法通过肉眼分辨骨炭含量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及产品质量，往往只通过最直观的价格比较进行选择，而公司的骨质瓷产品在价格上不占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优势，导致消费者接受度不太理想。而在礼品市场方面，由于国内社会环境的变化，这个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市场整体萎缩的比较严重，致使公司产品在这块市场的开发也远远没有达到预期效果。公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司管理层经过分析认为，该项目已经形成的产能，可以满足今后一段时间的市场需求，为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降低募集资金的投资风险，审慎使用募集资金，决定终止该项目的投资。经公司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第一次临时股东大会审议通过，终止该项目。</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9" w:lineRule="auto"/>
              <w:ind w:left="103" w:right="81"/>
              <w:jc w:val="left"/>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公司超募资金总额为 </w:t>
            </w:r>
            <w:r>
              <w:rPr>
                <w:rFonts w:ascii="Times New Roman" w:hAnsi="Times New Roman" w:cs="Times New Roman" w:eastAsia="Times New Roman" w:hint="default"/>
                <w:sz w:val="18"/>
                <w:szCs w:val="18"/>
              </w:rPr>
              <w:t>41,617.29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万元。为提高募集资金的使用效率，降低财务成本，在保 </w:t>
            </w:r>
            <w:r>
              <w:rPr>
                <w:rFonts w:ascii="宋体" w:hAnsi="宋体" w:cs="宋体" w:eastAsia="宋体" w:hint="default"/>
                <w:spacing w:val="-1"/>
                <w:sz w:val="18"/>
                <w:szCs w:val="18"/>
              </w:rPr>
              <w:t>证募集资金项目建设的资金需求前提下，公司将超募资金的金额、用途及使用进展情况如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下：</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日，经公司第一届董事会第十六次会议和第一届监事会第九次会</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议审议通过，使用超募资金中的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万元资金用于提前归还银行贷款，公司保荐机</w:t>
            </w:r>
          </w:p>
          <w:p>
            <w:pPr>
              <w:pStyle w:val="TableParagraph"/>
              <w:spacing w:line="302" w:lineRule="auto" w:before="63"/>
              <w:ind w:left="103" w:right="102"/>
              <w:jc w:val="both"/>
              <w:rPr>
                <w:rFonts w:ascii="宋体" w:hAnsi="宋体" w:cs="宋体" w:eastAsia="宋体" w:hint="default"/>
                <w:sz w:val="18"/>
                <w:szCs w:val="18"/>
              </w:rPr>
            </w:pPr>
            <w:r>
              <w:rPr>
                <w:rFonts w:ascii="宋体" w:hAnsi="宋体" w:cs="宋体" w:eastAsia="宋体" w:hint="default"/>
                <w:spacing w:val="-3"/>
                <w:sz w:val="18"/>
                <w:szCs w:val="18"/>
              </w:rPr>
              <w:t>构广发证券股份有限公司以及全体独立董事对此均出具了同意意见。该</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万元贷款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已归还。</w:t>
            </w:r>
          </w:p>
        </w:tc>
      </w:tr>
    </w:tbl>
    <w:p>
      <w:pPr>
        <w:spacing w:after="0" w:line="302"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5"/>
        <w:gridCol w:w="721"/>
        <w:gridCol w:w="7216"/>
      </w:tblGrid>
      <w:tr>
        <w:trPr>
          <w:trHeight w:val="12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日，经公司第二届董事会第八次会议决议和第二届监事会第七次会 </w:t>
            </w:r>
            <w:r>
              <w:rPr>
                <w:rFonts w:ascii="宋体" w:hAnsi="宋体" w:cs="宋体" w:eastAsia="宋体" w:hint="default"/>
                <w:spacing w:val="-3"/>
                <w:sz w:val="18"/>
                <w:szCs w:val="18"/>
              </w:rPr>
              <w:t>议决议审议通过《关于使用部分超募资金永久补充流动资金的议案》，以超募资金中的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万元永久性补充流动资金，公司保荐机构广发证券股份有限公司以及全体独立董</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事对此均出具了同意意见。</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年第二次临时股东大会决议通</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过该议案。截止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日，该部分超募资金已经用于公司流动资金的补充。</w:t>
            </w:r>
          </w:p>
          <w:p>
            <w:pPr>
              <w:pStyle w:val="TableParagraph"/>
              <w:spacing w:line="309" w:lineRule="auto" w:before="102"/>
              <w:ind w:left="103" w:right="10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）为开拓国内陶瓷市场，实现内外需市场均衡化发展，</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日，公司召 </w:t>
            </w:r>
            <w:r>
              <w:rPr>
                <w:rFonts w:ascii="宋体" w:hAnsi="宋体" w:cs="宋体" w:eastAsia="宋体" w:hint="default"/>
                <w:spacing w:val="-1"/>
                <w:sz w:val="18"/>
                <w:szCs w:val="18"/>
              </w:rPr>
              <w:t>开的第二届董事会第十次会议、第二届监事会第九次会议审议通过了《关于河南首期年产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2000 </w:t>
            </w:r>
            <w:r>
              <w:rPr>
                <w:rFonts w:ascii="Times New Roman" w:hAnsi="Times New Roman" w:cs="Times New Roman" w:eastAsia="Times New Roman" w:hint="default"/>
                <w:spacing w:val="36"/>
                <w:sz w:val="18"/>
                <w:szCs w:val="18"/>
              </w:rPr>
              <w:t> </w:t>
            </w:r>
            <w:r>
              <w:rPr>
                <w:rFonts w:ascii="宋体" w:hAnsi="宋体" w:cs="宋体" w:eastAsia="宋体" w:hint="default"/>
                <w:spacing w:val="-4"/>
                <w:sz w:val="18"/>
                <w:szCs w:val="18"/>
              </w:rPr>
              <w:t>万只陶瓷酒瓶建设项目的议案》，本项目投资资金拟使用公司上市超募资金中的剩余</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资金及自筹资金。其中，使用剩余超募资金为 </w:t>
            </w:r>
            <w:r>
              <w:rPr>
                <w:rFonts w:ascii="Times New Roman" w:hAnsi="Times New Roman" w:cs="Times New Roman" w:eastAsia="Times New Roman" w:hint="default"/>
                <w:sz w:val="18"/>
                <w:szCs w:val="18"/>
              </w:rPr>
              <w:t>19,624.08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万元、因“废弃陶瓷循环利用建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设项目”终止而尚未使用募集项目资金 </w:t>
            </w:r>
            <w:r>
              <w:rPr>
                <w:rFonts w:ascii="Times New Roman" w:hAnsi="Times New Roman" w:cs="Times New Roman" w:eastAsia="Times New Roman" w:hint="default"/>
                <w:sz w:val="18"/>
                <w:szCs w:val="18"/>
              </w:rPr>
              <w:t>877.55  </w:t>
            </w:r>
            <w:r>
              <w:rPr>
                <w:rFonts w:ascii="宋体" w:hAnsi="宋体" w:cs="宋体" w:eastAsia="宋体" w:hint="default"/>
                <w:sz w:val="18"/>
                <w:szCs w:val="18"/>
              </w:rPr>
              <w:t>万元及截至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日利息收</w:t>
            </w:r>
          </w:p>
          <w:p>
            <w:pPr>
              <w:pStyle w:val="TableParagraph"/>
              <w:spacing w:line="309" w:lineRule="auto" w:before="63"/>
              <w:ind w:left="103"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入 </w:t>
            </w:r>
            <w:r>
              <w:rPr>
                <w:rFonts w:ascii="Times New Roman" w:hAnsi="Times New Roman" w:cs="Times New Roman" w:eastAsia="Times New Roman" w:hint="default"/>
                <w:sz w:val="18"/>
                <w:szCs w:val="18"/>
              </w:rPr>
              <w:t>1,803.32 </w:t>
            </w:r>
            <w:r>
              <w:rPr>
                <w:rFonts w:ascii="宋体" w:hAnsi="宋体" w:cs="宋体" w:eastAsia="宋体" w:hint="default"/>
                <w:sz w:val="18"/>
                <w:szCs w:val="18"/>
              </w:rPr>
              <w:t>万元，合计 </w:t>
            </w:r>
            <w:r>
              <w:rPr>
                <w:rFonts w:ascii="Times New Roman" w:hAnsi="Times New Roman" w:cs="Times New Roman" w:eastAsia="Times New Roman" w:hint="default"/>
                <w:sz w:val="18"/>
                <w:szCs w:val="18"/>
              </w:rPr>
              <w:t>22,304.95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万元，其余为自筹资金。公司保荐机构广发证券股份 有限公司出具了无异议的核查意见及独立董事已经对该事项发表了独立意见同意上述事 项。</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年第三次临时股东大会决议通过该议案。截止</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2017</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日，公司累计在河南首期年产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万只陶瓷酒瓶建设项目中使用了超募资</w:t>
            </w:r>
          </w:p>
          <w:p>
            <w:pPr>
              <w:pStyle w:val="TableParagraph"/>
              <w:spacing w:line="309"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金 </w:t>
            </w:r>
            <w:r>
              <w:rPr>
                <w:rFonts w:ascii="Times New Roman" w:hAnsi="Times New Roman" w:cs="Times New Roman" w:eastAsia="Times New Roman" w:hint="default"/>
                <w:sz w:val="18"/>
                <w:szCs w:val="18"/>
              </w:rPr>
              <w:t>22,371.27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日，公司召开的第三届董事会第二十三次会议及 </w:t>
            </w:r>
            <w:r>
              <w:rPr>
                <w:rFonts w:ascii="宋体" w:hAnsi="宋体" w:cs="宋体" w:eastAsia="宋体" w:hint="default"/>
                <w:spacing w:val="-1"/>
                <w:sz w:val="18"/>
                <w:szCs w:val="18"/>
              </w:rPr>
              <w:t>第三届监事会第十四次会议审议通过了《关于公司首次公开发行股票募集资金投资项目河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南长城绿色瓷艺科技有限公司股权转让的议案》及《关于将转让河南长城绿色瓷艺科技有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限公司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股权所得价款用于补充公司流动资金的议案》。公司拟与深圳市东方置地集</w:t>
            </w:r>
            <w:r>
              <w:rPr>
                <w:rFonts w:ascii="宋体" w:hAnsi="宋体" w:cs="宋体" w:eastAsia="宋体" w:hint="default"/>
                <w:sz w:val="18"/>
                <w:szCs w:val="18"/>
              </w:rPr>
              <w:t> </w:t>
            </w:r>
            <w:r>
              <w:rPr>
                <w:rFonts w:ascii="宋体" w:hAnsi="宋体" w:cs="宋体" w:eastAsia="宋体" w:hint="default"/>
                <w:spacing w:val="-3"/>
                <w:sz w:val="18"/>
                <w:szCs w:val="18"/>
              </w:rPr>
              <w:t>团有限公司签署《河南长城绿色瓷艺科技有限公司股权转让协议》，公司拟向深圳市东方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置地集团有限公司转让持有的河南长城绿色瓷艺科技有限公司</w:t>
            </w:r>
            <w:r>
              <w:rPr>
                <w:rFonts w:ascii="宋体" w:hAnsi="宋体" w:cs="宋体" w:eastAsia="宋体" w:hint="default"/>
                <w:spacing w:val="-37"/>
                <w:sz w:val="18"/>
                <w:szCs w:val="18"/>
              </w:rPr>
              <w:t> </w:t>
            </w:r>
            <w:r>
              <w:rPr>
                <w:rFonts w:ascii="Times New Roman" w:hAnsi="Times New Roman" w:cs="Times New Roman" w:eastAsia="Times New Roman" w:hint="default"/>
                <w:spacing w:val="-10"/>
                <w:sz w:val="18"/>
                <w:szCs w:val="18"/>
              </w:rPr>
              <w:t>100%</w:t>
            </w:r>
            <w:r>
              <w:rPr>
                <w:rFonts w:ascii="宋体" w:hAnsi="宋体" w:cs="宋体" w:eastAsia="宋体" w:hint="default"/>
                <w:spacing w:val="-10"/>
                <w:sz w:val="18"/>
                <w:szCs w:val="18"/>
              </w:rPr>
              <w:t>的股权（以下简称“标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的股权”），标的股权由双方认可的评估机构以</w:t>
            </w:r>
            <w:r>
              <w:rPr>
                <w:rFonts w:ascii="宋体" w:hAnsi="宋体" w:cs="宋体" w:eastAsia="宋体" w:hint="default"/>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6"/>
                <w:sz w:val="18"/>
                <w:szCs w:val="18"/>
              </w:rPr>
              <w:t> </w:t>
            </w:r>
            <w:r>
              <w:rPr>
                <w:rFonts w:ascii="宋体" w:hAnsi="宋体" w:cs="宋体" w:eastAsia="宋体" w:hint="default"/>
                <w:spacing w:val="-4"/>
                <w:sz w:val="18"/>
                <w:szCs w:val="18"/>
              </w:rPr>
              <w:t>日为基准日进行评估，以</w:t>
            </w:r>
          </w:p>
          <w:p>
            <w:pPr>
              <w:pStyle w:val="TableParagraph"/>
              <w:spacing w:line="309" w:lineRule="auto" w:before="5"/>
              <w:ind w:left="103" w:right="102"/>
              <w:jc w:val="both"/>
              <w:rPr>
                <w:rFonts w:ascii="宋体" w:hAnsi="宋体" w:cs="宋体" w:eastAsia="宋体" w:hint="default"/>
                <w:sz w:val="18"/>
                <w:szCs w:val="18"/>
              </w:rPr>
            </w:pPr>
            <w:r>
              <w:rPr>
                <w:rFonts w:ascii="宋体" w:hAnsi="宋体" w:cs="宋体" w:eastAsia="宋体" w:hint="default"/>
                <w:sz w:val="18"/>
                <w:szCs w:val="18"/>
              </w:rPr>
              <w:t>评估值为定价依据，双方协商一致确定转让价格为 </w:t>
            </w:r>
            <w:r>
              <w:rPr>
                <w:rFonts w:ascii="Times New Roman" w:hAnsi="Times New Roman" w:cs="Times New Roman" w:eastAsia="Times New Roman" w:hint="default"/>
                <w:sz w:val="18"/>
                <w:szCs w:val="18"/>
              </w:rPr>
              <w:t>182,911,673.20</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元，转让款由深圳市东</w:t>
            </w:r>
            <w:r>
              <w:rPr>
                <w:rFonts w:ascii="宋体" w:hAnsi="宋体" w:cs="宋体" w:eastAsia="宋体" w:hint="default"/>
                <w:sz w:val="18"/>
                <w:szCs w:val="18"/>
              </w:rPr>
              <w:t> </w:t>
            </w:r>
            <w:r>
              <w:rPr>
                <w:rFonts w:ascii="宋体" w:hAnsi="宋体" w:cs="宋体" w:eastAsia="宋体" w:hint="default"/>
                <w:spacing w:val="-1"/>
                <w:sz w:val="18"/>
                <w:szCs w:val="18"/>
              </w:rPr>
              <w:t>方置地集团有限公司以现金方式支付。本次交易完成后，公司将不再持有河南长城绿色瓷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艺科技有限公司股权，转让所得价款用于补充公司流动资金。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召开的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年第四次临时股东大会审议通过了上述股权转让议案及股改转让价款用于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补充公司流动资金的议案。截止至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日，河南长城绿色瓷艺科技有限公司</w:t>
            </w:r>
          </w:p>
          <w:p>
            <w:pPr>
              <w:pStyle w:val="TableParagraph"/>
              <w:spacing w:line="302" w:lineRule="auto" w:before="63"/>
              <w:ind w:left="103" w:right="171"/>
              <w:jc w:val="left"/>
              <w:rPr>
                <w:rFonts w:ascii="宋体" w:hAnsi="宋体" w:cs="宋体" w:eastAsia="宋体" w:hint="default"/>
                <w:sz w:val="18"/>
                <w:szCs w:val="18"/>
              </w:rPr>
            </w:pPr>
            <w:r>
              <w:rPr>
                <w:rFonts w:ascii="宋体" w:hAnsi="宋体" w:cs="宋体" w:eastAsia="宋体" w:hint="default"/>
                <w:spacing w:val="-5"/>
                <w:sz w:val="18"/>
                <w:szCs w:val="18"/>
              </w:rPr>
              <w:t>股权转让仍在转让过程中，“河南首期年产</w:t>
            </w:r>
            <w:r>
              <w:rPr>
                <w:rFonts w:ascii="宋体" w:hAnsi="宋体" w:cs="宋体" w:eastAsia="宋体" w:hint="default"/>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万只陶瓷酒瓶建设项目”仍在进行中， 尚未投产。</w:t>
            </w:r>
          </w:p>
          <w:p>
            <w:pPr>
              <w:pStyle w:val="TableParagraph"/>
              <w:spacing w:line="309" w:lineRule="auto" w:before="68"/>
              <w:ind w:left="103" w:right="10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）经公司第三届董事会第四次会议、第三届监事会第四次会议及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 </w:t>
            </w:r>
            <w:r>
              <w:rPr>
                <w:rFonts w:ascii="宋体" w:hAnsi="宋体" w:cs="宋体" w:eastAsia="宋体" w:hint="default"/>
                <w:spacing w:val="-6"/>
                <w:sz w:val="18"/>
                <w:szCs w:val="18"/>
              </w:rPr>
              <w:t>股东大会审议通过，公司终止实施“创意产品设计中心建设项目”、“国内营销体系建设项</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目”及“骨质瓷生产线建设项目”。截至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月底，该三项目尚未投入的募集资</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金分别为 </w:t>
            </w:r>
            <w:r>
              <w:rPr>
                <w:rFonts w:ascii="Times New Roman" w:hAnsi="Times New Roman" w:cs="Times New Roman" w:eastAsia="Times New Roman" w:hint="default"/>
                <w:sz w:val="18"/>
                <w:szCs w:val="18"/>
              </w:rPr>
              <w:t>1,441.62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1,773.01  </w:t>
            </w:r>
            <w:r>
              <w:rPr>
                <w:rFonts w:ascii="宋体" w:hAnsi="宋体" w:cs="宋体" w:eastAsia="宋体" w:hint="default"/>
                <w:sz w:val="18"/>
                <w:szCs w:val="18"/>
              </w:rPr>
              <w:t>万元及 </w:t>
            </w:r>
            <w:r>
              <w:rPr>
                <w:rFonts w:ascii="Times New Roman" w:hAnsi="Times New Roman" w:cs="Times New Roman" w:eastAsia="Times New Roman" w:hint="default"/>
                <w:sz w:val="18"/>
                <w:szCs w:val="18"/>
              </w:rPr>
              <w:t>3,498.57  </w:t>
            </w:r>
            <w:r>
              <w:rPr>
                <w:rFonts w:ascii="宋体" w:hAnsi="宋体" w:cs="宋体" w:eastAsia="宋体" w:hint="default"/>
                <w:sz w:val="18"/>
                <w:szCs w:val="18"/>
              </w:rPr>
              <w:t>万元，合计 </w:t>
            </w:r>
            <w:r>
              <w:rPr>
                <w:rFonts w:ascii="Times New Roman" w:hAnsi="Times New Roman" w:cs="Times New Roman" w:eastAsia="Times New Roman" w:hint="default"/>
                <w:sz w:val="18"/>
                <w:szCs w:val="18"/>
              </w:rPr>
              <w:t>6,713.20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万元。该三项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目募集资金使用余额 </w:t>
            </w:r>
            <w:r>
              <w:rPr>
                <w:rFonts w:ascii="Times New Roman" w:hAnsi="Times New Roman" w:cs="Times New Roman" w:eastAsia="Times New Roman" w:hint="default"/>
                <w:sz w:val="18"/>
                <w:szCs w:val="18"/>
              </w:rPr>
              <w:t>6,713.20  </w:t>
            </w:r>
            <w:r>
              <w:rPr>
                <w:rFonts w:ascii="宋体" w:hAnsi="宋体" w:cs="宋体" w:eastAsia="宋体" w:hint="default"/>
                <w:sz w:val="18"/>
                <w:szCs w:val="18"/>
              </w:rPr>
              <w:t>万元及利息转为超募资金。其中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万元认购广东联</w:t>
            </w:r>
          </w:p>
          <w:p>
            <w:pPr>
              <w:pStyle w:val="TableParagraph"/>
              <w:spacing w:line="302" w:lineRule="auto" w:before="63"/>
              <w:ind w:left="103" w:right="172"/>
              <w:jc w:val="left"/>
              <w:rPr>
                <w:rFonts w:ascii="宋体" w:hAnsi="宋体" w:cs="宋体" w:eastAsia="宋体" w:hint="default"/>
                <w:sz w:val="18"/>
                <w:szCs w:val="18"/>
              </w:rPr>
            </w:pPr>
            <w:r>
              <w:rPr>
                <w:rFonts w:ascii="宋体" w:hAnsi="宋体" w:cs="宋体" w:eastAsia="宋体" w:hint="default"/>
                <w:sz w:val="18"/>
                <w:szCs w:val="18"/>
              </w:rPr>
              <w:t>汛教育科技有限公司新增注册资本的总价为人民币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万元，持有目标公司全部注 册资本的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的股权；剩余 </w:t>
            </w:r>
            <w:r>
              <w:rPr>
                <w:rFonts w:ascii="Times New Roman" w:hAnsi="Times New Roman" w:cs="Times New Roman" w:eastAsia="Times New Roman" w:hint="default"/>
                <w:sz w:val="18"/>
                <w:szCs w:val="18"/>
              </w:rPr>
              <w:t>2,713.20  </w:t>
            </w:r>
            <w:r>
              <w:rPr>
                <w:rFonts w:ascii="宋体" w:hAnsi="宋体" w:cs="宋体" w:eastAsia="宋体" w:hint="default"/>
                <w:sz w:val="18"/>
                <w:szCs w:val="18"/>
              </w:rPr>
              <w:t>万元及利息全部补充流动资金</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309" w:lineRule="auto" w:before="49"/>
              <w:ind w:left="103" w:right="10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pacing w:val="-3"/>
                <w:sz w:val="18"/>
                <w:szCs w:val="18"/>
              </w:rPr>
              <w:t>日，公司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年首次公开发行股票募集资金已全部使用完 </w:t>
            </w:r>
            <w:r>
              <w:rPr>
                <w:rFonts w:ascii="宋体" w:hAnsi="宋体" w:cs="宋体" w:eastAsia="宋体" w:hint="default"/>
                <w:spacing w:val="-1"/>
                <w:sz w:val="18"/>
                <w:szCs w:val="18"/>
              </w:rPr>
              <w:t>毕，在银行专户无存储金额，并已办理完毕募集资金专户的销户手续，公司保荐机构广发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证券股份有限公司对此出具了核查意见，公司已于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日进行了公告。</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98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both"/>
              <w:rPr>
                <w:rFonts w:ascii="宋体" w:hAnsi="宋体" w:cs="宋体" w:eastAsia="宋体" w:hint="default"/>
                <w:sz w:val="18"/>
                <w:szCs w:val="18"/>
              </w:rPr>
            </w:pPr>
            <w:r>
              <w:rPr>
                <w:rFonts w:ascii="宋体" w:hAnsi="宋体" w:cs="宋体" w:eastAsia="宋体" w:hint="default"/>
                <w:spacing w:val="-1"/>
                <w:sz w:val="18"/>
                <w:szCs w:val="18"/>
              </w:rPr>
              <w:t>“创意产品设计中心建设项目”原计划项目实施的地点为潮州与深圳两市。为了尽快招聘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到合格的工业设计师人才，结合公司国内营销网络的拓展，</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日经公司第二 </w:t>
            </w:r>
            <w:r>
              <w:rPr>
                <w:rFonts w:ascii="宋体" w:hAnsi="宋体" w:cs="宋体" w:eastAsia="宋体" w:hint="default"/>
                <w:spacing w:val="-1"/>
                <w:sz w:val="18"/>
                <w:szCs w:val="18"/>
              </w:rPr>
              <w:t>届董事会第八次会议决议和第二届监事会第七次会议决议审议通过《关于调整募投项目实</w:t>
            </w:r>
          </w:p>
        </w:tc>
      </w:tr>
    </w:tbl>
    <w:p>
      <w:pPr>
        <w:spacing w:after="0" w:line="309"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5"/>
        <w:gridCol w:w="721"/>
        <w:gridCol w:w="7216"/>
      </w:tblGrid>
      <w:tr>
        <w:trPr>
          <w:trHeight w:val="129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03"/>
              <w:jc w:val="left"/>
              <w:rPr>
                <w:rFonts w:ascii="宋体" w:hAnsi="宋体" w:cs="宋体" w:eastAsia="宋体" w:hint="default"/>
                <w:sz w:val="18"/>
                <w:szCs w:val="18"/>
              </w:rPr>
            </w:pPr>
            <w:r>
              <w:rPr>
                <w:rFonts w:ascii="宋体" w:hAnsi="宋体" w:cs="宋体" w:eastAsia="宋体" w:hint="default"/>
                <w:spacing w:val="-3"/>
                <w:sz w:val="18"/>
                <w:szCs w:val="18"/>
              </w:rPr>
              <w:t>施计划的议案》，将项目实施地点从潮州、深圳两市，扩展到北京、上海、成都等设计人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才较为密集的城市，在这些城市建立设计中心。公司保荐机构广发证券股份有限公司以及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全体独立董事出具同意意见。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年第二次临时股东大会决 议通过该议案。</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9" w:lineRule="auto"/>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85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1"/>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、“创意产品设计中心项目”</w:t>
            </w:r>
            <w:r>
              <w:rPr>
                <w:rFonts w:ascii="宋体" w:hAnsi="宋体" w:cs="宋体" w:eastAsia="宋体" w:hint="default"/>
                <w:sz w:val="18"/>
                <w:szCs w:val="18"/>
              </w:rPr>
              <w:t> 原计划时间从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月完成项目建设， 由于设计中心所需的设计团队人才比较高端和稀缺，以及公司在北京、上海建立运营中心 的国内市场拓展计划放缓，导致项目的人才招聘进度较慢，相应的专业设备更新投资速度 也放缓。</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3 </w:t>
            </w:r>
            <w:r>
              <w:rPr>
                <w:rFonts w:ascii="宋体" w:hAnsi="宋体" w:cs="宋体" w:eastAsia="宋体" w:hint="default"/>
                <w:sz w:val="18"/>
                <w:szCs w:val="18"/>
              </w:rPr>
              <w:t>日，经公司第二届董事会第八次会议决议和第二届监事会第七 </w:t>
            </w:r>
            <w:r>
              <w:rPr>
                <w:rFonts w:ascii="宋体" w:hAnsi="宋体" w:cs="宋体" w:eastAsia="宋体" w:hint="default"/>
                <w:spacing w:val="-3"/>
                <w:sz w:val="18"/>
                <w:szCs w:val="18"/>
              </w:rPr>
              <w:t>次会议决议审议通过《关于调整募投项目实施计划的议案》，将该项目实施进度延长一年，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调整后计划于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月实施完成，原调整金额不变。公司保荐机构广发证券股份有限</w:t>
            </w:r>
          </w:p>
          <w:p>
            <w:pPr>
              <w:pStyle w:val="TableParagraph"/>
              <w:spacing w:line="302" w:lineRule="auto" w:before="5"/>
              <w:ind w:left="103" w:right="170"/>
              <w:jc w:val="both"/>
              <w:rPr>
                <w:rFonts w:ascii="宋体" w:hAnsi="宋体" w:cs="宋体" w:eastAsia="宋体" w:hint="default"/>
                <w:sz w:val="18"/>
                <w:szCs w:val="18"/>
              </w:rPr>
            </w:pPr>
            <w:r>
              <w:rPr>
                <w:rFonts w:ascii="宋体" w:hAnsi="宋体" w:cs="宋体" w:eastAsia="宋体" w:hint="default"/>
                <w:sz w:val="18"/>
                <w:szCs w:val="18"/>
              </w:rPr>
              <w:t>公司以及全体独立董事出具同意意见。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 东大会决议通过该议案。</w:t>
            </w:r>
          </w:p>
          <w:p>
            <w:pPr>
              <w:pStyle w:val="TableParagraph"/>
              <w:spacing w:line="307" w:lineRule="auto" w:before="69"/>
              <w:ind w:left="103" w:right="102"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日，公司第二届董事会第十三次会议和第二届监事会第十二次会议 </w:t>
            </w:r>
            <w:r>
              <w:rPr>
                <w:rFonts w:ascii="宋体" w:hAnsi="宋体" w:cs="宋体" w:eastAsia="宋体" w:hint="default"/>
                <w:spacing w:val="-6"/>
                <w:sz w:val="18"/>
                <w:szCs w:val="18"/>
              </w:rPr>
              <w:t>审议通过《关于调整募投项目</w:t>
            </w:r>
            <w:r>
              <w:rPr>
                <w:rFonts w:ascii="宋体" w:hAnsi="宋体" w:cs="宋体" w:eastAsia="宋体" w:hint="default"/>
                <w:spacing w:val="14"/>
                <w:sz w:val="18"/>
                <w:szCs w:val="18"/>
              </w:rPr>
              <w:t> </w:t>
            </w:r>
            <w:r>
              <w:rPr>
                <w:rFonts w:ascii="宋体" w:hAnsi="宋体" w:cs="宋体" w:eastAsia="宋体" w:hint="default"/>
                <w:spacing w:val="-8"/>
                <w:sz w:val="18"/>
                <w:szCs w:val="18"/>
              </w:rPr>
              <w:t>实施计划的议案》，并同意将该议案提交股东大会审议。</w:t>
            </w:r>
            <w:r>
              <w:rPr>
                <w:rFonts w:ascii="Times New Roman" w:hAnsi="Times New Roman" w:cs="Times New Roman" w:eastAsia="Times New Roman" w:hint="default"/>
                <w:spacing w:val="-8"/>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日，公司独立董事就公司调整募投项目实施计划发表了“公司本次调整募投 </w:t>
            </w:r>
            <w:r>
              <w:rPr>
                <w:rFonts w:ascii="宋体" w:hAnsi="宋体" w:cs="宋体" w:eastAsia="宋体" w:hint="default"/>
                <w:spacing w:val="-1"/>
                <w:sz w:val="18"/>
                <w:szCs w:val="18"/>
              </w:rPr>
              <w:t>项目实施计划，符合公司实际经营的需要，不存在损害股东利益的情形，同意公司本次调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整募投项目实施计划，并且同意上述调整募投项目实施计划议案在提交下次股东大会审议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通过后实施。”的独立意见；</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日，公司保荐机构广发证券股份有限公司 </w:t>
            </w:r>
            <w:r>
              <w:rPr>
                <w:rFonts w:ascii="宋体" w:hAnsi="宋体" w:cs="宋体" w:eastAsia="宋体" w:hint="default"/>
                <w:spacing w:val="-1"/>
                <w:sz w:val="18"/>
                <w:szCs w:val="18"/>
              </w:rPr>
              <w:t>出具了对公司本次调整募投项目实施计划无异议的核查意见；根据已通过的该议案，公司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根据当前项目实施的情况，公司拟对项目实施的实施计划适当调整：</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24"/>
                <w:sz w:val="18"/>
                <w:szCs w:val="18"/>
              </w:rPr>
              <w:t>）</w:t>
            </w:r>
            <w:r>
              <w:rPr>
                <w:rFonts w:ascii="宋体" w:hAnsi="宋体" w:cs="宋体" w:eastAsia="宋体" w:hint="default"/>
                <w:sz w:val="18"/>
                <w:szCs w:val="18"/>
              </w:rPr>
              <w:t>“创意产品设计中心建设项目</w:t>
            </w:r>
            <w:r>
              <w:rPr>
                <w:rFonts w:ascii="宋体" w:hAnsi="宋体" w:cs="宋体" w:eastAsia="宋体" w:hint="default"/>
                <w:spacing w:val="-33"/>
                <w:sz w:val="18"/>
                <w:szCs w:val="18"/>
              </w:rPr>
              <w:t>”</w:t>
            </w:r>
            <w:r>
              <w:rPr>
                <w:rFonts w:ascii="宋体" w:hAnsi="宋体" w:cs="宋体" w:eastAsia="宋体" w:hint="default"/>
                <w:sz w:val="18"/>
                <w:szCs w:val="18"/>
              </w:rPr>
              <w:t>原计划</w:t>
            </w:r>
            <w:r>
              <w:rPr>
                <w:rFonts w:ascii="宋体" w:hAnsi="宋体" w:cs="宋体" w:eastAsia="宋体" w:hint="default"/>
                <w:spacing w:val="-2"/>
                <w:sz w:val="18"/>
                <w:szCs w:val="18"/>
              </w:rPr>
              <w:t>时</w:t>
            </w:r>
            <w:r>
              <w:rPr>
                <w:rFonts w:ascii="宋体" w:hAnsi="宋体" w:cs="宋体" w:eastAsia="宋体" w:hint="default"/>
                <w:sz w:val="18"/>
                <w:szCs w:val="18"/>
              </w:rPr>
              <w:t>间从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年开始至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月完成项目</w:t>
            </w:r>
          </w:p>
          <w:p>
            <w:pPr>
              <w:pStyle w:val="TableParagraph"/>
              <w:spacing w:line="312" w:lineRule="auto" w:before="63"/>
              <w:ind w:left="103" w:right="103"/>
              <w:jc w:val="both"/>
              <w:rPr>
                <w:rFonts w:ascii="宋体" w:hAnsi="宋体" w:cs="宋体" w:eastAsia="宋体" w:hint="default"/>
                <w:sz w:val="18"/>
                <w:szCs w:val="18"/>
              </w:rPr>
            </w:pPr>
            <w:r>
              <w:rPr>
                <w:rFonts w:ascii="宋体" w:hAnsi="宋体" w:cs="宋体" w:eastAsia="宋体" w:hint="default"/>
                <w:sz w:val="18"/>
                <w:szCs w:val="18"/>
              </w:rPr>
              <w:t>建设，现项目实施进度延长一年，调整后计划于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月实施完成。该项目成功实施 </w:t>
            </w:r>
            <w:r>
              <w:rPr>
                <w:rFonts w:ascii="宋体" w:hAnsi="宋体" w:cs="宋体" w:eastAsia="宋体" w:hint="default"/>
                <w:spacing w:val="-1"/>
                <w:sz w:val="18"/>
                <w:szCs w:val="18"/>
              </w:rPr>
              <w:t>的前提是招聘到一流的工业设计师团队。由于我国工业设计行业整体上发展水平较低，优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秀的工业设计师仍属于高度稀缺的人才资源。虽经公司通过各种途径选聘，但一直没能物</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色到足够的设计师，导致该项目无法按计划实施完成。</w:t>
            </w:r>
          </w:p>
          <w:p>
            <w:pPr>
              <w:pStyle w:val="TableParagraph"/>
              <w:spacing w:line="240" w:lineRule="auto" w:before="61"/>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“国内营销体系建设项目”原计划时间从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月完成项目建</w:t>
            </w:r>
          </w:p>
          <w:p>
            <w:pPr>
              <w:pStyle w:val="TableParagraph"/>
              <w:spacing w:line="312" w:lineRule="auto" w:before="63"/>
              <w:ind w:left="103" w:right="102"/>
              <w:jc w:val="both"/>
              <w:rPr>
                <w:rFonts w:ascii="宋体" w:hAnsi="宋体" w:cs="宋体" w:eastAsia="宋体" w:hint="default"/>
                <w:sz w:val="18"/>
                <w:szCs w:val="18"/>
              </w:rPr>
            </w:pPr>
            <w:r>
              <w:rPr>
                <w:rFonts w:ascii="宋体" w:hAnsi="宋体" w:cs="宋体" w:eastAsia="宋体" w:hint="default"/>
                <w:sz w:val="18"/>
                <w:szCs w:val="18"/>
              </w:rPr>
              <w:t>设，现项目实施进度延长一年，调整后计划于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月实施完成。根据公司国内营销 </w:t>
            </w:r>
            <w:r>
              <w:rPr>
                <w:rFonts w:ascii="宋体" w:hAnsi="宋体" w:cs="宋体" w:eastAsia="宋体" w:hint="default"/>
                <w:spacing w:val="-1"/>
                <w:sz w:val="18"/>
                <w:szCs w:val="18"/>
              </w:rPr>
              <w:t>渠道推进的实际情况和发展需要，为降低募集资金的投资风险，节约运营成本，审慎使用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募集资金，公司管理层结合市场发展形势，放缓了项目建设速度，因此，需要对募投项目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建设周期进行延期调整。</w:t>
            </w:r>
          </w:p>
          <w:p>
            <w:pPr>
              <w:pStyle w:val="TableParagraph"/>
              <w:spacing w:line="240" w:lineRule="auto" w:before="62"/>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“骨质瓷生产线建设项目”原计划时间从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月完成项目建</w:t>
            </w:r>
          </w:p>
          <w:p>
            <w:pPr>
              <w:pStyle w:val="TableParagraph"/>
              <w:spacing w:line="314" w:lineRule="auto" w:before="63"/>
              <w:ind w:left="103" w:right="102"/>
              <w:jc w:val="both"/>
              <w:rPr>
                <w:rFonts w:ascii="宋体" w:hAnsi="宋体" w:cs="宋体" w:eastAsia="宋体" w:hint="default"/>
                <w:sz w:val="18"/>
                <w:szCs w:val="18"/>
              </w:rPr>
            </w:pPr>
            <w:r>
              <w:rPr>
                <w:rFonts w:ascii="宋体" w:hAnsi="宋体" w:cs="宋体" w:eastAsia="宋体" w:hint="default"/>
                <w:sz w:val="18"/>
                <w:szCs w:val="18"/>
              </w:rPr>
              <w:t>设，现项目实施进度延长一年，调整后计划于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月实施完成。由于目前国内消费 </w:t>
            </w:r>
            <w:r>
              <w:rPr>
                <w:rFonts w:ascii="宋体" w:hAnsi="宋体" w:cs="宋体" w:eastAsia="宋体" w:hint="default"/>
                <w:spacing w:val="-1"/>
                <w:sz w:val="18"/>
                <w:szCs w:val="18"/>
              </w:rPr>
              <w:t>者对中高端骨质瓷的接受度还不是很高，国内市场对骨质瓷的消费能力有限，加之公司骨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瓷产品的主要指标骨炭含量严格按照国家标准执行，在行业里处于较高的水平，但相应的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成本也较高，销售价格也较高，普通消费者无法通过肉眼分辨骨炭含量及产品质量，往往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只通过最直观的价格比较进行选择，而公司的骨质瓷产品在价格上不占优势，导致消费者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接受度不太理想。为此，公司为降低募集资金的投资风险，审慎使用募集资金，放缓了项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目建设速度，需要对募投项目建设周期进行延期调整。</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103" w:right="261"/>
              <w:jc w:val="left"/>
              <w:rPr>
                <w:rFonts w:ascii="宋体" w:hAnsi="宋体" w:cs="宋体" w:eastAsia="宋体" w:hint="default"/>
                <w:sz w:val="18"/>
                <w:szCs w:val="18"/>
              </w:rPr>
            </w:pPr>
            <w:r>
              <w:rPr>
                <w:rFonts w:ascii="宋体" w:hAnsi="宋体" w:cs="宋体" w:eastAsia="宋体" w:hint="default"/>
                <w:sz w:val="18"/>
                <w:szCs w:val="18"/>
              </w:rPr>
              <w:t>募集资金投资项 目先期投入及置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为保证各募集资金项目得以顺利实施，公司在募集资金到位前已先行投入部分自筹资金</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5"/>
        <w:gridCol w:w="721"/>
        <w:gridCol w:w="7216"/>
      </w:tblGrid>
      <w:tr>
        <w:trPr>
          <w:trHeight w:val="129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换情况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both"/>
              <w:rPr>
                <w:rFonts w:ascii="宋体" w:hAnsi="宋体" w:cs="宋体" w:eastAsia="宋体" w:hint="default"/>
                <w:sz w:val="18"/>
                <w:szCs w:val="18"/>
              </w:rPr>
            </w:pPr>
            <w:r>
              <w:rPr>
                <w:rFonts w:ascii="宋体" w:hAnsi="宋体" w:cs="宋体" w:eastAsia="宋体" w:hint="default"/>
                <w:sz w:val="18"/>
                <w:szCs w:val="18"/>
              </w:rPr>
              <w:t>进行募集资金投资项目的建设。</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日，公司第一届董事会第十五次会议和第</w:t>
            </w:r>
          </w:p>
          <w:p>
            <w:pPr>
              <w:pStyle w:val="TableParagraph"/>
              <w:spacing w:line="309" w:lineRule="auto" w:before="63"/>
              <w:ind w:left="103" w:right="102"/>
              <w:jc w:val="both"/>
              <w:rPr>
                <w:rFonts w:ascii="宋体" w:hAnsi="宋体" w:cs="宋体" w:eastAsia="宋体" w:hint="default"/>
                <w:sz w:val="18"/>
                <w:szCs w:val="18"/>
              </w:rPr>
            </w:pPr>
            <w:r>
              <w:rPr>
                <w:rFonts w:ascii="宋体" w:hAnsi="宋体" w:cs="宋体" w:eastAsia="宋体" w:hint="default"/>
                <w:spacing w:val="-4"/>
                <w:sz w:val="18"/>
                <w:szCs w:val="18"/>
              </w:rPr>
              <w:t>一届监事会第八次会议审议通过，将募集资金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36,781,500.00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元置换预先已投入募集资金投 </w:t>
            </w:r>
            <w:r>
              <w:rPr>
                <w:rFonts w:ascii="宋体" w:hAnsi="宋体" w:cs="宋体" w:eastAsia="宋体" w:hint="default"/>
                <w:spacing w:val="-1"/>
                <w:sz w:val="18"/>
                <w:szCs w:val="18"/>
              </w:rPr>
              <w:t>资项目的自筹资金。公司保荐机构广发证券股份有限公司以及全体独立董事对此均出具了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同意意见。</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日，剩余募集资金余额 </w:t>
            </w:r>
            <w:r>
              <w:rPr>
                <w:rFonts w:ascii="Times New Roman" w:hAnsi="Times New Roman" w:cs="Times New Roman" w:eastAsia="Times New Roman" w:hint="default"/>
                <w:sz w:val="18"/>
                <w:szCs w:val="18"/>
              </w:rPr>
              <w:t>142,336.01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元，全部存放于募集资金专户。</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65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94" w:right="112"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2" w:right="113"/>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0"/>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112"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4" w:right="11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11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3" w:right="11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河南首期 年产</w:t>
            </w:r>
          </w:p>
          <w:p>
            <w:pPr>
              <w:pStyle w:val="TableParagraph"/>
              <w:spacing w:line="240" w:lineRule="auto" w:before="19"/>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before="63"/>
              <w:ind w:left="103" w:right="123"/>
              <w:jc w:val="both"/>
              <w:rPr>
                <w:rFonts w:ascii="宋体" w:hAnsi="宋体" w:cs="宋体" w:eastAsia="宋体" w:hint="default"/>
                <w:sz w:val="18"/>
                <w:szCs w:val="18"/>
              </w:rPr>
            </w:pPr>
            <w:r>
              <w:rPr>
                <w:rFonts w:ascii="宋体" w:hAnsi="宋体" w:cs="宋体" w:eastAsia="宋体" w:hint="default"/>
                <w:sz w:val="18"/>
                <w:szCs w:val="18"/>
              </w:rPr>
              <w:t>只陶瓷酒 瓶建设项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1" w:right="125"/>
              <w:jc w:val="both"/>
              <w:rPr>
                <w:rFonts w:ascii="宋体" w:hAnsi="宋体" w:cs="宋体" w:eastAsia="宋体" w:hint="default"/>
                <w:sz w:val="18"/>
                <w:szCs w:val="18"/>
              </w:rPr>
            </w:pPr>
            <w:r>
              <w:rPr>
                <w:rFonts w:ascii="宋体" w:hAnsi="宋体" w:cs="宋体" w:eastAsia="宋体" w:hint="default"/>
                <w:sz w:val="18"/>
                <w:szCs w:val="18"/>
              </w:rPr>
              <w:t>废弃陶瓷 循环利用 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22,304.95</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22,371.27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1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23"/>
              <w:jc w:val="both"/>
              <w:rPr>
                <w:rFonts w:ascii="宋体" w:hAnsi="宋体" w:cs="宋体" w:eastAsia="宋体" w:hint="default"/>
                <w:sz w:val="18"/>
                <w:szCs w:val="18"/>
              </w:rPr>
            </w:pPr>
            <w:r>
              <w:rPr>
                <w:rFonts w:ascii="宋体" w:hAnsi="宋体" w:cs="宋体" w:eastAsia="宋体" w:hint="default"/>
                <w:sz w:val="18"/>
                <w:szCs w:val="18"/>
              </w:rPr>
              <w:t>对广东联 汛教育科 技有限公 司投资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35"/>
              <w:jc w:val="left"/>
              <w:rPr>
                <w:rFonts w:ascii="宋体" w:hAnsi="宋体" w:cs="宋体" w:eastAsia="宋体" w:hint="default"/>
                <w:sz w:val="18"/>
                <w:szCs w:val="18"/>
              </w:rPr>
            </w:pPr>
            <w:r>
              <w:rPr>
                <w:rFonts w:ascii="宋体" w:hAnsi="宋体" w:cs="宋体" w:eastAsia="宋体" w:hint="default"/>
                <w:sz w:val="18"/>
                <w:szCs w:val="18"/>
              </w:rPr>
              <w:t>“创意产 品设计中 </w:t>
            </w:r>
            <w:r>
              <w:rPr>
                <w:rFonts w:ascii="宋体" w:hAnsi="宋体" w:cs="宋体" w:eastAsia="宋体" w:hint="default"/>
                <w:spacing w:val="-18"/>
                <w:sz w:val="18"/>
                <w:szCs w:val="18"/>
              </w:rPr>
              <w:t>心项目”、</w:t>
            </w:r>
            <w:r>
              <w:rPr>
                <w:rFonts w:ascii="宋体" w:hAnsi="宋体" w:cs="宋体" w:eastAsia="宋体" w:hint="default"/>
                <w:sz w:val="18"/>
                <w:szCs w:val="18"/>
              </w:rPr>
              <w:t> “国内营 销体系建 设项目” 及“骨质 瓷生产线 建设项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10,244.37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永久性补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创意产品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2,713.2</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2,713.2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285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23"/>
              <w:jc w:val="left"/>
              <w:rPr>
                <w:rFonts w:ascii="宋体" w:hAnsi="宋体" w:cs="宋体" w:eastAsia="宋体" w:hint="default"/>
                <w:sz w:val="18"/>
                <w:szCs w:val="18"/>
              </w:rPr>
            </w:pPr>
            <w:r>
              <w:rPr>
                <w:rFonts w:ascii="宋体" w:hAnsi="宋体" w:cs="宋体" w:eastAsia="宋体" w:hint="default"/>
                <w:sz w:val="18"/>
                <w:szCs w:val="18"/>
              </w:rPr>
              <w:t>充流动资 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125"/>
              <w:jc w:val="left"/>
              <w:rPr>
                <w:rFonts w:ascii="宋体" w:hAnsi="宋体" w:cs="宋体" w:eastAsia="宋体" w:hint="default"/>
                <w:sz w:val="18"/>
                <w:szCs w:val="18"/>
              </w:rPr>
            </w:pPr>
            <w:r>
              <w:rPr>
                <w:rFonts w:ascii="宋体" w:hAnsi="宋体" w:cs="宋体" w:eastAsia="宋体" w:hint="default"/>
                <w:sz w:val="18"/>
                <w:szCs w:val="18"/>
              </w:rPr>
              <w:t>设计中心 </w:t>
            </w:r>
            <w:r>
              <w:rPr>
                <w:rFonts w:ascii="宋体" w:hAnsi="宋体" w:cs="宋体" w:eastAsia="宋体" w:hint="default"/>
                <w:spacing w:val="-23"/>
                <w:sz w:val="18"/>
                <w:szCs w:val="18"/>
              </w:rPr>
              <w:t>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“国内营 销体系建 设项目” 及“骨质 瓷生产线 建设项 目”</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29,018.15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29,084.47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10,244.37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0467"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变更原因、决策程序及信息披露情</w:t>
            </w:r>
            <w:r>
              <w:rPr>
                <w:rFonts w:ascii="宋体" w:hAnsi="宋体" w:cs="宋体" w:eastAsia="宋体" w:hint="default"/>
                <w:sz w:val="18"/>
                <w:szCs w:val="18"/>
              </w:rPr>
              <w:t>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a.</w:t>
            </w:r>
            <w:r>
              <w:rPr>
                <w:rFonts w:ascii="宋体" w:hAnsi="宋体" w:cs="宋体" w:eastAsia="宋体" w:hint="default"/>
                <w:sz w:val="18"/>
                <w:szCs w:val="18"/>
              </w:rPr>
              <w:t>废弃陶瓷市场发生变化。在本项目可行性研究 </w:t>
            </w:r>
            <w:r>
              <w:rPr>
                <w:rFonts w:ascii="宋体" w:hAnsi="宋体" w:cs="宋体" w:eastAsia="宋体" w:hint="default"/>
                <w:spacing w:val="-3"/>
                <w:sz w:val="18"/>
                <w:szCs w:val="18"/>
              </w:rPr>
              <w:t>阶段，整个潮州市的废弃陶瓷基本上是作为工业垃圾倾倒。进入</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年之后，由于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瓷土原料价格的上涨，以及政府鼓励资源循环利用各项政策的逐步落实，使废弃陶 瓷作为再生资源的经济价值得到提升。产区其他陶瓷企业也陆续有从事废瓷回收再 利用的项目开发，致使废瓷量逐步减少。同时也导致废瓷的回收也有成本出现。从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年开始，废弃陶瓷的收购价格从之前的零元成本，逐步提高到每吨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而同期再生瓷泥的价格并没有同步上涨。在这种情况下，公司对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废弃陶瓷循环利用</w:t>
            </w:r>
            <w:r>
              <w:rPr>
                <w:rFonts w:ascii="宋体" w:hAnsi="宋体" w:cs="宋体" w:eastAsia="宋体" w:hint="default"/>
                <w:sz w:val="18"/>
                <w:szCs w:val="18"/>
              </w:rPr>
              <w:t> </w:t>
            </w:r>
            <w:r>
              <w:rPr>
                <w:rFonts w:ascii="宋体" w:hAnsi="宋体" w:cs="宋体" w:eastAsia="宋体" w:hint="default"/>
                <w:spacing w:val="-2"/>
                <w:sz w:val="18"/>
                <w:szCs w:val="18"/>
              </w:rPr>
              <w:t>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后续投资效益进行了重新评估，结论是：由于投产后所需要的废弃陶瓷均</w:t>
            </w:r>
            <w:r>
              <w:rPr>
                <w:rFonts w:ascii="宋体" w:hAnsi="宋体" w:cs="宋体" w:eastAsia="宋体" w:hint="default"/>
                <w:sz w:val="18"/>
                <w:szCs w:val="18"/>
              </w:rPr>
              <w:t> 需要从市场上采购，在现行的市场价格每吨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元时，投资效益较差，达不到公司期</w:t>
            </w:r>
            <w:r>
              <w:rPr>
                <w:rFonts w:ascii="宋体" w:hAnsi="宋体" w:cs="宋体" w:eastAsia="宋体" w:hint="default"/>
                <w:sz w:val="18"/>
                <w:szCs w:val="18"/>
              </w:rPr>
              <w:t> 望的投资回报水平。公司预测，废弃陶瓷的市场价格从长期来看将呈现稳步提高的 态势，本项目存在较大的投资风险。</w:t>
            </w:r>
            <w:r>
              <w:rPr>
                <w:rFonts w:ascii="Times New Roman" w:hAnsi="Times New Roman" w:cs="Times New Roman" w:eastAsia="Times New Roman" w:hint="default"/>
                <w:sz w:val="18"/>
                <w:szCs w:val="18"/>
              </w:rPr>
              <w:t>b.</w:t>
            </w:r>
            <w:r>
              <w:rPr>
                <w:rFonts w:ascii="宋体" w:hAnsi="宋体" w:cs="宋体" w:eastAsia="宋体" w:hint="default"/>
                <w:sz w:val="18"/>
                <w:szCs w:val="18"/>
              </w:rPr>
              <w:t>前期投资的阶段性目标基本实现。该项目计 </w:t>
            </w:r>
            <w:r>
              <w:rPr>
                <w:rFonts w:ascii="宋体" w:hAnsi="宋体" w:cs="宋体" w:eastAsia="宋体" w:hint="default"/>
                <w:spacing w:val="-3"/>
                <w:sz w:val="18"/>
                <w:szCs w:val="18"/>
              </w:rPr>
              <w:t>划为分期建设，经过前期投资建设，已形成年产再生瓷泥</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吨的生产能力。它能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够完全消化本公司产生及协作工厂产生的所有废弃陶瓷，生产出来的再生瓷泥也由 本公司自行消化，用于生产低端工艺陶瓷产品，既能帮助公司实现绿色生产的战略 目标，也能产生一定的经济效益，基本上达到了预期的阶段性投资目标。</w:t>
            </w:r>
          </w:p>
          <w:p>
            <w:pPr>
              <w:pStyle w:val="TableParagraph"/>
              <w:spacing w:line="304" w:lineRule="auto" w:before="65"/>
              <w:ind w:left="103" w:right="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）创意产品设计中心项目：该项目成功实施的前提是招聘到一流的工业设计师团</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队。尽管近几年我国工业设计行业发展迅速，但优秀的工业设计师仍属于高度稀缺 </w:t>
            </w:r>
            <w:r>
              <w:rPr>
                <w:rFonts w:ascii="宋体" w:hAnsi="宋体" w:cs="宋体" w:eastAsia="宋体" w:hint="default"/>
                <w:spacing w:val="-4"/>
                <w:sz w:val="18"/>
                <w:szCs w:val="18"/>
              </w:rPr>
              <w:t>的人才资源。在北京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上海等中心城市招聘优秀设计师，不仅代价大，而且流动性高，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难以发挥预期效果，导致该项目无法按计划实施完成。同时</w:t>
            </w:r>
            <w:r>
              <w:rPr>
                <w:rFonts w:ascii="Times New Roman" w:hAnsi="Times New Roman" w:cs="Times New Roman" w:eastAsia="Times New Roman" w:hint="default"/>
                <w:sz w:val="18"/>
                <w:szCs w:val="18"/>
              </w:rPr>
              <w:t>,</w:t>
            </w:r>
            <w:r>
              <w:rPr>
                <w:rFonts w:ascii="宋体" w:hAnsi="宋体" w:cs="宋体" w:eastAsia="宋体" w:hint="default"/>
                <w:sz w:val="18"/>
                <w:szCs w:val="18"/>
              </w:rPr>
              <w:t>随着设于潮州</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深圳两 市的设计团队不断成长成熟，加上高性能设计软硬性的配置，包括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打印设备的 运用，使公司产品设计的品质和效率得到极大的提高，已经能够充分支撑公司产品 </w:t>
            </w:r>
            <w:r>
              <w:rPr>
                <w:rFonts w:ascii="宋体" w:hAnsi="宋体" w:cs="宋体" w:eastAsia="宋体" w:hint="default"/>
                <w:spacing w:val="-4"/>
                <w:sz w:val="18"/>
                <w:szCs w:val="18"/>
              </w:rPr>
              <w:t>战略的实施。因此，该项目也没有继续推进的必要。经公司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大会审议通过，终止该项目。</w:t>
            </w:r>
          </w:p>
          <w:p>
            <w:pPr>
              <w:pStyle w:val="TableParagraph"/>
              <w:spacing w:line="314" w:lineRule="auto" w:before="66"/>
              <w:ind w:left="103" w:right="10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）国内营销体系建设项目：公司国内营销体系建设项目推进过程中，正遇我国电</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子商务从起步转向迅猛发展的时期，传统的实体渠道受到剧烈冲击。在这一大的背 景之下，结合该项目实施以来的总体效果情况，为降低募集资金的投资风险，节约 运营成本，审慎使用募集资金，公司管理层结合市场发展形势，决定终止该项目的 实施。经公司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年第一次临时股东大会审议通过，终止该项目。</w:t>
            </w:r>
          </w:p>
          <w:p>
            <w:pPr>
              <w:pStyle w:val="TableParagraph"/>
              <w:spacing w:line="314" w:lineRule="auto" w:before="39"/>
              <w:ind w:left="103" w:right="10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）骨质瓷生产线建设项目：该项目的产品主要面向高端消费和礼品市场。在高端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消费市场上，由于消费者对中高端骨质瓷的接受度还不是很高，国内市场对骨质瓷 的消费能力有限，加之公司骨瓷产品的主要指标骨炭含量严格按照国家标准执行， 在行业里处于较高的水平，但相应的成本也较高，销售价格也较高，普通消费者无 法通过肉眼分辨骨炭含量及产品质量，往往只通过最直观的价格比较进行选择，而</w:t>
            </w:r>
          </w:p>
        </w:tc>
      </w:tr>
    </w:tbl>
    <w:p>
      <w:pPr>
        <w:spacing w:after="0" w:line="314"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72"/>
        <w:gridCol w:w="6699"/>
      </w:tblGrid>
      <w:tr>
        <w:trPr>
          <w:trHeight w:val="192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公司的骨质瓷产品在价格上不占优势，导致消费者接受度不太理想。而在礼品市场 方面，由于国内社会环境的变化，这个市场整体萎缩的比较严重，致使公司产品在 这块市场的开发也远远没有达到预期效果。公司管理层经过分析认为，该项目已经 形成的产能，可以满足今后一段时间的市场需求，为降低募集资金的投资风险，审 </w:t>
            </w:r>
            <w:r>
              <w:rPr>
                <w:rFonts w:ascii="宋体" w:hAnsi="宋体" w:cs="宋体" w:eastAsia="宋体" w:hint="default"/>
                <w:spacing w:val="-5"/>
                <w:sz w:val="18"/>
                <w:szCs w:val="18"/>
              </w:rPr>
              <w:t>慎使用募集资金，决定终止该项目的投资。经公司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年第一次临时股东大会审议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通过，终止该项目。</w:t>
            </w:r>
          </w:p>
        </w:tc>
      </w:tr>
      <w:tr>
        <w:trPr>
          <w:trHeight w:val="2706"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3" w:right="2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）“创意产品设计中心项目”未达预计收益及计划进度，是由于本项目已提前终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止。</w:t>
            </w:r>
          </w:p>
          <w:p>
            <w:pPr>
              <w:pStyle w:val="TableParagraph"/>
              <w:spacing w:line="302" w:lineRule="auto" w:before="71"/>
              <w:ind w:left="103" w:right="10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）“国内营销体系建设项目”</w:t>
            </w:r>
            <w:r>
              <w:rPr>
                <w:rFonts w:ascii="宋体" w:hAnsi="宋体" w:cs="宋体" w:eastAsia="宋体" w:hint="default"/>
                <w:spacing w:val="-16"/>
                <w:sz w:val="18"/>
                <w:szCs w:val="18"/>
              </w:rPr>
              <w:t> </w:t>
            </w:r>
            <w:r>
              <w:rPr>
                <w:rFonts w:ascii="宋体" w:hAnsi="宋体" w:cs="宋体" w:eastAsia="宋体" w:hint="default"/>
                <w:spacing w:val="-2"/>
                <w:sz w:val="18"/>
                <w:szCs w:val="18"/>
              </w:rPr>
              <w:t>未达预计收益及计划进度，是由于本项目已提前终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w:t>
            </w:r>
          </w:p>
          <w:p>
            <w:pPr>
              <w:pStyle w:val="TableParagraph"/>
              <w:spacing w:line="302" w:lineRule="auto" w:before="68"/>
              <w:ind w:left="103" w:right="10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）“骨质瓷生产线建设项目”未达预计收益及计划进度，是由于本项目已提前终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止。</w:t>
            </w:r>
          </w:p>
          <w:p>
            <w:pPr>
              <w:pStyle w:val="TableParagraph"/>
              <w:spacing w:line="302" w:lineRule="auto" w:before="68"/>
              <w:ind w:left="103" w:right="10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）“废弃陶瓷循环利用建设项目”未达预计收益及计划进度，是由于本项目已提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前终止。</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ind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3" w:right="0"/>
        <w:jc w:val="left"/>
      </w:pPr>
      <w:r>
        <w:rPr/>
        <w:t>单位：元</w:t>
      </w:r>
    </w:p>
    <w:p>
      <w:pPr>
        <w:spacing w:after="0" w:line="240" w:lineRule="auto"/>
        <w:jc w:val="left"/>
        <w:sectPr>
          <w:type w:val="continuous"/>
          <w:pgSz w:w="11910" w:h="16840"/>
          <w:pgMar w:top="1100" w:bottom="1200" w:left="1020" w:right="0"/>
          <w:cols w:num="2" w:equalWidth="0">
            <w:col w:w="4809" w:space="4110"/>
            <w:col w:w="197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广东联汛 教育科技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0"/>
              <w:jc w:val="both"/>
              <w:rPr>
                <w:rFonts w:ascii="宋体" w:hAnsi="宋体" w:cs="宋体" w:eastAsia="宋体" w:hint="default"/>
                <w:sz w:val="18"/>
                <w:szCs w:val="18"/>
              </w:rPr>
            </w:pPr>
            <w:r>
              <w:rPr>
                <w:rFonts w:ascii="宋体" w:hAnsi="宋体" w:cs="宋体" w:eastAsia="宋体" w:hint="default"/>
                <w:sz w:val="18"/>
                <w:szCs w:val="18"/>
              </w:rPr>
              <w:t>软件和信 息技术服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25,125,000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433,345,61</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0.94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285,110,37</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7.16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260,180,38</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6.77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106,872,86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8.03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102,443,71</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0.59</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河南智游 臻龙教育 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0"/>
              <w:jc w:val="both"/>
              <w:rPr>
                <w:rFonts w:ascii="宋体" w:hAnsi="宋体" w:cs="宋体" w:eastAsia="宋体" w:hint="default"/>
                <w:sz w:val="18"/>
                <w:szCs w:val="18"/>
              </w:rPr>
            </w:pPr>
            <w:r>
              <w:rPr>
                <w:rFonts w:ascii="宋体" w:hAnsi="宋体" w:cs="宋体" w:eastAsia="宋体" w:hint="default"/>
                <w:sz w:val="18"/>
                <w:szCs w:val="18"/>
              </w:rPr>
              <w:t>计算机软 件开发及 技术咨询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159,915,38</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3.27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89,582,259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120,508,31</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3.04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35,565,316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34,453,336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7"/>
              <w:jc w:val="center"/>
              <w:rPr>
                <w:rFonts w:ascii="宋体" w:hAnsi="宋体" w:cs="宋体" w:eastAsia="宋体" w:hint="default"/>
                <w:sz w:val="18"/>
                <w:szCs w:val="18"/>
              </w:rPr>
            </w:pPr>
            <w:r>
              <w:rPr>
                <w:rFonts w:ascii="宋体" w:hAnsi="宋体" w:cs="宋体" w:eastAsia="宋体" w:hint="default"/>
                <w:sz w:val="18"/>
                <w:szCs w:val="18"/>
              </w:rPr>
              <w:t>北京翡翠</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7"/>
              <w:jc w:val="center"/>
              <w:rPr>
                <w:rFonts w:ascii="宋体" w:hAnsi="宋体" w:cs="宋体" w:eastAsia="宋体" w:hint="default"/>
                <w:sz w:val="18"/>
                <w:szCs w:val="18"/>
              </w:rPr>
            </w:pPr>
            <w:r>
              <w:rPr>
                <w:rFonts w:ascii="宋体" w:hAnsi="宋体" w:cs="宋体" w:eastAsia="宋体" w:hint="default"/>
                <w:sz w:val="18"/>
                <w:szCs w:val="18"/>
              </w:rPr>
              <w:t>计算机软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
              <w:jc w:val="center"/>
              <w:rPr>
                <w:rFonts w:ascii="Times New Roman" w:hAnsi="Times New Roman" w:cs="Times New Roman" w:eastAsia="Times New Roman" w:hint="default"/>
                <w:sz w:val="18"/>
                <w:szCs w:val="18"/>
              </w:rPr>
            </w:pPr>
            <w:r>
              <w:rPr>
                <w:rFonts w:ascii="Times New Roman"/>
                <w:sz w:val="18"/>
              </w:rPr>
              <w:t>48,252,098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center"/>
              <w:rPr>
                <w:rFonts w:ascii="Times New Roman" w:hAnsi="Times New Roman" w:cs="Times New Roman" w:eastAsia="Times New Roman" w:hint="default"/>
                <w:sz w:val="18"/>
                <w:szCs w:val="18"/>
              </w:rPr>
            </w:pPr>
            <w:r>
              <w:rPr>
                <w:rFonts w:ascii="Times New Roman"/>
                <w:sz w:val="18"/>
              </w:rPr>
              <w:t>852,603,73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 w:right="0"/>
              <w:jc w:val="center"/>
              <w:rPr>
                <w:rFonts w:ascii="Times New Roman" w:hAnsi="Times New Roman" w:cs="Times New Roman" w:eastAsia="Times New Roman" w:hint="default"/>
                <w:sz w:val="18"/>
                <w:szCs w:val="18"/>
              </w:rPr>
            </w:pPr>
            <w:r>
              <w:rPr>
                <w:rFonts w:ascii="Times New Roman"/>
                <w:sz w:val="18"/>
              </w:rPr>
              <w:t>600,797,43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2" w:right="0"/>
              <w:jc w:val="left"/>
              <w:rPr>
                <w:rFonts w:ascii="Times New Roman" w:hAnsi="Times New Roman" w:cs="Times New Roman" w:eastAsia="Times New Roman" w:hint="default"/>
                <w:sz w:val="18"/>
                <w:szCs w:val="18"/>
              </w:rPr>
            </w:pPr>
            <w:r>
              <w:rPr>
                <w:rFonts w:ascii="Times New Roman"/>
                <w:sz w:val="18"/>
              </w:rPr>
              <w:t>536,631,18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2" w:right="0"/>
              <w:jc w:val="left"/>
              <w:rPr>
                <w:rFonts w:ascii="Times New Roman" w:hAnsi="Times New Roman" w:cs="Times New Roman" w:eastAsia="Times New Roman" w:hint="default"/>
                <w:sz w:val="18"/>
                <w:szCs w:val="18"/>
              </w:rPr>
            </w:pPr>
            <w:r>
              <w:rPr>
                <w:rFonts w:ascii="Times New Roman"/>
                <w:sz w:val="18"/>
              </w:rPr>
              <w:t>171,990,61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center"/>
              <w:rPr>
                <w:rFonts w:ascii="Times New Roman" w:hAnsi="Times New Roman" w:cs="Times New Roman" w:eastAsia="Times New Roman" w:hint="default"/>
                <w:sz w:val="18"/>
                <w:szCs w:val="18"/>
              </w:rPr>
            </w:pPr>
            <w:r>
              <w:rPr>
                <w:rFonts w:ascii="Times New Roman"/>
                <w:sz w:val="18"/>
              </w:rPr>
              <w:t>143,359,29</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19"/>
              <w:jc w:val="both"/>
              <w:rPr>
                <w:rFonts w:ascii="宋体" w:hAnsi="宋体" w:cs="宋体" w:eastAsia="宋体" w:hint="default"/>
                <w:sz w:val="18"/>
                <w:szCs w:val="18"/>
              </w:rPr>
            </w:pPr>
            <w:r>
              <w:rPr>
                <w:rFonts w:ascii="宋体" w:hAnsi="宋体" w:cs="宋体" w:eastAsia="宋体" w:hint="default"/>
                <w:sz w:val="18"/>
                <w:szCs w:val="18"/>
              </w:rPr>
              <w:t>教育科技 集团有限 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10"/>
              <w:jc w:val="left"/>
              <w:rPr>
                <w:rFonts w:ascii="宋体" w:hAnsi="宋体" w:cs="宋体" w:eastAsia="宋体" w:hint="default"/>
                <w:sz w:val="18"/>
                <w:szCs w:val="18"/>
              </w:rPr>
            </w:pPr>
            <w:r>
              <w:rPr>
                <w:rFonts w:ascii="宋体" w:hAnsi="宋体" w:cs="宋体" w:eastAsia="宋体" w:hint="default"/>
                <w:sz w:val="18"/>
                <w:szCs w:val="18"/>
              </w:rPr>
              <w:t>件开发及 技术咨询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9" w:right="0"/>
              <w:jc w:val="left"/>
              <w:rPr>
                <w:rFonts w:ascii="Times New Roman" w:hAnsi="Times New Roman" w:cs="Times New Roman" w:eastAsia="Times New Roman" w:hint="default"/>
                <w:sz w:val="18"/>
                <w:szCs w:val="18"/>
              </w:rPr>
            </w:pPr>
            <w:r>
              <w:rPr>
                <w:rFonts w:ascii="Times New Roman"/>
                <w:sz w:val="18"/>
              </w:rPr>
              <w:t>7.97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8" w:right="0"/>
              <w:jc w:val="left"/>
              <w:rPr>
                <w:rFonts w:ascii="Times New Roman" w:hAnsi="Times New Roman" w:cs="Times New Roman" w:eastAsia="Times New Roman" w:hint="default"/>
                <w:sz w:val="18"/>
                <w:szCs w:val="18"/>
              </w:rPr>
            </w:pPr>
            <w:r>
              <w:rPr>
                <w:rFonts w:ascii="Times New Roman"/>
                <w:sz w:val="18"/>
              </w:rPr>
              <w:t>3.87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8" w:right="0"/>
              <w:jc w:val="left"/>
              <w:rPr>
                <w:rFonts w:ascii="Times New Roman" w:hAnsi="Times New Roman" w:cs="Times New Roman" w:eastAsia="Times New Roman" w:hint="default"/>
                <w:sz w:val="18"/>
                <w:szCs w:val="18"/>
              </w:rPr>
            </w:pPr>
            <w:r>
              <w:rPr>
                <w:rFonts w:ascii="Times New Roman"/>
                <w:sz w:val="18"/>
              </w:rPr>
              <w:t>4.48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7" w:right="0"/>
              <w:jc w:val="left"/>
              <w:rPr>
                <w:rFonts w:ascii="Times New Roman" w:hAnsi="Times New Roman" w:cs="Times New Roman" w:eastAsia="Times New Roman" w:hint="default"/>
                <w:sz w:val="18"/>
                <w:szCs w:val="18"/>
              </w:rPr>
            </w:pPr>
            <w:r>
              <w:rPr>
                <w:rFonts w:ascii="Times New Roman"/>
                <w:sz w:val="18"/>
              </w:rPr>
              <w:t>7.69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9" w:right="0"/>
              <w:jc w:val="left"/>
              <w:rPr>
                <w:rFonts w:ascii="Times New Roman" w:hAnsi="Times New Roman" w:cs="Times New Roman" w:eastAsia="Times New Roman" w:hint="default"/>
                <w:sz w:val="18"/>
                <w:szCs w:val="18"/>
              </w:rPr>
            </w:pPr>
            <w:r>
              <w:rPr>
                <w:rFonts w:ascii="Times New Roman"/>
                <w:sz w:val="18"/>
              </w:rPr>
              <w:t>0.61</w:t>
            </w:r>
          </w:p>
        </w:tc>
      </w:tr>
    </w:tbl>
    <w:p>
      <w:pPr>
        <w:pStyle w:val="BodyText"/>
        <w:spacing w:line="240" w:lineRule="auto" w:before="51"/>
        <w:ind w:right="0"/>
        <w:jc w:val="left"/>
      </w:pPr>
      <w:r>
        <w:rPr/>
        <w:t>报告期内取得和处置子公司的情况</w:t>
      </w:r>
    </w:p>
    <w:p>
      <w:pPr>
        <w:pStyle w:val="BodyText"/>
        <w:spacing w:line="357" w:lineRule="auto" w:before="117"/>
        <w:ind w:right="8592"/>
        <w:jc w:val="left"/>
      </w:pPr>
      <w:r>
        <w:rPr/>
        <w:t>□ 适用 √ 不适用 主要控股参股公司情况说明</w:t>
      </w:r>
    </w:p>
    <w:p>
      <w:pPr>
        <w:pStyle w:val="BodyText"/>
        <w:spacing w:line="240" w:lineRule="auto" w:before="28"/>
        <w:ind w:right="0"/>
        <w:jc w:val="left"/>
      </w:pPr>
      <w:r>
        <w:rPr/>
        <w:t>北京翡翠教育科技集团有限公司并入公司报表期间为</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564" w:right="6612" w:hanging="90"/>
        <w:jc w:val="left"/>
      </w:pPr>
      <w:r>
        <w:rPr/>
        <w:t>（一）公司所处行业的发展趋势及行业竞争格局 </w:t>
      </w:r>
      <w:r>
        <w:rPr>
          <w:rFonts w:ascii="宋体" w:hAnsi="宋体" w:cs="宋体" w:eastAsia="宋体" w:hint="default"/>
        </w:rPr>
        <w:t>1</w:t>
      </w:r>
      <w:r>
        <w:rPr/>
        <w:t>、教育信息化及职业教育行业格局与发展趋势</w:t>
      </w:r>
    </w:p>
    <w:p>
      <w:pPr>
        <w:pStyle w:val="BodyText"/>
        <w:spacing w:line="319" w:lineRule="auto" w:before="25"/>
        <w:ind w:right="1129" w:firstLine="360"/>
        <w:jc w:val="both"/>
      </w:pPr>
      <w:r>
        <w:rPr>
          <w:spacing w:val="-2"/>
        </w:rPr>
        <w:t>进入</w:t>
      </w:r>
      <w:r>
        <w:rPr>
          <w:rFonts w:ascii="宋体" w:hAnsi="宋体" w:cs="宋体" w:eastAsia="宋体" w:hint="default"/>
          <w:spacing w:val="-2"/>
        </w:rPr>
        <w:t>21</w:t>
      </w:r>
      <w:r>
        <w:rPr>
          <w:spacing w:val="-2"/>
        </w:rPr>
        <w:t>世纪以来，信息技术已渗透到经济发展和社会生活的各个方面，人们的生产方式、生活方式以及学习方式正在发</w:t>
      </w:r>
      <w:r>
        <w:rPr/>
        <w:t> </w:t>
      </w:r>
      <w:r>
        <w:rPr>
          <w:spacing w:val="-2"/>
        </w:rPr>
        <w:t>生深刻的变化。采用信息化技术、物联网技术、互联网技术、云计算技术、大数据分析等新技术，促进教育公平和实现优质</w:t>
      </w:r>
      <w:r>
        <w:rPr>
          <w:spacing w:val="-68"/>
        </w:rPr>
        <w:t> </w:t>
      </w:r>
      <w:r>
        <w:rPr>
          <w:spacing w:val="-68"/>
        </w:rPr>
      </w:r>
      <w:r>
        <w:rPr/>
        <w:t>教育资源广泛共享，提高教育质量已成为社会普遍共识。</w:t>
      </w:r>
    </w:p>
    <w:p>
      <w:pPr>
        <w:pStyle w:val="BodyText"/>
        <w:spacing w:line="357" w:lineRule="auto" w:before="56"/>
        <w:ind w:left="474" w:right="0" w:firstLine="90"/>
        <w:jc w:val="left"/>
      </w:pPr>
      <w:r>
        <w:rPr/>
        <w:t>（</w:t>
      </w:r>
      <w:r>
        <w:rPr>
          <w:rFonts w:ascii="宋体" w:hAnsi="宋体" w:cs="宋体" w:eastAsia="宋体" w:hint="default"/>
        </w:rPr>
        <w:t>1</w:t>
      </w:r>
      <w:r>
        <w:rPr/>
        <w:t>）国家政策大力扶持 </w:t>
      </w:r>
      <w:r>
        <w:rPr>
          <w:spacing w:val="-5"/>
        </w:rPr>
        <w:t>作为民族振兴、社会进步的基石，教育历年来受到党和国家的高度重视。从</w:t>
      </w:r>
      <w:r>
        <w:rPr>
          <w:rFonts w:ascii="宋体" w:hAnsi="宋体" w:cs="宋体" w:eastAsia="宋体" w:hint="default"/>
          <w:spacing w:val="-5"/>
        </w:rPr>
        <w:t>2015</w:t>
      </w:r>
      <w:r>
        <w:rPr>
          <w:spacing w:val="-5"/>
        </w:rPr>
        <w:t>年开始，“互联网</w:t>
      </w:r>
      <w:r>
        <w:rPr>
          <w:rFonts w:ascii="宋体" w:hAnsi="宋体" w:cs="宋体" w:eastAsia="宋体" w:hint="default"/>
          <w:spacing w:val="-5"/>
        </w:rPr>
        <w:t>+</w:t>
      </w:r>
      <w:r>
        <w:rPr>
          <w:spacing w:val="-5"/>
        </w:rPr>
        <w:t>”已上升为国家战略，</w:t>
      </w:r>
    </w:p>
    <w:p>
      <w:pPr>
        <w:pStyle w:val="BodyText"/>
        <w:spacing w:line="224" w:lineRule="exact" w:before="0"/>
        <w:ind w:right="0"/>
        <w:jc w:val="left"/>
      </w:pPr>
      <w:r>
        <w:rPr/>
        <w:t>成为国家创新和经济增长的引擎。工业和信息化部根据《国民经济和社会发展第十三个五年规划纲要》编制的《信息通信行</w:t>
      </w:r>
    </w:p>
    <w:p>
      <w:pPr>
        <w:pStyle w:val="BodyText"/>
        <w:spacing w:line="319" w:lineRule="auto" w:before="76"/>
        <w:ind w:right="1119"/>
        <w:jc w:val="left"/>
      </w:pPr>
      <w:r>
        <w:rPr>
          <w:spacing w:val="-3"/>
        </w:rPr>
        <w:t>业发展规划（</w:t>
      </w:r>
      <w:r>
        <w:rPr>
          <w:rFonts w:ascii="宋体" w:hAnsi="宋体" w:cs="宋体" w:eastAsia="宋体" w:hint="default"/>
          <w:spacing w:val="-3"/>
        </w:rPr>
        <w:t>2016-2020</w:t>
      </w:r>
      <w:r>
        <w:rPr>
          <w:spacing w:val="-3"/>
        </w:rPr>
        <w:t>年）》，明确提出要加快建设网络强国、推动“四化”同步发展。国家层面的战略规划和政策指引为</w:t>
      </w:r>
      <w:r>
        <w:rPr>
          <w:spacing w:val="-85"/>
        </w:rPr>
        <w:t> </w:t>
      </w:r>
      <w:r>
        <w:rPr>
          <w:spacing w:val="-85"/>
        </w:rPr>
      </w:r>
      <w:r>
        <w:rPr>
          <w:rFonts w:ascii="宋体" w:hAnsi="宋体" w:cs="宋体" w:eastAsia="宋体" w:hint="default"/>
        </w:rPr>
        <w:t>IT</w:t>
      </w:r>
      <w:r>
        <w:rPr/>
        <w:t>产业提供了广阔的发展空间，</w:t>
      </w:r>
      <w:r>
        <w:rPr>
          <w:rFonts w:ascii="宋体" w:hAnsi="宋体" w:cs="宋体" w:eastAsia="宋体" w:hint="default"/>
        </w:rPr>
        <w:t>IT</w:t>
      </w:r>
      <w:r>
        <w:rPr/>
        <w:t>专业人才的巨大缺口必将促进</w:t>
      </w:r>
      <w:r>
        <w:rPr>
          <w:rFonts w:ascii="宋体" w:hAnsi="宋体" w:cs="宋体" w:eastAsia="宋体" w:hint="default"/>
        </w:rPr>
        <w:t>IT</w:t>
      </w:r>
      <w:r>
        <w:rPr/>
        <w:t>职业培训行业的蓬勃发展。</w:t>
      </w:r>
    </w:p>
    <w:p>
      <w:pPr>
        <w:pStyle w:val="BodyText"/>
        <w:spacing w:line="319" w:lineRule="auto" w:before="55"/>
        <w:ind w:right="1129"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13</w:t>
      </w:r>
      <w:r>
        <w:rPr/>
        <w:t>日，国家教育部印发《教育信息化</w:t>
      </w:r>
      <w:r>
        <w:rPr>
          <w:rFonts w:ascii="宋体" w:hAnsi="宋体" w:cs="宋体" w:eastAsia="宋体" w:hint="default"/>
        </w:rPr>
        <w:t>2.0</w:t>
      </w:r>
      <w:r>
        <w:rPr/>
        <w:t>行政计划》正式提出：通过实施教育信息化</w:t>
      </w:r>
      <w:r>
        <w:rPr>
          <w:rFonts w:ascii="宋体" w:hAnsi="宋体" w:cs="宋体" w:eastAsia="宋体" w:hint="default"/>
        </w:rPr>
        <w:t>2.0</w:t>
      </w:r>
      <w:r>
        <w:rPr/>
        <w:t>行动计划，到</w:t>
      </w:r>
      <w:r>
        <w:rPr>
          <w:rFonts w:ascii="宋体" w:hAnsi="宋体" w:cs="宋体" w:eastAsia="宋体" w:hint="default"/>
        </w:rPr>
        <w:t>2022</w:t>
      </w:r>
      <w:r>
        <w:rPr/>
        <w:t>年 </w:t>
      </w:r>
      <w:r>
        <w:rPr>
          <w:spacing w:val="-2"/>
        </w:rPr>
        <w:t>基本实现“三全两高一大”的发展目标，即教学应用覆盖全体教师、学习应用覆盖全体适龄学生、数字校园建设覆盖全体学</w:t>
      </w:r>
      <w:r>
        <w:rPr>
          <w:spacing w:val="-66"/>
        </w:rPr>
        <w:t> </w:t>
      </w:r>
      <w:r>
        <w:rPr>
          <w:spacing w:val="-66"/>
        </w:rPr>
      </w:r>
      <w:r>
        <w:rPr/>
        <w:t>校，信息化应用水平和师生信息素养普遍提高，建成“互联网</w:t>
      </w:r>
      <w:r>
        <w:rPr>
          <w:rFonts w:ascii="宋体" w:hAnsi="宋体" w:cs="宋体" w:eastAsia="宋体" w:hint="default"/>
        </w:rPr>
        <w:t>+</w:t>
      </w:r>
      <w:r>
        <w:rPr/>
        <w:t>教育”大平台，推动从教育专用资源向教育大资源转变、从</w:t>
      </w:r>
      <w:r>
        <w:rPr>
          <w:spacing w:val="-82"/>
        </w:rPr>
        <w:t> </w:t>
      </w:r>
      <w:r>
        <w:rPr>
          <w:spacing w:val="-82"/>
        </w:rPr>
      </w:r>
      <w:r>
        <w:rPr/>
        <w:t>提升师生信息技术应用能力向全面提升其信息素养转变、从融合应用向创新发展转变，努力构建“互联网</w:t>
      </w:r>
      <w:r>
        <w:rPr>
          <w:rFonts w:ascii="宋体" w:hAnsi="宋体" w:cs="宋体" w:eastAsia="宋体" w:hint="default"/>
        </w:rPr>
        <w:t>+</w:t>
      </w:r>
      <w:r>
        <w:rPr/>
        <w:t>”条件下的人才</w:t>
      </w:r>
      <w:r>
        <w:rPr>
          <w:spacing w:val="-81"/>
        </w:rPr>
        <w:t> </w:t>
      </w:r>
      <w:r>
        <w:rPr>
          <w:spacing w:val="-81"/>
        </w:rPr>
      </w:r>
      <w:r>
        <w:rPr/>
        <w:t>培养新模式、发展基于互联网的教育服务新模式、探索信息时代教育治理新模式。</w:t>
      </w:r>
    </w:p>
    <w:p>
      <w:pPr>
        <w:pStyle w:val="BodyText"/>
        <w:spacing w:line="357" w:lineRule="auto" w:before="56"/>
        <w:ind w:left="474" w:right="0"/>
        <w:jc w:val="left"/>
      </w:pPr>
      <w:r>
        <w:rPr/>
        <w:t>（</w:t>
      </w:r>
      <w:r>
        <w:rPr>
          <w:rFonts w:ascii="宋体" w:hAnsi="宋体" w:cs="宋体" w:eastAsia="宋体" w:hint="default"/>
        </w:rPr>
        <w:t>2</w:t>
      </w:r>
      <w:r>
        <w:rPr/>
        <w:t>）信息技术的发展为教育信息化提供技术保证 </w:t>
      </w:r>
      <w:r>
        <w:rPr>
          <w:spacing w:val="-2"/>
        </w:rPr>
        <w:t>在教育信息化快速推进的背景下，互联网技术、移动通信技术、软件开发技术等相关技术逐步渗透到各行各业，关键技</w:t>
      </w:r>
    </w:p>
    <w:p>
      <w:pPr>
        <w:pStyle w:val="BodyText"/>
        <w:spacing w:line="224" w:lineRule="exact" w:before="0"/>
        <w:ind w:right="0"/>
        <w:jc w:val="left"/>
      </w:pPr>
      <w:r>
        <w:rPr/>
        <w:t>术的日益成熟为教育信息化扫除了技术障碍，宽带网络、电脑、智能手机的普及，以及云计算、</w:t>
      </w:r>
      <w:r>
        <w:rPr>
          <w:rFonts w:ascii="宋体" w:hAnsi="宋体" w:cs="宋体" w:eastAsia="宋体" w:hint="default"/>
        </w:rPr>
        <w:t>4G/5G</w:t>
      </w:r>
      <w:r>
        <w:rPr/>
        <w:t>网络等新技术不断成</w:t>
      </w:r>
    </w:p>
    <w:p>
      <w:pPr>
        <w:pStyle w:val="BodyText"/>
        <w:spacing w:line="240" w:lineRule="auto" w:before="77"/>
        <w:ind w:right="0"/>
        <w:jc w:val="left"/>
      </w:pPr>
      <w:r>
        <w:rPr/>
        <w:t>熟和应用，也将极大地促进教育信息化服务业务的发展，教育行业将迎来重大发展机遇。</w:t>
      </w:r>
    </w:p>
    <w:p>
      <w:pPr>
        <w:pStyle w:val="BodyText"/>
        <w:spacing w:line="357" w:lineRule="auto" w:before="116"/>
        <w:ind w:left="474" w:right="0"/>
        <w:jc w:val="left"/>
      </w:pPr>
      <w:r>
        <w:rPr/>
        <w:t>（</w:t>
      </w:r>
      <w:r>
        <w:rPr>
          <w:rFonts w:ascii="宋体" w:hAnsi="宋体" w:cs="宋体" w:eastAsia="宋体" w:hint="default"/>
        </w:rPr>
        <w:t>3</w:t>
      </w:r>
      <w:r>
        <w:rPr/>
        <w:t>）市场需求逐步扩大 </w:t>
      </w:r>
      <w:r>
        <w:rPr>
          <w:spacing w:val="-2"/>
        </w:rPr>
        <w:t>目前，国内家校互动信息服务主要在省会城市和经济水平相对较好的地区开展。随着我国经济快速发展、家校互动信息</w:t>
      </w:r>
    </w:p>
    <w:p>
      <w:pPr>
        <w:pStyle w:val="BodyText"/>
        <w:spacing w:line="224" w:lineRule="exact" w:before="0"/>
        <w:ind w:right="0"/>
        <w:jc w:val="left"/>
      </w:pPr>
      <w:r>
        <w:rPr/>
        <w:t>服务认知度的提高、用户使用习惯的形成和产品功能的逐渐完善，具备开展业务的地区将不断增加，整体服务层次将得到提</w:t>
      </w:r>
    </w:p>
    <w:p>
      <w:pPr>
        <w:pStyle w:val="BodyText"/>
        <w:spacing w:line="360" w:lineRule="auto" w:before="77"/>
        <w:ind w:left="474" w:right="6792" w:hanging="360"/>
        <w:jc w:val="left"/>
      </w:pPr>
      <w:r>
        <w:rPr/>
        <w:t>升，家校互动信息服务行业市场需求将逐步扩大。 </w:t>
      </w:r>
      <w:r>
        <w:rPr>
          <w:rFonts w:ascii="宋体" w:hAnsi="宋体" w:cs="宋体" w:eastAsia="宋体" w:hint="default"/>
        </w:rPr>
        <w:t>2</w:t>
      </w:r>
      <w:r>
        <w:rPr/>
        <w:t>、陶瓷行业格局与发展趋势</w:t>
      </w:r>
    </w:p>
    <w:p>
      <w:pPr>
        <w:pStyle w:val="BodyText"/>
        <w:spacing w:line="240" w:lineRule="auto" w:before="26"/>
        <w:ind w:left="474" w:right="0"/>
        <w:jc w:val="left"/>
      </w:pPr>
      <w:r>
        <w:rPr/>
        <w:t>陶瓷行业格局</w:t>
      </w:r>
    </w:p>
    <w:p>
      <w:pPr>
        <w:pStyle w:val="BodyText"/>
        <w:spacing w:line="338" w:lineRule="auto" w:before="116"/>
        <w:ind w:left="564" w:right="1122" w:hanging="90"/>
        <w:jc w:val="left"/>
      </w:pPr>
      <w:r>
        <w:rPr/>
        <w:t>（</w:t>
      </w:r>
      <w:r>
        <w:rPr>
          <w:rFonts w:ascii="Times New Roman" w:hAnsi="Times New Roman" w:cs="Times New Roman" w:eastAsia="Times New Roman" w:hint="default"/>
        </w:rPr>
        <w:t>1</w:t>
      </w:r>
      <w:r>
        <w:rPr/>
        <w:t>）陶瓷行业历史悠久，专业产区各具特色 经过数千年的发展，中国陶瓷行业已经较为成熟，从事陶瓷开发设计及生产制造的企业众多。目前全国已形成广东潮</w:t>
      </w:r>
    </w:p>
    <w:p>
      <w:pPr>
        <w:pStyle w:val="BodyText"/>
        <w:spacing w:line="240" w:lineRule="auto" w:before="2"/>
        <w:ind w:right="0"/>
        <w:jc w:val="left"/>
      </w:pPr>
      <w:r>
        <w:rPr/>
        <w:t>州、江西景德镇、湖南醴陵、江苏宜兴、河北唐山、山东淄博等几大陶瓷产区。潮州作为中国的新瓷都，其艺术陶瓷、日用</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ind w:right="1132"/>
        <w:jc w:val="both"/>
      </w:pPr>
      <w:r>
        <w:rPr>
          <w:spacing w:val="-2"/>
        </w:rPr>
        <w:t>陶瓷、卫生陶瓷、精细陶瓷四大类产品的产量和销量（包括出口额）均居国内同类产品首位。行业内已经形成一些颇具规模</w:t>
      </w:r>
      <w:r>
        <w:rPr>
          <w:spacing w:val="-66"/>
        </w:rPr>
        <w:t> </w:t>
      </w:r>
      <w:r>
        <w:rPr>
          <w:spacing w:val="-66"/>
        </w:rPr>
      </w:r>
      <w:r>
        <w:rPr/>
        <w:t>和影响力的企业，文化长城就是中国瓷都的创意艺术陶瓷企业。</w:t>
      </w:r>
    </w:p>
    <w:p>
      <w:pPr>
        <w:pStyle w:val="BodyText"/>
        <w:spacing w:line="338" w:lineRule="auto" w:before="56"/>
        <w:ind w:left="474" w:right="0" w:firstLine="60"/>
        <w:jc w:val="left"/>
      </w:pPr>
      <w:r>
        <w:rPr/>
        <w:t>（</w:t>
      </w:r>
      <w:r>
        <w:rPr>
          <w:rFonts w:ascii="Times New Roman" w:hAnsi="Times New Roman" w:cs="Times New Roman" w:eastAsia="Times New Roman" w:hint="default"/>
        </w:rPr>
        <w:t>2</w:t>
      </w:r>
      <w:r>
        <w:rPr/>
        <w:t>）缺乏知名品牌，陶瓷行业大而不强 </w:t>
      </w:r>
      <w:r>
        <w:rPr>
          <w:spacing w:val="-2"/>
        </w:rPr>
        <w:t>近些年，我国陶瓷工业的现代化水平大幅提高，部分企业的陶瓷产品和工艺达到了世界先进水平，但总的来说，中国陶</w:t>
      </w:r>
    </w:p>
    <w:p>
      <w:pPr>
        <w:pStyle w:val="BodyText"/>
        <w:spacing w:line="319" w:lineRule="auto" w:before="3"/>
        <w:ind w:right="1131"/>
        <w:jc w:val="both"/>
      </w:pPr>
      <w:r>
        <w:rPr>
          <w:spacing w:val="-2"/>
        </w:rPr>
        <w:t>瓷行业缺乏国际知名品牌，整个行业大而不强。但在我国各大陶瓷产区，尽管陶瓷企业数量众多，但大多数是外国品牌企业</w:t>
      </w:r>
      <w:r>
        <w:rPr>
          <w:spacing w:val="-66"/>
        </w:rPr>
        <w:t> </w:t>
      </w:r>
      <w:r>
        <w:rPr>
          <w:spacing w:val="-66"/>
        </w:rPr>
      </w:r>
      <w:r>
        <w:rPr>
          <w:spacing w:val="-2"/>
        </w:rPr>
        <w:t>的</w:t>
      </w:r>
      <w:r>
        <w:rPr>
          <w:rFonts w:ascii="宋体" w:hAnsi="宋体" w:cs="宋体" w:eastAsia="宋体" w:hint="default"/>
          <w:spacing w:val="-2"/>
        </w:rPr>
        <w:t>OEM</w:t>
      </w:r>
      <w:r>
        <w:rPr>
          <w:spacing w:val="-2"/>
        </w:rPr>
        <w:t>或</w:t>
      </w:r>
      <w:r>
        <w:rPr>
          <w:rFonts w:ascii="宋体" w:hAnsi="宋体" w:cs="宋体" w:eastAsia="宋体" w:hint="default"/>
          <w:spacing w:val="-2"/>
        </w:rPr>
        <w:t>ODM</w:t>
      </w:r>
      <w:r>
        <w:rPr>
          <w:spacing w:val="-2"/>
        </w:rPr>
        <w:t>代工企业，拥有自主品牌的企业凤毛麟角。文化长城是最早拥有自营进出口权的陶瓷企业，产品畅销世界</w:t>
      </w:r>
      <w:r>
        <w:rPr>
          <w:rFonts w:ascii="宋体" w:hAnsi="宋体" w:cs="宋体" w:eastAsia="宋体" w:hint="default"/>
          <w:spacing w:val="-2"/>
        </w:rPr>
        <w:t>60</w:t>
      </w:r>
      <w:r>
        <w:rPr>
          <w:spacing w:val="-2"/>
        </w:rPr>
        <w:t>多个</w:t>
      </w:r>
      <w:r>
        <w:rPr>
          <w:spacing w:val="-58"/>
        </w:rPr>
        <w:t> </w:t>
      </w:r>
      <w:r>
        <w:rPr/>
        <w:t>国家和地区，长城品牌在国际市场拥有较高知名度。</w:t>
      </w:r>
    </w:p>
    <w:p>
      <w:pPr>
        <w:pStyle w:val="BodyText"/>
        <w:spacing w:line="357" w:lineRule="auto" w:before="56"/>
        <w:ind w:left="474" w:right="0"/>
        <w:jc w:val="left"/>
      </w:pPr>
      <w:r>
        <w:rPr/>
        <w:t>陶瓷行业发展趋势 </w:t>
      </w:r>
      <w:r>
        <w:rPr>
          <w:spacing w:val="-2"/>
        </w:rPr>
        <w:t>随着消费者需求档次的提升，人们对陶瓷产品提出了更多更高的新要求，从而促使陶瓷企业不断进行科技创新，加速产</w:t>
      </w:r>
    </w:p>
    <w:p>
      <w:pPr>
        <w:pStyle w:val="BodyText"/>
        <w:spacing w:line="357" w:lineRule="auto" w:before="0"/>
        <w:ind w:left="474" w:right="0" w:hanging="360"/>
        <w:jc w:val="left"/>
      </w:pPr>
      <w:r>
        <w:rPr/>
        <w:t>品的更新和升级步伐。未来，陶瓷行业将呈现如下五方面的发展趋势：品牌化、科技化、 高档化 、环保化 、智能化</w:t>
      </w:r>
      <w:r>
        <w:rPr>
          <w:spacing w:val="1"/>
        </w:rPr>
        <w:t> </w:t>
      </w:r>
      <w:r>
        <w:rPr/>
        <w:t>。</w:t>
      </w:r>
      <w:r>
        <w:rPr/>
        <w:t> </w:t>
      </w:r>
      <w:r>
        <w:rPr>
          <w:rFonts w:ascii="宋体" w:hAnsi="宋体" w:cs="宋体" w:eastAsia="宋体" w:hint="default"/>
        </w:rPr>
        <w:t>3</w:t>
      </w:r>
      <w:r>
        <w:rPr/>
        <w:t>、对公司的影响 </w:t>
      </w:r>
      <w:r>
        <w:rPr>
          <w:spacing w:val="-2"/>
        </w:rPr>
        <w:t>教育信息化及职业教育行业的良好发展趋势为公司指引了优化产业结构及转变发展的方向，更坚定了公司陶瓷与教育产</w:t>
      </w:r>
    </w:p>
    <w:p>
      <w:pPr>
        <w:pStyle w:val="BodyText"/>
        <w:spacing w:line="357" w:lineRule="auto" w:before="0"/>
        <w:ind w:left="474" w:right="0" w:hanging="360"/>
        <w:jc w:val="left"/>
      </w:pPr>
      <w:r>
        <w:rPr/>
        <w:t>业两大主业并重、相互促进的发展设想。 </w:t>
      </w:r>
      <w:r>
        <w:rPr>
          <w:spacing w:val="-2"/>
        </w:rPr>
        <w:t>陶瓷行业日益加剧的竞争程度，逼迫公司必须拓展销售渠道，提高研发技术、开发能力和生产工艺，生产出适合市场变</w:t>
      </w:r>
    </w:p>
    <w:p>
      <w:pPr>
        <w:pStyle w:val="BodyText"/>
        <w:spacing w:line="225" w:lineRule="exact" w:before="0"/>
        <w:ind w:right="0"/>
        <w:jc w:val="left"/>
      </w:pPr>
      <w:r>
        <w:rPr/>
        <w:t>化和趋势的产品，加强品牌建设的树立，提升产品的附加值，不断精益求精，获得客户的青睐及肯定。</w:t>
      </w:r>
    </w:p>
    <w:p>
      <w:pPr>
        <w:pStyle w:val="BodyText"/>
        <w:spacing w:line="357" w:lineRule="auto" w:before="117"/>
        <w:ind w:left="474" w:right="0"/>
        <w:jc w:val="left"/>
      </w:pPr>
      <w:r>
        <w:rPr/>
        <w:t>（二）公司发展战略 </w:t>
      </w:r>
      <w:r>
        <w:rPr>
          <w:spacing w:val="-2"/>
        </w:rPr>
        <w:t>公司自成立以来始终坚持多元化发展，秉承“文化创意、科技创新”的理念，通过产业经营、资本运作等多种手段优化</w:t>
      </w:r>
    </w:p>
    <w:p>
      <w:pPr>
        <w:pStyle w:val="BodyText"/>
        <w:spacing w:line="357" w:lineRule="auto" w:before="0"/>
        <w:ind w:left="564" w:right="1122" w:hanging="450"/>
        <w:jc w:val="left"/>
      </w:pPr>
      <w:r>
        <w:rPr/>
        <w:t>产业结构、转变发展方式努力实现以艺术陶瓷业务与教育相关产业的双主业模式，实现公司的可持续发展。 未来，职业教育将成为促进就业和改善民生的重要保障，成为提高从业人员职业技能、建设现代服务业和先进制造业</w:t>
      </w:r>
    </w:p>
    <w:p>
      <w:pPr>
        <w:pStyle w:val="BodyText"/>
        <w:spacing w:line="224" w:lineRule="exact" w:before="0"/>
        <w:ind w:right="0"/>
        <w:jc w:val="left"/>
      </w:pPr>
      <w:r>
        <w:rPr/>
        <w:t>的重要基础；职业教育的市场发展前景广阔。文化长城将重点布局职业教育领域，根据国家规划的职业教育的体系框架进行</w:t>
      </w:r>
    </w:p>
    <w:p>
      <w:pPr>
        <w:pStyle w:val="BodyText"/>
        <w:spacing w:line="319" w:lineRule="auto" w:before="76"/>
        <w:ind w:right="1130"/>
        <w:jc w:val="both"/>
      </w:pPr>
      <w:r>
        <w:rPr>
          <w:spacing w:val="-2"/>
        </w:rPr>
        <w:t>垂直深耕，深入职业院校、职业培训、企业培训等细分领域，完成线上与线下教育相融合，实现多学科、多层次的职业教育</w:t>
      </w:r>
      <w:r>
        <w:rPr>
          <w:spacing w:val="-68"/>
        </w:rPr>
        <w:t> </w:t>
      </w:r>
      <w:r>
        <w:rPr>
          <w:spacing w:val="-68"/>
        </w:rPr>
      </w:r>
      <w:r>
        <w:rPr/>
        <w:t>战略构建。</w:t>
      </w:r>
    </w:p>
    <w:p>
      <w:pPr>
        <w:pStyle w:val="BodyText"/>
        <w:spacing w:line="357" w:lineRule="auto" w:before="58"/>
        <w:ind w:left="474" w:right="0" w:firstLine="60"/>
        <w:jc w:val="left"/>
      </w:pPr>
      <w:r>
        <w:rPr/>
        <w:t>（三）经营计划 </w:t>
      </w:r>
      <w:r>
        <w:rPr>
          <w:rFonts w:ascii="宋体" w:hAnsi="宋体" w:cs="宋体" w:eastAsia="宋体" w:hint="default"/>
          <w:spacing w:val="-4"/>
        </w:rPr>
        <w:t>2019</w:t>
      </w:r>
      <w:r>
        <w:rPr>
          <w:spacing w:val="-4"/>
        </w:rPr>
        <w:t>年，将是夯实文化长城教育产业生态圈的战略布局，稳定发展的一年。公司一方面将力保艺术陶瓷业务的稳定发展，</w:t>
      </w:r>
    </w:p>
    <w:p>
      <w:pPr>
        <w:pStyle w:val="BodyText"/>
        <w:spacing w:line="224" w:lineRule="exact" w:before="0"/>
        <w:ind w:right="0"/>
        <w:jc w:val="left"/>
      </w:pPr>
      <w:r>
        <w:rPr/>
        <w:t>另一方面将进一步优化平台化控股集团管理模式，稳定陶瓷业务与教育产业并存的双主业模式的格局。为此，公司</w:t>
      </w:r>
      <w:r>
        <w:rPr>
          <w:rFonts w:ascii="宋体" w:hAnsi="宋体" w:cs="宋体" w:eastAsia="宋体" w:hint="default"/>
        </w:rPr>
        <w:t>2019</w:t>
      </w:r>
      <w:r>
        <w:rPr/>
        <w:t>年及</w:t>
      </w:r>
    </w:p>
    <w:p>
      <w:pPr>
        <w:pStyle w:val="BodyText"/>
        <w:spacing w:line="357" w:lineRule="auto" w:before="77"/>
        <w:ind w:left="474" w:right="1122" w:hanging="360"/>
        <w:jc w:val="left"/>
      </w:pPr>
      <w:r>
        <w:rPr/>
        <w:t>未来的发展规划主要围绕以下工作展开： </w:t>
      </w:r>
      <w:r>
        <w:rPr>
          <w:rFonts w:ascii="宋体" w:hAnsi="宋体" w:cs="宋体" w:eastAsia="宋体" w:hint="default"/>
        </w:rPr>
        <w:t>1</w:t>
      </w:r>
      <w:r>
        <w:rPr/>
        <w:t>、</w:t>
      </w:r>
      <w:r>
        <w:rPr>
          <w:rFonts w:ascii="宋体" w:hAnsi="宋体" w:cs="宋体" w:eastAsia="宋体" w:hint="default"/>
        </w:rPr>
        <w:t>IT</w:t>
      </w:r>
      <w:r>
        <w:rPr/>
        <w:t>培训和教育信息化要在建立健全内部控制体系基础上，发挥全集团力量，推动产业融合，加速“引进来”和“走</w:t>
      </w:r>
    </w:p>
    <w:p>
      <w:pPr>
        <w:pStyle w:val="BodyText"/>
        <w:spacing w:line="224" w:lineRule="exact" w:before="0"/>
        <w:ind w:right="0"/>
        <w:jc w:val="left"/>
      </w:pPr>
      <w:r>
        <w:rPr/>
        <w:t>出去</w:t>
      </w:r>
      <w:r>
        <w:rPr>
          <w:spacing w:val="-90"/>
        </w:rPr>
        <w:t>”</w:t>
      </w:r>
      <w:r>
        <w:rPr>
          <w:spacing w:val="-14"/>
        </w:rPr>
        <w:t>。</w:t>
      </w:r>
      <w:r>
        <w:rPr/>
        <w:t>引进来</w:t>
      </w:r>
      <w:r>
        <w:rPr>
          <w:spacing w:val="-14"/>
        </w:rPr>
        <w:t>，</w:t>
      </w:r>
      <w:r>
        <w:rPr/>
        <w:t>是要求我们在以联汛教育</w:t>
      </w:r>
      <w:r>
        <w:rPr>
          <w:spacing w:val="-14"/>
        </w:rPr>
        <w:t>、</w:t>
      </w:r>
      <w:r>
        <w:rPr/>
        <w:t>智游臻龙</w:t>
      </w:r>
      <w:r>
        <w:rPr>
          <w:spacing w:val="-15"/>
        </w:rPr>
        <w:t>、</w:t>
      </w:r>
      <w:r>
        <w:rPr/>
        <w:t>翡翠教育和英盛网络的全国渠道优势</w:t>
      </w:r>
      <w:r>
        <w:rPr>
          <w:spacing w:val="-14"/>
        </w:rPr>
        <w:t>、</w:t>
      </w:r>
      <w:r>
        <w:rPr/>
        <w:t>产品优势</w:t>
      </w:r>
      <w:r>
        <w:rPr>
          <w:spacing w:val="-14"/>
        </w:rPr>
        <w:t>、</w:t>
      </w:r>
      <w:r>
        <w:rPr/>
        <w:t>人才优势为基础，</w:t>
      </w:r>
    </w:p>
    <w:p>
      <w:pPr>
        <w:pStyle w:val="BodyText"/>
        <w:spacing w:line="319" w:lineRule="auto" w:before="76"/>
        <w:ind w:right="1131"/>
        <w:jc w:val="both"/>
      </w:pPr>
      <w:r>
        <w:rPr>
          <w:spacing w:val="-2"/>
        </w:rPr>
        <w:t>加速全国性品牌类培训项目引进来、特别是国际性项目引进来，</w:t>
      </w:r>
      <w:r>
        <w:rPr>
          <w:rFonts w:ascii="宋体" w:hAnsi="宋体" w:cs="宋体" w:eastAsia="宋体" w:hint="default"/>
          <w:spacing w:val="-2"/>
        </w:rPr>
        <w:t>IT</w:t>
      </w:r>
      <w:r>
        <w:rPr>
          <w:spacing w:val="-2"/>
        </w:rPr>
        <w:t>类优先。走出去，是要求我们对原有的优势产品和服务快</w:t>
      </w:r>
      <w:r>
        <w:rPr>
          <w:spacing w:val="-63"/>
        </w:rPr>
        <w:t> </w:t>
      </w:r>
      <w:r>
        <w:rPr>
          <w:spacing w:val="-63"/>
        </w:rPr>
      </w:r>
      <w:r>
        <w:rPr/>
        <w:t>速避开区域限制，采取灵活有效的方式走出去，迅速提升在全国市场的占有率。</w:t>
      </w:r>
    </w:p>
    <w:p>
      <w:pPr>
        <w:pStyle w:val="BodyText"/>
        <w:spacing w:line="316" w:lineRule="auto" w:before="56"/>
        <w:ind w:right="0" w:firstLine="360"/>
        <w:jc w:val="left"/>
      </w:pPr>
      <w:r>
        <w:rPr>
          <w:rFonts w:ascii="宋体" w:hAnsi="宋体" w:cs="宋体" w:eastAsia="宋体" w:hint="default"/>
          <w:spacing w:val="-2"/>
        </w:rPr>
        <w:t>2</w:t>
      </w:r>
      <w:r>
        <w:rPr>
          <w:spacing w:val="-2"/>
        </w:rPr>
        <w:t>、陶瓷产业加速创新和品牌运营，实现陶瓷产业跨界发展和品牌竞争力，加速员工和企业共同成长的分享型机制建设，</w:t>
      </w:r>
      <w:r>
        <w:rPr/>
        <w:t> 提高家瓷、礼瓷的市场占有率和盈利能力，建成跨界融合的核心运营品牌。</w:t>
      </w:r>
    </w:p>
    <w:p>
      <w:pPr>
        <w:pStyle w:val="BodyText"/>
        <w:spacing w:line="316" w:lineRule="auto" w:before="19"/>
        <w:ind w:right="0" w:firstLine="360"/>
        <w:jc w:val="left"/>
      </w:pPr>
      <w:r>
        <w:rPr>
          <w:rFonts w:ascii="宋体" w:hAnsi="宋体" w:cs="宋体" w:eastAsia="宋体" w:hint="default"/>
          <w:spacing w:val="-2"/>
        </w:rPr>
        <w:t>3</w:t>
      </w:r>
      <w:r>
        <w:rPr>
          <w:spacing w:val="-2"/>
        </w:rPr>
        <w:t>、进一步优化组织建设和人才梯队建设，逐步建设和形成陶瓷事业群、教育事业群、</w:t>
      </w:r>
      <w:r>
        <w:rPr>
          <w:rFonts w:ascii="宋体" w:hAnsi="宋体" w:cs="宋体" w:eastAsia="宋体" w:hint="default"/>
          <w:spacing w:val="-2"/>
        </w:rPr>
        <w:t>G&amp;W</w:t>
      </w:r>
      <w:r>
        <w:rPr>
          <w:spacing w:val="-2"/>
        </w:rPr>
        <w:t>事业部的产业运作平台，建立</w:t>
      </w:r>
      <w:r>
        <w:rPr/>
        <w:t> </w:t>
      </w:r>
      <w:r>
        <w:rPr>
          <w:spacing w:val="-5"/>
        </w:rPr>
        <w:t>起符合“引才”、“引智”的组织框架，并推进外部“引智”和“引知”工程，适时推出配合产业发展的专家委员会和研究院</w:t>
      </w:r>
      <w:r>
        <w:rPr>
          <w:spacing w:val="-82"/>
        </w:rPr>
        <w:t> </w:t>
      </w:r>
      <w:r>
        <w:rPr>
          <w:spacing w:val="-82"/>
        </w:rPr>
      </w:r>
      <w:r>
        <w:rPr>
          <w:spacing w:val="-4"/>
        </w:rPr>
        <w:t>等符合企业发展的融合创新战略机构，通过各投资企业董事会的融合和核心骨干员工的融合，建设“长城一家“的团队文化，</w:t>
      </w:r>
      <w:r>
        <w:rPr>
          <w:spacing w:val="-46"/>
        </w:rPr>
        <w:t> </w:t>
      </w:r>
      <w:r>
        <w:rPr>
          <w:spacing w:val="-46"/>
        </w:rPr>
      </w:r>
      <w:r>
        <w:rPr/>
        <w:t>促进员工参与创新、参与管理、分享创新的共建共享文化。</w:t>
      </w:r>
    </w:p>
    <w:p>
      <w:pPr>
        <w:pStyle w:val="BodyText"/>
        <w:spacing w:line="316" w:lineRule="auto" w:before="19"/>
        <w:ind w:right="1122" w:firstLine="360"/>
        <w:jc w:val="left"/>
      </w:pPr>
      <w:r>
        <w:rPr>
          <w:rFonts w:ascii="宋体" w:hAnsi="宋体" w:cs="宋体" w:eastAsia="宋体" w:hint="default"/>
        </w:rPr>
        <w:t>4</w:t>
      </w:r>
      <w:r>
        <w:rPr/>
        <w:t>、充分运用资本市场和内部市场两个平台，加速陶瓷、教育的双轮驱动力建设，在产业运作基础上，强化和优化资本 市场运作，吸引社会资源推动长城大家庭的前进。</w:t>
      </w:r>
    </w:p>
    <w:p>
      <w:pPr>
        <w:pStyle w:val="BodyText"/>
        <w:spacing w:line="316" w:lineRule="auto" w:before="60"/>
        <w:ind w:right="0" w:firstLine="360"/>
        <w:jc w:val="left"/>
      </w:pPr>
      <w:r>
        <w:rPr>
          <w:spacing w:val="-2"/>
        </w:rPr>
        <w:t>公司关于</w:t>
      </w:r>
      <w:r>
        <w:rPr>
          <w:rFonts w:ascii="宋体" w:hAnsi="宋体" w:cs="宋体" w:eastAsia="宋体" w:hint="default"/>
          <w:spacing w:val="-2"/>
        </w:rPr>
        <w:t>2019</w:t>
      </w:r>
      <w:r>
        <w:rPr>
          <w:spacing w:val="-2"/>
        </w:rPr>
        <w:t>经营计划的内容，不构成本公司对任何投资者及相关人士的承诺，投资者及相关人士均应对此保持足够的</w:t>
      </w:r>
      <w:r>
        <w:rPr/>
        <w:t> 风险认识，并且应当理解计划、预测与承诺之间的差异。</w:t>
      </w:r>
    </w:p>
    <w:p>
      <w:pPr>
        <w:pStyle w:val="BodyText"/>
        <w:spacing w:line="357" w:lineRule="auto" w:before="58"/>
        <w:ind w:left="504" w:right="1182" w:hanging="120"/>
        <w:jc w:val="left"/>
      </w:pPr>
      <w:r>
        <w:rPr/>
        <w:t>（四）公司面临的主要风险及对策 当前，陶瓷行业面临着洗牌的阶段，原从事陶瓷出口的企业不断转向国内市场，这无疑将加大国内市场的竞争。供应</w:t>
      </w:r>
    </w:p>
    <w:p>
      <w:pPr>
        <w:spacing w:after="0" w:line="357"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ind w:left="474" w:right="0" w:hanging="360"/>
        <w:jc w:val="left"/>
      </w:pPr>
      <w:r>
        <w:rPr/>
        <w:t>链的上下游优质资源的争夺，将会是竞争的重点。这对于公司建设国内分销网络将构成一定的压力。 </w:t>
      </w:r>
      <w:r>
        <w:rPr>
          <w:spacing w:val="-2"/>
        </w:rPr>
        <w:t>公司将立足艺术陶瓷国际贸易，极力打造瓷艺连锁品牌，积极开发适销对路的产品，并加大市场品牌推广的力度，抢占</w:t>
      </w:r>
    </w:p>
    <w:p>
      <w:pPr>
        <w:pStyle w:val="BodyText"/>
        <w:spacing w:line="224" w:lineRule="exact" w:before="0"/>
        <w:ind w:right="0"/>
        <w:jc w:val="left"/>
      </w:pPr>
      <w:r>
        <w:rPr/>
        <w:t>优质的渠道资源，并不断的强化理顺供应链体系，利用资本优势，整合行业优势上下游资源，加强品牌的提升塑造，在激烈</w:t>
      </w:r>
    </w:p>
    <w:p>
      <w:pPr>
        <w:pStyle w:val="BodyText"/>
        <w:spacing w:line="357" w:lineRule="auto" w:before="77"/>
        <w:ind w:left="474" w:right="0" w:hanging="360"/>
        <w:jc w:val="left"/>
      </w:pPr>
      <w:r>
        <w:rPr/>
        <w:t>的竞争中脱颖而出，实现品牌业绩新突破。 </w:t>
      </w:r>
      <w:r>
        <w:rPr>
          <w:spacing w:val="-2"/>
        </w:rPr>
        <w:t>另一方面，公司对于教育信息化及职业教育标的公司的收购整合风险主要集中于两个方面。首先，收购整合能否顺利实</w:t>
      </w:r>
    </w:p>
    <w:p>
      <w:pPr>
        <w:pStyle w:val="BodyText"/>
        <w:spacing w:line="224" w:lineRule="exact" w:before="0"/>
        <w:ind w:right="0"/>
        <w:jc w:val="left"/>
      </w:pPr>
      <w:r>
        <w:rPr/>
        <w:t>施以及整合效果能否达到并购预期仍存在一定的不确定性</w:t>
      </w:r>
      <w:r>
        <w:rPr>
          <w:spacing w:val="-82"/>
        </w:rPr>
        <w:t>，</w:t>
      </w:r>
      <w:r>
        <w:rPr/>
        <w:t>甚至可能会对标的公司乃至上市公司原有业务的正常运营产生不</w:t>
      </w:r>
    </w:p>
    <w:p>
      <w:pPr>
        <w:pStyle w:val="BodyText"/>
        <w:spacing w:line="319" w:lineRule="auto" w:before="76"/>
        <w:ind w:right="0"/>
        <w:jc w:val="left"/>
      </w:pPr>
      <w:r>
        <w:rPr>
          <w:spacing w:val="-2"/>
        </w:rPr>
        <w:t>利影响。其次，从上市公司整体角度来看，收购整合后，公司的资产规模和业务范围都将扩大，盈利能力得到增强，上市公</w:t>
      </w:r>
      <w:r>
        <w:rPr>
          <w:spacing w:val="-68"/>
        </w:rPr>
        <w:t> </w:t>
      </w:r>
      <w:r>
        <w:rPr>
          <w:spacing w:val="-68"/>
        </w:rPr>
      </w:r>
      <w:r>
        <w:rPr/>
        <w:t>司与教育信息化及职业教育标的公司需在企业文化、经营管理、业务拓展等方面进行融合。</w:t>
      </w:r>
    </w:p>
    <w:p>
      <w:pPr>
        <w:pStyle w:val="BodyText"/>
        <w:spacing w:line="319" w:lineRule="auto" w:before="55"/>
        <w:ind w:right="1130" w:firstLine="360"/>
        <w:jc w:val="both"/>
      </w:pPr>
      <w:r>
        <w:rPr>
          <w:spacing w:val="-2"/>
        </w:rPr>
        <w:t>为应对整合风险，上市公司建立了有效的公司治理机制，加强公司在业务经营、财务运作、对外投资、抵押担保、资产</w:t>
      </w:r>
      <w:r>
        <w:rPr/>
        <w:t> </w:t>
      </w:r>
      <w:r>
        <w:rPr>
          <w:spacing w:val="-2"/>
        </w:rPr>
        <w:t>处置等方面对标的公司的管理与控制，使上市公司与标的公司形成有机整体，提高整体决策水平和风险管控能力，提升整体</w:t>
      </w:r>
      <w:r>
        <w:rPr>
          <w:spacing w:val="-66"/>
        </w:rPr>
        <w:t> </w:t>
      </w:r>
      <w:r>
        <w:rPr>
          <w:spacing w:val="-66"/>
        </w:rPr>
      </w:r>
      <w:r>
        <w:rPr>
          <w:spacing w:val="-2"/>
        </w:rPr>
        <w:t>经营管理水平和运营效率，以适应上市公司资产和业务规模的增长。此外，上市公司将把标的公司的财务管理纳入统一的管</w:t>
      </w:r>
      <w:r>
        <w:rPr>
          <w:spacing w:val="-66"/>
        </w:rPr>
        <w:t> </w:t>
      </w:r>
      <w:r>
        <w:rPr>
          <w:spacing w:val="-66"/>
        </w:rPr>
      </w:r>
      <w:r>
        <w:rPr/>
        <w:t>理系统中，加强审计监督和管理监督，保证上市公司对标的公司日常经营的知情权，提高经营管理水平，防范财务风险。</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6612"/>
        <w:jc w:val="left"/>
      </w:pPr>
      <w:r>
        <w:rPr/>
        <w:t>□ 适用 √ 不适用 公司报告期内未发生接待调研、沟通、采访等活动。</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383" w:right="3401"/>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57" w:lineRule="auto" w:before="117"/>
        <w:ind w:right="6176"/>
        <w:jc w:val="left"/>
      </w:pPr>
      <w:r>
        <w:rPr/>
        <w:t>√ 适用 □ 不适用 </w:t>
      </w:r>
      <w:r>
        <w:rPr>
          <w:spacing w:val="-4"/>
        </w:rPr>
        <w:t>一、《公司章程》第一百五十五条规定的利润分配政策为：</w:t>
      </w:r>
    </w:p>
    <w:p>
      <w:pPr>
        <w:pStyle w:val="BodyText"/>
        <w:spacing w:line="224" w:lineRule="exact" w:before="0"/>
        <w:ind w:left="610" w:right="0"/>
        <w:jc w:val="left"/>
      </w:pPr>
      <w:r>
        <w:rPr/>
        <w:t>（一）利润分配原则</w:t>
      </w:r>
    </w:p>
    <w:p>
      <w:pPr>
        <w:pStyle w:val="BodyText"/>
        <w:spacing w:line="316" w:lineRule="auto" w:before="76"/>
        <w:ind w:right="1127" w:firstLine="496"/>
        <w:jc w:val="left"/>
      </w:pPr>
      <w:r>
        <w:rPr>
          <w:spacing w:val="-1"/>
        </w:rPr>
        <w:t>公司重视对投资者的合理投资回报，根据自身的财务结构、盈利能力和未来的投资、融资发展规划实施积极的利润分</w:t>
      </w:r>
      <w:r>
        <w:rPr/>
        <w:t> 配办法，保持利润分配政策的持续性和稳定性。</w:t>
      </w:r>
    </w:p>
    <w:p>
      <w:pPr>
        <w:pStyle w:val="BodyText"/>
        <w:spacing w:line="316" w:lineRule="auto" w:before="19"/>
        <w:ind w:left="610" w:right="3776"/>
        <w:jc w:val="left"/>
      </w:pPr>
      <w:r>
        <w:rPr/>
        <w:t>（二）利润分配形式 公司可以采取现金、股票或者现金与股票相结合等法律法规允许的方式分配股利。</w:t>
      </w:r>
    </w:p>
    <w:p>
      <w:pPr>
        <w:pStyle w:val="BodyText"/>
        <w:spacing w:line="316" w:lineRule="auto" w:before="19"/>
        <w:ind w:left="610" w:right="1127"/>
        <w:jc w:val="left"/>
      </w:pPr>
      <w:r>
        <w:rPr/>
        <w:t>（三）利润分配的期间间隔 </w:t>
      </w:r>
      <w:r>
        <w:rPr>
          <w:spacing w:val="-1"/>
        </w:rPr>
        <w:t>在当年归属于母公司股东的净利润为正的前提下，公司每年度进行一次利润分配，董事会可以根据公司的盈利及资金</w:t>
      </w:r>
    </w:p>
    <w:p>
      <w:pPr>
        <w:pStyle w:val="BodyText"/>
        <w:spacing w:line="240" w:lineRule="auto" w:before="19"/>
        <w:ind w:right="0"/>
        <w:jc w:val="left"/>
      </w:pPr>
      <w:r>
        <w:rPr/>
        <w:t>需求状况提议公司进行中期现金或股利分配。</w:t>
      </w:r>
    </w:p>
    <w:p>
      <w:pPr>
        <w:pStyle w:val="BodyText"/>
        <w:spacing w:line="316" w:lineRule="auto" w:before="76"/>
        <w:ind w:left="610" w:right="4856"/>
        <w:jc w:val="left"/>
      </w:pPr>
      <w:r>
        <w:rPr/>
        <w:t>（四）利润分配的顺序 公司在具备现金分红条件下，应当优先采用现金分红进行利润分配。</w:t>
      </w:r>
    </w:p>
    <w:p>
      <w:pPr>
        <w:pStyle w:val="BodyText"/>
        <w:spacing w:line="240" w:lineRule="auto" w:before="19"/>
        <w:ind w:left="610" w:right="0"/>
        <w:jc w:val="left"/>
      </w:pPr>
      <w:r>
        <w:rPr/>
        <w:t>（五）利润分配的条件和比例</w:t>
      </w:r>
    </w:p>
    <w:p>
      <w:pPr>
        <w:pStyle w:val="BodyText"/>
        <w:spacing w:line="300" w:lineRule="auto" w:before="76"/>
        <w:ind w:left="610" w:right="1127"/>
        <w:jc w:val="left"/>
      </w:pPr>
      <w:r>
        <w:rPr>
          <w:rFonts w:ascii="Times New Roman" w:hAnsi="Times New Roman" w:cs="Times New Roman" w:eastAsia="Times New Roman" w:hint="default"/>
        </w:rPr>
        <w:t>1</w:t>
      </w:r>
      <w:r>
        <w:rPr/>
        <w:t>．条件 </w:t>
      </w:r>
      <w:r>
        <w:rPr>
          <w:spacing w:val="-1"/>
        </w:rPr>
        <w:t>如果公司会计年度盈利，且无弥补亏损、重大投资计划或重大现金支出等事项发生，应进行年度现金股利分配；如果</w:t>
      </w:r>
    </w:p>
    <w:p>
      <w:pPr>
        <w:pStyle w:val="BodyText"/>
        <w:spacing w:line="316" w:lineRule="auto" w:before="31"/>
        <w:ind w:right="0"/>
        <w:jc w:val="left"/>
      </w:pPr>
      <w:r>
        <w:rPr>
          <w:spacing w:val="-2"/>
        </w:rPr>
        <w:t>由于公司业绩、规模增长快速等原因，导致董事会认为出现公司股本规模与经营规模不相匹配，或公司股价不能有效反映经</w:t>
      </w:r>
      <w:r>
        <w:rPr>
          <w:spacing w:val="-65"/>
        </w:rPr>
        <w:t> </w:t>
      </w:r>
      <w:r>
        <w:rPr>
          <w:spacing w:val="-65"/>
        </w:rPr>
      </w:r>
      <w:r>
        <w:rPr/>
        <w:t>营业绩等情形况时，可以提出股票股利分配预案。</w:t>
      </w:r>
    </w:p>
    <w:p>
      <w:pPr>
        <w:pStyle w:val="BodyText"/>
        <w:spacing w:line="316" w:lineRule="auto" w:before="19"/>
        <w:ind w:right="1127" w:firstLine="496"/>
        <w:jc w:val="left"/>
      </w:pPr>
      <w:r>
        <w:rPr>
          <w:spacing w:val="-1"/>
        </w:rPr>
        <w:t>上述所称“重大投资计划或重大现金支出”是指公司未来十二个月内拟对外投资、收购资产或购买设备累计支出超过</w:t>
      </w:r>
      <w:r>
        <w:rPr/>
        <w:t> 公司最近一期经审计的合并报表总资产的百分之三十。</w:t>
      </w:r>
    </w:p>
    <w:p>
      <w:pPr>
        <w:pStyle w:val="BodyText"/>
        <w:spacing w:line="316" w:lineRule="auto" w:before="19"/>
        <w:ind w:right="1127" w:firstLine="496"/>
        <w:jc w:val="left"/>
      </w:pPr>
      <w:r>
        <w:rPr>
          <w:spacing w:val="-1"/>
        </w:rPr>
        <w:t>根据《公司章程》关于董事会和股东大会职权的相关规定，上述重大投资计划或重大现金支出须经董事会批准，报股</w:t>
      </w:r>
      <w:r>
        <w:rPr/>
        <w:t> 东大会审议通过后方可实施。</w:t>
      </w:r>
    </w:p>
    <w:p>
      <w:pPr>
        <w:pStyle w:val="BodyText"/>
        <w:spacing w:line="300" w:lineRule="auto" w:before="19"/>
        <w:ind w:left="610" w:right="1127"/>
        <w:jc w:val="left"/>
      </w:pPr>
      <w:r>
        <w:rPr>
          <w:rFonts w:ascii="Times New Roman" w:hAnsi="Times New Roman" w:cs="Times New Roman" w:eastAsia="Times New Roman" w:hint="default"/>
        </w:rPr>
        <w:t>2</w:t>
      </w:r>
      <w:r>
        <w:rPr/>
        <w:t>．比例 </w:t>
      </w:r>
      <w:r>
        <w:rPr>
          <w:spacing w:val="-1"/>
        </w:rPr>
        <w:t>公司每年以现金股利方式分配的股利（包括年度股利分配和中期股利分配）应当不少于公司当年实现的可分配利润的</w:t>
      </w:r>
    </w:p>
    <w:p>
      <w:pPr>
        <w:pStyle w:val="BodyText"/>
        <w:spacing w:line="240" w:lineRule="auto" w:before="31"/>
        <w:ind w:right="0"/>
        <w:jc w:val="left"/>
      </w:pPr>
      <w:r>
        <w:rPr>
          <w:rFonts w:ascii="宋体" w:hAnsi="宋体" w:cs="宋体" w:eastAsia="宋体" w:hint="default"/>
        </w:rPr>
        <w:t>10%</w:t>
      </w:r>
      <w:r>
        <w:rPr/>
        <w:t>；任何三年以现金方式累计分配的利润不少于最近三年实现的年均可分配利润的百分之三十。</w:t>
      </w:r>
    </w:p>
    <w:p>
      <w:pPr>
        <w:pStyle w:val="BodyText"/>
        <w:spacing w:line="300" w:lineRule="auto" w:before="76"/>
        <w:ind w:left="610" w:right="1127"/>
        <w:jc w:val="left"/>
      </w:pPr>
      <w:r>
        <w:rPr>
          <w:rFonts w:ascii="Times New Roman" w:hAnsi="Times New Roman" w:cs="Times New Roman" w:eastAsia="Times New Roman" w:hint="default"/>
        </w:rPr>
        <w:t>3</w:t>
      </w:r>
      <w:r>
        <w:rPr/>
        <w:t>．同时采取现金及股票股利分配时的现金分红比例 </w:t>
      </w:r>
      <w:r>
        <w:rPr>
          <w:spacing w:val="-1"/>
        </w:rPr>
        <w:t>如公司同时采取现金及股票股利分配利润的，在满足公司正常生产经营的资金需求情况下，公司实施差异化现金分红</w:t>
      </w:r>
    </w:p>
    <w:p>
      <w:pPr>
        <w:pStyle w:val="BodyText"/>
        <w:spacing w:line="240" w:lineRule="auto" w:before="31"/>
        <w:ind w:right="0"/>
        <w:jc w:val="left"/>
      </w:pPr>
      <w:r>
        <w:rPr/>
        <w:t>政策：</w:t>
      </w:r>
    </w:p>
    <w:p>
      <w:pPr>
        <w:pStyle w:val="BodyText"/>
        <w:spacing w:line="316" w:lineRule="auto" w:before="76"/>
        <w:ind w:right="1118" w:firstLine="496"/>
        <w:jc w:val="left"/>
      </w:pPr>
      <w:r>
        <w:rPr/>
        <w:t>（</w:t>
      </w:r>
      <w:r>
        <w:rPr>
          <w:rFonts w:ascii="宋体" w:hAnsi="宋体" w:cs="宋体" w:eastAsia="宋体" w:hint="default"/>
        </w:rPr>
        <w:t>1</w:t>
      </w:r>
      <w:r>
        <w:rPr/>
        <w:t>）公司发展阶段属成熟期且无重大资金支出安排的，进行利润分配时，现金分红在本次利润分配中所占比例最低 应达到</w:t>
      </w:r>
      <w:r>
        <w:rPr>
          <w:rFonts w:ascii="宋体" w:hAnsi="宋体" w:cs="宋体" w:eastAsia="宋体" w:hint="default"/>
        </w:rPr>
        <w:t>80%</w:t>
      </w:r>
      <w:r>
        <w:rPr/>
        <w:t>；</w:t>
      </w:r>
    </w:p>
    <w:p>
      <w:pPr>
        <w:pStyle w:val="BodyText"/>
        <w:spacing w:line="316" w:lineRule="auto" w:before="19"/>
        <w:ind w:right="1118" w:firstLine="496"/>
        <w:jc w:val="left"/>
      </w:pPr>
      <w:r>
        <w:rPr/>
        <w:t>（</w:t>
      </w:r>
      <w:r>
        <w:rPr>
          <w:rFonts w:ascii="宋体" w:hAnsi="宋体" w:cs="宋体" w:eastAsia="宋体" w:hint="default"/>
        </w:rPr>
        <w:t>2</w:t>
      </w:r>
      <w:r>
        <w:rPr/>
        <w:t>）公司发展阶段属成熟期且有重大资金支出安排的，进行利润分配时，现金分红在本次利润分配中所占比例最低 应达到</w:t>
      </w:r>
      <w:r>
        <w:rPr>
          <w:rFonts w:ascii="宋体" w:hAnsi="宋体" w:cs="宋体" w:eastAsia="宋体" w:hint="default"/>
        </w:rPr>
        <w:t>40%</w:t>
      </w:r>
      <w:r>
        <w:rPr/>
        <w:t>；</w:t>
      </w:r>
    </w:p>
    <w:p>
      <w:pPr>
        <w:pStyle w:val="BodyText"/>
        <w:spacing w:line="319" w:lineRule="auto" w:before="19"/>
        <w:ind w:right="1118" w:firstLine="496"/>
        <w:jc w:val="left"/>
      </w:pPr>
      <w:r>
        <w:rPr/>
        <w:t>（</w:t>
      </w:r>
      <w:r>
        <w:rPr>
          <w:rFonts w:ascii="宋体" w:hAnsi="宋体" w:cs="宋体" w:eastAsia="宋体" w:hint="default"/>
        </w:rPr>
        <w:t>3</w:t>
      </w:r>
      <w:r>
        <w:rPr/>
        <w:t>）公司发展阶段属成长期且有重大资金支出安排的，进行利润分配时，现金分红在本次利润分配中所占比例最低 应达到</w:t>
      </w:r>
      <w:r>
        <w:rPr>
          <w:rFonts w:ascii="宋体" w:hAnsi="宋体" w:cs="宋体" w:eastAsia="宋体" w:hint="default"/>
        </w:rPr>
        <w:t>20%</w:t>
      </w:r>
      <w:r>
        <w:rPr/>
        <w:t>。</w:t>
      </w:r>
    </w:p>
    <w:p>
      <w:pPr>
        <w:pStyle w:val="BodyText"/>
        <w:spacing w:line="316" w:lineRule="auto" w:before="17"/>
        <w:ind w:left="610" w:right="1127"/>
        <w:jc w:val="left"/>
      </w:pPr>
      <w:r>
        <w:rPr/>
        <w:t>公司发展阶段不易区分但有重大资金支出安排的，可以按照前项规定处理。 </w:t>
      </w:r>
      <w:r>
        <w:rPr>
          <w:spacing w:val="-1"/>
        </w:rPr>
        <w:t>股东大会授权董事会每年在综合考虑公司所处行业特点、发展阶段、自身经营模式、盈利水平以及是否有重大资金支</w:t>
      </w:r>
    </w:p>
    <w:p>
      <w:pPr>
        <w:pStyle w:val="BodyText"/>
        <w:spacing w:line="240" w:lineRule="auto" w:before="19"/>
        <w:ind w:right="0"/>
        <w:jc w:val="left"/>
      </w:pPr>
      <w:r>
        <w:rPr/>
        <w:t>出安排等因素，根据上述原则提出当年利润分配方案。</w:t>
      </w:r>
    </w:p>
    <w:p>
      <w:pPr>
        <w:pStyle w:val="BodyText"/>
        <w:spacing w:line="240" w:lineRule="auto" w:before="76"/>
        <w:ind w:left="610" w:right="0"/>
        <w:jc w:val="left"/>
      </w:pPr>
      <w:r>
        <w:rPr/>
        <w:t>（六）利润分配的决策程序</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9" w:lineRule="auto"/>
        <w:ind w:right="1133" w:firstLine="496"/>
        <w:jc w:val="both"/>
      </w:pPr>
      <w:r>
        <w:rPr>
          <w:rFonts w:ascii="Times New Roman" w:hAnsi="Times New Roman" w:cs="Times New Roman" w:eastAsia="Times New Roman" w:hint="default"/>
        </w:rPr>
        <w:t>1</w:t>
      </w:r>
      <w:r>
        <w:rPr/>
        <w:t>．定期报告公布前，公司董事会应详细分析及充分考虑公司实际经营情况，以及社会融资环境、社会融资成本、公 </w:t>
      </w:r>
      <w:r>
        <w:rPr>
          <w:spacing w:val="-2"/>
        </w:rPr>
        <w:t>司现金流量状况、资金支出计划等各项对公司资金的收支有重大影响的相关因素，在此基础上合理、科学地拟订具体分红方</w:t>
      </w:r>
      <w:r>
        <w:rPr>
          <w:spacing w:val="-66"/>
        </w:rPr>
        <w:t> </w:t>
      </w:r>
      <w:r>
        <w:rPr>
          <w:spacing w:val="-66"/>
        </w:rPr>
      </w:r>
      <w:r>
        <w:rPr/>
        <w:t>案。独立董事应在制定现金分红预案时发表明确意见。</w:t>
      </w:r>
    </w:p>
    <w:p>
      <w:pPr>
        <w:pStyle w:val="BodyText"/>
        <w:spacing w:line="240" w:lineRule="auto" w:before="24"/>
        <w:ind w:left="610" w:right="0"/>
        <w:jc w:val="left"/>
      </w:pPr>
      <w:r>
        <w:rPr>
          <w:rFonts w:ascii="Times New Roman" w:hAnsi="Times New Roman" w:cs="Times New Roman" w:eastAsia="Times New Roman" w:hint="default"/>
        </w:rPr>
        <w:t>2</w:t>
      </w:r>
      <w:r>
        <w:rPr/>
        <w:t>．独立董事可以征集中小股东的意见，提出分红提案，并直接提交董事会审议。</w:t>
      </w:r>
    </w:p>
    <w:p>
      <w:pPr>
        <w:pStyle w:val="BodyText"/>
        <w:spacing w:line="240" w:lineRule="auto" w:before="63"/>
        <w:ind w:left="610" w:right="0"/>
        <w:jc w:val="left"/>
      </w:pPr>
      <w:r>
        <w:rPr>
          <w:rFonts w:ascii="Times New Roman" w:hAnsi="Times New Roman" w:cs="Times New Roman" w:eastAsia="Times New Roman" w:hint="default"/>
        </w:rPr>
        <w:t>3</w:t>
      </w:r>
      <w:r>
        <w:rPr/>
        <w:t>．监事会应当审议利润分配方案，并作出决议，如果有外部监事，外部监事应对利润分配方案单独发表明确意见。</w:t>
      </w:r>
    </w:p>
    <w:p>
      <w:pPr>
        <w:pStyle w:val="BodyText"/>
        <w:spacing w:line="240" w:lineRule="auto" w:before="63"/>
        <w:ind w:left="610" w:right="0"/>
        <w:jc w:val="left"/>
      </w:pPr>
      <w:r>
        <w:rPr>
          <w:rFonts w:ascii="Times New Roman" w:hAnsi="Times New Roman" w:cs="Times New Roman" w:eastAsia="Times New Roman" w:hint="default"/>
          <w:spacing w:val="1"/>
        </w:rPr>
        <w:t>4</w:t>
      </w:r>
      <w:r>
        <w:rPr>
          <w:spacing w:val="1"/>
        </w:rPr>
        <w:t>．董事会和</w:t>
      </w:r>
      <w:r>
        <w:rPr/>
        <w:t>监</w:t>
      </w:r>
      <w:r>
        <w:rPr>
          <w:spacing w:val="1"/>
        </w:rPr>
        <w:t>事会通过分</w:t>
      </w:r>
      <w:r>
        <w:rPr/>
        <w:t>红</w:t>
      </w:r>
      <w:r>
        <w:rPr>
          <w:spacing w:val="1"/>
        </w:rPr>
        <w:t>方案后，提</w:t>
      </w:r>
      <w:r>
        <w:rPr/>
        <w:t>交</w:t>
      </w:r>
      <w:r>
        <w:rPr>
          <w:spacing w:val="1"/>
        </w:rPr>
        <w:t>股东大会审</w:t>
      </w:r>
      <w:r>
        <w:rPr/>
        <w:t>议</w:t>
      </w:r>
      <w:r>
        <w:rPr>
          <w:spacing w:val="1"/>
        </w:rPr>
        <w:t>。公司召开</w:t>
      </w:r>
      <w:r>
        <w:rPr/>
        <w:t>涉</w:t>
      </w:r>
      <w:r>
        <w:rPr>
          <w:spacing w:val="1"/>
        </w:rPr>
        <w:t>及利润分配</w:t>
      </w:r>
      <w:r>
        <w:rPr/>
        <w:t>的</w:t>
      </w:r>
      <w:r>
        <w:rPr>
          <w:spacing w:val="1"/>
        </w:rPr>
        <w:t>股东大会时</w:t>
      </w:r>
      <w:r>
        <w:rPr/>
        <w:t>，</w:t>
      </w:r>
      <w:r>
        <w:rPr>
          <w:spacing w:val="1"/>
        </w:rPr>
        <w:t>应根据《公</w:t>
      </w:r>
      <w:r>
        <w:rPr/>
        <w:t>司</w:t>
      </w:r>
      <w:r>
        <w:rPr>
          <w:spacing w:val="1"/>
        </w:rPr>
        <w:t>法</w:t>
      </w:r>
      <w:r>
        <w:rPr>
          <w:spacing w:val="-89"/>
        </w:rPr>
        <w:t>》</w:t>
      </w:r>
      <w:r>
        <w:rPr/>
        <w:t>、</w:t>
      </w:r>
    </w:p>
    <w:p>
      <w:pPr>
        <w:pStyle w:val="BodyText"/>
        <w:spacing w:line="316" w:lineRule="auto" w:before="63"/>
        <w:ind w:right="1131"/>
        <w:jc w:val="both"/>
      </w:pPr>
      <w:r>
        <w:rPr>
          <w:spacing w:val="-2"/>
        </w:rPr>
        <w:t>《公司章程》及其他规范性文件的规定，为中小股东参与股东大会及投票提供便利；召开股东大会时，应保障中小股东对利</w:t>
      </w:r>
      <w:r>
        <w:rPr>
          <w:spacing w:val="-66"/>
        </w:rPr>
        <w:t> </w:t>
      </w:r>
      <w:r>
        <w:rPr>
          <w:spacing w:val="-66"/>
        </w:rPr>
      </w:r>
      <w:r>
        <w:rPr/>
        <w:t>润分配问题有充分的表达机会，对于中小股东关于利润分配的质询，公司董事、高级管理人员应给予充分的解释与说明。</w:t>
      </w:r>
    </w:p>
    <w:p>
      <w:pPr>
        <w:pStyle w:val="BodyText"/>
        <w:spacing w:line="316" w:lineRule="auto" w:before="19"/>
        <w:ind w:right="1131" w:firstLine="496"/>
        <w:jc w:val="both"/>
      </w:pPr>
      <w:r>
        <w:rPr>
          <w:spacing w:val="-1"/>
        </w:rPr>
        <w:t>公司在会计年度盈利，且无弥补亏损、重大投资计划或重大现金支出等事项，但公司董事会做出的现金股利分配预案</w:t>
      </w:r>
      <w:r>
        <w:rPr/>
        <w:t> </w:t>
      </w:r>
      <w:r>
        <w:rPr>
          <w:spacing w:val="-2"/>
        </w:rPr>
        <w:t>中的现金股利分配金额不符合本章程规定的，董事会应当在利润分配预案和定期报告中详细说明或披露现金股利分配金额不</w:t>
      </w:r>
      <w:r>
        <w:rPr>
          <w:spacing w:val="-64"/>
        </w:rPr>
        <w:t> </w:t>
      </w:r>
      <w:r>
        <w:rPr>
          <w:spacing w:val="-64"/>
        </w:rPr>
      </w:r>
      <w:r>
        <w:rPr/>
        <w:t>符合本章程规定的原因、未用于股利分配的资金留存公司的用途，独立董事还应当对此发表独立意见。</w:t>
      </w:r>
    </w:p>
    <w:p>
      <w:pPr>
        <w:pStyle w:val="BodyText"/>
        <w:spacing w:line="300" w:lineRule="auto" w:before="19"/>
        <w:ind w:right="1137" w:firstLine="496"/>
        <w:jc w:val="both"/>
      </w:pPr>
      <w:r>
        <w:rPr>
          <w:rFonts w:ascii="Times New Roman" w:hAnsi="Times New Roman" w:cs="Times New Roman" w:eastAsia="Times New Roman" w:hint="default"/>
        </w:rPr>
        <w:t>5</w:t>
      </w:r>
      <w:r>
        <w:rPr/>
        <w:t>．董事会、监事会和股东大会在有关决策和论证过程中应当充分考虑独立董事和公众投资者的意见。公司将通过多 种途径（电话、传真、电子邮件、投资者关系互动平台等）听取、接受公众投资者对利润分配事项的建议和监督。</w:t>
      </w:r>
    </w:p>
    <w:p>
      <w:pPr>
        <w:pStyle w:val="BodyText"/>
        <w:spacing w:line="316" w:lineRule="auto" w:before="31"/>
        <w:ind w:left="610" w:right="0"/>
        <w:jc w:val="left"/>
      </w:pPr>
      <w:r>
        <w:rPr/>
        <w:t>（七）利润分配政策的调整 </w:t>
      </w:r>
      <w:r>
        <w:rPr>
          <w:spacing w:val="-3"/>
        </w:rPr>
        <w:t>公司可以根据中长期发展战略、投资规划、生产经营规模的变化，以及生产经营业绩的变化等情况调整股利分配政策。</w:t>
      </w:r>
    </w:p>
    <w:p>
      <w:pPr>
        <w:pStyle w:val="BodyText"/>
        <w:spacing w:line="316" w:lineRule="auto" w:before="19"/>
        <w:ind w:right="1129"/>
        <w:jc w:val="both"/>
      </w:pPr>
      <w:r>
        <w:rPr>
          <w:spacing w:val="-2"/>
        </w:rPr>
        <w:t>调整后的股利分配政策不得违反中国证券监督管理委员会和证券交易所的有关规定。有关调整股利分配政策的议案，需要事</w:t>
      </w:r>
      <w:r>
        <w:rPr>
          <w:spacing w:val="-64"/>
        </w:rPr>
        <w:t> </w:t>
      </w:r>
      <w:r>
        <w:rPr>
          <w:spacing w:val="-64"/>
        </w:rPr>
      </w:r>
      <w:r>
        <w:rPr/>
        <w:t>先征求独立董事及监事会意见并经公司董事会审议后提交公司股东大会审议，经出席股东大会的股东所持表决权的</w:t>
      </w:r>
      <w:r>
        <w:rPr>
          <w:rFonts w:ascii="宋体" w:hAnsi="宋体" w:cs="宋体" w:eastAsia="宋体" w:hint="default"/>
        </w:rPr>
        <w:t>2/3</w:t>
      </w:r>
      <w:r>
        <w:rPr/>
        <w:t>以上</w:t>
      </w:r>
      <w:r>
        <w:rPr>
          <w:spacing w:val="-81"/>
        </w:rPr>
        <w:t> </w:t>
      </w:r>
      <w:r>
        <w:rPr/>
        <w:t>通过。股东大会应为股东提供网络投票方式参与表决。</w:t>
      </w:r>
    </w:p>
    <w:p>
      <w:pPr>
        <w:pStyle w:val="BodyText"/>
        <w:spacing w:line="316" w:lineRule="auto" w:before="19"/>
        <w:ind w:left="610" w:right="2696"/>
        <w:jc w:val="left"/>
      </w:pPr>
      <w:r>
        <w:rPr/>
        <w:t>（八）利润分配政策的披露 公司应当在年度报告中详细披露现金分红政策的制定及执行情况，并对下列事项进行专项说明： </w:t>
      </w:r>
      <w:r>
        <w:rPr>
          <w:rFonts w:ascii="Times New Roman" w:hAnsi="Times New Roman" w:cs="Times New Roman" w:eastAsia="Times New Roman" w:hint="default"/>
        </w:rPr>
        <w:t>1</w:t>
      </w:r>
      <w:r>
        <w:rPr/>
        <w:t>．是否符合《公司章程》的规定或者股东大会决议要求；</w:t>
      </w:r>
    </w:p>
    <w:p>
      <w:pPr>
        <w:pStyle w:val="BodyText"/>
        <w:spacing w:line="248" w:lineRule="exact" w:before="0"/>
        <w:ind w:left="610" w:right="0"/>
        <w:jc w:val="left"/>
      </w:pPr>
      <w:r>
        <w:rPr>
          <w:rFonts w:ascii="Times New Roman" w:hAnsi="Times New Roman" w:cs="Times New Roman" w:eastAsia="Times New Roman" w:hint="default"/>
        </w:rPr>
        <w:t>2</w:t>
      </w:r>
      <w:r>
        <w:rPr/>
        <w:t>．分红标准和比例是否明确清晰；</w:t>
      </w:r>
    </w:p>
    <w:p>
      <w:pPr>
        <w:pStyle w:val="BodyText"/>
        <w:spacing w:line="240" w:lineRule="auto" w:before="63"/>
        <w:ind w:left="610" w:right="0"/>
        <w:jc w:val="left"/>
      </w:pPr>
      <w:r>
        <w:rPr>
          <w:rFonts w:ascii="Times New Roman" w:hAnsi="Times New Roman" w:cs="Times New Roman" w:eastAsia="Times New Roman" w:hint="default"/>
        </w:rPr>
        <w:t>3</w:t>
      </w:r>
      <w:r>
        <w:rPr/>
        <w:t>．相关的决策程序和机制是否完备；</w:t>
      </w:r>
    </w:p>
    <w:p>
      <w:pPr>
        <w:pStyle w:val="BodyText"/>
        <w:spacing w:line="240" w:lineRule="auto" w:before="63"/>
        <w:ind w:left="610" w:right="0"/>
        <w:jc w:val="left"/>
      </w:pPr>
      <w:r>
        <w:rPr>
          <w:rFonts w:ascii="Times New Roman" w:hAnsi="Times New Roman" w:cs="Times New Roman" w:eastAsia="Times New Roman" w:hint="default"/>
        </w:rPr>
        <w:t>4</w:t>
      </w:r>
      <w:r>
        <w:rPr/>
        <w:t>．独立董事是否履职尽责并发挥了应有的作用；</w:t>
      </w:r>
    </w:p>
    <w:p>
      <w:pPr>
        <w:pStyle w:val="BodyText"/>
        <w:spacing w:line="300" w:lineRule="auto" w:before="63"/>
        <w:ind w:left="610" w:right="2156"/>
        <w:jc w:val="left"/>
      </w:pPr>
      <w:r>
        <w:rPr>
          <w:rFonts w:ascii="Times New Roman" w:hAnsi="Times New Roman" w:cs="Times New Roman" w:eastAsia="Times New Roman" w:hint="default"/>
        </w:rPr>
        <w:t>5</w:t>
      </w:r>
      <w:r>
        <w:rPr/>
        <w:t>．中小股东是否有充分表达意见和诉求的机会，中小股东的合法权益是否得到了充分保护等。 对现金分红政策进行调整或变更的，还应对调整或变更的条件及程序是否合规和透明等进行详细说明。</w:t>
      </w:r>
    </w:p>
    <w:p>
      <w:pPr>
        <w:pStyle w:val="BodyText"/>
        <w:spacing w:line="316" w:lineRule="auto" w:before="31"/>
        <w:ind w:right="1133" w:firstLine="480"/>
        <w:jc w:val="both"/>
      </w:pPr>
      <w:r>
        <w:rPr>
          <w:spacing w:val="-1"/>
        </w:rPr>
        <w:t>（九）公司未分配利润的使用原则：原则上应根据日常生产经营和发展需要，用于与主营业务有关的流动资产和非流</w:t>
      </w:r>
      <w:r>
        <w:rPr/>
        <w:t> 动资产支出。</w:t>
      </w:r>
    </w:p>
    <w:p>
      <w:pPr>
        <w:pStyle w:val="BodyText"/>
        <w:spacing w:line="360" w:lineRule="auto" w:before="59"/>
        <w:ind w:right="1141" w:firstLine="450"/>
        <w:jc w:val="both"/>
      </w:pPr>
      <w:r>
        <w:rPr/>
        <w:t>（十）若公司股东存在违规占用公司资金情况的，公司应当扣减该股东所分配的现金红利，以偿还其所占用的资金。 </w:t>
      </w:r>
      <w:r>
        <w:rPr>
          <w:spacing w:val="-4"/>
        </w:rPr>
        <w:t>二、《深圳证券交易所上市公司回购股份实施细则》第七条规定：</w:t>
      </w:r>
    </w:p>
    <w:p>
      <w:pPr>
        <w:spacing w:line="240" w:lineRule="auto" w:before="7"/>
        <w:rPr>
          <w:rFonts w:ascii="宋体" w:hAnsi="宋体" w:cs="宋体" w:eastAsia="宋体" w:hint="default"/>
          <w:sz w:val="25"/>
          <w:szCs w:val="25"/>
        </w:rPr>
      </w:pPr>
    </w:p>
    <w:p>
      <w:pPr>
        <w:pStyle w:val="BodyText"/>
        <w:spacing w:line="319" w:lineRule="auto" w:before="0"/>
        <w:ind w:right="1212"/>
        <w:jc w:val="left"/>
      </w:pPr>
      <w:r>
        <w:rPr/>
        <w:t>上市公司以现金为对价，采用要约方式、集中竞价方式回购股份的，当年已实施的回购股份金额视同现金分红金额，纳入 该年度现金分红的相关比例计算。</w:t>
      </w:r>
    </w:p>
    <w:p>
      <w:pPr>
        <w:spacing w:line="240" w:lineRule="auto" w:before="9"/>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公司报告期利润分配预案及资本公积金转增股本预案与公司章程和分红管理办法等的相关规定一致</w:t>
      </w:r>
    </w:p>
    <w:p>
      <w:pPr>
        <w:pStyle w:val="BodyText"/>
        <w:spacing w:line="360" w:lineRule="auto" w:before="116"/>
        <w:ind w:right="4272"/>
        <w:jc w:val="left"/>
      </w:pPr>
      <w:r>
        <w:rPr/>
        <w:t>√ 是 □ 否 □ 不适用 公司报告期利润分配预案及资本公积金转增股本预案符合公司章程等的相关规定。 本年度利润分配及资本公积金转增股本情况</w:t>
      </w:r>
    </w:p>
    <w:tbl>
      <w:tblPr>
        <w:tblW w:w="0" w:type="auto"/>
        <w:jc w:val="left"/>
        <w:tblInd w:w="109" w:type="dxa"/>
        <w:tblLayout w:type="fixed"/>
        <w:tblCellMar>
          <w:top w:w="0" w:type="dxa"/>
          <w:left w:w="0" w:type="dxa"/>
          <w:bottom w:w="0" w:type="dxa"/>
          <w:right w:w="0" w:type="dxa"/>
        </w:tblCellMar>
        <w:tblLook w:val="01E0"/>
      </w:tblPr>
      <w:tblGrid>
        <w:gridCol w:w="3718"/>
        <w:gridCol w:w="5851"/>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481,056,870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10"/>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74,088,193.18</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319" w:lineRule="auto" w:before="66"/>
        <w:ind w:right="1116"/>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r>
        <w:rPr/>
        <w:t> </w:t>
      </w:r>
      <w:r>
        <w:rPr>
          <w:rFonts w:ascii="宋体" w:hAnsi="宋体" w:cs="宋体" w:eastAsia="宋体" w:hint="default"/>
        </w:rPr>
        <w:t>1</w:t>
      </w:r>
      <w:r>
        <w:rPr>
          <w:spacing w:val="-88"/>
        </w:rPr>
        <w:t>、</w:t>
      </w:r>
      <w:r>
        <w:rPr/>
        <w:t>公司</w:t>
      </w:r>
      <w:r>
        <w:rPr>
          <w:rFonts w:ascii="Times New Roman" w:hAnsi="Times New Roman" w:cs="Times New Roman" w:eastAsia="Times New Roman" w:hint="default"/>
        </w:rPr>
        <w:t>2016</w:t>
      </w:r>
      <w:r>
        <w:rPr/>
        <w:t>年度利润分配方案为</w:t>
      </w:r>
      <w:r>
        <w:rPr>
          <w:spacing w:val="-88"/>
        </w:rPr>
        <w:t>：</w:t>
      </w:r>
      <w:r>
        <w:rPr/>
        <w:t>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434,800,140</w:t>
      </w:r>
      <w:r>
        <w:rPr/>
        <w:t>股为基数</w:t>
      </w:r>
      <w:r>
        <w:rPr>
          <w:spacing w:val="-88"/>
        </w:rPr>
        <w:t>，</w:t>
      </w:r>
      <w:r>
        <w:rPr/>
        <w:t>向全体股东每</w:t>
      </w:r>
      <w:r>
        <w:rPr>
          <w:rFonts w:ascii="宋体" w:hAnsi="宋体" w:cs="宋体" w:eastAsia="宋体" w:hint="default"/>
        </w:rPr>
        <w:t>10</w:t>
      </w:r>
      <w:r>
        <w:rPr/>
        <w:t>股派发现金股利</w:t>
      </w:r>
      <w:r>
        <w:rPr>
          <w:rFonts w:ascii="宋体" w:hAnsi="宋体" w:cs="宋体" w:eastAsia="宋体" w:hint="default"/>
        </w:rPr>
        <w:t>0.25 </w:t>
      </w:r>
      <w:r>
        <w:rPr/>
        <w:t>元人民币（含税</w:t>
      </w:r>
      <w:r>
        <w:rPr>
          <w:spacing w:val="-90"/>
        </w:rPr>
        <w:t>）</w:t>
      </w:r>
      <w:r>
        <w:rPr/>
        <w:t>。</w:t>
      </w:r>
    </w:p>
    <w:p>
      <w:pPr>
        <w:pStyle w:val="BodyText"/>
        <w:spacing w:line="240" w:lineRule="auto" w:before="58"/>
        <w:ind w:right="0"/>
        <w:jc w:val="left"/>
      </w:pPr>
      <w:r>
        <w:rPr>
          <w:rFonts w:ascii="宋体" w:hAnsi="宋体" w:cs="宋体" w:eastAsia="宋体" w:hint="default"/>
        </w:rPr>
        <w:t>2</w:t>
      </w:r>
      <w:r>
        <w:rPr/>
        <w:t>、公司</w:t>
      </w:r>
      <w:r>
        <w:rPr>
          <w:rFonts w:ascii="宋体" w:hAnsi="宋体" w:cs="宋体" w:eastAsia="宋体" w:hint="default"/>
        </w:rPr>
        <w:t>2017</w:t>
      </w:r>
      <w:r>
        <w:rPr/>
        <w:t>年度利润分配预案为：公司</w:t>
      </w:r>
      <w:r>
        <w:rPr>
          <w:rFonts w:ascii="宋体" w:hAnsi="宋体" w:cs="宋体" w:eastAsia="宋体" w:hint="default"/>
        </w:rPr>
        <w:t>2017</w:t>
      </w:r>
      <w:r>
        <w:rPr/>
        <w:t>年度拟不进行利润分配，也不进行资本公积金转增股本。</w:t>
      </w:r>
    </w:p>
    <w:p>
      <w:pPr>
        <w:pStyle w:val="BodyText"/>
        <w:spacing w:line="240" w:lineRule="auto" w:before="116"/>
        <w:ind w:right="0"/>
        <w:jc w:val="left"/>
      </w:pPr>
      <w:r>
        <w:rPr>
          <w:rFonts w:ascii="宋体" w:hAnsi="宋体" w:cs="宋体" w:eastAsia="宋体" w:hint="default"/>
        </w:rPr>
        <w:t>3</w:t>
      </w:r>
      <w:r>
        <w:rPr/>
        <w:t>、公司</w:t>
      </w:r>
      <w:r>
        <w:rPr>
          <w:rFonts w:ascii="宋体" w:hAnsi="宋体" w:cs="宋体" w:eastAsia="宋体" w:hint="default"/>
        </w:rPr>
        <w:t>2018</w:t>
      </w:r>
      <w:r>
        <w:rPr/>
        <w:t>年度利润分配预案为：公司</w:t>
      </w:r>
      <w:r>
        <w:rPr>
          <w:rFonts w:ascii="宋体" w:hAnsi="宋体" w:cs="宋体" w:eastAsia="宋体" w:hint="default"/>
        </w:rPr>
        <w:t>2018</w:t>
      </w:r>
      <w:r>
        <w:rPr/>
        <w:t>年度拟不进行利润分配，也不进行资本公积金转增股本。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0"/>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58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1" w:right="14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42" w:right="143"/>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3"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142" w:right="140"/>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142"/>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2"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140"/>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204,851,349.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74,088,193.1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74,088,193.1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36.17%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73,461,776.7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10,870,003.5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136,797,245.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10,870,003.5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7.95%</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47" w:right="136" w:hanging="81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 提出普通股现金红利分配预案的原因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37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（一）根据《公司章程》第一百五十五条“公司利润分配 政策如下：……（五）利润分配的条件和比例</w:t>
            </w:r>
          </w:p>
          <w:p>
            <w:pPr>
              <w:pStyle w:val="TableParagraph"/>
              <w:spacing w:line="338" w:lineRule="auto" w:before="59"/>
              <w:ind w:left="103"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．条件 如果公司会计年度盈利，且无弥补亏损、重大投资计划或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2"/>
              <w:ind w:left="103" w:right="10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年度除已实施完毕的回购方案外拟不再进行利润 分配，全部利润滚存于公司，仍归属于全部股东所有，未 分配利润公司计划用于对外投资、收购资产或与主营业务 有关的流动资产和非流动资产支出。</w:t>
            </w:r>
          </w:p>
        </w:tc>
      </w:tr>
    </w:tbl>
    <w:p>
      <w:pPr>
        <w:spacing w:after="0" w:line="312"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17" w:hRule="exact"/>
        </w:trPr>
        <w:tc>
          <w:tcPr>
            <w:tcW w:w="47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重大现金支出等事项发生，应进行年度现金股利分配；如</w:t>
            </w:r>
          </w:p>
        </w:tc>
        <w:tc>
          <w:tcPr>
            <w:tcW w:w="4784" w:type="dxa"/>
            <w:vMerge w:val="restart"/>
            <w:tcBorders>
              <w:top w:val="single" w:sz="4" w:space="0" w:color="000000"/>
              <w:left w:val="single" w:sz="4" w:space="0" w:color="000000"/>
              <w:right w:val="single" w:sz="4" w:space="0" w:color="000000"/>
            </w:tcBorders>
          </w:tcPr>
          <w:p>
            <w:pPr/>
          </w:p>
        </w:tc>
      </w:tr>
      <w:tr>
        <w:trPr>
          <w:trHeight w:val="31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果由于公司业绩、规模增长快速等原因，导致董事会认为</w:t>
            </w:r>
          </w:p>
        </w:tc>
        <w:tc>
          <w:tcPr>
            <w:tcW w:w="4784" w:type="dxa"/>
            <w:vMerge/>
            <w:tcBorders>
              <w:left w:val="single" w:sz="4" w:space="0" w:color="000000"/>
              <w:right w:val="single" w:sz="4" w:space="0" w:color="000000"/>
            </w:tcBorders>
          </w:tcPr>
          <w:p>
            <w:pPr/>
          </w:p>
        </w:tc>
      </w:tr>
      <w:tr>
        <w:trPr>
          <w:trHeight w:val="31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出现公司股本规模与经营规模不相匹配，或公司股价不能</w:t>
            </w:r>
          </w:p>
        </w:tc>
        <w:tc>
          <w:tcPr>
            <w:tcW w:w="4784" w:type="dxa"/>
            <w:vMerge/>
            <w:tcBorders>
              <w:left w:val="single" w:sz="4" w:space="0" w:color="000000"/>
              <w:right w:val="single" w:sz="4" w:space="0" w:color="000000"/>
            </w:tcBorders>
          </w:tcPr>
          <w:p>
            <w:pPr/>
          </w:p>
        </w:tc>
      </w:tr>
      <w:tr>
        <w:trPr>
          <w:trHeight w:val="313"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有效反映经营业绩等情形况时，可以提出股票股利分配预</w:t>
            </w:r>
          </w:p>
        </w:tc>
        <w:tc>
          <w:tcPr>
            <w:tcW w:w="4784" w:type="dxa"/>
            <w:vMerge/>
            <w:tcBorders>
              <w:left w:val="single" w:sz="4" w:space="0" w:color="000000"/>
              <w:right w:val="single" w:sz="4" w:space="0" w:color="000000"/>
            </w:tcBorders>
          </w:tcPr>
          <w:p>
            <w:pPr/>
          </w:p>
        </w:tc>
      </w:tr>
      <w:tr>
        <w:trPr>
          <w:trHeight w:val="333"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4784" w:type="dxa"/>
            <w:vMerge/>
            <w:tcBorders>
              <w:left w:val="single" w:sz="4" w:space="0" w:color="000000"/>
              <w:right w:val="single" w:sz="4" w:space="0" w:color="000000"/>
            </w:tcBorders>
          </w:tcPr>
          <w:p>
            <w:pPr/>
          </w:p>
        </w:tc>
      </w:tr>
      <w:tr>
        <w:trPr>
          <w:trHeight w:val="33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上述所称‘重大投资计划或重大现金支出’是指公司未来</w:t>
            </w:r>
          </w:p>
        </w:tc>
        <w:tc>
          <w:tcPr>
            <w:tcW w:w="4784" w:type="dxa"/>
            <w:vMerge/>
            <w:tcBorders>
              <w:left w:val="single" w:sz="4" w:space="0" w:color="000000"/>
              <w:right w:val="single" w:sz="4" w:space="0" w:color="000000"/>
            </w:tcBorders>
          </w:tcPr>
          <w:p>
            <w:pPr/>
          </w:p>
        </w:tc>
      </w:tr>
      <w:tr>
        <w:trPr>
          <w:trHeight w:val="31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十二个月内拟对外投资、收购资产或购买设备累计支出超</w:t>
            </w:r>
          </w:p>
        </w:tc>
        <w:tc>
          <w:tcPr>
            <w:tcW w:w="4784" w:type="dxa"/>
            <w:vMerge/>
            <w:tcBorders>
              <w:left w:val="single" w:sz="4" w:space="0" w:color="000000"/>
              <w:right w:val="single" w:sz="4" w:space="0" w:color="000000"/>
            </w:tcBorders>
          </w:tcPr>
          <w:p>
            <w:pPr/>
          </w:p>
        </w:tc>
      </w:tr>
      <w:tr>
        <w:trPr>
          <w:trHeight w:val="313"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过公司最近一期经审计的合并报表总资产的百分之三</w:t>
            </w:r>
          </w:p>
        </w:tc>
        <w:tc>
          <w:tcPr>
            <w:tcW w:w="4784" w:type="dxa"/>
            <w:vMerge/>
            <w:tcBorders>
              <w:left w:val="single" w:sz="4" w:space="0" w:color="000000"/>
              <w:right w:val="single" w:sz="4" w:space="0" w:color="000000"/>
            </w:tcBorders>
          </w:tcPr>
          <w:p>
            <w:pPr/>
          </w:p>
        </w:tc>
      </w:tr>
      <w:tr>
        <w:trPr>
          <w:trHeight w:val="33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十。……”</w:t>
            </w:r>
          </w:p>
        </w:tc>
        <w:tc>
          <w:tcPr>
            <w:tcW w:w="4784" w:type="dxa"/>
            <w:vMerge/>
            <w:tcBorders>
              <w:left w:val="single" w:sz="4" w:space="0" w:color="000000"/>
              <w:right w:val="single" w:sz="4" w:space="0" w:color="000000"/>
            </w:tcBorders>
          </w:tcPr>
          <w:p>
            <w:pPr/>
          </w:p>
        </w:tc>
      </w:tr>
      <w:tr>
        <w:trPr>
          <w:trHeight w:val="336"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23"/>
                <w:sz w:val="18"/>
                <w:szCs w:val="18"/>
              </w:rPr>
              <w:t>）</w:t>
            </w:r>
            <w:r>
              <w:rPr>
                <w:rFonts w:ascii="宋体" w:hAnsi="宋体" w:cs="宋体" w:eastAsia="宋体" w:hint="default"/>
                <w:sz w:val="18"/>
                <w:szCs w:val="18"/>
              </w:rPr>
              <w:t>根据公</w:t>
            </w:r>
            <w:r>
              <w:rPr>
                <w:rFonts w:ascii="宋体" w:hAnsi="宋体" w:cs="宋体" w:eastAsia="宋体" w:hint="default"/>
                <w:spacing w:val="-23"/>
                <w:sz w:val="18"/>
                <w:szCs w:val="18"/>
              </w:rPr>
              <w:t>司</w:t>
            </w:r>
            <w:r>
              <w:rPr>
                <w:rFonts w:ascii="宋体" w:hAnsi="宋体" w:cs="宋体" w:eastAsia="宋体" w:hint="default"/>
                <w:sz w:val="18"/>
                <w:szCs w:val="18"/>
              </w:rPr>
              <w:t>《未来三年股东分红回报规划</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年度</w:t>
            </w:r>
            <w:r>
              <w:rPr>
                <w:rFonts w:ascii="宋体" w:hAnsi="宋体" w:cs="宋体" w:eastAsia="宋体" w:hint="default"/>
                <w:sz w:val="18"/>
                <w:szCs w:val="18"/>
              </w:rPr>
            </w:r>
          </w:p>
        </w:tc>
        <w:tc>
          <w:tcPr>
            <w:tcW w:w="4784" w:type="dxa"/>
            <w:vMerge/>
            <w:tcBorders>
              <w:left w:val="single" w:sz="4" w:space="0" w:color="000000"/>
              <w:right w:val="single" w:sz="4" w:space="0" w:color="000000"/>
            </w:tcBorders>
          </w:tcPr>
          <w:p>
            <w:pPr/>
          </w:p>
        </w:tc>
      </w:tr>
      <w:tr>
        <w:trPr>
          <w:trHeight w:val="313"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w:t>
            </w:r>
            <w:r>
              <w:rPr>
                <w:rFonts w:ascii="宋体" w:hAnsi="宋体" w:cs="宋体" w:eastAsia="宋体" w:hint="default"/>
                <w:sz w:val="18"/>
                <w:szCs w:val="18"/>
              </w:rPr>
              <w:t>中关于利润分配条件的规定</w:t>
            </w:r>
            <w:r>
              <w:rPr>
                <w:rFonts w:ascii="宋体" w:hAnsi="宋体" w:cs="宋体" w:eastAsia="宋体" w:hint="default"/>
                <w:spacing w:val="-90"/>
                <w:sz w:val="18"/>
                <w:szCs w:val="18"/>
              </w:rPr>
              <w:t>：</w:t>
            </w:r>
            <w:r>
              <w:rPr>
                <w:rFonts w:ascii="宋体" w:hAnsi="宋体" w:cs="宋体" w:eastAsia="宋体" w:hint="default"/>
                <w:sz w:val="18"/>
                <w:szCs w:val="18"/>
              </w:rPr>
              <w:t>“在同时满足</w:t>
            </w:r>
          </w:p>
        </w:tc>
        <w:tc>
          <w:tcPr>
            <w:tcW w:w="4784" w:type="dxa"/>
            <w:vMerge/>
            <w:tcBorders>
              <w:left w:val="single" w:sz="4" w:space="0" w:color="000000"/>
              <w:right w:val="single" w:sz="4" w:space="0" w:color="000000"/>
            </w:tcBorders>
          </w:tcPr>
          <w:p>
            <w:pPr/>
          </w:p>
        </w:tc>
      </w:tr>
      <w:tr>
        <w:trPr>
          <w:trHeight w:val="32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下列条件时，公司可以实施现金分红：</w:t>
            </w:r>
          </w:p>
        </w:tc>
        <w:tc>
          <w:tcPr>
            <w:tcW w:w="4784" w:type="dxa"/>
            <w:vMerge/>
            <w:tcBorders>
              <w:left w:val="single" w:sz="4" w:space="0" w:color="000000"/>
              <w:right w:val="single" w:sz="4" w:space="0" w:color="000000"/>
            </w:tcBorders>
          </w:tcPr>
          <w:p>
            <w:pPr/>
          </w:p>
        </w:tc>
      </w:tr>
      <w:tr>
        <w:trPr>
          <w:trHeight w:val="33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）公司该年度实现的可分配利润（即公司弥补亏损、提</w:t>
            </w:r>
          </w:p>
        </w:tc>
        <w:tc>
          <w:tcPr>
            <w:tcW w:w="4784" w:type="dxa"/>
            <w:vMerge/>
            <w:tcBorders>
              <w:left w:val="single" w:sz="4" w:space="0" w:color="000000"/>
              <w:right w:val="single" w:sz="4" w:space="0" w:color="000000"/>
            </w:tcBorders>
          </w:tcPr>
          <w:p>
            <w:pPr/>
          </w:p>
        </w:tc>
      </w:tr>
      <w:tr>
        <w:trPr>
          <w:trHeight w:val="32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取公积金后所余的税后利润）为正值；</w:t>
            </w:r>
          </w:p>
        </w:tc>
        <w:tc>
          <w:tcPr>
            <w:tcW w:w="4784" w:type="dxa"/>
            <w:vMerge/>
            <w:tcBorders>
              <w:left w:val="single" w:sz="4" w:space="0" w:color="000000"/>
              <w:right w:val="single" w:sz="4" w:space="0" w:color="000000"/>
            </w:tcBorders>
          </w:tcPr>
          <w:p>
            <w:pPr/>
          </w:p>
        </w:tc>
      </w:tr>
      <w:tr>
        <w:trPr>
          <w:trHeight w:val="33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）公司无重大投资计划或重大现金支出等事项发生（募</w:t>
            </w:r>
          </w:p>
        </w:tc>
        <w:tc>
          <w:tcPr>
            <w:tcW w:w="4784" w:type="dxa"/>
            <w:vMerge/>
            <w:tcBorders>
              <w:left w:val="single" w:sz="4" w:space="0" w:color="000000"/>
              <w:right w:val="single" w:sz="4" w:space="0" w:color="000000"/>
            </w:tcBorders>
          </w:tcPr>
          <w:p>
            <w:pPr/>
          </w:p>
        </w:tc>
      </w:tr>
      <w:tr>
        <w:trPr>
          <w:trHeight w:val="32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集资金项目除外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4784" w:type="dxa"/>
            <w:vMerge/>
            <w:tcBorders>
              <w:left w:val="single" w:sz="4" w:space="0" w:color="000000"/>
              <w:right w:val="single" w:sz="4" w:space="0" w:color="000000"/>
            </w:tcBorders>
          </w:tcPr>
          <w:p>
            <w:pPr/>
          </w:p>
        </w:tc>
      </w:tr>
      <w:tr>
        <w:trPr>
          <w:trHeight w:val="331"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重大投资计划或重大现金支出是指：公司未来十二个月内</w:t>
            </w:r>
          </w:p>
        </w:tc>
        <w:tc>
          <w:tcPr>
            <w:tcW w:w="4784" w:type="dxa"/>
            <w:vMerge/>
            <w:tcBorders>
              <w:left w:val="single" w:sz="4" w:space="0" w:color="000000"/>
              <w:right w:val="single" w:sz="4" w:space="0" w:color="000000"/>
            </w:tcBorders>
          </w:tcPr>
          <w:p>
            <w:pPr/>
          </w:p>
        </w:tc>
      </w:tr>
      <w:tr>
        <w:trPr>
          <w:trHeight w:val="31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拟对外投资、收购资产或者购买设备的累计支出达到或超</w:t>
            </w:r>
          </w:p>
        </w:tc>
        <w:tc>
          <w:tcPr>
            <w:tcW w:w="4784" w:type="dxa"/>
            <w:vMerge/>
            <w:tcBorders>
              <w:left w:val="single" w:sz="4" w:space="0" w:color="000000"/>
              <w:right w:val="single" w:sz="4" w:space="0" w:color="000000"/>
            </w:tcBorders>
          </w:tcPr>
          <w:p>
            <w:pPr/>
          </w:p>
        </w:tc>
      </w:tr>
      <w:tr>
        <w:trPr>
          <w:trHeight w:val="318"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过公司最近一期经审计总资产的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，且超过人民币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p>
        </w:tc>
        <w:tc>
          <w:tcPr>
            <w:tcW w:w="4784" w:type="dxa"/>
            <w:vMerge/>
            <w:tcBorders>
              <w:left w:val="single" w:sz="4" w:space="0" w:color="000000"/>
              <w:right w:val="single" w:sz="4" w:space="0" w:color="000000"/>
            </w:tcBorders>
          </w:tcPr>
          <w:p>
            <w:pPr/>
          </w:p>
        </w:tc>
      </w:tr>
      <w:tr>
        <w:trPr>
          <w:trHeight w:val="32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4784" w:type="dxa"/>
            <w:vMerge/>
            <w:tcBorders>
              <w:left w:val="single" w:sz="4" w:space="0" w:color="000000"/>
              <w:right w:val="single" w:sz="4" w:space="0" w:color="000000"/>
            </w:tcBorders>
          </w:tcPr>
          <w:p>
            <w:pPr/>
          </w:p>
        </w:tc>
      </w:tr>
      <w:tr>
        <w:trPr>
          <w:trHeight w:val="336"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年，为快速实现公司教育产业生态圈的战略布局，公</w:t>
            </w:r>
          </w:p>
        </w:tc>
        <w:tc>
          <w:tcPr>
            <w:tcW w:w="4784" w:type="dxa"/>
            <w:vMerge/>
            <w:tcBorders>
              <w:left w:val="single" w:sz="4" w:space="0" w:color="000000"/>
              <w:right w:val="single" w:sz="4" w:space="0" w:color="000000"/>
            </w:tcBorders>
          </w:tcPr>
          <w:p>
            <w:pPr/>
          </w:p>
        </w:tc>
      </w:tr>
      <w:tr>
        <w:trPr>
          <w:trHeight w:val="30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司当前必须集中资金用于经营，以确保公司经营的可持续</w:t>
            </w:r>
          </w:p>
        </w:tc>
        <w:tc>
          <w:tcPr>
            <w:tcW w:w="4784" w:type="dxa"/>
            <w:vMerge/>
            <w:tcBorders>
              <w:left w:val="single" w:sz="4" w:space="0" w:color="000000"/>
              <w:right w:val="single" w:sz="4" w:space="0" w:color="000000"/>
            </w:tcBorders>
          </w:tcPr>
          <w:p>
            <w:pPr/>
          </w:p>
        </w:tc>
      </w:tr>
      <w:tr>
        <w:trPr>
          <w:trHeight w:val="31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发展。根据公司的发展战略及未来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个月的重大投资计划</w:t>
            </w:r>
          </w:p>
        </w:tc>
        <w:tc>
          <w:tcPr>
            <w:tcW w:w="4784" w:type="dxa"/>
            <w:vMerge/>
            <w:tcBorders>
              <w:left w:val="single" w:sz="4" w:space="0" w:color="000000"/>
              <w:right w:val="single" w:sz="4" w:space="0" w:color="000000"/>
            </w:tcBorders>
          </w:tcPr>
          <w:p>
            <w:pPr/>
          </w:p>
        </w:tc>
      </w:tr>
      <w:tr>
        <w:trPr>
          <w:trHeight w:val="31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对资金的需求情况，</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年度拟不进行利润分配的预案符</w:t>
            </w:r>
          </w:p>
        </w:tc>
        <w:tc>
          <w:tcPr>
            <w:tcW w:w="4784" w:type="dxa"/>
            <w:vMerge/>
            <w:tcBorders>
              <w:left w:val="single" w:sz="4" w:space="0" w:color="000000"/>
              <w:right w:val="single" w:sz="4" w:space="0" w:color="000000"/>
            </w:tcBorders>
          </w:tcPr>
          <w:p>
            <w:pPr/>
          </w:p>
        </w:tc>
      </w:tr>
      <w:tr>
        <w:trPr>
          <w:trHeight w:val="30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合公司实际情况，符合《公司章程》中规定的现金分红政</w:t>
            </w:r>
          </w:p>
        </w:tc>
        <w:tc>
          <w:tcPr>
            <w:tcW w:w="4784" w:type="dxa"/>
            <w:vMerge/>
            <w:tcBorders>
              <w:left w:val="single" w:sz="4" w:space="0" w:color="000000"/>
              <w:right w:val="single" w:sz="4" w:space="0" w:color="000000"/>
            </w:tcBorders>
          </w:tcPr>
          <w:p>
            <w:pPr/>
          </w:p>
        </w:tc>
      </w:tr>
      <w:tr>
        <w:trPr>
          <w:trHeight w:val="318"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策和《未来三年股东分红回报规划</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vMerge/>
            <w:tcBorders>
              <w:left w:val="single" w:sz="4" w:space="0" w:color="000000"/>
              <w:right w:val="single" w:sz="4" w:space="0" w:color="000000"/>
            </w:tcBorders>
          </w:tcPr>
          <w:p>
            <w:pPr/>
          </w:p>
        </w:tc>
      </w:tr>
      <w:tr>
        <w:trPr>
          <w:trHeight w:val="327"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度）中关于现金分红的规定。</w:t>
            </w:r>
          </w:p>
        </w:tc>
        <w:tc>
          <w:tcPr>
            <w:tcW w:w="4784" w:type="dxa"/>
            <w:vMerge/>
            <w:tcBorders>
              <w:left w:val="single" w:sz="4" w:space="0" w:color="000000"/>
              <w:right w:val="single" w:sz="4" w:space="0" w:color="000000"/>
            </w:tcBorders>
          </w:tcPr>
          <w:p>
            <w:pPr/>
          </w:p>
        </w:tc>
      </w:tr>
      <w:tr>
        <w:trPr>
          <w:trHeight w:val="33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pacing w:val="-1"/>
                <w:sz w:val="18"/>
                <w:szCs w:val="18"/>
              </w:rPr>
              <w:t>（三）根据《深圳证券交易所上市公司回购股份实施细则》</w:t>
            </w:r>
          </w:p>
        </w:tc>
        <w:tc>
          <w:tcPr>
            <w:tcW w:w="4784" w:type="dxa"/>
            <w:vMerge/>
            <w:tcBorders>
              <w:left w:val="single" w:sz="4" w:space="0" w:color="000000"/>
              <w:right w:val="single" w:sz="4" w:space="0" w:color="000000"/>
            </w:tcBorders>
          </w:tcPr>
          <w:p>
            <w:pPr/>
          </w:p>
        </w:tc>
      </w:tr>
      <w:tr>
        <w:trPr>
          <w:trHeight w:val="33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第七条规定：</w:t>
            </w:r>
          </w:p>
        </w:tc>
        <w:tc>
          <w:tcPr>
            <w:tcW w:w="4784" w:type="dxa"/>
            <w:vMerge/>
            <w:tcBorders>
              <w:left w:val="single" w:sz="4" w:space="0" w:color="000000"/>
              <w:right w:val="single" w:sz="4" w:space="0" w:color="000000"/>
            </w:tcBorders>
          </w:tcPr>
          <w:p>
            <w:pPr/>
          </w:p>
        </w:tc>
      </w:tr>
      <w:tr>
        <w:trPr>
          <w:trHeight w:val="331"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“上市公司以现金为对价，采用要约方式、集中竞价方式</w:t>
            </w:r>
          </w:p>
        </w:tc>
        <w:tc>
          <w:tcPr>
            <w:tcW w:w="4784" w:type="dxa"/>
            <w:vMerge/>
            <w:tcBorders>
              <w:left w:val="single" w:sz="4" w:space="0" w:color="000000"/>
              <w:right w:val="single" w:sz="4" w:space="0" w:color="000000"/>
            </w:tcBorders>
          </w:tcPr>
          <w:p>
            <w:pPr/>
          </w:p>
        </w:tc>
      </w:tr>
      <w:tr>
        <w:trPr>
          <w:trHeight w:val="313"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回购股份的，当年已实施的回购股份金额视同现金分红金</w:t>
            </w:r>
          </w:p>
        </w:tc>
        <w:tc>
          <w:tcPr>
            <w:tcW w:w="4784" w:type="dxa"/>
            <w:vMerge/>
            <w:tcBorders>
              <w:left w:val="single" w:sz="4" w:space="0" w:color="000000"/>
              <w:right w:val="single" w:sz="4" w:space="0" w:color="000000"/>
            </w:tcBorders>
          </w:tcPr>
          <w:p>
            <w:pPr/>
          </w:p>
        </w:tc>
      </w:tr>
      <w:tr>
        <w:trPr>
          <w:trHeight w:val="33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额，纳入该年度现金分红的相关比例计算</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4784" w:type="dxa"/>
            <w:vMerge/>
            <w:tcBorders>
              <w:left w:val="single" w:sz="4" w:space="0" w:color="000000"/>
              <w:right w:val="single" w:sz="4" w:space="0" w:color="000000"/>
            </w:tcBorders>
          </w:tcPr>
          <w:p>
            <w:pPr/>
          </w:p>
        </w:tc>
      </w:tr>
      <w:tr>
        <w:trPr>
          <w:trHeight w:val="336"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年度以集中竞价交易方式回购公司股份</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8,780,396</w:t>
            </w:r>
          </w:p>
        </w:tc>
        <w:tc>
          <w:tcPr>
            <w:tcW w:w="4784" w:type="dxa"/>
            <w:vMerge/>
            <w:tcBorders>
              <w:left w:val="single" w:sz="4" w:space="0" w:color="000000"/>
              <w:right w:val="single" w:sz="4" w:space="0" w:color="000000"/>
            </w:tcBorders>
          </w:tcPr>
          <w:p>
            <w:pPr/>
          </w:p>
        </w:tc>
      </w:tr>
      <w:tr>
        <w:trPr>
          <w:trHeight w:val="312"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23"/>
                <w:sz w:val="18"/>
                <w:szCs w:val="18"/>
              </w:rPr>
              <w:t>，</w:t>
            </w:r>
            <w:r>
              <w:rPr>
                <w:rFonts w:ascii="宋体" w:hAnsi="宋体" w:cs="宋体" w:eastAsia="宋体" w:hint="default"/>
                <w:sz w:val="18"/>
                <w:szCs w:val="18"/>
              </w:rPr>
              <w:t>支付的总金额为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74,088,</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93.18 </w:t>
            </w:r>
            <w:r>
              <w:rPr>
                <w:rFonts w:ascii="宋体" w:hAnsi="宋体" w:cs="宋体" w:eastAsia="宋体" w:hint="default"/>
                <w:spacing w:val="-23"/>
                <w:sz w:val="18"/>
                <w:szCs w:val="18"/>
              </w:rPr>
              <w:t>元</w:t>
            </w:r>
            <w:r>
              <w:rPr>
                <w:rFonts w:ascii="宋体" w:hAnsi="宋体" w:cs="宋体" w:eastAsia="宋体" w:hint="default"/>
                <w:sz w:val="18"/>
                <w:szCs w:val="18"/>
              </w:rPr>
              <w:t>（不含手续费</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pacing w:val="1"/>
                <w:sz w:val="18"/>
                <w:szCs w:val="18"/>
              </w:rPr>
              <w:t>具</w:t>
            </w:r>
            <w:r>
              <w:rPr>
                <w:rFonts w:ascii="宋体" w:hAnsi="宋体" w:cs="宋体" w:eastAsia="宋体" w:hint="default"/>
                <w:sz w:val="18"/>
                <w:szCs w:val="18"/>
              </w:rPr>
              <w:t>体</w:t>
            </w:r>
          </w:p>
        </w:tc>
        <w:tc>
          <w:tcPr>
            <w:tcW w:w="4784" w:type="dxa"/>
            <w:vMerge/>
            <w:tcBorders>
              <w:left w:val="single" w:sz="4" w:space="0" w:color="000000"/>
              <w:right w:val="single" w:sz="4" w:space="0" w:color="000000"/>
            </w:tcBorders>
          </w:tcPr>
          <w:p>
            <w:pPr/>
          </w:p>
        </w:tc>
      </w:tr>
      <w:tr>
        <w:trPr>
          <w:trHeight w:val="313" w:hRule="exact"/>
        </w:trPr>
        <w:tc>
          <w:tcPr>
            <w:tcW w:w="47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内容详见公司在巨潮资讯网（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）上披露</w:t>
            </w:r>
          </w:p>
        </w:tc>
        <w:tc>
          <w:tcPr>
            <w:tcW w:w="4784" w:type="dxa"/>
            <w:vMerge/>
            <w:tcBorders>
              <w:left w:val="single" w:sz="4" w:space="0" w:color="000000"/>
              <w:right w:val="single" w:sz="4" w:space="0" w:color="000000"/>
            </w:tcBorders>
          </w:tcPr>
          <w:p>
            <w:pPr/>
          </w:p>
        </w:tc>
      </w:tr>
      <w:tr>
        <w:trPr>
          <w:trHeight w:val="704" w:hRule="exact"/>
        </w:trPr>
        <w:tc>
          <w:tcPr>
            <w:tcW w:w="47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的相关公告。</w:t>
            </w:r>
          </w:p>
        </w:tc>
        <w:tc>
          <w:tcPr>
            <w:tcW w:w="4784"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9"/>
        </w:rPr>
        <w:t> </w:t>
      </w:r>
      <w:r>
        <w:rPr>
          <w:spacing w:val="-69"/>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65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01"/>
              <w:jc w:val="righ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本人因广东 文化长城集 团股份有限 公司（下称 “文化长 </w:t>
            </w:r>
            <w:r>
              <w:rPr>
                <w:rFonts w:ascii="宋体" w:hAnsi="宋体" w:cs="宋体" w:eastAsia="宋体" w:hint="default"/>
                <w:spacing w:val="-29"/>
                <w:sz w:val="18"/>
                <w:szCs w:val="18"/>
              </w:rPr>
              <w:t>城”）根据中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国证券监督 管理委员会</w:t>
            </w:r>
          </w:p>
          <w:p>
            <w:pPr>
              <w:pStyle w:val="TableParagraph"/>
              <w:spacing w:line="316" w:lineRule="auto" w:before="19"/>
              <w:ind w:left="103" w:right="102"/>
              <w:jc w:val="both"/>
              <w:rPr>
                <w:rFonts w:ascii="宋体" w:hAnsi="宋体" w:cs="宋体" w:eastAsia="宋体" w:hint="default"/>
                <w:sz w:val="18"/>
                <w:szCs w:val="18"/>
              </w:rPr>
            </w:pPr>
            <w:r>
              <w:rPr>
                <w:rFonts w:ascii="宋体" w:hAnsi="宋体" w:cs="宋体" w:eastAsia="宋体" w:hint="default"/>
                <w:sz w:val="18"/>
                <w:szCs w:val="18"/>
              </w:rPr>
              <w:t>《关于核准 广东文化长 城集团股份 有限公司向 许高镭等发 行股份购买 资产并募集 配套资金的 </w:t>
            </w:r>
            <w:r>
              <w:rPr>
                <w:rFonts w:ascii="宋体" w:hAnsi="宋体" w:cs="宋体" w:eastAsia="宋体" w:hint="default"/>
                <w:spacing w:val="-29"/>
                <w:sz w:val="18"/>
                <w:szCs w:val="18"/>
              </w:rPr>
              <w:t>批复》（证监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许可</w:t>
            </w:r>
          </w:p>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[2016]1612</w:t>
            </w:r>
          </w:p>
          <w:p>
            <w:pPr>
              <w:pStyle w:val="TableParagraph"/>
              <w:spacing w:line="314" w:lineRule="auto" w:before="65"/>
              <w:ind w:left="103" w:right="102"/>
              <w:jc w:val="left"/>
              <w:rPr>
                <w:rFonts w:ascii="宋体" w:hAnsi="宋体" w:cs="宋体" w:eastAsia="宋体" w:hint="default"/>
                <w:sz w:val="18"/>
                <w:szCs w:val="18"/>
              </w:rPr>
            </w:pPr>
            <w:r>
              <w:rPr>
                <w:rFonts w:ascii="宋体" w:hAnsi="宋体" w:cs="宋体" w:eastAsia="宋体" w:hint="default"/>
                <w:sz w:val="18"/>
                <w:szCs w:val="18"/>
              </w:rPr>
              <w:t>号）实施的 发行股份购 买资产（以 下简称“本 </w:t>
            </w:r>
            <w:r>
              <w:rPr>
                <w:rFonts w:ascii="宋体" w:hAnsi="宋体" w:cs="宋体" w:eastAsia="宋体" w:hint="default"/>
                <w:spacing w:val="-29"/>
                <w:sz w:val="18"/>
                <w:szCs w:val="18"/>
              </w:rPr>
              <w:t>次发行”）而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取得的文化 长城的股份 在本次发行 完成时全部 锁定，其中 </w:t>
            </w:r>
            <w:r>
              <w:rPr>
                <w:rFonts w:ascii="Times New Roman" w:hAnsi="Times New Roman" w:cs="Times New Roman" w:eastAsia="Times New Roman" w:hint="default"/>
                <w:sz w:val="18"/>
                <w:szCs w:val="18"/>
              </w:rPr>
              <w:t>27%</w:t>
            </w:r>
            <w:r>
              <w:rPr>
                <w:rFonts w:ascii="宋体" w:hAnsi="宋体" w:cs="宋体" w:eastAsia="宋体" w:hint="default"/>
                <w:sz w:val="18"/>
                <w:szCs w:val="18"/>
              </w:rPr>
              <w:t>的股 份，自上市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 转让；剩余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6"/>
              <w:ind w:left="103" w:right="10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r>
            <w:r>
              <w:rPr>
                <w:rFonts w:ascii="宋体" w:hAnsi="宋体" w:cs="宋体" w:eastAsia="宋体" w:hint="default"/>
                <w:sz w:val="18"/>
                <w:szCs w:val="18"/>
              </w:rPr>
              <w:t>的股</w:t>
            </w:r>
            <w:r>
              <w:rPr>
                <w:rFonts w:ascii="宋体" w:hAnsi="宋体" w:cs="宋体" w:eastAsia="宋体" w:hint="default"/>
                <w:w w:val="99"/>
                <w:sz w:val="18"/>
                <w:szCs w:val="18"/>
              </w:rPr>
              <w:t> </w:t>
            </w:r>
            <w:r>
              <w:rPr>
                <w:rFonts w:ascii="宋体" w:hAnsi="宋体" w:cs="宋体" w:eastAsia="宋体" w:hint="default"/>
                <w:sz w:val="18"/>
                <w:szCs w:val="18"/>
              </w:rPr>
              <w:t>份，在本次</w:t>
            </w:r>
            <w:r>
              <w:rPr>
                <w:rFonts w:ascii="宋体" w:hAnsi="宋体" w:cs="宋体" w:eastAsia="宋体" w:hint="default"/>
                <w:w w:val="99"/>
                <w:sz w:val="18"/>
                <w:szCs w:val="18"/>
              </w:rPr>
              <w:t> </w:t>
            </w:r>
            <w:r>
              <w:rPr>
                <w:rFonts w:ascii="宋体" w:hAnsi="宋体" w:cs="宋体" w:eastAsia="宋体" w:hint="default"/>
                <w:sz w:val="18"/>
                <w:szCs w:val="18"/>
              </w:rPr>
              <w:t>发行完成之</w:t>
            </w:r>
            <w:r>
              <w:rPr>
                <w:rFonts w:ascii="宋体" w:hAnsi="宋体" w:cs="宋体" w:eastAsia="宋体" w:hint="default"/>
                <w:w w:val="99"/>
                <w:sz w:val="18"/>
                <w:szCs w:val="18"/>
              </w:rPr>
              <w:t> </w:t>
            </w:r>
            <w:r>
              <w:rPr>
                <w:rFonts w:ascii="宋体" w:hAnsi="宋体" w:cs="宋体" w:eastAsia="宋体" w:hint="default"/>
                <w:sz w:val="18"/>
                <w:szCs w:val="18"/>
              </w:rPr>
              <w:t>日起锁定</w:t>
            </w:r>
          </w:p>
          <w:p>
            <w:pPr>
              <w:pStyle w:val="TableParagraph"/>
              <w:spacing w:line="309" w:lineRule="auto" w:before="23"/>
              <w:ind w:left="103"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个月，在</w:t>
            </w:r>
            <w:r>
              <w:rPr>
                <w:rFonts w:ascii="宋体" w:hAnsi="宋体" w:cs="宋体" w:eastAsia="宋体" w:hint="default"/>
                <w:sz w:val="18"/>
                <w:szCs w:val="18"/>
              </w:rPr>
              <w:t> 业绩补偿履 行完毕后</w:t>
            </w:r>
          </w:p>
          <w:p>
            <w:pPr>
              <w:pStyle w:val="TableParagraph"/>
              <w:spacing w:line="319" w:lineRule="auto" w:before="24"/>
              <w:ind w:left="103" w:right="102"/>
              <w:jc w:val="left"/>
              <w:rPr>
                <w:rFonts w:ascii="宋体" w:hAnsi="宋体" w:cs="宋体" w:eastAsia="宋体" w:hint="default"/>
                <w:sz w:val="18"/>
                <w:szCs w:val="18"/>
              </w:rPr>
            </w:pPr>
            <w:r>
              <w:rPr>
                <w:rFonts w:ascii="宋体" w:hAnsi="宋体" w:cs="宋体" w:eastAsia="宋体" w:hint="default"/>
                <w:spacing w:val="-29"/>
                <w:sz w:val="18"/>
                <w:szCs w:val="18"/>
              </w:rPr>
              <w:t>（如需），除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需用于股份 补偿的，其 余给予解除 锁定。本人 承诺在锁定 期内不以任 何形式转让 本次重组将 获得的文化 长城的股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103" w:right="111"/>
              <w:jc w:val="both"/>
              <w:rPr>
                <w:rFonts w:ascii="宋体" w:hAnsi="宋体" w:cs="宋体" w:eastAsia="宋体" w:hint="default"/>
                <w:sz w:val="18"/>
                <w:szCs w:val="18"/>
              </w:rPr>
            </w:pPr>
            <w:r>
              <w:rPr>
                <w:rFonts w:ascii="宋体" w:hAnsi="宋体" w:cs="宋体" w:eastAsia="宋体" w:hint="default"/>
                <w:sz w:val="18"/>
                <w:szCs w:val="18"/>
              </w:rPr>
              <w:t>广州商融投 资咨询有限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本企业因广 东文化长城 集团股份有 限公司（下 称“文化长 </w:t>
            </w:r>
            <w:r>
              <w:rPr>
                <w:rFonts w:ascii="宋体" w:hAnsi="宋体" w:cs="宋体" w:eastAsia="宋体" w:hint="default"/>
                <w:spacing w:val="-29"/>
                <w:sz w:val="18"/>
                <w:szCs w:val="18"/>
              </w:rPr>
              <w:t>城”）根据中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国证券监督 管理委员会</w:t>
            </w:r>
          </w:p>
          <w:p>
            <w:pPr>
              <w:pStyle w:val="TableParagraph"/>
              <w:spacing w:line="316" w:lineRule="auto" w:before="19"/>
              <w:ind w:left="103" w:right="102"/>
              <w:jc w:val="both"/>
              <w:rPr>
                <w:rFonts w:ascii="宋体" w:hAnsi="宋体" w:cs="宋体" w:eastAsia="宋体" w:hint="default"/>
                <w:sz w:val="18"/>
                <w:szCs w:val="18"/>
              </w:rPr>
            </w:pPr>
            <w:r>
              <w:rPr>
                <w:rFonts w:ascii="宋体" w:hAnsi="宋体" w:cs="宋体" w:eastAsia="宋体" w:hint="default"/>
                <w:sz w:val="18"/>
                <w:szCs w:val="18"/>
              </w:rPr>
              <w:t>《关于核准 广东文化长 城集团股份 有限公司向 许高镭等发 行股份购买 资产并募集 配套资金的 </w:t>
            </w:r>
            <w:r>
              <w:rPr>
                <w:rFonts w:ascii="宋体" w:hAnsi="宋体" w:cs="宋体" w:eastAsia="宋体" w:hint="default"/>
                <w:spacing w:val="-29"/>
                <w:sz w:val="18"/>
                <w:szCs w:val="18"/>
              </w:rPr>
              <w:t>批复》（证监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许可</w:t>
            </w:r>
          </w:p>
          <w:p>
            <w:pPr>
              <w:pStyle w:val="TableParagraph"/>
              <w:spacing w:line="240" w:lineRule="auto" w:before="58"/>
              <w:ind w:left="103" w:right="0"/>
              <w:jc w:val="both"/>
              <w:rPr>
                <w:rFonts w:ascii="Times New Roman" w:hAnsi="Times New Roman" w:cs="Times New Roman" w:eastAsia="Times New Roman" w:hint="default"/>
                <w:sz w:val="18"/>
                <w:szCs w:val="18"/>
              </w:rPr>
            </w:pPr>
            <w:r>
              <w:rPr>
                <w:rFonts w:ascii="Times New Roman"/>
                <w:sz w:val="18"/>
              </w:rPr>
              <w:t>[2016]1612</w:t>
            </w:r>
          </w:p>
          <w:p>
            <w:pPr>
              <w:pStyle w:val="TableParagraph"/>
              <w:spacing w:line="316" w:lineRule="auto" w:before="65"/>
              <w:ind w:left="103" w:right="102"/>
              <w:jc w:val="both"/>
              <w:rPr>
                <w:rFonts w:ascii="宋体" w:hAnsi="宋体" w:cs="宋体" w:eastAsia="宋体" w:hint="default"/>
                <w:sz w:val="18"/>
                <w:szCs w:val="18"/>
              </w:rPr>
            </w:pPr>
            <w:r>
              <w:rPr>
                <w:rFonts w:ascii="宋体" w:hAnsi="宋体" w:cs="宋体" w:eastAsia="宋体" w:hint="default"/>
                <w:sz w:val="18"/>
                <w:szCs w:val="18"/>
              </w:rPr>
              <w:t>号）实施的 发行股份购 买资产（以 下简称“本 </w:t>
            </w:r>
            <w:r>
              <w:rPr>
                <w:rFonts w:ascii="宋体" w:hAnsi="宋体" w:cs="宋体" w:eastAsia="宋体" w:hint="default"/>
                <w:spacing w:val="-29"/>
                <w:sz w:val="18"/>
                <w:szCs w:val="18"/>
              </w:rPr>
              <w:t>次发行”）而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取得的文化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103" w:right="10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长城的股份 在本次发行 完成时全部 锁定，并在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不得转让， 在业绩补偿 履行完毕后</w:t>
            </w:r>
          </w:p>
          <w:p>
            <w:pPr>
              <w:pStyle w:val="TableParagraph"/>
              <w:spacing w:line="319" w:lineRule="auto" w:before="19"/>
              <w:ind w:left="103" w:right="102"/>
              <w:jc w:val="both"/>
              <w:rPr>
                <w:rFonts w:ascii="宋体" w:hAnsi="宋体" w:cs="宋体" w:eastAsia="宋体" w:hint="default"/>
                <w:sz w:val="18"/>
                <w:szCs w:val="18"/>
              </w:rPr>
            </w:pPr>
            <w:r>
              <w:rPr>
                <w:rFonts w:ascii="宋体" w:hAnsi="宋体" w:cs="宋体" w:eastAsia="宋体" w:hint="default"/>
                <w:spacing w:val="-29"/>
                <w:sz w:val="18"/>
                <w:szCs w:val="18"/>
              </w:rPr>
              <w:t>（如需），除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需用于股份 补偿的，其 余给予解除 锁定。本企 业承诺在限 定期限内不 以任何形式 转让本次重 组将获得的 文化长城的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安卓易（北 京）科技有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 京虹佳龙文 化传播有限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共青 城纳隆德投 资管理合伙 企业（有限 </w:t>
            </w:r>
            <w:r>
              <w:rPr>
                <w:rFonts w:ascii="宋体" w:hAnsi="宋体" w:cs="宋体" w:eastAsia="宋体" w:hint="default"/>
                <w:spacing w:val="-7"/>
                <w:sz w:val="18"/>
                <w:szCs w:val="18"/>
              </w:rPr>
              <w:t>合伙）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嘉兴</w:t>
            </w:r>
            <w:r>
              <w:rPr>
                <w:rFonts w:ascii="宋体" w:hAnsi="宋体" w:cs="宋体" w:eastAsia="宋体" w:hint="default"/>
                <w:sz w:val="18"/>
                <w:szCs w:val="18"/>
              </w:rPr>
              <w:t> 卓智股权投 资合伙企业</w:t>
            </w:r>
          </w:p>
          <w:p>
            <w:pPr>
              <w:pStyle w:val="TableParagraph"/>
              <w:spacing w:line="312"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宁波梅</w:t>
            </w:r>
            <w:r>
              <w:rPr>
                <w:rFonts w:ascii="宋体" w:hAnsi="宋体" w:cs="宋体" w:eastAsia="宋体" w:hint="default"/>
                <w:sz w:val="18"/>
                <w:szCs w:val="18"/>
              </w:rPr>
              <w:t> 山保税港区 御泓投资合 伙企业（有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深圳普方达 源力投资中 心（有限合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新余邦</w:t>
            </w:r>
            <w:r>
              <w:rPr>
                <w:rFonts w:ascii="宋体" w:hAnsi="宋体" w:cs="宋体" w:eastAsia="宋体" w:hint="default"/>
                <w:sz w:val="18"/>
                <w:szCs w:val="18"/>
              </w:rPr>
              <w:t> 得投资合伙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、在本企业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因本次交易 而取得文化 长城的股份 时，如果本 企业持有翡 翠教育的股 权的时间已 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则本企业因 本次交易取 得的文化长 城的股份自 文化长城本 次交易发行 股份结束之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月内不得转 让；如果本 企业持有翡 翠教育的股 权的时间不 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103" w:right="10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103" w:right="92"/>
              <w:jc w:val="left"/>
              <w:rPr>
                <w:rFonts w:ascii="宋体" w:hAnsi="宋体" w:cs="宋体" w:eastAsia="宋体" w:hint="default"/>
                <w:sz w:val="18"/>
                <w:szCs w:val="18"/>
              </w:rPr>
            </w:pPr>
            <w:r>
              <w:rPr>
                <w:rFonts w:ascii="宋体" w:hAnsi="宋体" w:cs="宋体" w:eastAsia="宋体" w:hint="default"/>
                <w:sz w:val="18"/>
                <w:szCs w:val="18"/>
              </w:rPr>
              <w:t>其中安卓 易（北京） 科技有限 公司、嘉兴 卓智股权 投资合伙 企业（有限 合伙）于报 告期内未 经文化长 城的书面 同意，在锁 定期内的 标的股份 上设置了 质押，其余 的正常履 行中。</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企业（有限 </w:t>
            </w:r>
            <w:r>
              <w:rPr>
                <w:rFonts w:ascii="宋体" w:hAnsi="宋体" w:cs="宋体" w:eastAsia="宋体" w:hint="default"/>
                <w:spacing w:val="-7"/>
                <w:sz w:val="18"/>
                <w:szCs w:val="18"/>
              </w:rPr>
              <w:t>合伙）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新余</w:t>
            </w:r>
            <w:r>
              <w:rPr>
                <w:rFonts w:ascii="宋体" w:hAnsi="宋体" w:cs="宋体" w:eastAsia="宋体" w:hint="default"/>
                <w:sz w:val="18"/>
                <w:szCs w:val="18"/>
              </w:rPr>
              <w:t> 创思资产管 理合伙企业</w:t>
            </w:r>
          </w:p>
          <w:p>
            <w:pPr>
              <w:pStyle w:val="TableParagraph"/>
              <w:spacing w:line="314" w:lineRule="auto" w:before="23"/>
              <w:ind w:left="103" w:right="10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新余信</w:t>
            </w:r>
            <w:r>
              <w:rPr>
                <w:rFonts w:ascii="宋体" w:hAnsi="宋体" w:cs="宋体" w:eastAsia="宋体" w:hint="default"/>
                <w:sz w:val="18"/>
                <w:szCs w:val="18"/>
              </w:rPr>
              <w:t> 公成长新兴 资产管理合 伙企业（有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新余卓趣资 本管理合伙 企业（有限 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则本企业因 本次交易取 得的文化长 城的股份自 文化长城本 次交易发行 股份结束之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月内不得转 </w:t>
            </w:r>
            <w:r>
              <w:rPr>
                <w:rFonts w:ascii="宋体" w:hAnsi="宋体" w:cs="宋体" w:eastAsia="宋体" w:hint="default"/>
                <w:spacing w:val="-14"/>
                <w:sz w:val="18"/>
                <w:szCs w:val="18"/>
              </w:rPr>
              <w:t>让。</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、在前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述约定的法 定锁定期限 届满后，本 企业所取得 的股份对价 在满足以下 条件后分三 </w:t>
            </w:r>
            <w:r>
              <w:rPr>
                <w:rFonts w:ascii="宋体" w:hAnsi="宋体" w:cs="宋体" w:eastAsia="宋体" w:hint="default"/>
                <w:spacing w:val="-25"/>
                <w:sz w:val="18"/>
                <w:szCs w:val="18"/>
              </w:rPr>
              <w:t>期解禁：（</w:t>
            </w:r>
            <w:r>
              <w:rPr>
                <w:rFonts w:ascii="Times New Roman" w:hAnsi="Times New Roman" w:cs="Times New Roman" w:eastAsia="Times New Roman" w:hint="default"/>
                <w:spacing w:val="-25"/>
                <w:sz w:val="18"/>
                <w:szCs w:val="18"/>
              </w:rPr>
              <w:t>1</w:t>
            </w:r>
            <w:r>
              <w:rPr>
                <w:rFonts w:ascii="宋体" w:hAnsi="宋体" w:cs="宋体" w:eastAsia="宋体" w:hint="default"/>
                <w:spacing w:val="-2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本企业因本 次交易取得 的文化长城 的股份自中 国结算登记 至其名下之 日起已满</w:t>
            </w:r>
          </w:p>
          <w:p>
            <w:pPr>
              <w:pStyle w:val="TableParagraph"/>
              <w:spacing w:line="314" w:lineRule="auto" w:before="19"/>
              <w:ind w:left="103" w:right="10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个月，且</w:t>
            </w:r>
            <w:r>
              <w:rPr>
                <w:rFonts w:ascii="宋体" w:hAnsi="宋体" w:cs="宋体" w:eastAsia="宋体" w:hint="default"/>
                <w:sz w:val="18"/>
                <w:szCs w:val="18"/>
              </w:rPr>
              <w:t> 本企业已履 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度翡翠教育 业绩补偿承 诺之日（以 最晚发生的 </w:t>
            </w:r>
            <w:r>
              <w:rPr>
                <w:rFonts w:ascii="宋体" w:hAnsi="宋体" w:cs="宋体" w:eastAsia="宋体" w:hint="default"/>
                <w:spacing w:val="-29"/>
                <w:sz w:val="18"/>
                <w:szCs w:val="18"/>
              </w:rPr>
              <w:t>为准），本企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业因本次交 易取得的文 化长城的股 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314" w:lineRule="auto" w:before="1"/>
              <w:ind w:left="103" w:right="113"/>
              <w:jc w:val="left"/>
              <w:rPr>
                <w:rFonts w:ascii="宋体" w:hAnsi="宋体" w:cs="宋体" w:eastAsia="宋体" w:hint="default"/>
                <w:sz w:val="18"/>
                <w:szCs w:val="18"/>
              </w:rPr>
            </w:pPr>
            <w:r>
              <w:rPr>
                <w:rFonts w:ascii="宋体" w:hAnsi="宋体" w:cs="宋体" w:eastAsia="宋体" w:hint="default"/>
                <w:sz w:val="18"/>
                <w:szCs w:val="18"/>
              </w:rPr>
              <w:t>（需扣除按 照《交易协 议》的约定 对翡翠教育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业绩承诺应 补偿的股份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数）可解除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本企业因本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次交易取得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的文化长城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的股份自中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国结算登记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至其名下之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日起已满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pacing w:val="-9"/>
                <w:sz w:val="18"/>
                <w:szCs w:val="18"/>
              </w:rPr>
              <w:t>个月，且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本企业已履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度翡翠教育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业绩补偿承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诺之日（以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最晚发生的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为准</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业因本次交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易取得的文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化长城的股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（需扣除按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照《交易协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议》的约定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对翡翠教育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业绩承诺应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数）可解除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本企业因本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次交易取得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的文化长城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的股份自中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国结算登记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至其名下之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日起已满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pacing w:val="-9"/>
                <w:sz w:val="18"/>
                <w:szCs w:val="18"/>
              </w:rPr>
              <w:t>个月，且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本企业已履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度翡翠教育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业绩补偿承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诺之日（以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最晚发生的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为准</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本企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业因本次交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易取得的文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化长城的股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（需扣除按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照《交易协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议》的约定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对翡翠教育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业绩承诺应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数）可解除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0"/>
                <w:sz w:val="18"/>
                <w:szCs w:val="18"/>
              </w:rPr>
              <w:t>锁定。</w:t>
            </w: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、根</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据《发行股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份及支付现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金购买资产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协议》第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款需要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对本企业因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本次交易取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得的文化长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城的股份追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加锁定的，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份及支付现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金购买资产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协议》第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款的规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定执行。</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本企业同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意，将根据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法律、监管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部门的要求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办理本企业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而取得的文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化长城股份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的锁定手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81"/>
                <w:sz w:val="18"/>
                <w:szCs w:val="18"/>
              </w:rPr>
              <w:t>。</w:t>
            </w:r>
            <w:r>
              <w:rPr>
                <w:rFonts w:ascii="宋体" w:hAnsi="宋体" w:cs="宋体" w:eastAsia="宋体" w:hint="default"/>
                <w:sz w:val="18"/>
                <w:szCs w:val="18"/>
              </w:rPr>
              <w:t>若法律、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监管部门对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本企业因本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次交易而取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得的文化长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城股份的限</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售安排有进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一步要求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同意根据相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关监管部门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的监管意见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进行相应调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整。</w:t>
            </w:r>
            <w:r>
              <w:rPr>
                <w:rFonts w:ascii="Times New Roman" w:hAnsi="Times New Roman" w:cs="Times New Roman" w:eastAsia="Times New Roman" w:hint="default"/>
                <w:spacing w:val="-14"/>
                <w:sz w:val="18"/>
                <w:szCs w:val="18"/>
              </w:rPr>
              <w:t>5</w:t>
            </w:r>
            <w:r>
              <w:rPr>
                <w:rFonts w:ascii="宋体" w:hAnsi="宋体" w:cs="宋体" w:eastAsia="宋体" w:hint="default"/>
                <w:spacing w:val="-14"/>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业承诺，未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经文化长城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的书面同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意，不在锁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定期内的标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的股份上设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置任何质押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等第三方权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获得的文化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长城股份在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锁定期满解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锁后减持时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还需遵守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交易所创业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板股票上市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规则》等法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律法规以及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文化长城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程》的相关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0"/>
                <w:sz w:val="18"/>
                <w:szCs w:val="18"/>
              </w:rPr>
              <w:t>规定。</w:t>
            </w:r>
            <w:r>
              <w:rPr>
                <w:rFonts w:ascii="Times New Roman" w:hAnsi="Times New Roman" w:cs="Times New Roman" w:eastAsia="Times New Roman" w:hint="default"/>
                <w:spacing w:val="-20"/>
                <w:sz w:val="18"/>
                <w:szCs w:val="18"/>
              </w:rPr>
              <w:t>6</w:t>
            </w:r>
            <w:r>
              <w:rPr>
                <w:rFonts w:ascii="宋体" w:hAnsi="宋体" w:cs="宋体" w:eastAsia="宋体" w:hint="default"/>
                <w:spacing w:val="-20"/>
                <w:sz w:val="18"/>
                <w:szCs w:val="18"/>
              </w:rPr>
              <w:t>、追</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加股份锁定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各方同意，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对于翡翠教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育合并报表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范围（包括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但不限于上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海昊育信息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技术有限公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司）的应收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款项（包括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报告》的应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收账款、其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他应收款等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以扣除资产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减值准备后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的净额数额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为准，以下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合称“应收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款项</w:t>
            </w:r>
            <w:r>
              <w:rPr>
                <w:rFonts w:ascii="宋体" w:hAnsi="宋体" w:cs="宋体" w:eastAsia="宋体" w:hint="default"/>
                <w:spacing w:val="-90"/>
                <w:sz w:val="18"/>
                <w:szCs w:val="18"/>
              </w:rPr>
              <w:t>”）</w:t>
            </w:r>
            <w:r>
              <w:rPr>
                <w:rFonts w:ascii="宋体" w:hAnsi="宋体" w:cs="宋体" w:eastAsia="宋体" w:hint="default"/>
                <w:sz w:val="18"/>
                <w:szCs w:val="18"/>
              </w:rPr>
              <w:t>，按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以下约定处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翡翠教育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后，以翡翠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教育合并报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表范围截至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应收款项为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第一顺位股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东对翡翠教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育应收款项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的管理责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任。为确保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理责任的落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实，翡翠教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度《专项审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核报告》显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示应收款项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有余额的，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则在《购买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的锁定期之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外对第一顺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位股东所持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文化长城股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份追加锁定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9"/>
                <w:sz w:val="18"/>
                <w:szCs w:val="18"/>
              </w:rPr>
              <w:t>个月，追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加锁定股份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金额总额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（股价按照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日的前一个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交易日收盘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价为基础）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为应收款项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管理责任金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其中，第一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顺位股东按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其各自锁定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股份数的比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例进行追加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锁定。如第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一顺位股东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届时所持文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化长城股份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市值不足应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收款项管理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责任金额的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倍，则全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部锁定</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第一顺位股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东应在翡翠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教育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年度《专项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出具之日起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完成应收款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项管理责任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金额的回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收，未能完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成回收的，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差额部分由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第一顺位股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东共同以货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币资金在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收期满之日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作日内向翡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翠教育先行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垫付。在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个月期满清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算应收款项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管理责任金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额完成之前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或垫付差额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之前，翡翠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教育实现的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超额利润不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予分配</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满足以下条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件之一时，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可以对第一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顺位股东追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加锁定的股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份解禁并进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行超额利润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分配：①在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翡翠教育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个月期满前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或期满时，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理责任金额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全部完成回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收。②在翡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翠教育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个月期满前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或期满时，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理责任金额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未完成全部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回收，但差</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额部分已由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第一顺位股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东以货币资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金全额垫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付</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一顺位股东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按前项约定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垫付全部应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收款项差额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的，翡翠教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育后续收回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之相应应收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款项，退还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给第一顺位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股东；若截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翡翠教育仍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未完全收回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上述应收款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项，则第一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顺位股东应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当于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日前受让翡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翠教育的上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述应收款中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未收回的全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部债权并支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付完毕债权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转让款，受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让价款与翡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翠教育未收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回的应收款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项的金额相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等。若第一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顺位股东未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以现金支付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完毕前述债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权转让款，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文化长城有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权以第一顺 位股东持有 文化长城的 股份变现后 优先偿还该 等债权转让 款；若第一 顺位股东之 前已经垫付 上述应收款 项中未收回 的债权，则 垫付的款项 冲抵同等金 额的债权转 让款。</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07" w:lineRule="auto"/>
              <w:ind w:left="103" w:right="111"/>
              <w:jc w:val="left"/>
              <w:rPr>
                <w:rFonts w:ascii="宋体" w:hAnsi="宋体" w:cs="宋体" w:eastAsia="宋体" w:hint="default"/>
                <w:sz w:val="18"/>
                <w:szCs w:val="18"/>
              </w:rPr>
            </w:pPr>
            <w:r>
              <w:rPr>
                <w:rFonts w:ascii="宋体" w:hAnsi="宋体" w:cs="宋体" w:eastAsia="宋体" w:hint="default"/>
                <w:sz w:val="18"/>
                <w:szCs w:val="18"/>
              </w:rPr>
              <w:t>广州商融投 资咨询有限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雷凡</w:t>
            </w:r>
            <w:r>
              <w:rPr>
                <w:rFonts w:ascii="Times New Roman" w:hAnsi="Times New Roman" w:cs="Times New Roman" w:eastAsia="Times New Roman" w:hint="default"/>
                <w:sz w:val="18"/>
                <w:szCs w:val="18"/>
              </w:rPr>
              <w:t>; </w:t>
            </w:r>
            <w:r>
              <w:rPr>
                <w:rFonts w:ascii="宋体" w:hAnsi="宋体" w:cs="宋体" w:eastAsia="宋体" w:hint="default"/>
                <w:sz w:val="18"/>
                <w:szCs w:val="18"/>
              </w:rPr>
              <w:t>李东英</w:t>
            </w:r>
            <w:r>
              <w:rPr>
                <w:rFonts w:ascii="Times New Roman" w:hAnsi="Times New Roman" w:cs="Times New Roman" w:eastAsia="Times New Roman" w:hint="default"/>
                <w:sz w:val="18"/>
                <w:szCs w:val="18"/>
              </w:rPr>
              <w:t>;</w:t>
            </w:r>
            <w:r>
              <w:rPr>
                <w:rFonts w:ascii="宋体" w:hAnsi="宋体" w:cs="宋体" w:eastAsia="宋体" w:hint="default"/>
                <w:sz w:val="18"/>
                <w:szCs w:val="18"/>
              </w:rPr>
              <w:t>彭 辉</w:t>
            </w:r>
            <w:r>
              <w:rPr>
                <w:rFonts w:ascii="Times New Roman" w:hAnsi="Times New Roman" w:cs="Times New Roman" w:eastAsia="Times New Roman" w:hint="default"/>
                <w:sz w:val="18"/>
                <w:szCs w:val="18"/>
              </w:rPr>
              <w:t>;</w:t>
            </w:r>
            <w:r>
              <w:rPr>
                <w:rFonts w:ascii="宋体" w:hAnsi="宋体" w:cs="宋体" w:eastAsia="宋体" w:hint="default"/>
                <w:sz w:val="18"/>
                <w:szCs w:val="18"/>
              </w:rPr>
              <w:t>许高镭</w:t>
            </w:r>
            <w:r>
              <w:rPr>
                <w:rFonts w:ascii="Times New Roman" w:hAnsi="Times New Roman" w:cs="Times New Roman" w:eastAsia="Times New Roman" w:hint="default"/>
                <w:sz w:val="18"/>
                <w:szCs w:val="18"/>
              </w:rPr>
              <w:t>; </w:t>
            </w:r>
            <w:r>
              <w:rPr>
                <w:rFonts w:ascii="宋体" w:hAnsi="宋体" w:cs="宋体" w:eastAsia="宋体" w:hint="default"/>
                <w:sz w:val="18"/>
                <w:szCs w:val="18"/>
              </w:rPr>
              <w:t>许高云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承诺联汛教 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度、</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度、</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年度实现净 利润分别不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p>
          <w:p>
            <w:pPr>
              <w:pStyle w:val="TableParagraph"/>
              <w:spacing w:line="307" w:lineRule="auto" w:before="7"/>
              <w:ind w:left="103" w:right="101"/>
              <w:jc w:val="left"/>
              <w:rPr>
                <w:rFonts w:ascii="宋体" w:hAnsi="宋体" w:cs="宋体" w:eastAsia="宋体" w:hint="default"/>
                <w:sz w:val="18"/>
                <w:szCs w:val="18"/>
              </w:rPr>
            </w:pP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6,000</w:t>
            </w:r>
            <w:r>
              <w:rPr>
                <w:rFonts w:ascii="Times New Roman" w:hAnsi="Times New Roman" w:cs="Times New Roman" w:eastAsia="Times New Roman" w:hint="default"/>
                <w:spacing w:val="-40"/>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7,800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before="7"/>
              <w:ind w:left="103" w:right="113"/>
              <w:jc w:val="left"/>
              <w:rPr>
                <w:rFonts w:ascii="宋体" w:hAnsi="宋体" w:cs="宋体" w:eastAsia="宋体" w:hint="default"/>
                <w:sz w:val="18"/>
                <w:szCs w:val="18"/>
              </w:rPr>
            </w:pPr>
            <w:r>
              <w:rPr>
                <w:rFonts w:ascii="宋体" w:hAnsi="宋体" w:cs="宋体" w:eastAsia="宋体" w:hint="default"/>
                <w:sz w:val="18"/>
                <w:szCs w:val="18"/>
              </w:rPr>
              <w:t>元。净利润 指联汛教育 实现的合并 报表归属于 母公司股东 的净利润 数，以扣除 非经常性损 益前后孰低 者为计算依 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安卓易（北 京）科技有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 京虹佳龙文 化传播有限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承诺在利润 承诺期即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300" w:lineRule="auto"/>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年翡 翠教育实现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9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陈盛 东</w:t>
            </w:r>
            <w:r>
              <w:rPr>
                <w:rFonts w:ascii="Times New Roman" w:hAnsi="Times New Roman" w:cs="Times New Roman" w:eastAsia="Times New Roman" w:hint="default"/>
                <w:sz w:val="18"/>
                <w:szCs w:val="18"/>
              </w:rPr>
              <w:t>;</w:t>
            </w:r>
            <w:r>
              <w:rPr>
                <w:rFonts w:ascii="宋体" w:hAnsi="宋体" w:cs="宋体" w:eastAsia="宋体" w:hint="default"/>
                <w:sz w:val="18"/>
                <w:szCs w:val="18"/>
              </w:rPr>
              <w:t>共青城 纳隆德投资 管理合伙企 业（有限合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嘉兴卓</w:t>
            </w:r>
            <w:r>
              <w:rPr>
                <w:rFonts w:ascii="宋体" w:hAnsi="宋体" w:cs="宋体" w:eastAsia="宋体" w:hint="default"/>
                <w:sz w:val="18"/>
                <w:szCs w:val="18"/>
              </w:rPr>
              <w:t> 智股权投资 合伙企业</w:t>
            </w:r>
          </w:p>
          <w:p>
            <w:pPr>
              <w:pStyle w:val="TableParagraph"/>
              <w:spacing w:line="312" w:lineRule="auto" w:before="24"/>
              <w:ind w:left="103" w:right="101"/>
              <w:jc w:val="left"/>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李振 舟</w:t>
            </w:r>
            <w:r>
              <w:rPr>
                <w:rFonts w:ascii="Times New Roman" w:hAnsi="Times New Roman" w:cs="Times New Roman" w:eastAsia="Times New Roman" w:hint="default"/>
                <w:sz w:val="18"/>
                <w:szCs w:val="18"/>
              </w:rPr>
              <w:t>;</w:t>
            </w:r>
            <w:r>
              <w:rPr>
                <w:rFonts w:ascii="宋体" w:hAnsi="宋体" w:cs="宋体" w:eastAsia="宋体" w:hint="default"/>
                <w:sz w:val="18"/>
                <w:szCs w:val="18"/>
              </w:rPr>
              <w:t>鲁志宏</w:t>
            </w:r>
            <w:r>
              <w:rPr>
                <w:rFonts w:ascii="Times New Roman" w:hAnsi="Times New Roman" w:cs="Times New Roman" w:eastAsia="Times New Roman" w:hint="default"/>
                <w:sz w:val="18"/>
                <w:szCs w:val="18"/>
              </w:rPr>
              <w:t>; </w:t>
            </w:r>
            <w:r>
              <w:rPr>
                <w:rFonts w:ascii="宋体" w:hAnsi="宋体" w:cs="宋体" w:eastAsia="宋体" w:hint="default"/>
                <w:sz w:val="18"/>
                <w:szCs w:val="18"/>
              </w:rPr>
              <w:t>宁波梅山保 税港区御泓 投资合伙企 业（有限合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深圳普</w:t>
            </w:r>
            <w:r>
              <w:rPr>
                <w:rFonts w:ascii="宋体" w:hAnsi="宋体" w:cs="宋体" w:eastAsia="宋体" w:hint="default"/>
                <w:sz w:val="18"/>
                <w:szCs w:val="18"/>
              </w:rPr>
              <w:t> 方达源力投 资中心（有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天津钰美瑞 科技中心</w:t>
            </w:r>
          </w:p>
          <w:p>
            <w:pPr>
              <w:pStyle w:val="TableParagraph"/>
              <w:spacing w:line="312"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新余邦</w:t>
            </w:r>
            <w:r>
              <w:rPr>
                <w:rFonts w:ascii="宋体" w:hAnsi="宋体" w:cs="宋体" w:eastAsia="宋体" w:hint="default"/>
                <w:sz w:val="18"/>
                <w:szCs w:val="18"/>
              </w:rPr>
              <w:t> 得投资合伙 企业（有限 </w:t>
            </w:r>
            <w:r>
              <w:rPr>
                <w:rFonts w:ascii="宋体" w:hAnsi="宋体" w:cs="宋体" w:eastAsia="宋体" w:hint="default"/>
                <w:spacing w:val="-7"/>
                <w:sz w:val="18"/>
                <w:szCs w:val="18"/>
              </w:rPr>
              <w:t>合伙）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新余</w:t>
            </w:r>
            <w:r>
              <w:rPr>
                <w:rFonts w:ascii="宋体" w:hAnsi="宋体" w:cs="宋体" w:eastAsia="宋体" w:hint="default"/>
                <w:sz w:val="18"/>
                <w:szCs w:val="18"/>
              </w:rPr>
              <w:t> 创思资产管 理合伙企业</w:t>
            </w:r>
          </w:p>
          <w:p>
            <w:pPr>
              <w:pStyle w:val="TableParagraph"/>
              <w:spacing w:line="314"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新余信</w:t>
            </w:r>
            <w:r>
              <w:rPr>
                <w:rFonts w:ascii="宋体" w:hAnsi="宋体" w:cs="宋体" w:eastAsia="宋体" w:hint="default"/>
                <w:sz w:val="18"/>
                <w:szCs w:val="18"/>
              </w:rPr>
              <w:t> 公成长新兴 资产管理合 伙企业（有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新余卓趣资 本管理合伙 企业（有限 </w:t>
            </w:r>
            <w:r>
              <w:rPr>
                <w:rFonts w:ascii="宋体" w:hAnsi="宋体" w:cs="宋体" w:eastAsia="宋体" w:hint="default"/>
                <w:spacing w:val="-7"/>
                <w:sz w:val="18"/>
                <w:szCs w:val="18"/>
              </w:rPr>
              <w:t>合伙）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张熙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的净利润分 别为：</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年度实现净 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p>
          <w:p>
            <w:pPr>
              <w:pStyle w:val="TableParagraph"/>
              <w:spacing w:line="309" w:lineRule="auto" w:before="3"/>
              <w:ind w:left="103" w:right="113"/>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年共计实现 净利润 </w:t>
            </w:r>
            <w:r>
              <w:rPr>
                <w:rFonts w:ascii="Times New Roman" w:hAnsi="Times New Roman" w:cs="Times New Roman" w:eastAsia="Times New Roman" w:hint="default"/>
                <w:sz w:val="18"/>
                <w:szCs w:val="18"/>
              </w:rPr>
              <w:t>20,700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7" w:lineRule="auto" w:before="5"/>
              <w:ind w:left="103" w:right="102"/>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共计实现净 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35,910</w:t>
            </w:r>
          </w:p>
          <w:p>
            <w:pPr>
              <w:pStyle w:val="TableParagraph"/>
              <w:spacing w:line="319" w:lineRule="auto" w:before="7"/>
              <w:ind w:left="103" w:right="113"/>
              <w:jc w:val="both"/>
              <w:rPr>
                <w:rFonts w:ascii="宋体" w:hAnsi="宋体" w:cs="宋体" w:eastAsia="宋体" w:hint="default"/>
                <w:sz w:val="18"/>
                <w:szCs w:val="18"/>
              </w:rPr>
            </w:pPr>
            <w:r>
              <w:rPr>
                <w:rFonts w:ascii="宋体" w:hAnsi="宋体" w:cs="宋体" w:eastAsia="宋体" w:hint="default"/>
                <w:sz w:val="18"/>
                <w:szCs w:val="18"/>
              </w:rPr>
              <w:t>万元。净利 润指经文化 长城认可的 会计师事务 所审计的翡 翠教育实现 的合并报表 归属于母公 司股东的净 利润，以扣 除非经常性 损益前后孰 低者为计算 依据。</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公司实际控 制人，同时 作为公司董 事、高管的 蔡廷祥、吴 淡珠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13"/>
              <w:jc w:val="both"/>
              <w:rPr>
                <w:rFonts w:ascii="宋体" w:hAnsi="宋体" w:cs="宋体" w:eastAsia="宋体" w:hint="default"/>
                <w:sz w:val="18"/>
                <w:szCs w:val="18"/>
              </w:rPr>
            </w:pPr>
            <w:r>
              <w:rPr>
                <w:rFonts w:ascii="宋体" w:hAnsi="宋体" w:cs="宋体" w:eastAsia="宋体" w:hint="default"/>
                <w:sz w:val="18"/>
                <w:szCs w:val="18"/>
              </w:rPr>
              <w:t>在本人任职 期间，每年 转让的股份 不超过本人 持有股份总 数的百分之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二十五，且 在离职后半 年内，不转 让本人所持 有的股份； 在申报离职 六个月后的 十二个月内 通过证券交 易所挂牌交 易出售公司 股票的数量 占本人所持 有公司股票 总数的比例 不超过百分 之五十。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6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公司副总经 理兼董事、 董秘任锋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在本人任职 期间，每年 转让的股份 不超过本人 持有股份总 数的百分之 二十五，且 在离职后半 年内，不转 让本人所持 有的股份； 在申报离职 六个月后的 十二个月内 通过证券交 易所挂牌交 易出售公司 股票的数量 占本人所持 有公司股票 总数的比例 不超过百分 之五十。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29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公司控股股 东、实际控 制人蔡廷祥 及其配偶吴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
              <w:jc w:val="left"/>
              <w:rPr>
                <w:rFonts w:ascii="宋体" w:hAnsi="宋体" w:cs="宋体" w:eastAsia="宋体" w:hint="default"/>
                <w:sz w:val="18"/>
                <w:szCs w:val="18"/>
              </w:rPr>
            </w:pPr>
            <w:r>
              <w:rPr>
                <w:rFonts w:ascii="宋体" w:hAnsi="宋体" w:cs="宋体" w:eastAsia="宋体" w:hint="default"/>
                <w:sz w:val="18"/>
                <w:szCs w:val="18"/>
              </w:rPr>
              <w:t>《避免和消 除同业竞争 </w:t>
            </w:r>
            <w:r>
              <w:rPr>
                <w:rFonts w:ascii="宋体" w:hAnsi="宋体" w:cs="宋体" w:eastAsia="宋体" w:hint="default"/>
                <w:spacing w:val="-15"/>
                <w:sz w:val="18"/>
                <w:szCs w:val="18"/>
              </w:rPr>
              <w:t>的承诺函》，</w:t>
            </w:r>
            <w:r>
              <w:rPr>
                <w:rFonts w:ascii="宋体" w:hAnsi="宋体" w:cs="宋体" w:eastAsia="宋体" w:hint="default"/>
                <w:sz w:val="18"/>
                <w:szCs w:val="18"/>
              </w:rPr>
              <w:t> 具体内容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7"/>
              <w:jc w:val="both"/>
              <w:rPr>
                <w:rFonts w:ascii="宋体" w:hAnsi="宋体" w:cs="宋体" w:eastAsia="宋体" w:hint="default"/>
                <w:sz w:val="18"/>
                <w:szCs w:val="18"/>
              </w:rPr>
            </w:pPr>
            <w:r>
              <w:rPr>
                <w:rFonts w:ascii="宋体" w:hAnsi="宋体" w:cs="宋体" w:eastAsia="宋体" w:hint="default"/>
                <w:sz w:val="18"/>
                <w:szCs w:val="18"/>
              </w:rPr>
              <w:t>作为公司控 股股东或实 际控制人， 或持有公司</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淡珠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为：第一条 在本人作为 广东长城集 团股份有限 公司的控股 股东或者实 际控制人期 间或者持有 广东长城集 团股份有限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上股份期 间，本人不 在任何地域 以任何形 式，从事法 律、法规和 中国证券监 督管理委员 会规章所规 定的可能与 广东长城集 团股份有限 公司构成同 业竞争的活 动。本人今 后如果不再 是广东长城 集团股份有 限公司的控 股股东或实 际控制人， 本人自该控 股或实际控 制关系解除 之日起五年 内，仍必须 信守前款的 承诺。第二 条 本人从 第三方获得 的商业机会 如果属于广 东长城集团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22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r>
              <w:rPr>
                <w:rFonts w:ascii="宋体" w:hAnsi="宋体" w:cs="宋体" w:eastAsia="宋体" w:hint="default"/>
                <w:w w:val="99"/>
                <w:sz w:val="18"/>
                <w:szCs w:val="18"/>
              </w:rPr>
              <w:t> </w:t>
            </w:r>
            <w:r>
              <w:rPr>
                <w:rFonts w:ascii="宋体" w:hAnsi="宋体" w:cs="宋体" w:eastAsia="宋体" w:hint="default"/>
                <w:sz w:val="18"/>
                <w:szCs w:val="18"/>
              </w:rPr>
              <w:t>份期间</w:t>
            </w: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范围之内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的，则本人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将及时告知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公司，并尽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可能地协助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公司取得该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第三条  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人不以任何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方式从事任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何可能影响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公司经营和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发展的业务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或活动，包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括：</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现有的社会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资源和客户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资源阻碍或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者限制广东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长城集团股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的独立发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展</w:t>
            </w:r>
            <w:r>
              <w:rPr>
                <w:rFonts w:ascii="宋体" w:hAnsi="宋体" w:cs="宋体" w:eastAsia="宋体" w:hint="default"/>
                <w:spacing w:val="-86"/>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6"/>
                <w:sz w:val="18"/>
                <w:szCs w:val="18"/>
              </w:rPr>
              <w:t>、</w:t>
            </w:r>
            <w:r>
              <w:rPr>
                <w:rFonts w:ascii="宋体" w:hAnsi="宋体" w:cs="宋体" w:eastAsia="宋体" w:hint="default"/>
                <w:sz w:val="18"/>
                <w:szCs w:val="18"/>
              </w:rPr>
              <w:t>捏造、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散布不利于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息，损害广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东长城集团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司的商誉。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1"/>
                <w:sz w:val="18"/>
                <w:szCs w:val="18"/>
              </w:rPr>
              <w:t>、</w:t>
            </w:r>
            <w:r>
              <w:rPr>
                <w:rFonts w:ascii="宋体" w:hAnsi="宋体" w:cs="宋体" w:eastAsia="宋体" w:hint="default"/>
                <w:sz w:val="18"/>
                <w:szCs w:val="18"/>
              </w:rPr>
              <w:t>利用对广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东长城集团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司的控制地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位施加不良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0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
              <w:jc w:val="left"/>
              <w:rPr>
                <w:rFonts w:ascii="宋体" w:hAnsi="宋体" w:cs="宋体" w:eastAsia="宋体" w:hint="default"/>
                <w:sz w:val="18"/>
                <w:szCs w:val="18"/>
              </w:rPr>
            </w:pPr>
            <w:r>
              <w:rPr>
                <w:rFonts w:ascii="宋体" w:hAnsi="宋体" w:cs="宋体" w:eastAsia="宋体" w:hint="default"/>
                <w:sz w:val="18"/>
                <w:szCs w:val="18"/>
              </w:rPr>
              <w:t>影响，造成 广东长城集 团股份有限 公司高级管 理人员、研 发人员、技 术人员等核 心人员的异 常变动；</w:t>
            </w:r>
            <w:r>
              <w:rPr>
                <w:rFonts w:ascii="Times New Roman" w:hAnsi="Times New Roman" w:cs="Times New Roman" w:eastAsia="Times New Roman" w:hint="default"/>
                <w:sz w:val="18"/>
                <w:szCs w:val="18"/>
              </w:rPr>
              <w:t>4</w:t>
            </w:r>
            <w:r>
              <w:rPr>
                <w:rFonts w:ascii="宋体" w:hAnsi="宋体" w:cs="宋体" w:eastAsia="宋体" w:hint="default"/>
                <w:sz w:val="18"/>
                <w:szCs w:val="18"/>
              </w:rPr>
              <w:t>、 从广东长城 集团股份有 限公司招聘 专业技术人 员，销售人 员、高级管 理人员。第 四条 本人 将督促本人 的配偶、成 年子女及其 配偶，子女 配偶的父 母，本人的 兄弟姐妹及 其配偶、本 人配偶的兄 弟姐妹及其 配偶，以及 本人投资的 企业，同受 本承诺函的 约束。</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3" w:right="11"/>
              <w:jc w:val="left"/>
              <w:rPr>
                <w:rFonts w:ascii="宋体" w:hAnsi="宋体" w:cs="宋体" w:eastAsia="宋体" w:hint="default"/>
                <w:sz w:val="18"/>
                <w:szCs w:val="18"/>
              </w:rPr>
            </w:pPr>
            <w:r>
              <w:rPr>
                <w:rFonts w:ascii="宋体" w:hAnsi="宋体" w:cs="宋体" w:eastAsia="宋体" w:hint="default"/>
                <w:sz w:val="18"/>
                <w:szCs w:val="18"/>
              </w:rPr>
              <w:t>公司各发起 人蔡廷祥、 吴淡珠、任 </w:t>
            </w:r>
            <w:r>
              <w:rPr>
                <w:rFonts w:ascii="宋体" w:hAnsi="宋体" w:cs="宋体" w:eastAsia="宋体" w:hint="default"/>
                <w:spacing w:val="-14"/>
                <w:sz w:val="18"/>
                <w:szCs w:val="18"/>
              </w:rPr>
              <w:t>锋、陈素芳、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陈得光、柯 少玲、陈锦 贤、肖少强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由于公司整 体变更股份 公司时，相 关法律对整 体变更股份 公司涉及的 个人所得税 的缴纳尚没 有明确的规 定，公司暂 未代本人扣 缴相关税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款。如果今 后国家有关 税务主管部 门就上述事 项要求本人 补交税款或 承担法律责 任，本人愿 意按照有关 部门的要求 自行补缴税 款或承担相 应的法律责 任。如有关 部门要求公 司承担法律 责任，本人 愿意按发起 设立股份公 司时的持股 比例承担相 应法律责任 并对公司因 此受到的损 失给予补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公司已按规 定向主管税 务机关申报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应交企业所 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435.19</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万元，截至</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300" w:lineRule="auto" w:before="63"/>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日，公司</w:t>
            </w:r>
            <w:r>
              <w:rPr>
                <w:rFonts w:ascii="宋体" w:hAnsi="宋体" w:cs="宋体" w:eastAsia="宋体" w:hint="default"/>
                <w:sz w:val="18"/>
                <w:szCs w:val="18"/>
              </w:rPr>
              <w:t> 已上缴</w:t>
            </w:r>
          </w:p>
          <w:p>
            <w:pPr>
              <w:pStyle w:val="TableParagraph"/>
              <w:spacing w:line="309" w:lineRule="auto" w:before="3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企业所得税 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127.95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元，并于</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309" w:lineRule="auto" w:before="63"/>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日向主 管税务机关 潮州市地方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9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税务局枫溪 税务分局申 请缓交</w:t>
            </w:r>
          </w:p>
          <w:p>
            <w:pPr>
              <w:pStyle w:val="TableParagraph"/>
              <w:spacing w:line="309" w:lineRule="auto" w:before="19"/>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企业所得税 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307.24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p>
          <w:p>
            <w:pPr>
              <w:pStyle w:val="TableParagraph"/>
              <w:spacing w:line="316" w:lineRule="auto" w:before="5"/>
              <w:ind w:left="10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元，公司承 诺在一年内 缴纳，缓交 申请业经潮 州市地方税 务局枫溪税 务分局批复 同意。公司 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月清缴 上述缓交税 款，主管税 务机关没有 就上述缓交 行为要求公 司交纳滞纳 金或承担法 律责任。如 果今后国家 有关税务主 管机关就上 述事项要求 公司补交纳 滞纳金或承 担法律责 任，本人愿 意按照有关 税务主管部 门的要求承 担滞纳金或 相应的法律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111"/>
              <w:jc w:val="both"/>
              <w:rPr>
                <w:rFonts w:ascii="宋体" w:hAnsi="宋体" w:cs="宋体" w:eastAsia="宋体" w:hint="default"/>
                <w:sz w:val="18"/>
                <w:szCs w:val="18"/>
              </w:rPr>
            </w:pPr>
            <w:r>
              <w:rPr>
                <w:rFonts w:ascii="宋体" w:hAnsi="宋体" w:cs="宋体" w:eastAsia="宋体" w:hint="default"/>
                <w:sz w:val="18"/>
                <w:szCs w:val="18"/>
              </w:rPr>
              <w:t>公司实际控 制人蔡廷祥 及其配偶吴 淡珠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公司分别于</w:t>
            </w:r>
          </w:p>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0" w:lineRule="auto" w:before="63"/>
              <w:ind w:left="103" w:right="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 协议出让方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式取得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宗 国有土地使 用权，面积 合计</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44,718.35</w:t>
            </w:r>
          </w:p>
          <w:p>
            <w:pPr>
              <w:pStyle w:val="TableParagraph"/>
              <w:spacing w:line="316" w:lineRule="auto" w:before="65"/>
              <w:ind w:left="103" w:right="113"/>
              <w:jc w:val="left"/>
              <w:rPr>
                <w:rFonts w:ascii="宋体" w:hAnsi="宋体" w:cs="宋体" w:eastAsia="宋体" w:hint="default"/>
                <w:sz w:val="18"/>
                <w:szCs w:val="18"/>
              </w:rPr>
            </w:pPr>
            <w:r>
              <w:rPr>
                <w:rFonts w:ascii="宋体" w:hAnsi="宋体" w:cs="宋体" w:eastAsia="宋体" w:hint="default"/>
                <w:sz w:val="18"/>
                <w:szCs w:val="18"/>
              </w:rPr>
              <w:t>平方米。该 等国有土地 使用权均已 办理土地使 用证。如公 司在上述协 议出让国有 土地使用权 过程中因违 反相关法律 法规导致公 司需要补交 相关费用或 承担相关损 失的，其承 诺承担全部 费用或损 失，并保证 公司的利益 不因上述事 项遭受任何 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如公司因发 行股票并上 市之前发生 的未能依法 缴交社会保 险费及住房 公积金事由 而需要补缴 费用、赔偿 损失或缴交 行政罚款 的，本人愿 意全额补偿 股份公司因 此承担的全 部费用。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89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1"/>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如果发生由 于广关部门 颁布的东省 有关文件和 国家有相关 规定存在差 异，导致国 家有关税务 主管部门认 定股份公司 在以前年度 享受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所 得税率条件 不成立，且 需按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的 所得税率补 交以前年度 所得税差额 的情况，本 人愿意承担 股份公司因 此需要补缴 的所得税款 及相关费 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1"/>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从公司股票 复牌后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个月内，在 法律法规允 许的条件 下，通过证 券公司、基 金管理公司 定向资产管 理或二级市 场买入等方 式购买本公 司股票，累 计增持金额 不低于</w:t>
            </w:r>
          </w:p>
          <w:p>
            <w:pPr>
              <w:pStyle w:val="TableParagraph"/>
              <w:spacing w:line="300" w:lineRule="auto" w:before="19"/>
              <w:ind w:left="10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增持完毕后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46"/>
              <w:ind w:left="103" w:right="107"/>
              <w:jc w:val="left"/>
              <w:rPr>
                <w:rFonts w:ascii="宋体" w:hAnsi="宋体" w:cs="宋体" w:eastAsia="宋体" w:hint="default"/>
                <w:sz w:val="18"/>
                <w:szCs w:val="18"/>
              </w:rPr>
            </w:pPr>
            <w:r>
              <w:rPr>
                <w:rFonts w:ascii="宋体" w:hAnsi="宋体" w:cs="宋体" w:eastAsia="宋体" w:hint="default"/>
                <w:sz w:val="18"/>
                <w:szCs w:val="18"/>
              </w:rPr>
              <w:t>自股票复牌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103" w:right="272"/>
              <w:jc w:val="left"/>
              <w:rPr>
                <w:rFonts w:ascii="宋体" w:hAnsi="宋体" w:cs="宋体" w:eastAsia="宋体" w:hint="default"/>
                <w:sz w:val="18"/>
                <w:szCs w:val="18"/>
              </w:rPr>
            </w:pPr>
            <w:r>
              <w:rPr>
                <w:rFonts w:ascii="宋体" w:hAnsi="宋体" w:cs="宋体" w:eastAsia="宋体" w:hint="default"/>
                <w:sz w:val="18"/>
                <w:szCs w:val="18"/>
              </w:rPr>
              <w:t>客观原因 无法履行</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减持通过上 述方式增持 的公司股 票，增持所 需资金由本 人自筹取 得。</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103" w:right="111"/>
              <w:jc w:val="left"/>
              <w:rPr>
                <w:rFonts w:ascii="宋体" w:hAnsi="宋体" w:cs="宋体" w:eastAsia="宋体" w:hint="default"/>
                <w:sz w:val="18"/>
                <w:szCs w:val="18"/>
              </w:rPr>
            </w:pPr>
            <w:r>
              <w:rPr>
                <w:rFonts w:ascii="宋体" w:hAnsi="宋体" w:cs="宋体" w:eastAsia="宋体" w:hint="default"/>
                <w:sz w:val="18"/>
                <w:szCs w:val="18"/>
              </w:rPr>
              <w:t>公司副总经 理鲁志宏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103" w:right="11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一、本人拟 增持文化长 城的股份， 具体计划如 </w:t>
            </w:r>
            <w:r>
              <w:rPr>
                <w:rFonts w:ascii="宋体" w:hAnsi="宋体" w:cs="宋体" w:eastAsia="宋体" w:hint="default"/>
                <w:spacing w:val="-14"/>
                <w:sz w:val="18"/>
                <w:szCs w:val="18"/>
              </w:rPr>
              <w:t>下：</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目的：基于 对文化长城 现有业务的 合理判断以 及对文化长 城未来发展 前景的信 </w:t>
            </w:r>
            <w:r>
              <w:rPr>
                <w:rFonts w:ascii="宋体" w:hAnsi="宋体" w:cs="宋体" w:eastAsia="宋体" w:hint="default"/>
                <w:spacing w:val="-14"/>
                <w:sz w:val="18"/>
                <w:szCs w:val="18"/>
              </w:rPr>
              <w:t>心。</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来源：自有 资金或自筹 </w:t>
            </w:r>
            <w:r>
              <w:rPr>
                <w:rFonts w:ascii="宋体" w:hAnsi="宋体" w:cs="宋体" w:eastAsia="宋体" w:hint="default"/>
                <w:spacing w:val="-20"/>
                <w:sz w:val="18"/>
                <w:szCs w:val="18"/>
              </w:rPr>
              <w:t>资金。</w:t>
            </w: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、增</w:t>
            </w:r>
            <w:r>
              <w:rPr>
                <w:rFonts w:ascii="宋体" w:hAnsi="宋体" w:cs="宋体" w:eastAsia="宋体" w:hint="default"/>
                <w:spacing w:val="-40"/>
                <w:sz w:val="18"/>
                <w:szCs w:val="18"/>
              </w:rPr>
              <w:t> </w:t>
            </w:r>
            <w:r>
              <w:rPr>
                <w:rFonts w:ascii="宋体" w:hAnsi="宋体" w:cs="宋体" w:eastAsia="宋体" w:hint="default"/>
                <w:sz w:val="18"/>
                <w:szCs w:val="18"/>
              </w:rPr>
              <w:t>持规模：累</w:t>
            </w:r>
            <w:r>
              <w:rPr>
                <w:rFonts w:ascii="宋体" w:hAnsi="宋体" w:cs="宋体" w:eastAsia="宋体" w:hint="default"/>
                <w:sz w:val="18"/>
                <w:szCs w:val="18"/>
              </w:rPr>
              <w:t> 计增持金额 不低于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6" w:lineRule="auto" w:before="1"/>
              <w:ind w:left="103" w:right="12"/>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增持方式： 由本人直接 从二级市场 采用集中竞 价方式购 </w:t>
            </w:r>
            <w:r>
              <w:rPr>
                <w:rFonts w:ascii="宋体" w:hAnsi="宋体" w:cs="宋体" w:eastAsia="宋体" w:hint="default"/>
                <w:spacing w:val="-14"/>
                <w:sz w:val="18"/>
                <w:szCs w:val="18"/>
              </w:rPr>
              <w:t>入。</w:t>
            </w:r>
            <w:r>
              <w:rPr>
                <w:rFonts w:ascii="Times New Roman" w:hAnsi="Times New Roman" w:cs="Times New Roman" w:eastAsia="Times New Roman" w:hint="default"/>
                <w:spacing w:val="-14"/>
                <w:sz w:val="18"/>
                <w:szCs w:val="18"/>
              </w:rPr>
              <w:t>5</w:t>
            </w:r>
            <w:r>
              <w:rPr>
                <w:rFonts w:ascii="宋体" w:hAnsi="宋体" w:cs="宋体" w:eastAsia="宋体" w:hint="default"/>
                <w:spacing w:val="-14"/>
                <w:sz w:val="18"/>
                <w:szCs w:val="18"/>
              </w:rPr>
              <w:t>、增持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价格：本次 增持不设价 格区间，将 基于对文化 长城股票价 值的合理判 断，并根据 文化长城股 票价格波动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103" w:right="107"/>
              <w:jc w:val="left"/>
              <w:rPr>
                <w:rFonts w:ascii="宋体" w:hAnsi="宋体" w:cs="宋体" w:eastAsia="宋体" w:hint="default"/>
                <w:sz w:val="18"/>
                <w:szCs w:val="18"/>
              </w:rPr>
            </w:pPr>
            <w:r>
              <w:rPr>
                <w:rFonts w:ascii="宋体" w:hAnsi="宋体" w:cs="宋体" w:eastAsia="宋体" w:hint="default"/>
                <w:sz w:val="18"/>
                <w:szCs w:val="18"/>
              </w:rPr>
              <w:t>自股票复牌 起一个月内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103" w:right="275"/>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情况，逐步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实施增持计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划。</w:t>
            </w:r>
            <w:r>
              <w:rPr>
                <w:rFonts w:ascii="Times New Roman" w:hAnsi="Times New Roman" w:cs="Times New Roman" w:eastAsia="Times New Roman" w:hint="default"/>
                <w:spacing w:val="-14"/>
                <w:sz w:val="18"/>
                <w:szCs w:val="18"/>
              </w:rPr>
              <w:t>6</w:t>
            </w:r>
            <w:r>
              <w:rPr>
                <w:rFonts w:ascii="宋体" w:hAnsi="宋体" w:cs="宋体" w:eastAsia="宋体" w:hint="default"/>
                <w:spacing w:val="-14"/>
                <w:sz w:val="18"/>
                <w:szCs w:val="18"/>
              </w:rPr>
              <w:t>、增持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期间：自公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司股票复牌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之日起一个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月内完成增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持。增持计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划实施期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间，如存在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下列事项不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得增持文化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且实施期间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相应顺延：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文化长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城定期报告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日内，因特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殊原因推迟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定期报告公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告日期的，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自原预约公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日起算，直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至公告前一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文化长城业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绩预告、业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绩快报公告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1"/>
                <w:sz w:val="18"/>
                <w:szCs w:val="18"/>
              </w:rPr>
              <w:t>）</w:t>
            </w:r>
            <w:r>
              <w:rPr>
                <w:rFonts w:ascii="宋体" w:hAnsi="宋体" w:cs="宋体" w:eastAsia="宋体" w:hint="default"/>
                <w:sz w:val="18"/>
                <w:szCs w:val="18"/>
              </w:rPr>
              <w:t>自可能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对文化长城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格产生重大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影响的重大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事项发生之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日或决策过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程中，至依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法披露后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国证监会或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易所规定的 其他时间。 </w:t>
            </w:r>
            <w:r>
              <w:rPr>
                <w:rFonts w:ascii="Times New Roman" w:hAnsi="Times New Roman" w:cs="Times New Roman" w:eastAsia="Times New Roman" w:hint="default"/>
                <w:spacing w:val="-14"/>
                <w:sz w:val="18"/>
                <w:szCs w:val="18"/>
              </w:rPr>
              <w:t>7</w:t>
            </w:r>
            <w:r>
              <w:rPr>
                <w:rFonts w:ascii="宋体" w:hAnsi="宋体" w:cs="宋体" w:eastAsia="宋体" w:hint="default"/>
                <w:spacing w:val="-14"/>
                <w:sz w:val="18"/>
                <w:szCs w:val="18"/>
              </w:rPr>
              <w:t>、拟增持股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份的来源： 公司无限售 条件流通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pacing w:val="-14"/>
                <w:sz w:val="18"/>
                <w:szCs w:val="18"/>
              </w:rPr>
              <w:t>股股票。二、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本人承诺： </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、本人将严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格遵守中国 证监会和深 圳证券交易 所有关法律 法规的规 定，在本次 增持计划实 施期间、增 持后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内以及在法 定期限内不 减持其所持 有的文化长 城股份，不 进行内幕及 短线交易， 不在敏感期 买卖文化长 城股票。</w:t>
            </w:r>
            <w:r>
              <w:rPr>
                <w:rFonts w:ascii="Times New Roman" w:hAnsi="Times New Roman" w:cs="Times New Roman" w:eastAsia="Times New Roman" w:hint="default"/>
                <w:sz w:val="18"/>
                <w:szCs w:val="18"/>
              </w:rPr>
              <w:t>2</w:t>
            </w:r>
            <w:r>
              <w:rPr>
                <w:rFonts w:ascii="宋体" w:hAnsi="宋体" w:cs="宋体" w:eastAsia="宋体" w:hint="default"/>
                <w:sz w:val="18"/>
                <w:szCs w:val="18"/>
              </w:rPr>
              <w:t>、 本人将严格 按照上述增 持计划实 施，如违反 上述计划或 承诺事项， 本人愿意依 法承担法律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河南指尖商 贸有限公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锐金国际控 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徐元达</w:t>
            </w:r>
            <w:r>
              <w:rPr>
                <w:rFonts w:ascii="Times New Roman" w:hAnsi="Times New Roman" w:cs="Times New Roman" w:eastAsia="Times New Roman" w:hint="default"/>
                <w:sz w:val="18"/>
                <w:szCs w:val="18"/>
              </w:rPr>
              <w:t>; </w:t>
            </w:r>
            <w:r>
              <w:rPr>
                <w:rFonts w:ascii="宋体" w:hAnsi="宋体" w:cs="宋体" w:eastAsia="宋体" w:hint="default"/>
                <w:sz w:val="18"/>
                <w:szCs w:val="18"/>
              </w:rPr>
              <w:t>张善正</w:t>
            </w:r>
            <w:r>
              <w:rPr>
                <w:rFonts w:ascii="Times New Roman" w:hAnsi="Times New Roman" w:cs="Times New Roman" w:eastAsia="Times New Roman" w:hint="default"/>
                <w:sz w:val="18"/>
                <w:szCs w:val="18"/>
              </w:rPr>
              <w:t>;</w:t>
            </w:r>
            <w:r>
              <w:rPr>
                <w:rFonts w:ascii="宋体" w:hAnsi="宋体" w:cs="宋体" w:eastAsia="宋体" w:hint="default"/>
                <w:sz w:val="18"/>
                <w:szCs w:val="18"/>
              </w:rPr>
              <w:t>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承诺在利润 承诺期即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312" w:lineRule="auto"/>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 年度智游臻 龙实际实现 的净利润分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09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州宫原科技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郑州市凯诺 企业管理咨 询中心（有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郑州源宏企 业管理咨询 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w:t>
            </w:r>
          </w:p>
          <w:p>
            <w:pPr>
              <w:pStyle w:val="TableParagraph"/>
              <w:spacing w:line="300" w:lineRule="auto" w:before="63"/>
              <w:ind w:left="103" w:right="101"/>
              <w:jc w:val="both"/>
              <w:rPr>
                <w:rFonts w:ascii="宋体" w:hAnsi="宋体" w:cs="宋体" w:eastAsia="宋体" w:hint="default"/>
                <w:sz w:val="18"/>
                <w:szCs w:val="18"/>
              </w:rPr>
            </w:pP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2,500</w:t>
            </w:r>
            <w:r>
              <w:rPr>
                <w:rFonts w:ascii="Times New Roman" w:hAnsi="Times New Roman" w:cs="Times New Roman" w:eastAsia="Times New Roman" w:hint="default"/>
                <w:spacing w:val="-40"/>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3,250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万元和</w:t>
            </w:r>
          </w:p>
          <w:p>
            <w:pPr>
              <w:pStyle w:val="TableParagraph"/>
              <w:spacing w:line="316" w:lineRule="auto" w:before="32"/>
              <w:ind w:left="10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4,225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上述承诺的 净利润按扣 除非经常性 损益后孰低 计算，但在 本次交易前 智游臻龙因 股权激励而 产生的非经 常性损益不 予扣除计 算。上述承 诺的净利润 包括郑州市 智游职业培 训学校的全 部利润（按 </w:t>
            </w:r>
            <w:r>
              <w:rPr>
                <w:rFonts w:ascii="宋体" w:hAnsi="宋体" w:cs="宋体" w:eastAsia="宋体" w:hint="default"/>
                <w:spacing w:val="-15"/>
                <w:sz w:val="18"/>
                <w:szCs w:val="18"/>
              </w:rPr>
              <w:t>备考为准），</w:t>
            </w:r>
            <w:r>
              <w:rPr>
                <w:rFonts w:ascii="宋体" w:hAnsi="宋体" w:cs="宋体" w:eastAsia="宋体" w:hint="default"/>
                <w:sz w:val="18"/>
                <w:szCs w:val="18"/>
              </w:rPr>
              <w:t> 但不包括文 化长城向智 游臻龙增资 或提供其他 财务资助产 生的收益。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、由于承诺期限内公司实际控制人因客观原因不便实施股份增持计划。公司实际控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制人有增持股份意愿，接下来，在法律法规允许的条件下，将进行股份增持。</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102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141"/>
              <w:jc w:val="center"/>
              <w:rPr>
                <w:rFonts w:ascii="宋体" w:hAnsi="宋体" w:cs="宋体" w:eastAsia="宋体" w:hint="default"/>
                <w:sz w:val="18"/>
                <w:szCs w:val="18"/>
              </w:rPr>
            </w:pPr>
            <w:r>
              <w:rPr>
                <w:rFonts w:ascii="宋体" w:hAnsi="宋体" w:cs="宋体" w:eastAsia="宋体" w:hint="default"/>
                <w:sz w:val="18"/>
                <w:szCs w:val="18"/>
              </w:rPr>
              <w:t>盈利预测资 产或项目名 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2" w:right="140"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2" w:right="142"/>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2" w:right="143"/>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141"/>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143"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140"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联汛教育</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9" w:right="0"/>
              <w:jc w:val="left"/>
              <w:rPr>
                <w:rFonts w:ascii="Times New Roman" w:hAnsi="Times New Roman" w:cs="Times New Roman" w:eastAsia="Times New Roman" w:hint="default"/>
                <w:sz w:val="18"/>
                <w:szCs w:val="18"/>
              </w:rPr>
            </w:pPr>
            <w:r>
              <w:rPr>
                <w:rFonts w:ascii="Times New Roman"/>
                <w:sz w:val="18"/>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3" w:right="0"/>
              <w:jc w:val="left"/>
              <w:rPr>
                <w:rFonts w:ascii="Times New Roman" w:hAnsi="Times New Roman" w:cs="Times New Roman" w:eastAsia="Times New Roman" w:hint="default"/>
                <w:sz w:val="18"/>
                <w:szCs w:val="18"/>
              </w:rPr>
            </w:pPr>
            <w:r>
              <w:rPr>
                <w:rFonts w:ascii="Times New Roman"/>
                <w:sz w:val="18"/>
              </w:rPr>
              <w:t>10,308.06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2859" w:hRule="exact"/>
        </w:trPr>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日于巨潮 资讯网上披 露的《发行 股份及支付 现金购买资 产并募集配 套资金暨关 联交易报告 </w:t>
            </w:r>
            <w:r>
              <w:rPr>
                <w:rFonts w:ascii="宋体" w:hAnsi="宋体" w:cs="宋体" w:eastAsia="宋体" w:hint="default"/>
                <w:spacing w:val="-15"/>
                <w:sz w:val="18"/>
                <w:szCs w:val="18"/>
              </w:rPr>
              <w:t>书（草案）》</w:t>
            </w:r>
          </w:p>
        </w:tc>
      </w:tr>
      <w:tr>
        <w:trPr>
          <w:trHeight w:val="383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智游臻龙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z w:val="18"/>
              </w:rPr>
              <w:t>3,250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z w:val="18"/>
              </w:rPr>
              <w:t>3,493.22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314" w:lineRule="auto" w:before="61"/>
              <w:ind w:left="103" w:right="9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日于巨潮 资讯网上披 露的《关于 现金收购河 南智游臻龙 教育科技有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 </w:t>
            </w:r>
            <w:r>
              <w:rPr>
                <w:rFonts w:ascii="宋体" w:hAnsi="宋体" w:cs="宋体" w:eastAsia="宋体" w:hint="default"/>
                <w:spacing w:val="-17"/>
                <w:sz w:val="18"/>
                <w:szCs w:val="18"/>
              </w:rPr>
              <w:t>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p>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2016-071</w:t>
            </w:r>
            <w:r>
              <w:rPr>
                <w:rFonts w:ascii="宋体" w:hAnsi="宋体" w:cs="宋体" w:eastAsia="宋体" w:hint="default"/>
                <w:sz w:val="18"/>
                <w:szCs w:val="18"/>
              </w:rPr>
              <w:t>）</w:t>
            </w:r>
          </w:p>
        </w:tc>
      </w:tr>
      <w:tr>
        <w:trPr>
          <w:trHeight w:val="2898"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翡翠教育</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20,700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21,585.5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2"/>
              <w:ind w:left="103" w:right="90"/>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日于巨潮 资讯网上披 露的《发行 股份及支付 现金购买资 产并募集配 套资金报告 </w:t>
            </w:r>
            <w:r>
              <w:rPr>
                <w:rFonts w:ascii="宋体" w:hAnsi="宋体" w:cs="宋体" w:eastAsia="宋体" w:hint="default"/>
                <w:spacing w:val="-15"/>
                <w:sz w:val="18"/>
                <w:szCs w:val="18"/>
              </w:rPr>
              <w:t>书（草案）》</w:t>
            </w:r>
          </w:p>
        </w:tc>
      </w:tr>
    </w:tbl>
    <w:p>
      <w:pPr>
        <w:pStyle w:val="BodyText"/>
        <w:spacing w:line="240" w:lineRule="auto" w:before="51"/>
        <w:ind w:right="0"/>
        <w:jc w:val="left"/>
      </w:pPr>
      <w:r>
        <w:rPr/>
        <w:t>公司股东、交易对手方对公司或相关资产年度经营业绩作出的承诺情况</w:t>
      </w:r>
    </w:p>
    <w:p>
      <w:pPr>
        <w:pStyle w:val="BodyText"/>
        <w:spacing w:line="338" w:lineRule="auto" w:before="117"/>
        <w:ind w:right="1122"/>
        <w:jc w:val="left"/>
      </w:pPr>
      <w:r>
        <w:rPr/>
        <w:t>√ 适用 □ 不适用 </w:t>
      </w:r>
      <w:r>
        <w:rPr>
          <w:rFonts w:ascii="宋体" w:hAnsi="宋体" w:cs="宋体" w:eastAsia="宋体" w:hint="default"/>
          <w:spacing w:val="-3"/>
        </w:rPr>
        <w:t>1</w:t>
      </w:r>
      <w:r>
        <w:rPr>
          <w:spacing w:val="-3"/>
        </w:rPr>
        <w:t>、广州商融投资咨询有限公司、雷凡、李东英、彭辉、许高镭、许高云承诺联汛教育</w:t>
      </w:r>
      <w:r>
        <w:rPr>
          <w:rFonts w:ascii="宋体" w:hAnsi="宋体" w:cs="宋体" w:eastAsia="宋体" w:hint="default"/>
          <w:spacing w:val="-3"/>
        </w:rPr>
        <w:t>2015</w:t>
      </w:r>
      <w:r>
        <w:rPr>
          <w:spacing w:val="-3"/>
        </w:rPr>
        <w:t>年度、</w:t>
      </w:r>
      <w:r>
        <w:rPr>
          <w:rFonts w:ascii="宋体" w:hAnsi="宋体" w:cs="宋体" w:eastAsia="宋体" w:hint="default"/>
          <w:spacing w:val="-3"/>
        </w:rPr>
        <w:t>2016</w:t>
      </w:r>
      <w:r>
        <w:rPr>
          <w:spacing w:val="-3"/>
        </w:rPr>
        <w:t>年度、</w:t>
      </w:r>
      <w:r>
        <w:rPr>
          <w:rFonts w:ascii="宋体" w:hAnsi="宋体" w:cs="宋体" w:eastAsia="宋体" w:hint="default"/>
          <w:spacing w:val="-3"/>
        </w:rPr>
        <w:t>2017</w:t>
      </w:r>
      <w:r>
        <w:rPr>
          <w:spacing w:val="-3"/>
        </w:rPr>
        <w:t>年度和</w:t>
      </w:r>
      <w:r>
        <w:rPr>
          <w:rFonts w:ascii="宋体" w:hAnsi="宋体" w:cs="宋体" w:eastAsia="宋体" w:hint="default"/>
          <w:spacing w:val="-3"/>
        </w:rPr>
        <w:t>2018</w:t>
      </w:r>
      <w:r>
        <w:rPr>
          <w:rFonts w:ascii="宋体" w:hAnsi="宋体" w:cs="宋体" w:eastAsia="宋体" w:hint="default"/>
          <w:spacing w:val="-77"/>
        </w:rPr>
        <w:t> </w:t>
      </w:r>
      <w:r>
        <w:rPr/>
        <w:t>年度实现净利润分别不低于</w:t>
      </w:r>
      <w:r>
        <w:rPr>
          <w:rFonts w:ascii="宋体" w:hAnsi="宋体" w:cs="宋体" w:eastAsia="宋体" w:hint="default"/>
        </w:rPr>
        <w:t>2,500</w:t>
      </w:r>
      <w:r>
        <w:rPr/>
        <w:t>万元、</w:t>
      </w:r>
      <w:r>
        <w:rPr>
          <w:rFonts w:ascii="宋体" w:hAnsi="宋体" w:cs="宋体" w:eastAsia="宋体" w:hint="default"/>
        </w:rPr>
        <w:t>6,000</w:t>
      </w:r>
      <w:r>
        <w:rPr/>
        <w:t>万元、</w:t>
      </w:r>
      <w:r>
        <w:rPr>
          <w:rFonts w:ascii="宋体" w:hAnsi="宋体" w:cs="宋体" w:eastAsia="宋体" w:hint="default"/>
        </w:rPr>
        <w:t>7,800</w:t>
      </w:r>
      <w:r>
        <w:rPr/>
        <w:t>万元和</w:t>
      </w:r>
      <w:r>
        <w:rPr>
          <w:rFonts w:ascii="宋体" w:hAnsi="宋体" w:cs="宋体" w:eastAsia="宋体" w:hint="default"/>
        </w:rPr>
        <w:t>10,000</w:t>
      </w:r>
      <w:r>
        <w:rPr/>
        <w:t>万元。净利润指联汛教育实现的合并报表归属于母</w:t>
      </w:r>
    </w:p>
    <w:p>
      <w:pPr>
        <w:pStyle w:val="BodyText"/>
        <w:spacing w:line="316" w:lineRule="auto" w:before="2"/>
        <w:ind w:right="1122"/>
        <w:jc w:val="left"/>
      </w:pPr>
      <w:r>
        <w:rPr/>
        <w:t>公司股东的净利润数，以扣除非经常性损益前后孰低者为计算依据。 </w:t>
      </w:r>
      <w:r>
        <w:rPr>
          <w:rFonts w:ascii="宋体" w:hAnsi="宋体" w:cs="宋体" w:eastAsia="宋体" w:hint="default"/>
        </w:rPr>
        <w:t>2</w:t>
      </w:r>
      <w:r>
        <w:rPr/>
        <w:t>、河南指尖商贸有限公司、深圳市锐金国际控股有限公司、徐元达、张善正、郑州宫原科技有限公司、郑州市凯诺企业管 </w:t>
      </w:r>
      <w:r>
        <w:rPr>
          <w:spacing w:val="-2"/>
        </w:rPr>
        <w:t>理咨询中心（有限合伙）、郑州源宏企业管理咨询有限公司承诺，在利润承诺期即</w:t>
      </w:r>
      <w:r>
        <w:rPr>
          <w:rFonts w:ascii="宋体" w:hAnsi="宋体" w:cs="宋体" w:eastAsia="宋体" w:hint="default"/>
          <w:spacing w:val="-2"/>
        </w:rPr>
        <w:t>2016</w:t>
      </w:r>
      <w:r>
        <w:rPr>
          <w:spacing w:val="-2"/>
        </w:rPr>
        <w:t>至</w:t>
      </w:r>
      <w:r>
        <w:rPr>
          <w:rFonts w:ascii="宋体" w:hAnsi="宋体" w:cs="宋体" w:eastAsia="宋体" w:hint="default"/>
          <w:spacing w:val="-2"/>
        </w:rPr>
        <w:t>2019</w:t>
      </w:r>
      <w:r>
        <w:rPr>
          <w:spacing w:val="-2"/>
        </w:rPr>
        <w:t>年每年度智游臻龙实际实现的</w:t>
      </w:r>
      <w:r>
        <w:rPr>
          <w:spacing w:val="-64"/>
        </w:rPr>
        <w:t> </w:t>
      </w:r>
      <w:r>
        <w:rPr>
          <w:spacing w:val="-2"/>
        </w:rPr>
        <w:t>净利润分别为</w:t>
      </w:r>
      <w:r>
        <w:rPr>
          <w:rFonts w:ascii="宋体" w:hAnsi="宋体" w:cs="宋体" w:eastAsia="宋体" w:hint="default"/>
          <w:spacing w:val="-2"/>
        </w:rPr>
        <w:t>1,600</w:t>
      </w:r>
      <w:r>
        <w:rPr>
          <w:spacing w:val="-2"/>
        </w:rPr>
        <w:t>万元、</w:t>
      </w:r>
      <w:r>
        <w:rPr>
          <w:rFonts w:ascii="宋体" w:hAnsi="宋体" w:cs="宋体" w:eastAsia="宋体" w:hint="default"/>
          <w:spacing w:val="-2"/>
        </w:rPr>
        <w:t>2,500</w:t>
      </w:r>
      <w:r>
        <w:rPr>
          <w:spacing w:val="-2"/>
        </w:rPr>
        <w:t>万元、</w:t>
      </w:r>
      <w:r>
        <w:rPr>
          <w:rFonts w:ascii="宋体" w:hAnsi="宋体" w:cs="宋体" w:eastAsia="宋体" w:hint="default"/>
          <w:spacing w:val="-2"/>
        </w:rPr>
        <w:t>3,250</w:t>
      </w:r>
      <w:r>
        <w:rPr>
          <w:spacing w:val="-2"/>
        </w:rPr>
        <w:t>万元和</w:t>
      </w:r>
      <w:r>
        <w:rPr>
          <w:rFonts w:ascii="宋体" w:hAnsi="宋体" w:cs="宋体" w:eastAsia="宋体" w:hint="default"/>
          <w:spacing w:val="-2"/>
        </w:rPr>
        <w:t>4,225</w:t>
      </w:r>
      <w:r>
        <w:rPr>
          <w:spacing w:val="-2"/>
        </w:rPr>
        <w:t>万元。上述承诺的净利润按扣除非经常性损益后孰低计算，但在本</w:t>
      </w:r>
      <w:r>
        <w:rPr>
          <w:spacing w:val="-46"/>
        </w:rPr>
        <w:t> </w:t>
      </w:r>
      <w:r>
        <w:rPr>
          <w:spacing w:val="-46"/>
        </w:rPr>
      </w:r>
      <w:r>
        <w:rPr>
          <w:spacing w:val="-2"/>
        </w:rPr>
        <w:t>次交易前智游臻龙因股权激励而产生的非经常性损益不予扣除计算。上述承诺的净利润包括郑州市智游职业培训学校的全部</w:t>
      </w:r>
      <w:r>
        <w:rPr>
          <w:spacing w:val="-64"/>
        </w:rPr>
        <w:t> </w:t>
      </w:r>
      <w:r>
        <w:rPr>
          <w:spacing w:val="-64"/>
        </w:rPr>
      </w:r>
      <w:r>
        <w:rPr>
          <w:spacing w:val="-3"/>
        </w:rPr>
        <w:t>利润（按备考为准），但不包括文化长城向智游臻龙增资或提供其他财务资助产生的收益。</w:t>
      </w:r>
      <w:r>
        <w:rPr>
          <w:spacing w:val="-60"/>
        </w:rPr>
        <w:t> </w:t>
      </w:r>
      <w:r>
        <w:rPr>
          <w:spacing w:val="-60"/>
        </w:rPr>
      </w:r>
      <w:r>
        <w:rPr>
          <w:rFonts w:ascii="宋体" w:hAnsi="宋体" w:cs="宋体" w:eastAsia="宋体" w:hint="default"/>
          <w:spacing w:val="-2"/>
        </w:rPr>
        <w:t>3</w:t>
      </w:r>
      <w:r>
        <w:rPr>
          <w:spacing w:val="-2"/>
        </w:rPr>
        <w:t>、安卓易（北京）科技有限公司、北京虹佳龙文化传播有限公司</w:t>
      </w:r>
      <w:r>
        <w:rPr>
          <w:rFonts w:ascii="宋体" w:hAnsi="宋体" w:cs="宋体" w:eastAsia="宋体" w:hint="default"/>
          <w:spacing w:val="-2"/>
        </w:rPr>
        <w:t>;</w:t>
      </w:r>
      <w:r>
        <w:rPr>
          <w:spacing w:val="-2"/>
        </w:rPr>
        <w:t>陈盛东、共青城纳隆德投资管理合伙企业（有限合伙）、</w:t>
      </w:r>
      <w:r>
        <w:rPr>
          <w:spacing w:val="-70"/>
        </w:rPr>
        <w:t> </w:t>
      </w:r>
      <w:r>
        <w:rPr>
          <w:spacing w:val="-70"/>
        </w:rPr>
      </w:r>
      <w:r>
        <w:rPr>
          <w:spacing w:val="-5"/>
        </w:rPr>
        <w:t>嘉兴卓智股权投资合伙企业（有限合伙）、李振舟、鲁志宏、宁波梅山保税港区御泓投资合伙企业（有限合伙）、深圳普方达</w:t>
      </w:r>
      <w:r>
        <w:rPr>
          <w:spacing w:val="-81"/>
        </w:rPr>
        <w:t> </w:t>
      </w:r>
      <w:r>
        <w:rPr>
          <w:spacing w:val="-81"/>
        </w:rPr>
      </w:r>
      <w:r>
        <w:rPr>
          <w:spacing w:val="-5"/>
        </w:rPr>
        <w:t>源力投资中心（有限合伙）、天津钰美瑞科技中心（有限合伙）、新余邦得投资合伙企业（有限合伙）、新余创思资产管理合</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ind w:right="1131"/>
        <w:jc w:val="both"/>
      </w:pPr>
      <w:r>
        <w:rPr>
          <w:spacing w:val="-5"/>
        </w:rPr>
        <w:t>伙企业（有限合伙）、新余信公成长新兴资产管理合伙企业（有限合伙）、新余卓趣资本管理合伙企业（有限合伙）、张熙承</w:t>
      </w:r>
      <w:r>
        <w:rPr>
          <w:spacing w:val="-85"/>
        </w:rPr>
        <w:t> </w:t>
      </w:r>
      <w:r>
        <w:rPr>
          <w:spacing w:val="-85"/>
        </w:rPr>
      </w:r>
      <w:r>
        <w:rPr/>
        <w:t>诺在利润承诺期即</w:t>
      </w:r>
      <w:r>
        <w:rPr>
          <w:rFonts w:ascii="宋体" w:hAnsi="宋体" w:cs="宋体" w:eastAsia="宋体" w:hint="default"/>
        </w:rPr>
        <w:t>2017</w:t>
      </w:r>
      <w:r>
        <w:rPr/>
        <w:t>至</w:t>
      </w:r>
      <w:r>
        <w:rPr>
          <w:rFonts w:ascii="宋体" w:hAnsi="宋体" w:cs="宋体" w:eastAsia="宋体" w:hint="default"/>
        </w:rPr>
        <w:t>2019</w:t>
      </w:r>
      <w:r>
        <w:rPr/>
        <w:t>年翡翠教育实现的净利润分别为：</w:t>
      </w:r>
      <w:r>
        <w:rPr>
          <w:rFonts w:ascii="宋体" w:hAnsi="宋体" w:cs="宋体" w:eastAsia="宋体" w:hint="default"/>
        </w:rPr>
        <w:t>2017</w:t>
      </w:r>
      <w:r>
        <w:rPr/>
        <w:t>年度实现净利润</w:t>
      </w:r>
      <w:r>
        <w:rPr>
          <w:rFonts w:ascii="宋体" w:hAnsi="宋体" w:cs="宋体" w:eastAsia="宋体" w:hint="default"/>
        </w:rPr>
        <w:t>9,000</w:t>
      </w:r>
      <w:r>
        <w:rPr/>
        <w:t>万元、</w:t>
      </w:r>
      <w:r>
        <w:rPr>
          <w:rFonts w:ascii="宋体" w:hAnsi="宋体" w:cs="宋体" w:eastAsia="宋体" w:hint="default"/>
        </w:rPr>
        <w:t>2017</w:t>
      </w:r>
      <w:r>
        <w:rPr/>
        <w:t>年至</w:t>
      </w:r>
      <w:r>
        <w:rPr>
          <w:rFonts w:ascii="宋体" w:hAnsi="宋体" w:cs="宋体" w:eastAsia="宋体" w:hint="default"/>
        </w:rPr>
        <w:t>2018</w:t>
      </w:r>
      <w:r>
        <w:rPr/>
        <w:t>年共计实现 </w:t>
      </w:r>
      <w:r>
        <w:rPr>
          <w:spacing w:val="-2"/>
        </w:rPr>
        <w:t>净利润</w:t>
      </w:r>
      <w:r>
        <w:rPr>
          <w:rFonts w:ascii="宋体" w:hAnsi="宋体" w:cs="宋体" w:eastAsia="宋体" w:hint="default"/>
          <w:spacing w:val="-2"/>
        </w:rPr>
        <w:t>20,700</w:t>
      </w:r>
      <w:r>
        <w:rPr>
          <w:spacing w:val="-2"/>
        </w:rPr>
        <w:t>万元、</w:t>
      </w:r>
      <w:r>
        <w:rPr>
          <w:rFonts w:ascii="宋体" w:hAnsi="宋体" w:cs="宋体" w:eastAsia="宋体" w:hint="default"/>
          <w:spacing w:val="-2"/>
        </w:rPr>
        <w:t>2017</w:t>
      </w:r>
      <w:r>
        <w:rPr>
          <w:spacing w:val="-2"/>
        </w:rPr>
        <w:t>年至</w:t>
      </w:r>
      <w:r>
        <w:rPr>
          <w:rFonts w:ascii="宋体" w:hAnsi="宋体" w:cs="宋体" w:eastAsia="宋体" w:hint="default"/>
          <w:spacing w:val="-2"/>
        </w:rPr>
        <w:t>2019</w:t>
      </w:r>
      <w:r>
        <w:rPr>
          <w:spacing w:val="-2"/>
        </w:rPr>
        <w:t>年共计实现净利润</w:t>
      </w:r>
      <w:r>
        <w:rPr>
          <w:rFonts w:ascii="宋体" w:hAnsi="宋体" w:cs="宋体" w:eastAsia="宋体" w:hint="default"/>
          <w:spacing w:val="-2"/>
        </w:rPr>
        <w:t>35,910</w:t>
      </w:r>
      <w:r>
        <w:rPr>
          <w:spacing w:val="-2"/>
        </w:rPr>
        <w:t>万元。净利润指经文化长城认可的会计师事务所审计的翡翠教育</w:t>
      </w:r>
      <w:r>
        <w:rPr>
          <w:spacing w:val="-44"/>
        </w:rPr>
        <w:t> </w:t>
      </w:r>
      <w:r>
        <w:rPr>
          <w:spacing w:val="-44"/>
        </w:rPr>
      </w:r>
      <w:r>
        <w:rPr/>
        <w:t>实现的合并报表归属于母公司股东的净利润，以扣除非经常性损益前后孰低者为计算依据。</w:t>
      </w:r>
    </w:p>
    <w:p>
      <w:pPr>
        <w:pStyle w:val="BodyText"/>
        <w:spacing w:line="360" w:lineRule="auto" w:before="60"/>
        <w:ind w:right="6972"/>
        <w:jc w:val="left"/>
      </w:pPr>
      <w:r>
        <w:rPr/>
        <w:t>业绩承诺的完成情况及其对商誉减值测试的影响 无影响</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4992"/>
        <w:jc w:val="left"/>
      </w:pPr>
      <w:r>
        <w:rPr/>
        <w:t>□ 适用 √ 不适用 公司报告期不存在控股股东及其关联方对上市公司的非经营性占用资金。</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414" w:right="3432" w:hanging="300"/>
        <w:jc w:val="left"/>
      </w:pPr>
      <w:r>
        <w:rPr/>
        <w:t>√ 适用 □ 不适用 针对非标准审计意见所涉及事项，公司董事会的意见及消除该事项及其影响的措施如下：</w:t>
      </w:r>
    </w:p>
    <w:p>
      <w:pPr>
        <w:pStyle w:val="BodyText"/>
        <w:spacing w:line="224" w:lineRule="exact" w:before="0"/>
        <w:ind w:right="0"/>
        <w:jc w:val="left"/>
      </w:pPr>
      <w:r>
        <w:rPr>
          <w:rFonts w:ascii="宋体" w:hAnsi="宋体" w:cs="宋体" w:eastAsia="宋体" w:hint="default"/>
        </w:rPr>
        <w:t>1. </w:t>
      </w:r>
      <w:r>
        <w:rPr/>
        <w:t>在大华为公司提供财务审计和相关专项审计服务期间，公司积极配合大华开展现场审计工作，详细向其介绍公司发展战</w:t>
      </w:r>
    </w:p>
    <w:p>
      <w:pPr>
        <w:pStyle w:val="BodyText"/>
        <w:spacing w:line="316" w:lineRule="auto" w:before="76"/>
        <w:ind w:right="1122"/>
        <w:jc w:val="left"/>
      </w:pPr>
      <w:r>
        <w:rPr/>
        <w:t>略及业务模式，配合提供审计工作所需的资料，并配合其开展对客户和供应商的现场走访工作等，大华为公司 </w:t>
      </w:r>
      <w:r>
        <w:rPr>
          <w:rFonts w:ascii="宋体" w:hAnsi="宋体" w:cs="宋体" w:eastAsia="宋体" w:hint="default"/>
        </w:rPr>
        <w:t>2018</w:t>
      </w:r>
      <w:r>
        <w:rPr/>
        <w:t>年度财 务会计报告出具了无法表示意见的审计报告，公司董事会对此持保留意见。</w:t>
      </w:r>
    </w:p>
    <w:p>
      <w:pPr>
        <w:pStyle w:val="BodyText"/>
        <w:spacing w:line="316" w:lineRule="auto" w:before="19"/>
        <w:ind w:right="1026"/>
        <w:jc w:val="left"/>
      </w:pPr>
      <w:r>
        <w:rPr>
          <w:rFonts w:ascii="宋体" w:hAnsi="宋体" w:cs="宋体" w:eastAsia="宋体" w:hint="default"/>
        </w:rPr>
        <w:t>2.</w:t>
      </w:r>
      <w:r>
        <w:rPr>
          <w:rFonts w:ascii="宋体" w:hAnsi="宋体" w:cs="宋体" w:eastAsia="宋体" w:hint="default"/>
          <w:spacing w:val="22"/>
        </w:rPr>
        <w:t> </w:t>
      </w:r>
      <w:r>
        <w:rPr>
          <w:spacing w:val="-2"/>
        </w:rPr>
        <w:t>针对非标准审计意见所涉及事项，公司董事会将继续督促会计师进行专项审计或复核，并按法定程序及时予以公开披露，</w:t>
      </w:r>
      <w:r>
        <w:rPr/>
        <w:t> 同时，根据审计或复核结果加大整改力度，争取尽快完成整改以消除影响。</w:t>
      </w:r>
    </w:p>
    <w:p>
      <w:pPr>
        <w:pStyle w:val="BodyText"/>
        <w:spacing w:line="319" w:lineRule="auto" w:before="19"/>
        <w:ind w:right="1122"/>
        <w:jc w:val="left"/>
      </w:pPr>
      <w:r>
        <w:rPr>
          <w:rFonts w:ascii="宋体" w:hAnsi="宋体" w:cs="宋体" w:eastAsia="宋体" w:hint="default"/>
        </w:rPr>
        <w:t>3. </w:t>
      </w:r>
      <w:r>
        <w:rPr/>
        <w:t>董事会将以此为契机，继续完善内控管理制度，优化内部控制管理机制，提升内部控制管理水平，同时规范各项经营业 务，降低经营风险，并通过落实责任方，加强合规检查与考核，促进公司健康、可持续发展。</w:t>
      </w:r>
    </w:p>
    <w:p>
      <w:pPr>
        <w:spacing w:line="240" w:lineRule="auto" w:before="8"/>
        <w:rPr>
          <w:rFonts w:ascii="宋体" w:hAnsi="宋体" w:cs="宋体" w:eastAsia="宋体" w:hint="default"/>
          <w:sz w:val="20"/>
          <w:szCs w:val="20"/>
        </w:rPr>
      </w:pPr>
    </w:p>
    <w:p>
      <w:pPr>
        <w:pStyle w:val="Heading2"/>
        <w:spacing w:line="240" w:lineRule="auto"/>
        <w:ind w:right="1393"/>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105"/>
          <w:w w:val="95"/>
        </w:rPr>
        <w:t> </w:t>
      </w:r>
      <w:r>
        <w:rPr>
          <w:spacing w:val="105"/>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pStyle w:val="BodyText"/>
        <w:spacing w:line="316" w:lineRule="auto" w:before="115"/>
        <w:ind w:right="1122"/>
        <w:jc w:val="left"/>
      </w:pPr>
      <w:r>
        <w:rPr/>
        <w:t>董事会说明： 在大华为公司提供财务审计和相关专项审计服务期间，公司积极配合大华开展现场审计工作，详细向其介绍 公司发展战略及业务模式，配合提供审计工作所需的资料，并配合其开展对客户和供应商的现场走访工作等，大华为公司 </w:t>
      </w:r>
      <w:r>
        <w:rPr>
          <w:rFonts w:ascii="宋体" w:hAnsi="宋体" w:cs="宋体" w:eastAsia="宋体" w:hint="default"/>
        </w:rPr>
        <w:t>2018</w:t>
      </w:r>
      <w:r>
        <w:rPr/>
        <w:t>年度财务会计报告出具了无法表示意见的审计报告，公司董事会对此持保留意见。 </w:t>
      </w:r>
      <w:r>
        <w:rPr>
          <w:spacing w:val="-2"/>
        </w:rPr>
        <w:t>监事会说明：就董事会做出的《关于非标准审计意见审计报告涉及事项的专项说明》，监事会认为：董事会关于非标准审计</w:t>
      </w:r>
      <w:r>
        <w:rPr>
          <w:spacing w:val="-72"/>
        </w:rPr>
        <w:t> </w:t>
      </w:r>
      <w:r>
        <w:rPr>
          <w:spacing w:val="-72"/>
        </w:rPr>
      </w:r>
      <w:r>
        <w:rPr/>
        <w:t>意见审计报告中涉及事项的专项说明客观反映了所列事项的实际情况，公司监事会对董事会关于此专项说明均无异议。 独立董事意见：经审核，我们对大华会计师事务所（特殊普通合伙）出具的无法表示意见的审计报告无法发表意见。</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pStyle w:val="Heading4"/>
        <w:spacing w:line="240" w:lineRule="auto" w:before="89"/>
        <w:ind w:left="534" w:right="0"/>
        <w:jc w:val="left"/>
      </w:pPr>
      <w:r>
        <w:rPr/>
        <w:t>本期纳入合并财务报表范围的主体共</w:t>
      </w:r>
      <w:r>
        <w:rPr>
          <w:rFonts w:ascii="宋体" w:hAnsi="宋体" w:cs="宋体" w:eastAsia="宋体" w:hint="default"/>
        </w:rPr>
        <w:t>115</w:t>
      </w:r>
      <w:r>
        <w:rPr/>
        <w:t>户</w:t>
      </w:r>
    </w:p>
    <w:p>
      <w:pPr>
        <w:spacing w:after="0" w:line="240" w:lineRule="auto"/>
        <w:jc w:val="left"/>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667"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07" w:right="9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表决权比例</w:t>
            </w:r>
          </w:p>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潮州市万泉瓷业有限公司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深圳万城投资管理有限公司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河南长城绿色瓷艺科技有限公司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潮州市长城世家瓷业有限公司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郑州长城世家商贸有限公司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广州韵网信息科技有限公司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新疆联汛展望教育科技有限公司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郑州市智游职业培训学校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郑州智游爱峰科技有限公司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郑州智游联动教育咨询有限公司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北京京师智游教育科技有限公司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南京欧米伽网络科技有限公司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霍尔果斯臻龙教育科技有限公司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山西智游臻龙互联网科技有限公司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河北臻龙科技有限公司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厦门爱峰沐川科技有限公司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北京完美空间教育科技有限公司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成都翡翠教育咨询有限公司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北京市朝阳区昭阳软件教育培训学校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北京创思兰德教育科技有限公司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上海志趣动漫设计有限公司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广州市翡翠教育信息咨询有限公司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武汉翡翠空间数字科技有限公司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郑州翡翠计算机科技有限公司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成都卓新思创科技有限公司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安徽省创思兰博信息科技有限公司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西安品优创意文化发展有限公司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西安卓新数码科技有限公司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西安完美空间职业技能培训学校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355"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38</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上海昊育信息技术有限公司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51.00</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51.00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上海安逆杰信息技术有限公司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沈阳磐岳网络科技有限公司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创思兰博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科技股份有限公司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上海翡翠职业技能培训学校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天津卓运天成科技有限公司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上海卓雅网络科技有限公司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天津完美空间数字技术有限责任公司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杭州并轨者网络科技有限公司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安徽省智趣兰德科技有限公司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北京畅晟宏达科技有限公司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常州世宏南骏信息科技有限公司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大连中钰睿泓科技有限公司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福州点积信息科技有限公司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河北翊思卓科技有限公司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无锡市智慧天空信息科技有限公司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南昌卡戎网络科技有限公司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宁波盛逸计算机科技有限公司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盛世光影（深圳）传媒有限公司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沈阳凯宣科技有限公司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天津众云金泰科技有限公司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广州市南跃科技有限公司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南宁易达讯网络科技有限公司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山西钰陆教育科技有限公司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山西智帆教育科技有限公司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重庆阿克提吾科技有限公司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北京创意之星艺术设计有限公司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西安拓客网络科技有限公司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北京优逸睿智科技有限公司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深圳市世纪星联科技有限公司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广州市联核攻源科技有限公司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湖南卓越新腾信息技术有限公司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南京诺博连信息科技有限公司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南昌五芒星科技有限公司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青岛龙果科技技术有限公司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成都智慧创想科技有限公司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上海嗣峰网络科技有限公司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重庆卓思迅杰科技有限公司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上海犇迩网络科技有限公司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355"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77</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西安易创智达科技有限公司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霍尔果斯众妙合一信息技术有限公司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成都龙腾讯飞科技有限公司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贵阳华腾天创科技有限公司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济南凡格信息科技有限公司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柳州墨本科技有限公司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南京小鸡卓米网络科技有限公司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武汉创思兰博科技有限公司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郑州智世睿通软件科技有限公司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杭州果脉科技有限公司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苏州深层纬度教育科技有限公司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上海墨林教育科技有限公司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长沙翡翠网络游戏有限公司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济南迅奇网络科技有限公司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深圳市灵动空间网络科技有限公司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长春市完美空间教育科技有限公司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哈尔滨聚谦电子信息技术有限公司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重庆翊思卓科技有限公司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西安完美创意科技有限公司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广州九点网络有限公司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杭州千程万码软件有限公司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55.00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55.00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昆明添力网络科技有限公司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米果科技</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深圳凌点网络科技有限公司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大连创睿网络技术有限公司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常州网之合信息科技有限公司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河北佳岷科技有限公司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烟台丛聚网络技术有限公司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湖南正致教育科技有限公司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贺州市盛东网络科技有限公司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武汉索思艾特科技有限公司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南京睿斯博信息科技有限公司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海南翊思卓网络科技有限公司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海南完美空间网络科技有限公司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潮州市润潮陶瓷有限公司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潮州市长城世家贸易有限公司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湖北智游臻龙教育科技有限公司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60.00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60.00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南京巅峰数据服务有限公司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苏州云柯数据服务有限公司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7"/>
        <w:rPr>
          <w:rFonts w:ascii="Times New Roman" w:hAnsi="Times New Roman" w:cs="Times New Roman" w:eastAsia="Times New Roman" w:hint="default"/>
          <w:sz w:val="24"/>
          <w:szCs w:val="24"/>
        </w:rPr>
      </w:pPr>
    </w:p>
    <w:p>
      <w:pPr>
        <w:pStyle w:val="Heading4"/>
        <w:spacing w:line="273" w:lineRule="auto" w:before="35"/>
        <w:ind w:right="1722" w:firstLine="420"/>
        <w:jc w:val="left"/>
      </w:pPr>
      <w:r>
        <w:rPr/>
        <w:t>本期纳入合并财务报表范围的主体较上期相比，增加</w:t>
      </w:r>
      <w:r>
        <w:rPr>
          <w:rFonts w:ascii="宋体" w:hAnsi="宋体" w:cs="宋体" w:eastAsia="宋体" w:hint="default"/>
        </w:rPr>
        <w:t>92</w:t>
      </w:r>
      <w:r>
        <w:rPr/>
        <w:t>户，减少</w:t>
      </w:r>
      <w:r>
        <w:rPr>
          <w:rFonts w:ascii="宋体" w:hAnsi="宋体" w:cs="宋体" w:eastAsia="宋体" w:hint="default"/>
        </w:rPr>
        <w:t>2</w:t>
      </w:r>
      <w:r>
        <w:rPr/>
        <w:t>户，其中： 本期新纳入合并范围的子公司、特殊目的主体、通过受托经营或承租等方式形成控制权的经营实体</w:t>
      </w: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北京完美空间教育科技有限公司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成都翡翠教育咨询有限公司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北京市朝阳区昭阳软件教育培训学校</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北京创思兰德教育科技有限公司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上海志趣动漫设计有限公司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广州市翡翠教育信息咨询有限公司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武汉翡翠空间数字科技有限公司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郑州翡翠计算机科技有限公司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成都卓新思创科技有限公司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安徽省创思兰博信息科技有限公司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西安品优创意文化发展有限公司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西安卓新数码科技有限公司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西安完美空间职业技能培训学校</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上海昊育信息技术有限公司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上海安逆杰信息技术有限公司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沈阳磐岳网络科技有限公司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创思兰博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科技股份有限公司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上海翡翠职业技能培训学校</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天津卓运天成科技有限公司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上海卓雅网络科技有限公司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天津完美空间数字技术有限责任公司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杭州并轨者网络科技有限公司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安徽省智趣兰德科技有限公司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北京畅晟宏达科技有限公司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常州世宏南骏信息科技有限公司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大连中钰睿泓科技有限公司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福州点积信息科技有限公司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河北翊思卓科技有限公司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无锡市智慧天空信息科技有限公司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南昌卡戎网络科技有限公司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宁波盛逸计算机科技有限公司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盛世光影（深圳）传媒有限公司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沈阳凯宣科技有限公司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天津众云金泰科技有限公司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广州市南跃科技有限公司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37</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南宁易达讯网络科技有限公司</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山西钰陆教育科技有限公司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山西智帆教育科技有限公司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重庆阿克提吾科技有限公司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北京创意之星艺术设计有限公司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西安拓客网络科技有限公司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北京优逸睿智科技有限公司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深圳市世纪星联科技有限公司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广州市联核攻源科技有限公司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湖南卓越新腾信息技术有限公司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南京诺博连信息科技有限公司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南昌五芒星科技有限公司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青岛龙果科技技术有限公司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成都智慧创想科技有限公司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上海嗣峰网络科技有限公司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重庆卓思迅杰科技有限公司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上海犇迩网络科技有限公司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西安易创智达科技有限公司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霍尔果斯众妙合一信息技术有限公司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成都龙腾讯飞科技有限公司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贵阳华腾天创科技有限公司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济南凡格信息科技有限公司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柳州墨本科技有限公司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南京小鸡卓米网络科技有限公司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武汉创思兰博科技有限公司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郑州智世睿通软件科技有限公司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杭州果脉科技有限公司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苏州深层纬度教育科技有限公司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上海墨林教育科技有限公司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长沙翡翠网络游戏有限公司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济南迅奇网络科技有限公司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深圳市灵动空间网络科技有限公司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长春市完美空间教育科技有限公司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哈尔滨聚谦电子信息技术有限公司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重庆翊思卓科技有限公司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西安完美创意科技有限公司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广州九点网络有限公司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杭州千程万码软件有限公司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昆明添力网络科技有限公司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76</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米果科技</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有限公司</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深圳凌点网络科技有限公司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大连创睿网络技术有限公司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常州网之合信息科技有限公司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河北佳岷科技有限公司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烟台丛聚网络技术有限公司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湖南正致教育科技有限公司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贺州市盛东网络科技有限公司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武汉索思艾特科技有限公司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南京睿斯博信息科技有限公司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海南翊思卓网络科技有限公司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海南完美空间网络科技有限公司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潮州市润潮陶瓷有限公司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潮州市长城世家贸易有限公司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湖北智游臻龙教育科技有限公司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南京巅峰数据服务有限公司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苏州云柯数据服务有限公司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spacing w:line="240" w:lineRule="auto" w:before="2"/>
        <w:rPr>
          <w:rFonts w:ascii="Times New Roman" w:hAnsi="Times New Roman" w:cs="Times New Roman" w:eastAsia="Times New Roman" w:hint="default"/>
          <w:sz w:val="9"/>
          <w:szCs w:val="9"/>
        </w:rPr>
      </w:pPr>
    </w:p>
    <w:p>
      <w:pPr>
        <w:pStyle w:val="Heading4"/>
        <w:spacing w:line="240" w:lineRule="auto" w:before="35"/>
        <w:ind w:right="0"/>
        <w:jc w:val="left"/>
      </w:pPr>
      <w:r>
        <w:rPr/>
        <w:t>本期不再纳入合并范围的子公司、特殊目的主体、通过委托经营或出租等方式丧失控制权的经营实体</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818"/>
        <w:gridCol w:w="4509"/>
        <w:gridCol w:w="3203"/>
      </w:tblGrid>
      <w:tr>
        <w:trPr>
          <w:trHeight w:val="356" w:hRule="exact"/>
        </w:trPr>
        <w:tc>
          <w:tcPr>
            <w:tcW w:w="8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32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8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江西联汛教育科技有限公司</w:t>
            </w:r>
          </w:p>
        </w:tc>
        <w:tc>
          <w:tcPr>
            <w:tcW w:w="32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8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新疆智游点石教育科技有限公司</w:t>
            </w:r>
          </w:p>
        </w:tc>
        <w:tc>
          <w:tcPr>
            <w:tcW w:w="32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是否改聘会计师事务所</w:t>
      </w:r>
    </w:p>
    <w:p>
      <w:pPr>
        <w:pStyle w:val="BodyText"/>
        <w:spacing w:line="357" w:lineRule="auto" w:before="117"/>
        <w:ind w:right="8052"/>
        <w:jc w:val="left"/>
      </w:pPr>
      <w:r>
        <w:rPr/>
        <w:t>√ 是 □ 否 是否在审计期间改聘会计师事务所</w:t>
      </w:r>
    </w:p>
    <w:p>
      <w:pPr>
        <w:pStyle w:val="BodyText"/>
        <w:spacing w:line="360" w:lineRule="auto" w:before="28"/>
        <w:ind w:right="7872"/>
        <w:jc w:val="left"/>
      </w:pPr>
      <w:r>
        <w:rPr/>
        <w:t>□ 是 √ 否 更换会计师事务所是否履行审批程序</w:t>
      </w:r>
    </w:p>
    <w:p>
      <w:pPr>
        <w:pStyle w:val="BodyText"/>
        <w:spacing w:line="240" w:lineRule="auto" w:before="26"/>
        <w:ind w:right="0"/>
        <w:jc w:val="left"/>
      </w:pPr>
      <w:r>
        <w:rPr/>
        <w:t>√ 是 □ 否</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ind w:left="474" w:right="0" w:hanging="360"/>
        <w:jc w:val="left"/>
      </w:pPr>
      <w:r>
        <w:rPr/>
        <w:t>聘任、解聘会计师事务所情况说明 </w:t>
      </w:r>
      <w:r>
        <w:rPr>
          <w:spacing w:val="-7"/>
        </w:rPr>
        <w:t>公司原审计机构广东正中珠江会计师事务所（特殊普通合伙）（以下简称“正中珠江”）已连续多年为公司提供审计服务，</w:t>
      </w:r>
    </w:p>
    <w:p>
      <w:pPr>
        <w:pStyle w:val="BodyText"/>
        <w:spacing w:line="224" w:lineRule="exact" w:before="0"/>
        <w:ind w:right="0"/>
        <w:jc w:val="left"/>
      </w:pPr>
      <w:r>
        <w:rPr/>
        <w:t>在执业过程中坚持独立审计原则，勤勉尽职，公允独立地发表审计意见，客观、公正、准确地反映公司财务报表及内部控制</w:t>
      </w:r>
    </w:p>
    <w:p>
      <w:pPr>
        <w:pStyle w:val="BodyText"/>
        <w:spacing w:line="319" w:lineRule="auto" w:before="76"/>
        <w:ind w:right="0"/>
        <w:jc w:val="left"/>
      </w:pPr>
      <w:r>
        <w:rPr>
          <w:spacing w:val="-2"/>
        </w:rPr>
        <w:t>情况，切实履行了审计机构的职责，从专业角度维护了公司及股东的合法权益。正中珠江现因项目排期原因，预计无法按期</w:t>
      </w:r>
      <w:r>
        <w:rPr>
          <w:spacing w:val="-66"/>
        </w:rPr>
        <w:t> </w:t>
      </w:r>
      <w:r>
        <w:rPr>
          <w:spacing w:val="-66"/>
        </w:rPr>
      </w:r>
      <w:r>
        <w:rPr>
          <w:spacing w:val="-2"/>
        </w:rPr>
        <w:t>完成公司</w:t>
      </w:r>
      <w:r>
        <w:rPr>
          <w:rFonts w:ascii="宋体" w:hAnsi="宋体" w:cs="宋体" w:eastAsia="宋体" w:hint="default"/>
          <w:spacing w:val="-2"/>
        </w:rPr>
        <w:t>2018</w:t>
      </w:r>
      <w:r>
        <w:rPr>
          <w:spacing w:val="-2"/>
        </w:rPr>
        <w:t>年度的年报审计工作，经双方友好协商决定终止</w:t>
      </w:r>
      <w:r>
        <w:rPr>
          <w:rFonts w:ascii="宋体" w:hAnsi="宋体" w:cs="宋体" w:eastAsia="宋体" w:hint="default"/>
          <w:spacing w:val="-2"/>
        </w:rPr>
        <w:t>2018</w:t>
      </w:r>
      <w:r>
        <w:rPr>
          <w:spacing w:val="-2"/>
        </w:rPr>
        <w:t>年度的审计聘任。为继续保持公司审计工作的客观性和公</w:t>
      </w:r>
      <w:r>
        <w:rPr>
          <w:spacing w:val="-56"/>
        </w:rPr>
        <w:t> </w:t>
      </w:r>
      <w:r>
        <w:rPr>
          <w:spacing w:val="-56"/>
        </w:rPr>
      </w:r>
      <w:r>
        <w:rPr>
          <w:spacing w:val="-2"/>
        </w:rPr>
        <w:t>允性，并综合考虑公司业务发展和未来审计的需要，经公司董事会审计委员会提议，经公司第四届董事会第十四次会议、第</w:t>
      </w:r>
      <w:r>
        <w:rPr>
          <w:spacing w:val="-66"/>
        </w:rPr>
        <w:t> </w:t>
      </w:r>
      <w:r>
        <w:rPr>
          <w:spacing w:val="-66"/>
        </w:rPr>
      </w:r>
      <w:r>
        <w:rPr>
          <w:spacing w:val="-4"/>
        </w:rPr>
        <w:t>四届监事会第八次会议及</w:t>
      </w:r>
      <w:r>
        <w:rPr>
          <w:rFonts w:ascii="宋体" w:hAnsi="宋体" w:cs="宋体" w:eastAsia="宋体" w:hint="default"/>
          <w:spacing w:val="-4"/>
        </w:rPr>
        <w:t>2019</w:t>
      </w:r>
      <w:r>
        <w:rPr>
          <w:spacing w:val="-4"/>
        </w:rPr>
        <w:t>年第一次临时股东大会审议通过，公司更换提供年度审计服务的会计师事务所，聘请具备证券、</w:t>
      </w:r>
      <w:r>
        <w:rPr>
          <w:spacing w:val="-36"/>
        </w:rPr>
        <w:t> </w:t>
      </w:r>
      <w:r>
        <w:rPr>
          <w:spacing w:val="-36"/>
        </w:rPr>
      </w:r>
      <w:r>
        <w:rPr/>
        <w:t>期货业务资格的大华会计师事务所（特殊普通合伙）为公司</w:t>
      </w:r>
      <w:r>
        <w:rPr>
          <w:rFonts w:ascii="宋体" w:hAnsi="宋体" w:cs="宋体" w:eastAsia="宋体" w:hint="default"/>
        </w:rPr>
        <w:t>2018</w:t>
      </w:r>
      <w:r>
        <w:rPr/>
        <w:t>年度审计机构。</w:t>
      </w:r>
    </w:p>
    <w:p>
      <w:pPr>
        <w:pStyle w:val="BodyText"/>
        <w:spacing w:line="240" w:lineRule="auto" w:before="58"/>
        <w:ind w:right="0"/>
        <w:jc w:val="left"/>
      </w:pPr>
      <w:r>
        <w:rPr/>
        <w:t>聘请内部控制审计会计师事务所、财务顾问或保荐人情况</w:t>
      </w:r>
    </w:p>
    <w:p>
      <w:pPr>
        <w:pStyle w:val="BodyText"/>
        <w:spacing w:line="357" w:lineRule="auto" w:before="117"/>
        <w:ind w:right="4632"/>
        <w:jc w:val="left"/>
      </w:pPr>
      <w:r>
        <w:rPr/>
        <w:t>√ 适用 □ 不适用 本年度，公司因重大资产重组事项，聘请广发证券股份有限公司为财务顾问。</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 适用 √ 不适用 公司报告期未发生破产重整相关事项。</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3"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40" w:right="119" w:hanging="42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7" w:right="177"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71" w:right="17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50" w:right="150" w:firstLine="3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77" w:right="116"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56"/>
              <w:jc w:val="both"/>
              <w:rPr>
                <w:rFonts w:ascii="宋体" w:hAnsi="宋体" w:cs="宋体" w:eastAsia="宋体" w:hint="default"/>
                <w:sz w:val="18"/>
                <w:szCs w:val="18"/>
              </w:rPr>
            </w:pPr>
            <w:r>
              <w:rPr>
                <w:rFonts w:ascii="宋体" w:hAnsi="宋体" w:cs="宋体" w:eastAsia="宋体" w:hint="default"/>
                <w:sz w:val="18"/>
                <w:szCs w:val="18"/>
              </w:rPr>
              <w:t>报告期内未达 到重大诉讼的 其他诉讼</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32.17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9"/>
              <w:jc w:val="both"/>
              <w:rPr>
                <w:rFonts w:ascii="宋体" w:hAnsi="宋体" w:cs="宋体" w:eastAsia="宋体" w:hint="default"/>
                <w:sz w:val="18"/>
                <w:szCs w:val="18"/>
              </w:rPr>
            </w:pPr>
            <w:r>
              <w:rPr>
                <w:rFonts w:ascii="宋体" w:hAnsi="宋体" w:cs="宋体" w:eastAsia="宋体" w:hint="default"/>
                <w:sz w:val="18"/>
                <w:szCs w:val="18"/>
              </w:rPr>
              <w:t>公司严格 按照进度 推进各案 件</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98"/>
              <w:jc w:val="both"/>
              <w:rPr>
                <w:rFonts w:ascii="宋体" w:hAnsi="宋体" w:cs="宋体" w:eastAsia="宋体" w:hint="default"/>
                <w:sz w:val="18"/>
                <w:szCs w:val="18"/>
              </w:rPr>
            </w:pPr>
            <w:r>
              <w:rPr>
                <w:rFonts w:ascii="宋体" w:hAnsi="宋体" w:cs="宋体" w:eastAsia="宋体" w:hint="default"/>
                <w:sz w:val="18"/>
                <w:szCs w:val="18"/>
              </w:rPr>
              <w:t>公司严格按照 诉讼审理结果 执行</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51"/>
              <w:jc w:val="both"/>
              <w:rPr>
                <w:rFonts w:ascii="宋体" w:hAnsi="宋体" w:cs="宋体" w:eastAsia="宋体" w:hint="default"/>
                <w:sz w:val="18"/>
                <w:szCs w:val="18"/>
              </w:rPr>
            </w:pPr>
            <w:r>
              <w:rPr>
                <w:rFonts w:ascii="宋体" w:hAnsi="宋体" w:cs="宋体" w:eastAsia="宋体" w:hint="default"/>
                <w:sz w:val="18"/>
                <w:szCs w:val="18"/>
              </w:rPr>
              <w:t>公司严格按 照诉讼审理 结果执行</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872"/>
        <w:jc w:val="left"/>
      </w:pPr>
      <w:r>
        <w:rPr/>
        <w:t>□ 适用 √ 不适用 公司报告期不存在处罚及整改情况。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4452"/>
        <w:jc w:val="left"/>
      </w:pPr>
      <w:r>
        <w:rPr/>
        <w:t>□ 适用 √ 不适用 公司报告期无股权激励计划、员工持股计划或其他员工激励措施及其实施情况。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792"/>
        <w:jc w:val="left"/>
      </w:pPr>
      <w:r>
        <w:rPr/>
        <w:t>□ 适用 √ 不适用 公司报告期未发生与日常经营相关的关联交易。</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432"/>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152"/>
        <w:jc w:val="left"/>
      </w:pPr>
      <w:r>
        <w:rPr/>
        <w:t>□ 适用 √ 不适用 公司报告期未发生共同对外投资的关联交易。</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 适用 √ 不适用 公司报告期不存在关联债权债务往来。</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60" w:lineRule="auto" w:before="0"/>
        <w:ind w:right="8052"/>
        <w:jc w:val="left"/>
      </w:pPr>
      <w:r>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412"/>
        <w:jc w:val="left"/>
      </w:pPr>
      <w:r>
        <w:rPr/>
        <w:t>□ 适用 √ 不适用 公司报告期不存在托管情况。</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both"/>
      </w:pPr>
      <w:r>
        <w:rPr/>
        <w:t>公司报告期不存在承包情况。</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9222"/>
        <w:jc w:val="left"/>
      </w:pPr>
      <w:r>
        <w:rPr/>
        <w:t>√ 适用 □ 不适用 租赁情况说明</w:t>
      </w:r>
    </w:p>
    <w:p>
      <w:pPr>
        <w:pStyle w:val="BodyText"/>
        <w:spacing w:line="300" w:lineRule="auto" w:before="28"/>
        <w:ind w:right="113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日，公司子公司深圳长城世家商贸有限公司与深圳市世纪工艺品文化市场有限公司签署《深圳市房地产租赁合同</w:t>
      </w:r>
      <w:r>
        <w:rPr>
          <w:spacing w:val="-58"/>
        </w:rPr>
        <w:t> </w:t>
      </w:r>
      <w:r>
        <w:rPr>
          <w:spacing w:val="-58"/>
        </w:rPr>
      </w:r>
      <w:r>
        <w:rPr>
          <w:spacing w:val="-1"/>
        </w:rPr>
        <w:t>书》及补充协议，向其租赁商铺及办公楼共计面积</w:t>
      </w:r>
      <w:r>
        <w:rPr>
          <w:rFonts w:ascii="Times New Roman" w:hAnsi="Times New Roman" w:cs="Times New Roman" w:eastAsia="Times New Roman" w:hint="default"/>
          <w:spacing w:val="-1"/>
        </w:rPr>
        <w:t>13,516</w:t>
      </w:r>
      <w:r>
        <w:rPr>
          <w:spacing w:val="-1"/>
        </w:rPr>
        <w:t>平方米，租赁期陆年，自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日止，年租</w:t>
      </w:r>
      <w:r>
        <w:rPr>
          <w:spacing w:val="-67"/>
        </w:rPr>
        <w:t> </w:t>
      </w:r>
      <w:r>
        <w:rPr>
          <w:spacing w:val="-67"/>
        </w:rPr>
      </w:r>
      <w:r>
        <w:rPr/>
        <w:t>金</w:t>
      </w:r>
      <w:r>
        <w:rPr>
          <w:rFonts w:ascii="Times New Roman" w:hAnsi="Times New Roman" w:cs="Times New Roman" w:eastAsia="Times New Roman" w:hint="default"/>
        </w:rPr>
        <w:t>6,163,296.00</w:t>
      </w:r>
      <w:r>
        <w:rPr/>
        <w:t>元。目前，相关合同正在正常执行中。</w:t>
      </w:r>
    </w:p>
    <w:p>
      <w:pPr>
        <w:spacing w:line="240" w:lineRule="auto" w:before="0"/>
        <w:rPr>
          <w:rFonts w:ascii="宋体" w:hAnsi="宋体" w:cs="宋体" w:eastAsia="宋体" w:hint="default"/>
          <w:sz w:val="18"/>
          <w:szCs w:val="18"/>
        </w:rPr>
      </w:pPr>
    </w:p>
    <w:p>
      <w:pPr>
        <w:pStyle w:val="BodyText"/>
        <w:spacing w:line="240" w:lineRule="auto" w:before="130"/>
        <w:ind w:right="0"/>
        <w:jc w:val="both"/>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both"/>
      </w:pPr>
      <w:r>
        <w:rPr/>
        <w:t>□ 适用 √ 不适用</w:t>
      </w:r>
    </w:p>
    <w:p>
      <w:pPr>
        <w:pStyle w:val="BodyText"/>
        <w:spacing w:line="240" w:lineRule="auto" w:before="117"/>
        <w:ind w:right="0"/>
        <w:jc w:val="both"/>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9"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64"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8"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535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深圳市高新投集团 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35,000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35,000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3" w:right="12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 履行期限 届满之日 起两年；</w:t>
            </w:r>
          </w:p>
          <w:p>
            <w:pPr>
              <w:pStyle w:val="TableParagraph"/>
              <w:spacing w:line="316"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）担保 协议书约 定债务人 分期履行 还款义务 </w:t>
            </w:r>
            <w:r>
              <w:rPr>
                <w:rFonts w:ascii="宋体" w:hAnsi="宋体" w:cs="宋体" w:eastAsia="宋体" w:hint="default"/>
                <w:spacing w:val="-13"/>
                <w:sz w:val="18"/>
                <w:szCs w:val="18"/>
              </w:rPr>
              <w:t>的，或对债</w:t>
            </w:r>
            <w:r>
              <w:rPr>
                <w:rFonts w:ascii="宋体" w:hAnsi="宋体" w:cs="宋体" w:eastAsia="宋体" w:hint="default"/>
                <w:sz w:val="18"/>
                <w:szCs w:val="18"/>
              </w:rPr>
              <w:t> 务人的不 同债务约 定有不同 的履行期 </w:t>
            </w:r>
            <w:r>
              <w:rPr>
                <w:rFonts w:ascii="宋体" w:hAnsi="宋体" w:cs="宋体" w:eastAsia="宋体" w:hint="default"/>
                <w:spacing w:val="-13"/>
                <w:sz w:val="18"/>
                <w:szCs w:val="18"/>
              </w:rPr>
              <w:t>限的，自最</w:t>
            </w:r>
            <w:r>
              <w:rPr>
                <w:rFonts w:ascii="宋体" w:hAnsi="宋体" w:cs="宋体" w:eastAsia="宋体" w:hint="default"/>
                <w:sz w:val="18"/>
                <w:szCs w:val="18"/>
              </w:rPr>
              <w:t> 后一期债 务履行期</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9"/>
        <w:gridCol w:w="922"/>
        <w:gridCol w:w="923"/>
        <w:gridCol w:w="1302"/>
        <w:gridCol w:w="1057"/>
        <w:gridCol w:w="1041"/>
        <w:gridCol w:w="1048"/>
        <w:gridCol w:w="790"/>
        <w:gridCol w:w="783"/>
      </w:tblGrid>
      <w:tr>
        <w:trPr>
          <w:trHeight w:val="67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5" w:space="0" w:color="000000"/>
            </w:tcBorders>
          </w:tcPr>
          <w:p>
            <w:pPr/>
          </w:p>
        </w:tc>
        <w:tc>
          <w:tcPr>
            <w:tcW w:w="923"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32"/>
              <w:jc w:val="left"/>
              <w:rPr>
                <w:rFonts w:ascii="宋体" w:hAnsi="宋体" w:cs="宋体" w:eastAsia="宋体" w:hint="default"/>
                <w:sz w:val="18"/>
                <w:szCs w:val="18"/>
              </w:rPr>
            </w:pPr>
            <w:r>
              <w:rPr>
                <w:rFonts w:ascii="宋体" w:hAnsi="宋体" w:cs="宋体" w:eastAsia="宋体" w:hint="default"/>
                <w:sz w:val="18"/>
                <w:szCs w:val="18"/>
              </w:rPr>
              <w:t>限届满之 日起两年。</w:t>
            </w: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35,000</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6" w:right="184"/>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69" w:right="18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19" w:right="11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258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154"/>
              <w:jc w:val="left"/>
              <w:rPr>
                <w:rFonts w:ascii="宋体" w:hAnsi="宋体" w:cs="宋体" w:eastAsia="宋体" w:hint="default"/>
                <w:sz w:val="18"/>
                <w:szCs w:val="18"/>
              </w:rPr>
            </w:pPr>
            <w:r>
              <w:rPr>
                <w:rFonts w:ascii="宋体" w:hAnsi="宋体" w:cs="宋体" w:eastAsia="宋体" w:hint="default"/>
                <w:sz w:val="18"/>
                <w:szCs w:val="18"/>
              </w:rPr>
              <w:t>广东联汛教育科技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11" w:right="0"/>
              <w:jc w:val="left"/>
              <w:rPr>
                <w:rFonts w:ascii="Times New Roman" w:hAnsi="Times New Roman" w:cs="Times New Roman" w:eastAsia="Times New Roman" w:hint="default"/>
                <w:sz w:val="18"/>
                <w:szCs w:val="18"/>
              </w:rPr>
            </w:pPr>
            <w:r>
              <w:rPr>
                <w:rFonts w:ascii="Times New Roman"/>
                <w:sz w:val="18"/>
              </w:rPr>
              <w:t>5,000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45" w:right="0"/>
              <w:jc w:val="left"/>
              <w:rPr>
                <w:rFonts w:ascii="Times New Roman" w:hAnsi="Times New Roman" w:cs="Times New Roman" w:eastAsia="Times New Roman" w:hint="default"/>
                <w:sz w:val="18"/>
                <w:szCs w:val="18"/>
              </w:rPr>
            </w:pPr>
            <w:r>
              <w:rPr>
                <w:rFonts w:ascii="Times New Roman"/>
                <w:sz w:val="18"/>
              </w:rPr>
              <w:t>5,000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2"/>
              <w:jc w:val="both"/>
              <w:rPr>
                <w:rFonts w:ascii="宋体" w:hAnsi="宋体" w:cs="宋体" w:eastAsia="宋体" w:hint="default"/>
                <w:sz w:val="18"/>
                <w:szCs w:val="18"/>
              </w:rPr>
            </w:pPr>
            <w:r>
              <w:rPr>
                <w:rFonts w:ascii="宋体" w:hAnsi="宋体" w:cs="宋体" w:eastAsia="宋体" w:hint="default"/>
                <w:sz w:val="18"/>
                <w:szCs w:val="18"/>
              </w:rPr>
              <w:t>主债权项 下每个单 项协议签 订之日至 该笔债务 履行期限 届满之日 起两年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57" w:right="19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7" w:right="16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15" w:right="12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2"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3" w:right="17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16.71%</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856"/>
        <w:gridCol w:w="4719"/>
      </w:tblGrid>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792"/>
        <w:jc w:val="left"/>
      </w:pPr>
      <w:r>
        <w:rPr/>
        <w:t>□ 适用 √ 不适用 公司报告期无违规对外担保情况。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412"/>
        <w:jc w:val="left"/>
      </w:pPr>
      <w:r>
        <w:rPr/>
        <w:t>□ 适用 √ 不适用 公司报告期不存在委托理财。</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412"/>
        <w:jc w:val="left"/>
      </w:pPr>
      <w:r>
        <w:rPr/>
        <w:t>□ 适用 √ 不适用 公司报告期不存在委托贷款。</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052"/>
        <w:jc w:val="left"/>
      </w:pPr>
      <w:r>
        <w:rPr/>
        <w:t>□ 适用 √ 不适用 公司报告期不存在其他重大合同。</w:t>
      </w:r>
    </w:p>
    <w:p>
      <w:pPr>
        <w:spacing w:line="240" w:lineRule="auto" w:before="1"/>
        <w:rPr>
          <w:rFonts w:ascii="宋体" w:hAnsi="宋体" w:cs="宋体" w:eastAsia="宋体" w:hint="default"/>
          <w:sz w:val="18"/>
          <w:szCs w:val="18"/>
        </w:rPr>
      </w:pPr>
    </w:p>
    <w:p>
      <w:pPr>
        <w:spacing w:line="506" w:lineRule="auto" w:before="0"/>
        <w:ind w:left="114" w:right="8583" w:firstLine="0"/>
        <w:jc w:val="left"/>
        <w:rPr>
          <w:rFonts w:ascii="宋体" w:hAnsi="宋体" w:cs="宋体" w:eastAsia="宋体" w:hint="default"/>
          <w:sz w:val="18"/>
          <w:szCs w:val="18"/>
        </w:rPr>
      </w:pPr>
      <w:bookmarkStart w:name="十七、社会责任情况" w:id="97"/>
      <w:bookmarkEnd w:id="97"/>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8"/>
      <w:bookmarkEnd w:id="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3"/>
        <w:spacing w:line="240" w:lineRule="auto" w:before="153"/>
        <w:ind w:right="0"/>
        <w:jc w:val="left"/>
        <w:rPr>
          <w:b w:val="0"/>
          <w:bCs w:val="0"/>
        </w:rPr>
      </w:pPr>
      <w:bookmarkStart w:name="2、 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公司报告年度暂未开展精准扶贫工作，也暂无后续精准扶贫计划。</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712"/>
        <w:jc w:val="left"/>
      </w:pPr>
      <w:r>
        <w:rPr/>
        <w:t>上市公司及其子公司是否属于环境保护部门公布的重点排污单位 否</w:t>
      </w:r>
    </w:p>
    <w:p>
      <w:pPr>
        <w:pStyle w:val="BodyText"/>
        <w:spacing w:line="240" w:lineRule="auto" w:before="28"/>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1122"/>
        <w:jc w:val="left"/>
      </w:pPr>
      <w:r>
        <w:rPr/>
        <w:t>√ 适用 □ 不适用 </w:t>
      </w:r>
      <w:r>
        <w:rPr>
          <w:rFonts w:ascii="宋体" w:hAnsi="宋体" w:cs="宋体" w:eastAsia="宋体" w:hint="default"/>
        </w:rPr>
        <w:t>1</w:t>
      </w:r>
      <w:r>
        <w:rPr/>
        <w:t>、公司以发行股份及支付现金方式购买翡翠教育</w:t>
      </w:r>
      <w:r>
        <w:rPr>
          <w:rFonts w:ascii="宋体" w:hAnsi="宋体" w:cs="宋体" w:eastAsia="宋体" w:hint="default"/>
        </w:rPr>
        <w:t>100%</w:t>
      </w:r>
      <w:r>
        <w:rPr/>
        <w:t>股权，因该事项构成重大资产重组，公司按照相关规定进行筹划并推 行实施。具体内容详见公司在巨潮资讯网上披露的相关公告。</w:t>
      </w:r>
    </w:p>
    <w:p>
      <w:pPr>
        <w:pStyle w:val="BodyText"/>
        <w:spacing w:line="316" w:lineRule="auto" w:before="2"/>
        <w:ind w:right="1041"/>
        <w:jc w:val="left"/>
      </w:pPr>
      <w:r>
        <w:rPr>
          <w:rFonts w:ascii="宋体" w:hAnsi="宋体" w:cs="宋体" w:eastAsia="宋体" w:hint="default"/>
          <w:spacing w:val="-5"/>
        </w:rPr>
        <w:t>2018</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9</w:t>
      </w:r>
      <w:r>
        <w:rPr>
          <w:spacing w:val="-5"/>
        </w:rPr>
        <w:t>日公司收到中国证券监督管理委员会（以下简称“中国证监会”）《关于核准广东文化长城集团股份有限公司向安</w:t>
      </w:r>
      <w:r>
        <w:rPr>
          <w:spacing w:val="-64"/>
        </w:rPr>
        <w:t> </w:t>
      </w:r>
      <w:r>
        <w:rPr>
          <w:spacing w:val="-64"/>
        </w:rPr>
      </w:r>
      <w:r>
        <w:rPr>
          <w:spacing w:val="-8"/>
        </w:rPr>
        <w:t>卓易（北京）科技有限公司等发行股份购买资产并募集配套资金的批复》（证监许可</w:t>
      </w:r>
      <w:r>
        <w:rPr>
          <w:rFonts w:ascii="宋体" w:hAnsi="宋体" w:cs="宋体" w:eastAsia="宋体" w:hint="default"/>
          <w:spacing w:val="-8"/>
        </w:rPr>
        <w:t>[2018]394</w:t>
      </w:r>
      <w:r>
        <w:rPr>
          <w:spacing w:val="-8"/>
        </w:rPr>
        <w:t>号）（以下简称“核准文件”），</w:t>
      </w:r>
      <w:r>
        <w:rPr>
          <w:spacing w:val="-46"/>
        </w:rPr>
        <w:t> </w:t>
      </w:r>
      <w:r>
        <w:rPr>
          <w:spacing w:val="-46"/>
        </w:rPr>
      </w:r>
      <w:r>
        <w:rPr>
          <w:spacing w:val="-2"/>
        </w:rPr>
        <w:t>核准公司向安卓易（北京）科技有限公司等发行股份购买资产并募集配套资金事宜，批复自下发之日起</w:t>
      </w:r>
      <w:r>
        <w:rPr>
          <w:rFonts w:ascii="宋体" w:hAnsi="宋体" w:cs="宋体" w:eastAsia="宋体" w:hint="default"/>
          <w:spacing w:val="-2"/>
        </w:rPr>
        <w:t>12</w:t>
      </w:r>
      <w:r>
        <w:rPr>
          <w:spacing w:val="-2"/>
        </w:rPr>
        <w:t>个月内有效。公司</w:t>
      </w:r>
      <w:r>
        <w:rPr>
          <w:spacing w:val="-64"/>
        </w:rPr>
        <w:t> </w:t>
      </w:r>
      <w:r>
        <w:rPr>
          <w:spacing w:val="-64"/>
        </w:rPr>
      </w:r>
      <w:r>
        <w:rPr/>
        <w:t>收到中国证监会核准文件后，按照文件要求和公司股东大会的授权，</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27</w:t>
      </w:r>
      <w:r>
        <w:rPr/>
        <w:t>日完成标的资产翡翠教育</w:t>
      </w:r>
      <w:r>
        <w:rPr>
          <w:rFonts w:ascii="宋体" w:hAnsi="宋体" w:cs="宋体" w:eastAsia="宋体" w:hint="default"/>
        </w:rPr>
        <w:t>100%</w:t>
      </w:r>
      <w:r>
        <w:rPr/>
        <w:t>股权过户事 宜，</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t>日完成发行股份购买资产相关事宜的办理。自取得核准文件以来，由于资本市场融资环境的变化及部分意 </w:t>
      </w:r>
      <w:r>
        <w:rPr>
          <w:spacing w:val="-2"/>
        </w:rPr>
        <w:t>向投资者无法在批文有效期内完成相关事宜的办理，虽经多方协同积极配合，公司仍未能在核准文件有效期内实施发行股票</w:t>
      </w:r>
      <w:r>
        <w:rPr>
          <w:spacing w:val="-64"/>
        </w:rPr>
        <w:t> </w:t>
      </w:r>
      <w:r>
        <w:rPr>
          <w:spacing w:val="-64"/>
        </w:rPr>
      </w:r>
      <w:r>
        <w:rPr>
          <w:spacing w:val="-2"/>
        </w:rPr>
        <w:t>募集配套资金事宜。遵照上述中国证监会的核准文件，批复到期自动失效。按照《发行股份及支付现金购买资产协议》，募</w:t>
      </w:r>
      <w:r>
        <w:rPr>
          <w:spacing w:val="-72"/>
        </w:rPr>
        <w:t> </w:t>
      </w:r>
      <w:r>
        <w:rPr>
          <w:spacing w:val="-72"/>
        </w:rPr>
      </w:r>
      <w:r>
        <w:rPr>
          <w:spacing w:val="-2"/>
        </w:rPr>
        <w:t>集配套资金的主要用途为向翡翠教育原股东支付现金对价，公司需在募集配套资金足额到位</w:t>
      </w:r>
      <w:r>
        <w:rPr>
          <w:rFonts w:ascii="宋体" w:hAnsi="宋体" w:cs="宋体" w:eastAsia="宋体" w:hint="default"/>
          <w:spacing w:val="-2"/>
        </w:rPr>
        <w:t>10</w:t>
      </w:r>
      <w:r>
        <w:rPr>
          <w:spacing w:val="-2"/>
        </w:rPr>
        <w:t>个工作日或者标的股权交割后</w:t>
      </w:r>
      <w:r>
        <w:rPr>
          <w:spacing w:val="-61"/>
        </w:rPr>
        <w:t> </w:t>
      </w:r>
      <w:r>
        <w:rPr>
          <w:rFonts w:ascii="宋体" w:hAnsi="宋体" w:cs="宋体" w:eastAsia="宋体" w:hint="default"/>
          <w:spacing w:val="-3"/>
        </w:rPr>
        <w:t>90</w:t>
      </w:r>
      <w:r>
        <w:rPr>
          <w:spacing w:val="-3"/>
        </w:rPr>
        <w:t>天内（以先发生的时点为准），一次性向翡翠教育原股东支付</w:t>
      </w:r>
      <w:r>
        <w:rPr>
          <w:rFonts w:ascii="宋体" w:hAnsi="宋体" w:cs="宋体" w:eastAsia="宋体" w:hint="default"/>
          <w:spacing w:val="-3"/>
        </w:rPr>
        <w:t>75,329.5620</w:t>
      </w:r>
      <w:r>
        <w:rPr>
          <w:spacing w:val="-3"/>
        </w:rPr>
        <w:t>万元。截止本公告披露日，公司已对翡翠教育原</w:t>
      </w:r>
      <w:r>
        <w:rPr>
          <w:spacing w:val="-81"/>
        </w:rPr>
        <w:t> </w:t>
      </w:r>
      <w:r>
        <w:rPr>
          <w:spacing w:val="-81"/>
        </w:rPr>
      </w:r>
      <w:r>
        <w:rPr>
          <w:spacing w:val="-2"/>
        </w:rPr>
        <w:t>股东现金对价进行了部分支付，目前公司生产经营正常，后续公司会根据自身战略、经营及资金支出规划，通过自有资金或</w:t>
      </w:r>
      <w:r>
        <w:rPr>
          <w:spacing w:val="-66"/>
        </w:rPr>
        <w:t> </w:t>
      </w:r>
      <w:r>
        <w:rPr>
          <w:spacing w:val="-66"/>
        </w:rPr>
      </w:r>
      <w:r>
        <w:rPr/>
        <w:t>者债务融资、银行贷款等融资方式合理安排融资工作。敬请广大投资者谨慎投资，注意投资风险。 </w:t>
      </w:r>
      <w:r>
        <w:rPr>
          <w:rFonts w:ascii="宋体" w:hAnsi="宋体" w:cs="宋体" w:eastAsia="宋体"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w:t>
      </w:r>
      <w:r>
        <w:rPr>
          <w:spacing w:val="-3"/>
        </w:rPr>
        <w:t>日，公司召开</w:t>
      </w:r>
      <w:r>
        <w:rPr>
          <w:rFonts w:ascii="宋体" w:hAnsi="宋体" w:cs="宋体" w:eastAsia="宋体" w:hint="default"/>
          <w:spacing w:val="-3"/>
        </w:rPr>
        <w:t>2018</w:t>
      </w:r>
      <w:r>
        <w:rPr>
          <w:spacing w:val="-3"/>
        </w:rPr>
        <w:t>年第一次临时股东大会，审议通过了《关于以集中竞价交易方式回购公司股份的议案》，并</w:t>
      </w:r>
      <w:r>
        <w:rPr>
          <w:spacing w:val="-85"/>
        </w:rPr>
        <w:t> </w:t>
      </w:r>
      <w:r>
        <w:rPr>
          <w:spacing w:val="-85"/>
        </w:rPr>
      </w:r>
      <w:r>
        <w:rPr>
          <w:spacing w:val="-3"/>
        </w:rPr>
        <w:t>于</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18</w:t>
      </w:r>
      <w:r>
        <w:rPr>
          <w:spacing w:val="-3"/>
        </w:rPr>
        <w:t>日披露了《关于以集中竞价交易方式回购公司股份的报告书》。公司在中国证券登记结算有限责任公司深圳分</w:t>
      </w:r>
      <w:r>
        <w:rPr>
          <w:spacing w:val="-88"/>
        </w:rPr>
        <w:t> </w:t>
      </w:r>
      <w:r>
        <w:rPr>
          <w:spacing w:val="-88"/>
        </w:rPr>
      </w:r>
      <w:r>
        <w:rPr/>
        <w:t>公司开立了回购专用证券账户，自</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31</w:t>
      </w:r>
      <w:r>
        <w:rPr/>
        <w:t>日</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6</w:t>
      </w:r>
      <w:r>
        <w:rPr/>
        <w:t>日回购了</w:t>
      </w:r>
      <w:r>
        <w:rPr>
          <w:rFonts w:ascii="宋体" w:hAnsi="宋体" w:cs="宋体" w:eastAsia="宋体" w:hint="default"/>
        </w:rPr>
        <w:t>8,780,396</w:t>
      </w:r>
      <w:r>
        <w:rPr/>
        <w:t>股股份，并在中国证券登记结算有限责任 公司深圳分公司办理完毕上述</w:t>
      </w:r>
      <w:r>
        <w:rPr>
          <w:rFonts w:ascii="宋体" w:hAnsi="宋体" w:cs="宋体" w:eastAsia="宋体" w:hint="default"/>
        </w:rPr>
        <w:t>8,780,396</w:t>
      </w:r>
      <w:r>
        <w:rPr/>
        <w:t>股回购股份注销手续。本次股份回购注销完成后，公司股份总数（总股本）由 </w:t>
      </w:r>
      <w:r>
        <w:rPr>
          <w:rFonts w:ascii="宋体" w:hAnsi="宋体" w:cs="宋体" w:eastAsia="宋体" w:hint="default"/>
        </w:rPr>
        <w:t>489,837,266</w:t>
      </w:r>
      <w:r>
        <w:rPr/>
        <w:t>股减至</w:t>
      </w:r>
      <w:r>
        <w:rPr>
          <w:rFonts w:ascii="宋体" w:hAnsi="宋体" w:cs="宋体" w:eastAsia="宋体" w:hint="default"/>
        </w:rPr>
        <w:t>481,056,870</w:t>
      </w:r>
      <w:r>
        <w:rPr/>
        <w:t>股。</w:t>
      </w:r>
    </w:p>
    <w:p>
      <w:pPr>
        <w:pStyle w:val="BodyText"/>
        <w:spacing w:line="316" w:lineRule="auto" w:before="19"/>
        <w:ind w:right="1122"/>
        <w:jc w:val="left"/>
      </w:pPr>
      <w:r>
        <w:rPr>
          <w:rFonts w:ascii="宋体" w:hAnsi="宋体" w:cs="宋体" w:eastAsia="宋体" w:hint="default"/>
          <w:spacing w:val="-3"/>
        </w:rPr>
        <w:t>3</w:t>
      </w:r>
      <w:r>
        <w:rPr>
          <w:spacing w:val="-3"/>
        </w:rPr>
        <w:t>、公司于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27</w:t>
      </w:r>
      <w:r>
        <w:rPr>
          <w:spacing w:val="-3"/>
        </w:rPr>
        <w:t>日召开第四届董事会第八次会议、</w:t>
      </w:r>
      <w:r>
        <w:rPr>
          <w:rFonts w:ascii="宋体" w:hAnsi="宋体" w:cs="宋体" w:eastAsia="宋体" w:hint="default"/>
          <w:spacing w:val="-3"/>
        </w:rPr>
        <w:t>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16</w:t>
      </w:r>
      <w:r>
        <w:rPr>
          <w:spacing w:val="-3"/>
        </w:rPr>
        <w:t>日召开公司</w:t>
      </w:r>
      <w:r>
        <w:rPr>
          <w:rFonts w:ascii="宋体" w:hAnsi="宋体" w:cs="宋体" w:eastAsia="宋体" w:hint="default"/>
          <w:spacing w:val="-3"/>
        </w:rPr>
        <w:t>2018</w:t>
      </w:r>
      <w:r>
        <w:rPr>
          <w:spacing w:val="-3"/>
        </w:rPr>
        <w:t>年第二次临时股东大会审议通过了《关</w:t>
      </w:r>
      <w:r>
        <w:rPr>
          <w:spacing w:val="-72"/>
        </w:rPr>
        <w:t> </w:t>
      </w:r>
      <w:r>
        <w:rPr>
          <w:spacing w:val="-72"/>
        </w:rPr>
      </w:r>
      <w:r>
        <w:rPr>
          <w:spacing w:val="-2"/>
        </w:rPr>
        <w:t>于公司对外投资暨参与认购广东粤科文化长城文化产业并购投资中心（有限合伙）基金份额的议案》，同意公司参与认购由</w:t>
      </w:r>
      <w:r>
        <w:rPr>
          <w:spacing w:val="-72"/>
        </w:rPr>
        <w:t> </w:t>
      </w:r>
      <w:r>
        <w:rPr>
          <w:spacing w:val="-72"/>
        </w:rPr>
      </w:r>
      <w:r>
        <w:rPr>
          <w:spacing w:val="-2"/>
        </w:rPr>
        <w:t>广东省粤科母基金投资管理有限公司作为管理人，由横琴粤科母基金投资管理中心（有限合伙）作为普通合伙人（执行事务</w:t>
      </w:r>
      <w:r>
        <w:rPr>
          <w:spacing w:val="-66"/>
        </w:rPr>
        <w:t> </w:t>
      </w:r>
      <w:r>
        <w:rPr>
          <w:spacing w:val="-66"/>
        </w:rPr>
      </w:r>
      <w:r>
        <w:rPr>
          <w:spacing w:val="-5"/>
        </w:rPr>
        <w:t>合伙人），发起设立的广东粤科文化长城文化产业并购投资中心（有限合伙）（以下简称为“投资基金”）的出资份额。投资</w:t>
      </w:r>
      <w:r>
        <w:rPr>
          <w:spacing w:val="-85"/>
        </w:rPr>
        <w:t> </w:t>
      </w:r>
      <w:r>
        <w:rPr>
          <w:spacing w:val="-85"/>
        </w:rPr>
      </w:r>
      <w:r>
        <w:rPr>
          <w:spacing w:val="-2"/>
        </w:rPr>
        <w:t>基金规模为人民币</w:t>
      </w:r>
      <w:r>
        <w:rPr>
          <w:rFonts w:ascii="宋体" w:hAnsi="宋体" w:cs="宋体" w:eastAsia="宋体" w:hint="default"/>
          <w:spacing w:val="-2"/>
        </w:rPr>
        <w:t>50,100</w:t>
      </w:r>
      <w:r>
        <w:rPr>
          <w:spacing w:val="-2"/>
        </w:rPr>
        <w:t>万元，其中文化长城拟以自有资金出资人民币</w:t>
      </w:r>
      <w:r>
        <w:rPr>
          <w:rFonts w:ascii="宋体" w:hAnsi="宋体" w:cs="宋体" w:eastAsia="宋体" w:hint="default"/>
          <w:spacing w:val="-2"/>
        </w:rPr>
        <w:t>20,000</w:t>
      </w:r>
      <w:r>
        <w:rPr>
          <w:spacing w:val="-2"/>
        </w:rPr>
        <w:t>万元，作为投资基金的有限合伙人。其他有限</w:t>
      </w:r>
      <w:r>
        <w:rPr>
          <w:spacing w:val="-54"/>
        </w:rPr>
        <w:t> </w:t>
      </w:r>
      <w:r>
        <w:rPr>
          <w:spacing w:val="-54"/>
        </w:rPr>
      </w:r>
      <w:r>
        <w:rPr>
          <w:spacing w:val="-2"/>
        </w:rPr>
        <w:t>合伙人包括广东省粤科江门创新创业投资母基金有限公司及广东省粤科海格集成电路发展母基金投资中心合伙企业（有限合</w:t>
      </w:r>
      <w:r>
        <w:rPr>
          <w:spacing w:val="-64"/>
        </w:rPr>
        <w:t> </w:t>
      </w:r>
      <w:r>
        <w:rPr>
          <w:spacing w:val="-64"/>
        </w:rPr>
      </w:r>
      <w:r>
        <w:rPr>
          <w:spacing w:val="-2"/>
        </w:rPr>
        <w:t>伙）。投资基金主要围绕文化、新媒体产业、媒体融合发展、职业教育等产业领域进行股权投资。具体情况详见公司于</w:t>
      </w:r>
      <w:r>
        <w:rPr>
          <w:rFonts w:ascii="宋体" w:hAnsi="宋体" w:cs="宋体" w:eastAsia="宋体" w:hint="default"/>
          <w:spacing w:val="-2"/>
        </w:rPr>
        <w:t>2018</w:t>
      </w:r>
      <w:r>
        <w:rPr>
          <w:rFonts w:ascii="宋体" w:hAnsi="宋体" w:cs="宋体" w:eastAsia="宋体" w:hint="default"/>
          <w:spacing w:val="-67"/>
        </w:rPr>
        <w:t> </w:t>
      </w:r>
      <w:r>
        <w:rPr/>
        <w:t>年</w:t>
      </w:r>
      <w:r>
        <w:rPr>
          <w:rFonts w:ascii="宋体" w:hAnsi="宋体" w:cs="宋体" w:eastAsia="宋体" w:hint="default"/>
        </w:rPr>
        <w:t>6</w:t>
      </w:r>
      <w:r>
        <w:rPr/>
        <w:t>月</w:t>
      </w:r>
      <w:r>
        <w:rPr>
          <w:rFonts w:ascii="宋体" w:hAnsi="宋体" w:cs="宋体" w:eastAsia="宋体" w:hint="default"/>
        </w:rPr>
        <w:t>28</w:t>
      </w:r>
      <w:r>
        <w:rPr/>
        <w:t>日披露的《关于公司对外投资暨参与认购广东粤科文化长城文化产业并购投资中心（有限合伙）基金份额的公告》 </w:t>
      </w:r>
      <w:r>
        <w:rPr>
          <w:spacing w:val="-2"/>
        </w:rPr>
        <w:t>及</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日披露的《关于广东粤科长城教育文化产业并购投资中心（有限合伙）成立的公告》。</w:t>
      </w:r>
      <w:r>
        <w:rPr>
          <w:spacing w:val="-86"/>
        </w:rPr>
        <w:t> </w:t>
      </w:r>
      <w:r>
        <w:rPr>
          <w:spacing w:val="-86"/>
        </w:rPr>
      </w:r>
      <w:r>
        <w:rPr>
          <w:rFonts w:ascii="宋体" w:hAnsi="宋体" w:cs="宋体" w:eastAsia="宋体" w:hint="default"/>
          <w:spacing w:val="-2"/>
        </w:rPr>
        <w:t>4</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日召开第四届董事会第九次会议、</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25</w:t>
      </w:r>
      <w:r>
        <w:rPr>
          <w:spacing w:val="-2"/>
        </w:rPr>
        <w:t>日召开公司</w:t>
      </w:r>
      <w:r>
        <w:rPr>
          <w:rFonts w:ascii="宋体" w:hAnsi="宋体" w:cs="宋体" w:eastAsia="宋体" w:hint="default"/>
          <w:spacing w:val="-2"/>
        </w:rPr>
        <w:t>2018</w:t>
      </w:r>
      <w:r>
        <w:rPr>
          <w:spacing w:val="-2"/>
        </w:rPr>
        <w:t>年第三次临时股东大会审议通过了《关</w:t>
      </w:r>
      <w:r>
        <w:rPr>
          <w:spacing w:val="-48"/>
        </w:rPr>
        <w:t> </w:t>
      </w:r>
      <w:r>
        <w:rPr>
          <w:spacing w:val="-48"/>
        </w:rPr>
      </w:r>
      <w:r>
        <w:rPr>
          <w:spacing w:val="-2"/>
        </w:rPr>
        <w:t>于公司非公开发行公司债券的议案》，同意公司非公开发行规模不超过</w:t>
      </w:r>
      <w:r>
        <w:rPr>
          <w:rFonts w:ascii="宋体" w:hAnsi="宋体" w:cs="宋体" w:eastAsia="宋体" w:hint="default"/>
          <w:spacing w:val="-2"/>
        </w:rPr>
        <w:t>5</w:t>
      </w:r>
      <w:r>
        <w:rPr>
          <w:spacing w:val="-2"/>
        </w:rPr>
        <w:t>亿元（含</w:t>
      </w:r>
      <w:r>
        <w:rPr>
          <w:rFonts w:ascii="宋体" w:hAnsi="宋体" w:cs="宋体" w:eastAsia="宋体" w:hint="default"/>
          <w:spacing w:val="-2"/>
        </w:rPr>
        <w:t>5</w:t>
      </w:r>
      <w:r>
        <w:rPr>
          <w:spacing w:val="-2"/>
        </w:rPr>
        <w:t>亿元）的公司债券。具体情况详见公司于</w:t>
      </w:r>
      <w:r>
        <w:rPr>
          <w:spacing w:val="-62"/>
        </w:rPr>
        <w:t> </w:t>
      </w:r>
      <w:r>
        <w:rPr>
          <w:spacing w:val="-62"/>
        </w:rPr>
      </w:r>
      <w:r>
        <w:rPr>
          <w:rFonts w:ascii="宋体" w:hAnsi="宋体" w:cs="宋体" w:eastAsia="宋体" w:hint="default"/>
          <w:spacing w:val="-4"/>
        </w:rPr>
        <w:t>2018</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6</w:t>
      </w:r>
      <w:r>
        <w:rPr>
          <w:spacing w:val="-4"/>
        </w:rPr>
        <w:t>日披露的《关于非公开发行公司债券的公告》。</w:t>
      </w:r>
    </w:p>
    <w:p>
      <w:pPr>
        <w:pStyle w:val="BodyText"/>
        <w:spacing w:line="240" w:lineRule="auto" w:before="19"/>
        <w:ind w:right="0"/>
        <w:jc w:val="left"/>
      </w:pPr>
      <w:r>
        <w:rPr>
          <w:rFonts w:ascii="宋体" w:hAnsi="宋体" w:cs="宋体" w:eastAsia="宋体" w:hint="default"/>
        </w:rPr>
        <w:t>5</w:t>
      </w:r>
      <w:r>
        <w:rPr/>
        <w:t>、公司于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10</w:t>
      </w:r>
      <w:r>
        <w:rPr/>
        <w:t>日在巨潮资讯网上披露了《关于公司与广东韩江投资集团有限公司签订战略合作意向协议的公告</w:t>
      </w:r>
      <w:r>
        <w:rPr>
          <w:spacing w:val="-90"/>
        </w:rPr>
        <w:t>》</w:t>
      </w:r>
      <w:r>
        <w:rPr/>
        <w:t>。</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26"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168,651</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,081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55,037,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126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-19,252,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047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35,785,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079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204,43</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6,160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42.50%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168,651</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,081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55,037,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126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-19,252,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047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35,785,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079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204,43</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6,160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42.50%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3,038,6</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34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55,037,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126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55,037,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126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58,075,</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760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12.07%</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165,612</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,447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38.09%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146,36</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30.43%</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266,149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,059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61.21%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10,471,</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651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10,471,</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651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276,62</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0,710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57.50%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266,149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,059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61.21%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10,471,</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651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10,471,</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651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276,62</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0,710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57.50%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434,800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,140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55,037,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126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-8,780,3</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96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46,256,</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730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481,05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6,870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0"/>
        <w:jc w:val="left"/>
      </w:pPr>
      <w:r>
        <w:rPr/>
        <w:t>股份变动的原因</w:t>
      </w:r>
    </w:p>
    <w:p>
      <w:pPr>
        <w:pStyle w:val="BodyText"/>
        <w:spacing w:line="338" w:lineRule="auto" w:before="117"/>
        <w:ind w:right="1122"/>
        <w:jc w:val="left"/>
      </w:pPr>
      <w:r>
        <w:rPr/>
        <w:t>√ 适用 □ 不适用 </w:t>
      </w:r>
      <w:r>
        <w:rPr>
          <w:rFonts w:ascii="宋体" w:hAnsi="宋体" w:cs="宋体" w:eastAsia="宋体" w:hint="default"/>
        </w:rPr>
        <w:t>1</w:t>
      </w:r>
      <w:r>
        <w:rPr/>
        <w:t>、报告期内，公司重大资产重组项目依法向翡翠教育原</w:t>
      </w:r>
      <w:r>
        <w:rPr>
          <w:rFonts w:ascii="宋体" w:hAnsi="宋体" w:cs="宋体" w:eastAsia="宋体" w:hint="default"/>
        </w:rPr>
        <w:t>10</w:t>
      </w:r>
      <w:r>
        <w:rPr/>
        <w:t>名股东非公开发行股份购买资产，发行新股共计</w:t>
      </w:r>
      <w:r>
        <w:rPr>
          <w:rFonts w:ascii="宋体" w:hAnsi="宋体" w:cs="宋体" w:eastAsia="宋体" w:hint="default"/>
        </w:rPr>
        <w:t>55,037,126</w:t>
      </w:r>
      <w:r>
        <w:rPr/>
        <w:t>股， 导致公司的限售股份增加</w:t>
      </w:r>
      <w:r>
        <w:rPr>
          <w:rFonts w:ascii="宋体" w:hAnsi="宋体" w:cs="宋体" w:eastAsia="宋体" w:hint="default"/>
        </w:rPr>
        <w:t>55,037,126</w:t>
      </w:r>
      <w:r>
        <w:rPr/>
        <w:t>股。</w:t>
      </w:r>
    </w:p>
    <w:p>
      <w:pPr>
        <w:pStyle w:val="BodyText"/>
        <w:spacing w:line="360" w:lineRule="auto" w:before="2"/>
        <w:ind w:right="2742"/>
        <w:jc w:val="left"/>
      </w:pPr>
      <w:r>
        <w:rPr>
          <w:rFonts w:ascii="宋体" w:hAnsi="宋体" w:cs="宋体" w:eastAsia="宋体" w:hint="default"/>
        </w:rPr>
        <w:t>2</w:t>
      </w:r>
      <w:r>
        <w:rPr/>
        <w:t>、报告期内，公司以集中竞价交易方式回购了</w:t>
      </w:r>
      <w:r>
        <w:rPr>
          <w:rFonts w:ascii="宋体" w:hAnsi="宋体" w:cs="宋体" w:eastAsia="宋体" w:hint="default"/>
        </w:rPr>
        <w:t>8,780,396</w:t>
      </w:r>
      <w:r>
        <w:rPr/>
        <w:t>股，导致公司无限售股份减少</w:t>
      </w:r>
      <w:r>
        <w:rPr>
          <w:rFonts w:ascii="宋体" w:hAnsi="宋体" w:cs="宋体" w:eastAsia="宋体" w:hint="default"/>
        </w:rPr>
        <w:t>8,780,396</w:t>
      </w:r>
      <w:r>
        <w:rPr/>
        <w:t>股。 股份变动的批准情况</w:t>
      </w:r>
    </w:p>
    <w:p>
      <w:pPr>
        <w:pStyle w:val="BodyText"/>
        <w:spacing w:line="338" w:lineRule="auto" w:before="27"/>
        <w:ind w:right="1122"/>
        <w:jc w:val="left"/>
      </w:pPr>
      <w:r>
        <w:rPr/>
        <w:t>√ 适用 □ 不适用 </w:t>
      </w:r>
      <w:r>
        <w:rPr>
          <w:rFonts w:ascii="宋体" w:hAnsi="宋体" w:cs="宋体" w:eastAsia="宋体" w:hint="default"/>
        </w:rPr>
        <w:t>1</w:t>
      </w:r>
      <w:r>
        <w:rPr/>
        <w:t>、公司于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9</w:t>
      </w:r>
      <w:r>
        <w:rPr/>
        <w:t>日收到的中国证监会下发的《关于核准广东文化长城集团股份有限公司向安卓易</w:t>
      </w:r>
      <w:r>
        <w:rPr>
          <w:rFonts w:ascii="宋体" w:hAnsi="宋体" w:cs="宋体" w:eastAsia="宋体" w:hint="default"/>
        </w:rPr>
        <w:t>(</w:t>
      </w:r>
      <w:r>
        <w:rPr/>
        <w:t>北京</w:t>
      </w:r>
      <w:r>
        <w:rPr>
          <w:rFonts w:ascii="宋体" w:hAnsi="宋体" w:cs="宋体" w:eastAsia="宋体" w:hint="default"/>
        </w:rPr>
        <w:t>)</w:t>
      </w:r>
      <w:r>
        <w:rPr/>
        <w:t>科技有限公司 </w:t>
      </w:r>
      <w:r>
        <w:rPr>
          <w:spacing w:val="-4"/>
        </w:rPr>
        <w:t>等发行股份购买资产并募集配套资金的批复》（证监许可</w:t>
      </w:r>
      <w:r>
        <w:rPr>
          <w:rFonts w:ascii="宋体" w:hAnsi="宋体" w:cs="宋体" w:eastAsia="宋体" w:hint="default"/>
          <w:spacing w:val="-4"/>
        </w:rPr>
        <w:t>[2018]394</w:t>
      </w:r>
      <w:r>
        <w:rPr>
          <w:spacing w:val="-4"/>
        </w:rPr>
        <w:t>号），核准公司向安卓易</w:t>
      </w:r>
      <w:r>
        <w:rPr>
          <w:rFonts w:ascii="宋体" w:hAnsi="宋体" w:cs="宋体" w:eastAsia="宋体" w:hint="default"/>
          <w:spacing w:val="-4"/>
        </w:rPr>
        <w:t>(</w:t>
      </w:r>
      <w:r>
        <w:rPr>
          <w:spacing w:val="-4"/>
        </w:rPr>
        <w:t>北京</w:t>
      </w:r>
      <w:r>
        <w:rPr>
          <w:rFonts w:ascii="宋体" w:hAnsi="宋体" w:cs="宋体" w:eastAsia="宋体" w:hint="default"/>
          <w:spacing w:val="-4"/>
        </w:rPr>
        <w:t>)</w:t>
      </w:r>
      <w:r>
        <w:rPr>
          <w:spacing w:val="-4"/>
        </w:rPr>
        <w:t>科技有限公司发行</w:t>
      </w:r>
    </w:p>
    <w:p>
      <w:pPr>
        <w:pStyle w:val="BodyText"/>
        <w:spacing w:line="319" w:lineRule="auto" w:before="2"/>
        <w:ind w:right="1122"/>
        <w:jc w:val="left"/>
      </w:pPr>
      <w:r>
        <w:rPr>
          <w:rFonts w:ascii="宋体" w:hAnsi="宋体" w:cs="宋体" w:eastAsia="宋体" w:hint="default"/>
          <w:spacing w:val="-2"/>
        </w:rPr>
        <w:t>11,551,063</w:t>
      </w:r>
      <w:r>
        <w:rPr>
          <w:spacing w:val="-2"/>
        </w:rPr>
        <w:t>股股份、向宁波梅山保税港区御泓投资合伙企业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发行</w:t>
      </w:r>
      <w:r>
        <w:rPr>
          <w:rFonts w:ascii="宋体" w:hAnsi="宋体" w:cs="宋体" w:eastAsia="宋体" w:hint="default"/>
          <w:spacing w:val="-2"/>
        </w:rPr>
        <w:t>14,186,505</w:t>
      </w:r>
      <w:r>
        <w:rPr>
          <w:spacing w:val="-2"/>
        </w:rPr>
        <w:t>股股份、向嘉兴卓智股权投资合伙企</w:t>
      </w:r>
      <w:r>
        <w:rPr>
          <w:spacing w:val="-42"/>
        </w:rPr>
        <w:t> </w:t>
      </w:r>
      <w:r>
        <w:rPr>
          <w:spacing w:val="-42"/>
        </w:rPr>
      </w:r>
      <w:r>
        <w:rPr/>
        <w:t>业</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11,079,104</w:t>
      </w:r>
      <w:r>
        <w:rPr/>
        <w:t>股股份、向新余信公成长新兴资产管理合伙企业</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5,062,532</w:t>
      </w:r>
      <w:r>
        <w:rPr/>
        <w:t>股股份、向新余卓 </w:t>
      </w:r>
      <w:r>
        <w:rPr>
          <w:spacing w:val="-2"/>
        </w:rPr>
        <w:t>趣资本管理合伙企业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发行</w:t>
      </w:r>
      <w:r>
        <w:rPr>
          <w:rFonts w:ascii="宋体" w:hAnsi="宋体" w:cs="宋体" w:eastAsia="宋体" w:hint="default"/>
          <w:spacing w:val="-2"/>
        </w:rPr>
        <w:t>4,787,175</w:t>
      </w:r>
      <w:r>
        <w:rPr>
          <w:spacing w:val="-2"/>
        </w:rPr>
        <w:t>股股份、向深圳普方达源力投资中心</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发行</w:t>
      </w:r>
      <w:r>
        <w:rPr>
          <w:rFonts w:ascii="宋体" w:hAnsi="宋体" w:cs="宋体" w:eastAsia="宋体" w:hint="default"/>
          <w:spacing w:val="-2"/>
        </w:rPr>
        <w:t>3,231,392</w:t>
      </w:r>
      <w:r>
        <w:rPr>
          <w:spacing w:val="-2"/>
        </w:rPr>
        <w:t>股股份、向新</w:t>
      </w:r>
      <w:r>
        <w:rPr>
          <w:spacing w:val="-42"/>
        </w:rPr>
        <w:t> </w:t>
      </w:r>
      <w:r>
        <w:rPr>
          <w:spacing w:val="-42"/>
        </w:rPr>
      </w:r>
      <w:r>
        <w:rPr/>
        <w:t>余创思资产管理合伙企业</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2,154,209</w:t>
      </w:r>
      <w:r>
        <w:rPr/>
        <w:t>股股份、向共青城纳隆德投资管理合伙企业</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1,938,804 </w:t>
      </w:r>
      <w:r>
        <w:rPr>
          <w:spacing w:val="-2"/>
        </w:rPr>
        <w:t>股股份、向新余邦得投资合伙企业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发行</w:t>
      </w:r>
      <w:r>
        <w:rPr>
          <w:rFonts w:ascii="宋体" w:hAnsi="宋体" w:cs="宋体" w:eastAsia="宋体" w:hint="default"/>
          <w:spacing w:val="-2"/>
        </w:rPr>
        <w:t>700,086</w:t>
      </w:r>
      <w:r>
        <w:rPr>
          <w:spacing w:val="-2"/>
        </w:rPr>
        <w:t>股股份、向北京虹佳龙文化传播有限公司发行</w:t>
      </w:r>
      <w:r>
        <w:rPr>
          <w:rFonts w:ascii="宋体" w:hAnsi="宋体" w:cs="宋体" w:eastAsia="宋体" w:hint="default"/>
          <w:spacing w:val="-2"/>
        </w:rPr>
        <w:t>346,256</w:t>
      </w:r>
      <w:r>
        <w:rPr>
          <w:spacing w:val="-2"/>
        </w:rPr>
        <w:t>股股份购买</w:t>
      </w:r>
    </w:p>
    <w:p>
      <w:pPr>
        <w:spacing w:after="0" w:line="319"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9" w:lineRule="auto"/>
        <w:ind w:right="1132"/>
        <w:jc w:val="left"/>
      </w:pPr>
      <w:r>
        <w:rPr/>
        <w:t>相关资产。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w:t>
      </w:r>
      <w:r>
        <w:rPr>
          <w:spacing w:val="-3"/>
        </w:rPr>
        <w:t>日，公司召开</w:t>
      </w:r>
      <w:r>
        <w:rPr>
          <w:rFonts w:ascii="宋体" w:hAnsi="宋体" w:cs="宋体" w:eastAsia="宋体" w:hint="default"/>
          <w:spacing w:val="-3"/>
        </w:rPr>
        <w:t>2018</w:t>
      </w:r>
      <w:r>
        <w:rPr>
          <w:spacing w:val="-3"/>
        </w:rPr>
        <w:t>年第一次临时股东大会，审议通过了《关于以集中竞价交易方式回购公司股份的议案》，公</w:t>
      </w:r>
      <w:r>
        <w:rPr>
          <w:spacing w:val="-85"/>
        </w:rPr>
        <w:t> </w:t>
      </w:r>
      <w:r>
        <w:rPr>
          <w:spacing w:val="-85"/>
        </w:rPr>
      </w:r>
      <w:r>
        <w:rPr/>
        <w:t>司自</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31</w:t>
      </w:r>
      <w:r>
        <w:rPr/>
        <w:t>日</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6</w:t>
      </w:r>
      <w:r>
        <w:rPr/>
        <w:t>日回购了</w:t>
      </w:r>
      <w:r>
        <w:rPr>
          <w:rFonts w:ascii="宋体" w:hAnsi="宋体" w:cs="宋体" w:eastAsia="宋体" w:hint="default"/>
        </w:rPr>
        <w:t>8,780,396</w:t>
      </w:r>
      <w:r>
        <w:rPr/>
        <w:t>股股份，已办理了股份注销及工商变更手续。</w:t>
      </w:r>
    </w:p>
    <w:p>
      <w:pPr>
        <w:pStyle w:val="BodyText"/>
        <w:spacing w:line="240" w:lineRule="auto" w:before="65"/>
        <w:ind w:right="0"/>
        <w:jc w:val="both"/>
      </w:pPr>
      <w:r>
        <w:rPr/>
        <w:t>股份变动的过户情况</w:t>
      </w:r>
    </w:p>
    <w:p>
      <w:pPr>
        <w:pStyle w:val="BodyText"/>
        <w:spacing w:line="357" w:lineRule="auto" w:before="117"/>
        <w:ind w:right="2382"/>
        <w:jc w:val="left"/>
      </w:pPr>
      <w:r>
        <w:rPr/>
        <w:t>√ 适用 □ 不适用 重大资产重组非公开发行股份新增有限售条件股份</w:t>
      </w:r>
      <w:r>
        <w:rPr>
          <w:rFonts w:ascii="宋体" w:hAnsi="宋体" w:cs="宋体" w:eastAsia="宋体" w:hint="default"/>
        </w:rPr>
        <w:t>55,037,126</w:t>
      </w:r>
      <w:r>
        <w:rPr/>
        <w:t>股于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t>日在深圳证券交易所上市。</w:t>
      </w:r>
    </w:p>
    <w:p>
      <w:pPr>
        <w:spacing w:line="240" w:lineRule="auto" w:before="1"/>
        <w:rPr>
          <w:rFonts w:ascii="宋体" w:hAnsi="宋体" w:cs="宋体" w:eastAsia="宋体" w:hint="default"/>
          <w:sz w:val="26"/>
          <w:szCs w:val="26"/>
        </w:rPr>
      </w:pPr>
    </w:p>
    <w:p>
      <w:pPr>
        <w:pStyle w:val="BodyText"/>
        <w:spacing w:line="240" w:lineRule="auto" w:before="0"/>
        <w:ind w:right="0"/>
        <w:jc w:val="both"/>
      </w:pPr>
      <w:r>
        <w:rPr/>
        <w:t>股份回购的实施进展情况</w:t>
      </w:r>
    </w:p>
    <w:p>
      <w:pPr>
        <w:pStyle w:val="BodyText"/>
        <w:spacing w:line="240" w:lineRule="auto" w:before="117"/>
        <w:ind w:right="0"/>
        <w:jc w:val="both"/>
      </w:pPr>
      <w:r>
        <w:rPr/>
        <w:t>√ 适用 □ 不适用</w:t>
      </w:r>
    </w:p>
    <w:p>
      <w:pPr>
        <w:pStyle w:val="BodyText"/>
        <w:spacing w:line="319" w:lineRule="auto" w:before="115"/>
        <w:ind w:right="1132"/>
        <w:jc w:val="both"/>
      </w:pPr>
      <w:r>
        <w:rPr>
          <w:spacing w:val="-2"/>
        </w:rPr>
        <w:t>公司自</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日回购了</w:t>
      </w:r>
      <w:r>
        <w:rPr>
          <w:rFonts w:ascii="宋体" w:hAnsi="宋体" w:cs="宋体" w:eastAsia="宋体" w:hint="default"/>
          <w:spacing w:val="-2"/>
        </w:rPr>
        <w:t>8,780,396</w:t>
      </w:r>
      <w:r>
        <w:rPr>
          <w:spacing w:val="-2"/>
        </w:rPr>
        <w:t>股股份，支付的总金额为</w:t>
      </w:r>
      <w:r>
        <w:rPr>
          <w:rFonts w:ascii="Times New Roman" w:hAnsi="Times New Roman" w:cs="Times New Roman" w:eastAsia="Times New Roman" w:hint="default"/>
          <w:spacing w:val="-2"/>
        </w:rPr>
        <w:t>74,088,193.18</w:t>
      </w:r>
      <w:r>
        <w:rPr>
          <w:spacing w:val="-2"/>
        </w:rPr>
        <w:t>元（不含手续费）；本次回购的</w:t>
      </w:r>
      <w:r>
        <w:rPr>
          <w:spacing w:val="-76"/>
        </w:rPr>
        <w:t> </w:t>
      </w:r>
      <w:r>
        <w:rPr>
          <w:spacing w:val="-76"/>
        </w:rPr>
      </w:r>
      <w:r>
        <w:rPr/>
        <w:t>股份数量占公司目前总股本的比例为</w:t>
      </w:r>
      <w:r>
        <w:rPr>
          <w:rFonts w:ascii="Times New Roman" w:hAnsi="Times New Roman" w:cs="Times New Roman" w:eastAsia="Times New Roman" w:hint="default"/>
        </w:rPr>
        <w:t>1.79%</w:t>
      </w:r>
      <w:r>
        <w:rPr/>
        <w:t>，最高成交价为</w:t>
      </w:r>
      <w:r>
        <w:rPr>
          <w:rFonts w:ascii="Times New Roman" w:hAnsi="Times New Roman" w:cs="Times New Roman" w:eastAsia="Times New Roman" w:hint="default"/>
        </w:rPr>
        <w:t>9.</w:t>
      </w:r>
      <w:r>
        <w:rPr>
          <w:rFonts w:ascii="宋体" w:hAnsi="宋体" w:cs="宋体" w:eastAsia="宋体" w:hint="default"/>
        </w:rPr>
        <w:t>85</w:t>
      </w:r>
      <w:r>
        <w:rPr/>
        <w:t>元</w:t>
      </w:r>
      <w:r>
        <w:rPr>
          <w:rFonts w:ascii="宋体" w:hAnsi="宋体" w:cs="宋体" w:eastAsia="宋体" w:hint="default"/>
        </w:rPr>
        <w:t>/</w:t>
      </w:r>
      <w:r>
        <w:rPr/>
        <w:t>股，最低成交价为</w:t>
      </w:r>
      <w:r>
        <w:rPr>
          <w:rFonts w:ascii="宋体" w:hAnsi="宋体" w:cs="宋体" w:eastAsia="宋体" w:hint="default"/>
        </w:rPr>
        <w:t>7.58</w:t>
      </w:r>
      <w:r>
        <w:rPr/>
        <w:t>元</w:t>
      </w:r>
      <w:r>
        <w:rPr>
          <w:rFonts w:ascii="宋体" w:hAnsi="宋体" w:cs="宋体" w:eastAsia="宋体" w:hint="default"/>
        </w:rPr>
        <w:t>/</w:t>
      </w:r>
      <w:r>
        <w:rPr/>
        <w:t>股。本次回购方案实施完毕。 采用集中竞价方式减持回购股份的实施进展情况</w:t>
      </w:r>
    </w:p>
    <w:p>
      <w:pPr>
        <w:pStyle w:val="BodyText"/>
        <w:spacing w:line="240" w:lineRule="auto" w:before="58"/>
        <w:ind w:right="0"/>
        <w:jc w:val="both"/>
      </w:pPr>
      <w:r>
        <w:rPr/>
        <w:t>√ 适用 □ 不适用</w:t>
      </w:r>
    </w:p>
    <w:p>
      <w:pPr>
        <w:pStyle w:val="BodyText"/>
        <w:spacing w:line="319" w:lineRule="auto" w:before="115"/>
        <w:ind w:right="1132"/>
        <w:jc w:val="both"/>
      </w:pPr>
      <w:r>
        <w:rPr>
          <w:spacing w:val="-2"/>
        </w:rPr>
        <w:t>公司自</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日回购了</w:t>
      </w:r>
      <w:r>
        <w:rPr>
          <w:rFonts w:ascii="宋体" w:hAnsi="宋体" w:cs="宋体" w:eastAsia="宋体" w:hint="default"/>
          <w:spacing w:val="-2"/>
        </w:rPr>
        <w:t>8,780,396</w:t>
      </w:r>
      <w:r>
        <w:rPr>
          <w:spacing w:val="-2"/>
        </w:rPr>
        <w:t>股股份，支付的总金额为</w:t>
      </w:r>
      <w:r>
        <w:rPr>
          <w:rFonts w:ascii="Times New Roman" w:hAnsi="Times New Roman" w:cs="Times New Roman" w:eastAsia="Times New Roman" w:hint="default"/>
          <w:spacing w:val="-2"/>
        </w:rPr>
        <w:t>74,088,193.18</w:t>
      </w:r>
      <w:r>
        <w:rPr>
          <w:spacing w:val="-2"/>
        </w:rPr>
        <w:t>元（不含手续费）；本次回购的</w:t>
      </w:r>
      <w:r>
        <w:rPr>
          <w:spacing w:val="-76"/>
        </w:rPr>
        <w:t> </w:t>
      </w:r>
      <w:r>
        <w:rPr>
          <w:spacing w:val="-76"/>
        </w:rPr>
      </w:r>
      <w:r>
        <w:rPr/>
        <w:t>股份数量占公司目前总股本的比例为</w:t>
      </w:r>
      <w:r>
        <w:rPr>
          <w:rFonts w:ascii="Times New Roman" w:hAnsi="Times New Roman" w:cs="Times New Roman" w:eastAsia="Times New Roman" w:hint="default"/>
        </w:rPr>
        <w:t>1.79%</w:t>
      </w:r>
      <w:r>
        <w:rPr/>
        <w:t>，最高成交价为</w:t>
      </w:r>
      <w:r>
        <w:rPr>
          <w:rFonts w:ascii="Times New Roman" w:hAnsi="Times New Roman" w:cs="Times New Roman" w:eastAsia="Times New Roman" w:hint="default"/>
        </w:rPr>
        <w:t>9.</w:t>
      </w:r>
      <w:r>
        <w:rPr>
          <w:rFonts w:ascii="宋体" w:hAnsi="宋体" w:cs="宋体" w:eastAsia="宋体" w:hint="default"/>
        </w:rPr>
        <w:t>85</w:t>
      </w:r>
      <w:r>
        <w:rPr/>
        <w:t>元</w:t>
      </w:r>
      <w:r>
        <w:rPr>
          <w:rFonts w:ascii="宋体" w:hAnsi="宋体" w:cs="宋体" w:eastAsia="宋体" w:hint="default"/>
        </w:rPr>
        <w:t>/</w:t>
      </w:r>
      <w:r>
        <w:rPr/>
        <w:t>股，最低成交价为</w:t>
      </w:r>
      <w:r>
        <w:rPr>
          <w:rFonts w:ascii="宋体" w:hAnsi="宋体" w:cs="宋体" w:eastAsia="宋体" w:hint="default"/>
        </w:rPr>
        <w:t>7.58</w:t>
      </w:r>
      <w:r>
        <w:rPr/>
        <w:t>元</w:t>
      </w:r>
      <w:r>
        <w:rPr>
          <w:rFonts w:ascii="宋体" w:hAnsi="宋体" w:cs="宋体" w:eastAsia="宋体" w:hint="default"/>
        </w:rPr>
        <w:t>/</w:t>
      </w:r>
      <w:r>
        <w:rPr/>
        <w:t>股。本次回购方案实施完毕。 股份变动对最近一年和最近一期基本每股收益和稀释每股收益、归属于公司普通股股东的每股净资产等财务指标的影响</w:t>
      </w:r>
    </w:p>
    <w:p>
      <w:pPr>
        <w:pStyle w:val="BodyText"/>
        <w:spacing w:line="357" w:lineRule="auto" w:before="58"/>
        <w:ind w:right="6792"/>
        <w:jc w:val="left"/>
      </w:pPr>
      <w:r>
        <w:rPr/>
        <w:t>□ 适用 √ 不适用 公司认为必要或证券监管机构要求披露的其他内容</w:t>
      </w:r>
    </w:p>
    <w:p>
      <w:pPr>
        <w:pStyle w:val="BodyText"/>
        <w:spacing w:line="240" w:lineRule="auto" w:before="28"/>
        <w:ind w:right="0"/>
        <w:jc w:val="both"/>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7"/>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5" w:right="134" w:hanging="450"/>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128,200,000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19,871,875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108,328,125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11,137,500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11,137,500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5,619,375</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5,619,375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鲁志宏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2,019,828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2,019,828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3,301,394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1,901,394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17,354,178</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17,354,178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广州商融投资 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3,038,634</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3,038,634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共青城纳隆德 投资管理合伙 企业（有限合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1,938,804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1,938,804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深圳普方达源 力投资中心</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3,231,392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3,231,392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4"/>
                <w:sz w:val="18"/>
                <w:szCs w:val="18"/>
              </w:rPr>
              <w:t>安卓易（北京）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11,551,063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11,551,063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嘉兴卓智股权 投资合伙企业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11,079,104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11,079,104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新余创思资产 管理合伙企业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2,154,209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2,154,209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新余卓趣资本 管理合伙企业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4,787,175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4,787,175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宁波梅山保税 港区御泓投资 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14,186,505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14,186,505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新余邦得投资 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北京虹佳龙文 化传播有限公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346,256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346,256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新余信公鑫睿 资产管理合伙 企业（有限合 伙）－新余信 公成长新兴资 产管理合伙企 </w:t>
            </w:r>
            <w:r>
              <w:rPr>
                <w:rFonts w:ascii="宋体" w:hAnsi="宋体" w:cs="宋体" w:eastAsia="宋体" w:hint="default"/>
                <w:spacing w:val="-4"/>
                <w:sz w:val="18"/>
                <w:szCs w:val="18"/>
              </w:rPr>
              <w:t>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5,062,532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5,062,532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168,651,081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21,271,875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57,056,954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204,436,160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0" w:right="160"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2" w:right="101"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2"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股票类</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55,037,126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55,037,126</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38" w:lineRule="auto" w:before="51"/>
        <w:ind w:right="1128"/>
        <w:jc w:val="left"/>
      </w:pPr>
      <w:r>
        <w:rPr/>
        <w:t>报告期内证券发行（不含优先股）情况的说明 </w:t>
      </w:r>
      <w:r>
        <w:rPr>
          <w:spacing w:val="-3"/>
        </w:rPr>
        <w:t>报告期内，公司因重大资产重组项目非公开发行股票，共计发行新股</w:t>
      </w:r>
      <w:r>
        <w:rPr>
          <w:rFonts w:ascii="宋体" w:hAnsi="宋体" w:cs="宋体" w:eastAsia="宋体" w:hint="default"/>
          <w:spacing w:val="-3"/>
        </w:rPr>
        <w:t>55,037,126</w:t>
      </w:r>
      <w:r>
        <w:rPr>
          <w:spacing w:val="-3"/>
        </w:rPr>
        <w:t>股，均为有限售条件股份，发行价格为</w:t>
      </w:r>
      <w:r>
        <w:rPr>
          <w:rFonts w:ascii="宋体" w:hAnsi="宋体" w:cs="宋体" w:eastAsia="宋体" w:hint="default"/>
          <w:spacing w:val="-3"/>
        </w:rPr>
        <w:t>14.93</w:t>
      </w:r>
      <w:r>
        <w:rPr>
          <w:rFonts w:ascii="宋体" w:hAnsi="宋体" w:cs="宋体" w:eastAsia="宋体" w:hint="default"/>
          <w:spacing w:val="-80"/>
        </w:rPr>
        <w:t> </w:t>
      </w:r>
      <w:r>
        <w:rPr/>
        <w:t>元</w:t>
      </w:r>
      <w:r>
        <w:rPr>
          <w:rFonts w:ascii="宋体" w:hAnsi="宋体" w:cs="宋体" w:eastAsia="宋体" w:hint="default"/>
        </w:rPr>
        <w:t>/</w:t>
      </w:r>
      <w:r>
        <w:rPr/>
        <w:t>股，于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t>日在深圳证券交易所上市。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122"/>
        <w:jc w:val="left"/>
        <w:rPr>
          <w:rFonts w:ascii="MS UI Gothic" w:hAnsi="MS UI Gothic" w:cs="MS UI Gothic" w:eastAsia="MS UI Gothic" w:hint="default"/>
        </w:rPr>
      </w:pPr>
      <w:r>
        <w:rPr/>
        <w:t>√ 适用 □ 不适用 </w:t>
      </w:r>
      <w:r>
        <w:rPr>
          <w:rFonts w:ascii="宋体" w:hAnsi="宋体" w:cs="宋体" w:eastAsia="宋体" w:hint="default"/>
        </w:rPr>
        <w:t>1</w:t>
      </w:r>
      <w:r>
        <w:rPr/>
        <w:t>、报告期内，公司重大资产重组项目依法向翡翠教育原</w:t>
      </w:r>
      <w:r>
        <w:rPr>
          <w:rFonts w:ascii="宋体" w:hAnsi="宋体" w:cs="宋体" w:eastAsia="宋体" w:hint="default"/>
        </w:rPr>
        <w:t>10</w:t>
      </w:r>
      <w:r>
        <w:rPr/>
        <w:t>名股东非公开发行股份购买资产，发行新股共计</w:t>
      </w:r>
      <w:r>
        <w:rPr>
          <w:rFonts w:ascii="宋体" w:hAnsi="宋体" w:cs="宋体" w:eastAsia="宋体" w:hint="default"/>
        </w:rPr>
        <w:t>55,037,126</w:t>
      </w:r>
      <w:r>
        <w:rPr/>
        <w:t>股， 本次发行股份实施完成后，公司股份总数（总股本）由</w:t>
      </w:r>
      <w:r>
        <w:rPr>
          <w:rFonts w:ascii="宋体" w:hAnsi="宋体" w:cs="宋体" w:eastAsia="宋体" w:hint="default"/>
        </w:rPr>
        <w:t>434,800,140</w:t>
      </w:r>
      <w:r>
        <w:rPr/>
        <w:t>股增至</w:t>
      </w:r>
      <w:r>
        <w:rPr>
          <w:rFonts w:ascii="宋体" w:hAnsi="宋体" w:cs="宋体" w:eastAsia="宋体" w:hint="default"/>
        </w:rPr>
        <w:t>489,837,266</w:t>
      </w:r>
      <w:r>
        <w:rPr/>
        <w:t>股</w:t>
      </w:r>
      <w:r>
        <w:rPr>
          <w:rFonts w:ascii="MS UI Gothic" w:hAnsi="MS UI Gothic" w:cs="MS UI Gothic" w:eastAsia="MS UI Gothic" w:hint="default"/>
        </w:rPr>
        <w:t>｡</w:t>
      </w:r>
    </w:p>
    <w:p>
      <w:pPr>
        <w:pStyle w:val="BodyText"/>
        <w:spacing w:line="316" w:lineRule="auto" w:before="2"/>
        <w:ind w:right="1118"/>
        <w:jc w:val="left"/>
        <w:rPr>
          <w:rFonts w:ascii="MS UI Gothic" w:hAnsi="MS UI Gothic" w:cs="MS UI Gothic" w:eastAsia="MS UI Gothic" w:hint="default"/>
        </w:rPr>
      </w:pPr>
      <w:r>
        <w:rPr>
          <w:rFonts w:ascii="宋体" w:hAnsi="宋体" w:cs="宋体" w:eastAsia="宋体" w:hint="default"/>
          <w:spacing w:val="-8"/>
        </w:rPr>
        <w:t>2</w:t>
      </w:r>
      <w:r>
        <w:rPr>
          <w:spacing w:val="-8"/>
        </w:rPr>
        <w:t>、报告期内，公司以集中竞价交易方式回购了</w:t>
      </w:r>
      <w:r>
        <w:rPr>
          <w:rFonts w:ascii="宋体" w:hAnsi="宋体" w:cs="宋体" w:eastAsia="宋体" w:hint="default"/>
          <w:spacing w:val="-8"/>
        </w:rPr>
        <w:t>8,780,396</w:t>
      </w:r>
      <w:r>
        <w:rPr>
          <w:spacing w:val="-8"/>
        </w:rPr>
        <w:t>股，本次股份回购注销完成后，公司股份总数（总股本）由</w:t>
      </w:r>
      <w:r>
        <w:rPr>
          <w:rFonts w:ascii="宋体" w:hAnsi="宋体" w:cs="宋体" w:eastAsia="宋体" w:hint="default"/>
          <w:spacing w:val="-8"/>
        </w:rPr>
        <w:t>489,837,266</w:t>
      </w:r>
      <w:r>
        <w:rPr>
          <w:rFonts w:ascii="宋体" w:hAnsi="宋体" w:cs="宋体" w:eastAsia="宋体" w:hint="default"/>
          <w:spacing w:val="-88"/>
        </w:rPr>
        <w:t> </w:t>
      </w:r>
      <w:r>
        <w:rPr/>
        <w:t>股减至</w:t>
      </w:r>
      <w:r>
        <w:rPr>
          <w:rFonts w:ascii="宋体" w:hAnsi="宋体" w:cs="宋体" w:eastAsia="宋体" w:hint="default"/>
        </w:rPr>
        <w:t>481,056,870</w:t>
      </w:r>
      <w:r>
        <w:rPr/>
        <w:t>股</w:t>
      </w:r>
      <w:r>
        <w:rPr>
          <w:rFonts w:ascii="MS UI Gothic" w:hAnsi="MS UI Gothic" w:cs="MS UI Gothic" w:eastAsia="MS UI Gothic" w:hint="default"/>
        </w:rPr>
        <w:t>｡</w:t>
      </w:r>
    </w:p>
    <w:p>
      <w:pPr>
        <w:spacing w:line="240" w:lineRule="auto" w:before="7"/>
        <w:rPr>
          <w:rFonts w:ascii="MS UI Gothic" w:hAnsi="MS UI Gothic" w:cs="MS UI Gothic" w:eastAsia="MS UI Gothic" w:hint="default"/>
          <w:sz w:val="22"/>
          <w:szCs w:val="22"/>
        </w:rPr>
      </w:pPr>
    </w:p>
    <w:p>
      <w:pPr>
        <w:pStyle w:val="Heading3"/>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11"/>
        <w:gridCol w:w="1038"/>
        <w:gridCol w:w="290"/>
        <w:gridCol w:w="1060"/>
      </w:tblGrid>
      <w:tr>
        <w:trPr>
          <w:trHeight w:val="1967"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3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16,963</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30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17,569</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9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03" w:right="57"/>
              <w:jc w:val="both"/>
              <w:rPr>
                <w:rFonts w:ascii="宋体" w:hAnsi="宋体" w:cs="宋体" w:eastAsia="宋体" w:hint="default"/>
                <w:sz w:val="18"/>
                <w:szCs w:val="18"/>
              </w:rPr>
            </w:pPr>
            <w:r>
              <w:rPr>
                <w:rFonts w:ascii="宋体" w:hAnsi="宋体" w:cs="宋体" w:eastAsia="宋体" w:hint="default"/>
                <w:spacing w:val="-21"/>
                <w:sz w:val="18"/>
                <w:szCs w:val="18"/>
              </w:rPr>
              <w:t>（如有）（参见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2"/>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29.82%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6"/>
              <w:ind w:left="307" w:right="0"/>
              <w:jc w:val="left"/>
              <w:rPr>
                <w:rFonts w:ascii="Times New Roman" w:hAnsi="Times New Roman" w:cs="Times New Roman" w:eastAsia="Times New Roman" w:hint="default"/>
                <w:sz w:val="18"/>
                <w:szCs w:val="18"/>
              </w:rPr>
            </w:pPr>
            <w:r>
              <w:rPr>
                <w:rFonts w:ascii="Times New Roman"/>
                <w:sz w:val="18"/>
              </w:rPr>
              <w:t>7,500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108,32</w:t>
            </w:r>
          </w:p>
          <w:p>
            <w:pPr>
              <w:pStyle w:val="TableParagraph"/>
              <w:spacing w:line="240" w:lineRule="auto" w:before="106"/>
              <w:ind w:left="268" w:right="0"/>
              <w:jc w:val="left"/>
              <w:rPr>
                <w:rFonts w:ascii="Times New Roman" w:hAnsi="Times New Roman" w:cs="Times New Roman" w:eastAsia="Times New Roman" w:hint="default"/>
                <w:sz w:val="18"/>
                <w:szCs w:val="18"/>
              </w:rPr>
            </w:pPr>
            <w:r>
              <w:rPr>
                <w:rFonts w:ascii="Times New Roman"/>
                <w:sz w:val="18"/>
              </w:rPr>
              <w:t>8,125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35,109,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141,199,800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4.94%</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23,772,</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847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19,255,</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572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4,517,2</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23,760,900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19,800,000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14,850,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11,137,</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500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3,712,5</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14,850,000</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宁波梅山保税 港区御泓投资 合伙企业（有限 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14,186,</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505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14,186,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14,186,</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505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z w:val="18"/>
                <w:szCs w:val="18"/>
              </w:rPr>
              <w:t>安卓易（北京） 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11,551,</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063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11,551,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11,551,</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063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嘉兴卓智股权 投资合伙企业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11,079,</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104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11,079,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11,079,</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104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11,079,104</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7,492,5</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5,619,3</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1,873,1</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7,443,800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UBS</w:t>
            </w:r>
            <w:r>
              <w:rPr>
                <w:rFonts w:ascii="Times New Roman"/>
                <w:spacing w:val="-11"/>
                <w:sz w:val="18"/>
              </w:rPr>
              <w:t> </w:t>
            </w:r>
            <w:r>
              <w:rPr>
                <w:rFonts w:ascii="Times New Roman"/>
                <w:sz w:val="18"/>
              </w:rPr>
              <w:t>AG</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6,682,5</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94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6,682,5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6,682,5</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94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王梅花</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5,804,4</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95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580449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5,804,4</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95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7" w:lineRule="exact"/>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3"/>
              <w:jc w:val="left"/>
              <w:rPr>
                <w:rFonts w:ascii="宋体" w:hAnsi="宋体" w:cs="宋体" w:eastAsia="宋体" w:hint="default"/>
                <w:sz w:val="18"/>
                <w:szCs w:val="18"/>
              </w:rPr>
            </w:pPr>
            <w:r>
              <w:rPr>
                <w:rFonts w:ascii="宋体" w:hAnsi="宋体" w:cs="宋体" w:eastAsia="宋体" w:hint="default"/>
                <w:spacing w:val="-1"/>
                <w:sz w:val="18"/>
                <w:szCs w:val="18"/>
              </w:rPr>
              <w:t>公司股东蔡廷祥和股东吴淡珠为夫妻关系；蔡廷祥与陈素芳是舅甥亲属关系。除此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之外，公司未知其他股东是否存在关联关系或一致行动关系。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35,109,375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35,109,375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19,800,000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UBS</w:t>
            </w:r>
            <w:r>
              <w:rPr>
                <w:rFonts w:ascii="Times New Roman"/>
                <w:spacing w:val="-11"/>
                <w:sz w:val="18"/>
              </w:rPr>
              <w:t> </w:t>
            </w:r>
            <w:r>
              <w:rPr>
                <w:rFonts w:ascii="Times New Roman"/>
                <w:sz w:val="18"/>
              </w:rPr>
              <w:t>AG</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6,682,594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6,682,594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王梅花</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5,804,495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5,804,495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吴网腰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5,400,200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5,400,200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中国工商银行股份有限公司－南 方大数据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指数证券投资基金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4,648,400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4,648,400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4,517,275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4,517,275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3,712,500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3,712,500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卢雪芬</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1,948,300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1,948,300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1,873,125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1,873,125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80"/>
        <w:gridCol w:w="6688"/>
      </w:tblGrid>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3"/>
              <w:jc w:val="left"/>
              <w:rPr>
                <w:rFonts w:ascii="宋体" w:hAnsi="宋体" w:cs="宋体" w:eastAsia="宋体" w:hint="default"/>
                <w:sz w:val="18"/>
                <w:szCs w:val="18"/>
              </w:rPr>
            </w:pPr>
            <w:r>
              <w:rPr>
                <w:rFonts w:ascii="宋体" w:hAnsi="宋体" w:cs="宋体" w:eastAsia="宋体" w:hint="default"/>
                <w:spacing w:val="-1"/>
                <w:sz w:val="18"/>
                <w:szCs w:val="18"/>
              </w:rPr>
              <w:t>公司股东蔡廷祥和股东吴淡珠为夫妻关系；蔡廷祥与陈素芳是舅甥亲属关系。除此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之外，公司未知其他股东是否存在关联关系或一致行动关系。</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t>□ 是 √ 否</w:t>
      </w:r>
    </w:p>
    <w:p>
      <w:pPr>
        <w:pStyle w:val="BodyText"/>
        <w:spacing w:line="240" w:lineRule="auto" w:before="11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2"/>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2"/>
              <w:jc w:val="both"/>
              <w:rPr>
                <w:rFonts w:ascii="宋体" w:hAnsi="宋体" w:cs="宋体" w:eastAsia="宋体" w:hint="default"/>
                <w:sz w:val="18"/>
                <w:szCs w:val="18"/>
              </w:rPr>
            </w:pPr>
            <w:r>
              <w:rPr>
                <w:rFonts w:ascii="宋体" w:hAnsi="宋体" w:cs="宋体" w:eastAsia="宋体" w:hint="default"/>
                <w:sz w:val="18"/>
                <w:szCs w:val="18"/>
              </w:rPr>
              <w:t>现任本公司董事长、总经理，并兼任中国陶瓷工业协会副理事长、中国轻工 工艺品进出口商会兼职副会长、深圳市潮汕商会名誉会长、潮州市陶瓷行业 </w:t>
            </w:r>
            <w:r>
              <w:rPr>
                <w:rFonts w:ascii="宋体" w:hAnsi="宋体" w:cs="宋体" w:eastAsia="宋体" w:hint="default"/>
                <w:spacing w:val="-6"/>
                <w:sz w:val="18"/>
                <w:szCs w:val="18"/>
              </w:rPr>
              <w:t>协会永远名誉会长等社会职务，获得“优秀青年企业家”、“中国优秀民营科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1"/>
                <w:sz w:val="18"/>
                <w:szCs w:val="18"/>
              </w:rPr>
              <w:t>技企业家”、“广东省优秀民营企业家”、“中国陶瓷行业杰出企业家”等荣誉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称号。</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57" w:lineRule="auto" w:before="117"/>
        <w:ind w:right="6792"/>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412"/>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1"/>
              <w:jc w:val="right"/>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7"/>
              <w:jc w:val="right"/>
              <w:rPr>
                <w:rFonts w:ascii="宋体" w:hAnsi="宋体" w:cs="宋体" w:eastAsia="宋体" w:hint="default"/>
                <w:sz w:val="18"/>
                <w:szCs w:val="18"/>
              </w:rPr>
            </w:pPr>
            <w:r>
              <w:rPr>
                <w:rFonts w:ascii="宋体" w:hAnsi="宋体" w:cs="宋体" w:eastAsia="宋体" w:hint="default"/>
                <w:sz w:val="18"/>
                <w:szCs w:val="18"/>
              </w:rPr>
              <w:t>中华人民共和国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8"/>
              <w:jc w:val="left"/>
              <w:rPr>
                <w:rFonts w:ascii="宋体" w:hAnsi="宋体" w:cs="宋体" w:eastAsia="宋体" w:hint="default"/>
                <w:sz w:val="18"/>
                <w:szCs w:val="18"/>
              </w:rPr>
            </w:pPr>
            <w:r>
              <w:rPr>
                <w:rFonts w:ascii="宋体" w:hAnsi="宋体" w:cs="宋体" w:eastAsia="宋体" w:hint="default"/>
                <w:sz w:val="18"/>
                <w:szCs w:val="18"/>
              </w:rPr>
              <w:t>一致行动（含协议、亲属、 同一控制）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7"/>
              <w:jc w:val="right"/>
              <w:rPr>
                <w:rFonts w:ascii="宋体" w:hAnsi="宋体" w:cs="宋体" w:eastAsia="宋体" w:hint="default"/>
                <w:sz w:val="18"/>
                <w:szCs w:val="18"/>
              </w:rPr>
            </w:pPr>
            <w:r>
              <w:rPr>
                <w:rFonts w:ascii="宋体" w:hAnsi="宋体" w:cs="宋体" w:eastAsia="宋体" w:hint="default"/>
                <w:sz w:val="18"/>
                <w:szCs w:val="18"/>
              </w:rPr>
              <w:t>中华人民共和国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pacing w:val="-2"/>
                <w:sz w:val="18"/>
                <w:szCs w:val="18"/>
              </w:rPr>
              <w:t>蔡廷祥，现任本公司董事长、总经理，并兼任中国陶瓷工业协会副理事长、中国轻工工艺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品进出口商会兼职副会长、深圳市潮汕商会名誉会长、潮州市陶瓷行业协会永远名誉会长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1"/>
                <w:sz w:val="18"/>
                <w:szCs w:val="18"/>
              </w:rPr>
              <w:t>等社会职务，获得“优秀青年企业家”、“中国优秀民营科技企业家”、“广东省优秀民营企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业家”、“中国陶瓷行业杰出企业家”等荣誉称号。</w:t>
            </w:r>
          </w:p>
        </w:tc>
      </w:tr>
    </w:tbl>
    <w:p>
      <w:pPr>
        <w:spacing w:after="0" w:line="319"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7177"/>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吴淡珠，现任本公司副董事长、副总经理。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实际控制人报告期内变更</w:t>
      </w:r>
    </w:p>
    <w:p>
      <w:pPr>
        <w:pStyle w:val="BodyText"/>
        <w:spacing w:line="357" w:lineRule="auto" w:before="117"/>
        <w:ind w:right="6792"/>
        <w:jc w:val="left"/>
      </w:pPr>
      <w:r>
        <w:rPr/>
        <w:t>□ 适用 √ 不适用 公司报告期实际控制人未发生变更。 公司与实际控制人之间的产权及控制关系的方框图</w:t>
      </w:r>
    </w:p>
    <w:p>
      <w:pPr>
        <w:spacing w:line="240" w:lineRule="auto" w:before="8"/>
        <w:rPr>
          <w:rFonts w:ascii="宋体" w:hAnsi="宋体" w:cs="宋体" w:eastAsia="宋体" w:hint="default"/>
          <w:sz w:val="15"/>
          <w:szCs w:val="15"/>
        </w:rPr>
      </w:pPr>
    </w:p>
    <w:p>
      <w:pPr>
        <w:spacing w:line="3375" w:lineRule="exact"/>
        <w:ind w:left="1318"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1050" cy="21431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4591050" cy="2143125"/>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7"/>
        <w:rPr>
          <w:rFonts w:ascii="宋体" w:hAnsi="宋体" w:cs="宋体" w:eastAsia="宋体" w:hint="default"/>
          <w:sz w:val="14"/>
          <w:szCs w:val="14"/>
        </w:rPr>
      </w:pPr>
    </w:p>
    <w:p>
      <w:pPr>
        <w:spacing w:before="0"/>
        <w:ind w:left="11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3"/>
        <w:rPr>
          <w:rFonts w:ascii="宋体" w:hAnsi="宋体" w:cs="宋体" w:eastAsia="宋体" w:hint="default"/>
          <w:sz w:val="18"/>
          <w:szCs w:val="18"/>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4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ind w:right="8592"/>
        <w:jc w:val="left"/>
      </w:pPr>
      <w:r>
        <w:rPr/>
        <w:t>□ 适用 √ 不适用 报告期公司不存在优先股。</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164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7,500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7,500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副董事 长、副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14,850,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14,850,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董秘、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7,492,5</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7,492,5</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23,772,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23,772,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847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谢洁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副总经 理、财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卢俊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鲁志宏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2,019,8</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2,019,8</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庄严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189,55</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3,847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2,019,8</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191,57</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3,675</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卢俊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鲁志宏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庄严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pStyle w:val="BodyText"/>
        <w:spacing w:line="300" w:lineRule="auto" w:before="115"/>
        <w:ind w:left="536" w:right="4930"/>
        <w:jc w:val="left"/>
      </w:pPr>
      <w:r>
        <w:rPr>
          <w:rFonts w:ascii="Times New Roman" w:hAnsi="Times New Roman" w:cs="Times New Roman" w:eastAsia="Times New Roman" w:hint="default"/>
        </w:rPr>
        <w:t>1</w:t>
      </w:r>
      <w:r>
        <w:rPr/>
        <w:t>、董事会成员 公司董事会由</w:t>
      </w:r>
      <w:r>
        <w:rPr>
          <w:rFonts w:ascii="宋体" w:hAnsi="宋体" w:cs="宋体" w:eastAsia="宋体" w:hint="default"/>
        </w:rPr>
        <w:t>8</w:t>
      </w:r>
      <w:r>
        <w:rPr/>
        <w:t>名董事组成，其中独立董事</w:t>
      </w:r>
      <w:r>
        <w:rPr>
          <w:rFonts w:ascii="Times New Roman" w:hAnsi="Times New Roman" w:cs="Times New Roman" w:eastAsia="Times New Roman" w:hint="default"/>
        </w:rPr>
        <w:t>3</w:t>
      </w:r>
      <w:r>
        <w:rPr/>
        <w:t>名。公司董事简历如下：</w:t>
      </w:r>
    </w:p>
    <w:p>
      <w:pPr>
        <w:pStyle w:val="BodyText"/>
        <w:spacing w:line="312" w:lineRule="auto" w:before="13"/>
        <w:ind w:right="1128" w:firstLine="422"/>
        <w:jc w:val="both"/>
      </w:pPr>
      <w:r>
        <w:rPr/>
        <w:t>董事长 蔡廷祥，男，中国国籍，无永久境外居留权，</w:t>
      </w:r>
      <w:r>
        <w:rPr>
          <w:rFonts w:ascii="Times New Roman" w:hAnsi="Times New Roman" w:cs="Times New Roman" w:eastAsia="Times New Roman" w:hint="default"/>
        </w:rPr>
        <w:t>1965</w:t>
      </w:r>
      <w:r>
        <w:rPr>
          <w:rFonts w:ascii="Times New Roman" w:hAnsi="Times New Roman" w:cs="Times New Roman" w:eastAsia="Times New Roman" w:hint="default"/>
          <w:spacing w:val="-11"/>
        </w:rPr>
        <w:t> </w:t>
      </w:r>
      <w:r>
        <w:rPr/>
        <w:t>年出生，长江商学院高级工商管理硕士。曾任潮州市长城 </w:t>
      </w:r>
      <w:r>
        <w:rPr>
          <w:spacing w:val="-2"/>
        </w:rPr>
        <w:t>陶瓷制作厂总经理，广东长城集团有限公司董事长，广东省第十二届、第十三届人大代表。现任本公司董事长、总经理，并</w:t>
      </w:r>
      <w:r>
        <w:rPr>
          <w:spacing w:val="-66"/>
        </w:rPr>
        <w:t> </w:t>
      </w:r>
      <w:r>
        <w:rPr>
          <w:spacing w:val="-66"/>
        </w:rPr>
      </w:r>
      <w:r>
        <w:rPr>
          <w:spacing w:val="-2"/>
        </w:rPr>
        <w:t>兼任中国陶瓷工业协会副理事长、中国轻工工艺品进出口商会兼职副会长、深圳市潮汕商会名誉会长、潮州市陶瓷行业协会</w:t>
      </w:r>
      <w:r>
        <w:rPr>
          <w:spacing w:val="-66"/>
        </w:rPr>
        <w:t> </w:t>
      </w:r>
      <w:r>
        <w:rPr>
          <w:spacing w:val="-66"/>
        </w:rPr>
      </w:r>
      <w:r>
        <w:rPr>
          <w:spacing w:val="-11"/>
        </w:rPr>
        <w:t>永远名誉会长等社会职务，获得“优秀青年企业家”、“中国优秀民营科技企业家”、“广东省优秀民营企业家”、“中国陶瓷行</w:t>
      </w:r>
    </w:p>
    <w:p>
      <w:pPr>
        <w:spacing w:after="0" w:line="312"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ind w:right="0"/>
        <w:jc w:val="both"/>
      </w:pPr>
      <w:r>
        <w:rPr/>
        <w:t>业杰出企业家”等荣誉称号。</w:t>
      </w:r>
    </w:p>
    <w:p>
      <w:pPr>
        <w:pStyle w:val="BodyText"/>
        <w:spacing w:line="300" w:lineRule="auto" w:before="76"/>
        <w:ind w:right="1203" w:firstLine="422"/>
        <w:jc w:val="both"/>
      </w:pPr>
      <w:r>
        <w:rPr/>
        <w:t>副董事长</w:t>
      </w:r>
      <w:r>
        <w:rPr>
          <w:spacing w:val="53"/>
        </w:rPr>
        <w:t> </w:t>
      </w:r>
      <w:r>
        <w:rPr/>
        <w:t>吴淡珠，女，中国国籍，无永久境外居留权，</w:t>
      </w:r>
      <w:r>
        <w:rPr>
          <w:rFonts w:ascii="Times New Roman" w:hAnsi="Times New Roman" w:cs="Times New Roman" w:eastAsia="Times New Roman" w:hint="default"/>
        </w:rPr>
        <w:t>1973</w:t>
      </w:r>
      <w:r>
        <w:rPr/>
        <w:t>年出生，本科学历。曾任潮州市长城陶瓷制作厂副总经 理，广东长城集团有限公司营销总监。现任本公司副董事长、副总经理。</w:t>
      </w:r>
    </w:p>
    <w:p>
      <w:pPr>
        <w:pStyle w:val="BodyText"/>
        <w:spacing w:line="307" w:lineRule="auto" w:before="31"/>
        <w:ind w:right="1095" w:firstLine="422"/>
        <w:jc w:val="both"/>
      </w:pPr>
      <w:r>
        <w:rPr/>
        <w:t>董事、董秘</w:t>
      </w:r>
      <w:r>
        <w:rPr>
          <w:spacing w:val="-19"/>
        </w:rPr>
        <w:t> </w:t>
      </w:r>
      <w:r>
        <w:rPr/>
        <w:t>任锋，男，中国国籍，无永久境外居留权，</w:t>
      </w:r>
      <w:r>
        <w:rPr>
          <w:rFonts w:ascii="Times New Roman" w:hAnsi="Times New Roman" w:cs="Times New Roman" w:eastAsia="Times New Roman" w:hint="default"/>
        </w:rPr>
        <w:t>1969</w:t>
      </w:r>
      <w:r>
        <w:rPr/>
        <w:t>年出生，研究生学历、硕士学位，并先后在长江商学院、 </w:t>
      </w:r>
      <w:r>
        <w:rPr>
          <w:spacing w:val="-2"/>
        </w:rPr>
        <w:t>中欧商学院进修学习。曾任职于辽宁省八家子铅锌矿技术室、北京城建亚泰公司市政分公司、广东省潮州市神奇果园旅游景</w:t>
      </w:r>
      <w:r>
        <w:rPr>
          <w:spacing w:val="-66"/>
        </w:rPr>
        <w:t> </w:t>
      </w:r>
      <w:r>
        <w:rPr>
          <w:spacing w:val="-66"/>
        </w:rPr>
      </w:r>
      <w:r>
        <w:rPr>
          <w:spacing w:val="-2"/>
        </w:rPr>
        <w:t>区、广东省高级技工学校潮州分校。</w:t>
      </w:r>
      <w:r>
        <w:rPr>
          <w:rFonts w:ascii="Times New Roman" w:hAnsi="Times New Roman" w:cs="Times New Roman" w:eastAsia="Times New Roman" w:hint="default"/>
          <w:spacing w:val="-2"/>
        </w:rPr>
        <w:t>2003</w:t>
      </w:r>
      <w:r>
        <w:rPr>
          <w:spacing w:val="-2"/>
        </w:rPr>
        <w:t>年加入本公司并历任办公室主任、副总经理、常务副总经理。现任本公司董事会秘</w:t>
      </w:r>
      <w:r>
        <w:rPr>
          <w:spacing w:val="-62"/>
        </w:rPr>
        <w:t> </w:t>
      </w:r>
      <w:r>
        <w:rPr>
          <w:spacing w:val="-62"/>
        </w:rPr>
      </w:r>
      <w:r>
        <w:rPr/>
        <w:t>书、副总经理、董事，兼任子公司广东联汛教育科技有限公司董事长。</w:t>
      </w:r>
    </w:p>
    <w:p>
      <w:pPr>
        <w:spacing w:line="240" w:lineRule="auto" w:before="9"/>
        <w:rPr>
          <w:rFonts w:ascii="宋体" w:hAnsi="宋体" w:cs="宋体" w:eastAsia="宋体" w:hint="default"/>
          <w:sz w:val="25"/>
          <w:szCs w:val="25"/>
        </w:rPr>
      </w:pPr>
    </w:p>
    <w:p>
      <w:pPr>
        <w:pStyle w:val="BodyText"/>
        <w:spacing w:line="312" w:lineRule="auto" w:before="0"/>
        <w:ind w:right="1229"/>
        <w:jc w:val="both"/>
      </w:pPr>
      <w:r>
        <w:rPr/>
        <w:t>董事</w:t>
      </w:r>
      <w:r>
        <w:rPr>
          <w:spacing w:val="-1"/>
        </w:rPr>
        <w:t> </w:t>
      </w:r>
      <w:r>
        <w:rPr/>
        <w:t>高洪星，男，中国国籍，无永久境外居留权，</w:t>
      </w:r>
      <w:r>
        <w:rPr>
          <w:rFonts w:ascii="Times New Roman" w:hAnsi="Times New Roman" w:cs="Times New Roman" w:eastAsia="Times New Roman" w:hint="default"/>
        </w:rPr>
        <w:t>1962</w:t>
      </w:r>
      <w:r>
        <w:rPr/>
        <w:t>年出生，博士，高级经济师。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日前，曾任深圳发展银 行支行行长、中国农业发展银行广东省分行信贷处处长、国泰君安证券股份有限公司深圳分公司副总裁、华林证券有限责 任公司董事长兼总裁。现任本公司董事、香港卫视董事局主席、深圳市政协委员、北京对外经贸大学和清华大学五道口金 融学院（原人民银行总行研究生部）研究生导师、特聘教授、深圳高级职称评委会评委。</w:t>
      </w:r>
    </w:p>
    <w:p>
      <w:pPr>
        <w:pStyle w:val="BodyText"/>
        <w:spacing w:line="316" w:lineRule="auto" w:before="25"/>
        <w:ind w:right="1132" w:firstLine="390"/>
        <w:jc w:val="both"/>
      </w:pPr>
      <w:r>
        <w:rPr/>
        <w:t>董事</w:t>
      </w:r>
      <w:r>
        <w:rPr>
          <w:spacing w:val="-24"/>
        </w:rPr>
        <w:t> </w:t>
      </w:r>
      <w:r>
        <w:rPr/>
        <w:t>许高镭，男，中国国籍，无境外永久居留权，出生于</w:t>
      </w:r>
      <w:r>
        <w:rPr>
          <w:rFonts w:ascii="宋体" w:hAnsi="宋体" w:cs="宋体" w:eastAsia="宋体" w:hint="default"/>
        </w:rPr>
        <w:t>1974</w:t>
      </w:r>
      <w:r>
        <w:rPr/>
        <w:t>年，计算机高级工程师、电子技术中级工程师、高级项 目经理，作为发明人申请中国发明专利</w:t>
      </w:r>
      <w:r>
        <w:rPr>
          <w:rFonts w:ascii="宋体" w:hAnsi="宋体" w:cs="宋体" w:eastAsia="宋体" w:hint="default"/>
        </w:rPr>
        <w:t>5</w:t>
      </w:r>
      <w:r>
        <w:rPr/>
        <w:t>项，曾任职于阳江市商务局，</w:t>
      </w:r>
      <w:r>
        <w:rPr>
          <w:rFonts w:ascii="宋体" w:hAnsi="宋体" w:cs="宋体" w:eastAsia="宋体" w:hint="default"/>
        </w:rPr>
        <w:t>2004</w:t>
      </w:r>
      <w:r>
        <w:rPr/>
        <w:t>年创办广东联汛教育科技有限公司，出任广东联 </w:t>
      </w:r>
      <w:r>
        <w:rPr>
          <w:spacing w:val="-2"/>
        </w:rPr>
        <w:t>汛教育科技有限公司董事长、总经理、法人代表，</w:t>
      </w:r>
      <w:r>
        <w:rPr>
          <w:rFonts w:ascii="宋体" w:hAnsi="宋体" w:cs="宋体" w:eastAsia="宋体" w:hint="default"/>
          <w:spacing w:val="-2"/>
        </w:rPr>
        <w:t>2016</w:t>
      </w:r>
      <w:r>
        <w:rPr>
          <w:spacing w:val="-2"/>
        </w:rPr>
        <w:t>年联汛教育被公司并购，成为公司全资公司。现任联汛教育公司总经</w:t>
      </w:r>
      <w:r>
        <w:rPr>
          <w:spacing w:val="-62"/>
        </w:rPr>
        <w:t> </w:t>
      </w:r>
      <w:r>
        <w:rPr>
          <w:spacing w:val="-62"/>
        </w:rPr>
      </w:r>
      <w:r>
        <w:rPr/>
        <w:t>理、法人代表，广东省阳江商会监事长。</w:t>
      </w:r>
    </w:p>
    <w:p>
      <w:pPr>
        <w:pStyle w:val="BodyText"/>
        <w:spacing w:line="314" w:lineRule="auto" w:before="19"/>
        <w:ind w:right="1132" w:firstLine="422"/>
        <w:jc w:val="both"/>
      </w:pPr>
      <w:r>
        <w:rPr/>
        <w:t>独立董事</w:t>
      </w:r>
      <w:r>
        <w:rPr>
          <w:spacing w:val="21"/>
        </w:rPr>
        <w:t> </w:t>
      </w:r>
      <w:r>
        <w:rPr/>
        <w:t>朱利民，男，中国国籍，无永久境外居留权，</w:t>
      </w:r>
      <w:r>
        <w:rPr>
          <w:rFonts w:ascii="Times New Roman" w:hAnsi="Times New Roman" w:cs="Times New Roman" w:eastAsia="Times New Roman" w:hint="default"/>
        </w:rPr>
        <w:t>1951</w:t>
      </w:r>
      <w:r>
        <w:rPr/>
        <w:t>年出生，中国人民大学政治经济学研究生。退休。曾任 </w:t>
      </w:r>
      <w:r>
        <w:rPr>
          <w:spacing w:val="-2"/>
        </w:rPr>
        <w:t>国家体改委试点司副处长、综合规划试点司处长；民政部民福房地产公司副总经理，国家体改委下属中华股份制咨询公司副</w:t>
      </w:r>
      <w:r>
        <w:rPr>
          <w:spacing w:val="-66"/>
        </w:rPr>
        <w:t> </w:t>
      </w:r>
      <w:r>
        <w:rPr>
          <w:spacing w:val="-66"/>
        </w:rPr>
      </w:r>
      <w:r>
        <w:rPr>
          <w:spacing w:val="-2"/>
        </w:rPr>
        <w:t>总经理，中国证监会稽查局副局长、派出机构工作协调部主任，中信建投证券股份有限公司合规总监、监事会主席。现任焦</w:t>
      </w:r>
      <w:r>
        <w:rPr>
          <w:spacing w:val="-66"/>
        </w:rPr>
        <w:t> </w:t>
      </w:r>
      <w:r>
        <w:rPr>
          <w:spacing w:val="-66"/>
        </w:rPr>
      </w:r>
      <w:r>
        <w:rPr>
          <w:spacing w:val="-2"/>
        </w:rPr>
        <w:t>点科技股份有限公司、航天信息股份有限公司独立董事，以及兴业基金管理有限公司、金元证券股份有限公司等非上市公司</w:t>
      </w:r>
      <w:r>
        <w:rPr>
          <w:spacing w:val="-65"/>
        </w:rPr>
        <w:t> </w:t>
      </w:r>
      <w:r>
        <w:rPr>
          <w:spacing w:val="-65"/>
        </w:rPr>
      </w:r>
      <w:r>
        <w:rPr/>
        <w:t>的独立董事。</w:t>
      </w:r>
    </w:p>
    <w:p>
      <w:pPr>
        <w:pStyle w:val="BodyText"/>
        <w:spacing w:line="300" w:lineRule="auto" w:before="20"/>
        <w:ind w:right="1135" w:firstLine="422"/>
        <w:jc w:val="both"/>
      </w:pPr>
      <w:r>
        <w:rPr/>
        <w:t>独立董事</w:t>
      </w:r>
      <w:r>
        <w:rPr>
          <w:spacing w:val="22"/>
        </w:rPr>
        <w:t> </w:t>
      </w:r>
      <w:r>
        <w:rPr/>
        <w:t>贠庆怀，男，中国国籍，无永久境外居留权，</w:t>
      </w:r>
      <w:r>
        <w:rPr>
          <w:rFonts w:ascii="Times New Roman" w:hAnsi="Times New Roman" w:cs="Times New Roman" w:eastAsia="Times New Roman" w:hint="default"/>
        </w:rPr>
        <w:t>1974</w:t>
      </w:r>
      <w:r>
        <w:rPr/>
        <w:t>年出生，专科学历，注册会计师。曾任济南建设设备安 装有限公司财务科长、山东万隆齐鲁会计师事务所项目经理。现任山东中诚信会计师事务所董事长。</w:t>
      </w:r>
    </w:p>
    <w:p>
      <w:pPr>
        <w:pStyle w:val="BodyText"/>
        <w:spacing w:line="300" w:lineRule="auto" w:before="31"/>
        <w:ind w:right="1130" w:firstLine="422"/>
        <w:jc w:val="both"/>
      </w:pPr>
      <w:r>
        <w:rPr/>
        <w:t>独立董事</w:t>
      </w:r>
      <w:r>
        <w:rPr>
          <w:spacing w:val="-52"/>
        </w:rPr>
        <w:t> </w:t>
      </w:r>
      <w:r>
        <w:rPr/>
        <w:t>周林，男，中国国籍，无永久境外居留权，</w:t>
      </w:r>
      <w:r>
        <w:rPr>
          <w:rFonts w:ascii="Times New Roman" w:hAnsi="Times New Roman" w:cs="Times New Roman" w:eastAsia="Times New Roman" w:hint="default"/>
        </w:rPr>
        <w:t>1965</w:t>
      </w:r>
      <w:r>
        <w:rPr/>
        <w:t>年出生，研究生学历。曾任职于江西省计划委员会、综合开 发研究院（中国深圳）副主任研究员。现任综合开发研究院（中国深圳）主任研究员。</w:t>
      </w:r>
    </w:p>
    <w:p>
      <w:pPr>
        <w:pStyle w:val="BodyText"/>
        <w:spacing w:line="300" w:lineRule="auto" w:before="31"/>
        <w:ind w:left="474" w:right="4632"/>
        <w:jc w:val="left"/>
      </w:pPr>
      <w:r>
        <w:rPr>
          <w:rFonts w:ascii="Times New Roman" w:hAnsi="Times New Roman" w:cs="Times New Roman" w:eastAsia="Times New Roman" w:hint="default"/>
        </w:rPr>
        <w:t>2</w:t>
      </w:r>
      <w:r>
        <w:rPr/>
        <w:t>、监事会成员 公司监事会由</w:t>
      </w:r>
      <w:r>
        <w:rPr>
          <w:rFonts w:ascii="Times New Roman" w:hAnsi="Times New Roman" w:cs="Times New Roman" w:eastAsia="Times New Roman" w:hint="default"/>
        </w:rPr>
        <w:t>3</w:t>
      </w:r>
      <w:r>
        <w:rPr/>
        <w:t>名成员组成，其中职工代表监事</w:t>
      </w:r>
      <w:r>
        <w:rPr>
          <w:rFonts w:ascii="Times New Roman" w:hAnsi="Times New Roman" w:cs="Times New Roman" w:eastAsia="Times New Roman" w:hint="default"/>
        </w:rPr>
        <w:t>1</w:t>
      </w:r>
      <w:r>
        <w:rPr/>
        <w:t>名。公司监事简历如下：</w:t>
      </w:r>
    </w:p>
    <w:p>
      <w:pPr>
        <w:pStyle w:val="BodyText"/>
        <w:tabs>
          <w:tab w:pos="1590" w:val="left" w:leader="none"/>
        </w:tabs>
        <w:spacing w:line="316" w:lineRule="auto" w:before="13"/>
        <w:ind w:right="1130" w:firstLine="360"/>
        <w:jc w:val="left"/>
      </w:pPr>
      <w:r>
        <w:rPr/>
        <w:t>监事会主席</w:t>
        <w:tab/>
        <w:t>谢建歆，男，中国国籍，无永久境外居留权，</w:t>
      </w:r>
      <w:r>
        <w:rPr>
          <w:rFonts w:ascii="宋体" w:hAnsi="宋体" w:cs="宋体" w:eastAsia="宋体" w:hint="default"/>
        </w:rPr>
        <w:t>1984</w:t>
      </w:r>
      <w:r>
        <w:rPr/>
        <w:t>年出生，本科学历。</w:t>
      </w:r>
      <w:r>
        <w:rPr>
          <w:rFonts w:ascii="宋体" w:hAnsi="宋体" w:cs="宋体" w:eastAsia="宋体" w:hint="default"/>
        </w:rPr>
        <w:t>2006</w:t>
      </w:r>
      <w:r>
        <w:rPr/>
        <w:t>年加入本公司，先后任技术 </w:t>
      </w:r>
      <w:r>
        <w:rPr>
          <w:spacing w:val="-2"/>
        </w:rPr>
        <w:t>研发中心样品室管理员、行政管理中心行政助理、行政管理中心人力资源部经理、人事总监、品牌总监、文化总监、办公室</w:t>
      </w:r>
      <w:r>
        <w:rPr>
          <w:spacing w:val="-68"/>
        </w:rPr>
        <w:t> </w:t>
      </w:r>
      <w:r>
        <w:rPr>
          <w:spacing w:val="-68"/>
        </w:rPr>
      </w:r>
      <w:r>
        <w:rPr/>
        <w:t>主任，现任公司瓷业总经理。</w:t>
      </w:r>
    </w:p>
    <w:p>
      <w:pPr>
        <w:pStyle w:val="BodyText"/>
        <w:spacing w:line="316" w:lineRule="auto" w:before="19"/>
        <w:ind w:right="1193" w:firstLine="360"/>
        <w:jc w:val="both"/>
      </w:pPr>
      <w:r>
        <w:rPr/>
        <w:t>监事</w:t>
      </w:r>
      <w:r>
        <w:rPr>
          <w:spacing w:val="35"/>
        </w:rPr>
        <w:t> </w:t>
      </w:r>
      <w:r>
        <w:rPr/>
        <w:t>谢洁，女，中国国籍，无境外永久居留权，</w:t>
      </w:r>
      <w:r>
        <w:rPr>
          <w:rFonts w:ascii="宋体" w:hAnsi="宋体" w:cs="宋体" w:eastAsia="宋体" w:hint="default"/>
        </w:rPr>
        <w:t>1990</w:t>
      </w:r>
      <w:r>
        <w:rPr/>
        <w:t>年出生，大专学历。</w:t>
      </w:r>
      <w:r>
        <w:rPr>
          <w:rFonts w:ascii="宋体" w:hAnsi="宋体" w:cs="宋体" w:eastAsia="宋体" w:hint="default"/>
        </w:rPr>
        <w:t>2012</w:t>
      </w:r>
      <w:r>
        <w:rPr/>
        <w:t>年加入本公司，曾任公司艺术馆讲解 员、销售部销售专员、人事部人事助理，现任公司证券部证券专员。</w:t>
      </w:r>
    </w:p>
    <w:p>
      <w:pPr>
        <w:pStyle w:val="BodyText"/>
        <w:spacing w:line="300" w:lineRule="auto" w:before="19"/>
        <w:ind w:right="1121" w:firstLine="360"/>
        <w:jc w:val="both"/>
      </w:pPr>
      <w:r>
        <w:rPr/>
        <w:t>监事 金永丽，女，中国国籍，无永久境外居留权，</w:t>
      </w:r>
      <w:r>
        <w:rPr>
          <w:rFonts w:ascii="Times New Roman" w:hAnsi="Times New Roman" w:cs="Times New Roman" w:eastAsia="Times New Roman" w:hint="default"/>
        </w:rPr>
        <w:t>1981</w:t>
      </w:r>
      <w:r>
        <w:rPr/>
        <w:t>年出生，大专学历。</w:t>
      </w:r>
      <w:r>
        <w:rPr>
          <w:rFonts w:ascii="Times New Roman" w:hAnsi="Times New Roman" w:cs="Times New Roman" w:eastAsia="Times New Roman" w:hint="default"/>
        </w:rPr>
        <w:t>2003</w:t>
      </w:r>
      <w:r>
        <w:rPr>
          <w:rFonts w:ascii="Times New Roman" w:hAnsi="Times New Roman" w:cs="Times New Roman" w:eastAsia="Times New Roman" w:hint="default"/>
          <w:spacing w:val="17"/>
        </w:rPr>
        <w:t> </w:t>
      </w:r>
      <w:r>
        <w:rPr/>
        <w:t>年加入本公司，先后任车间统计、 试验室检测员。现任本公司研发中心助理兼成型制作部主任，职工代表监事。</w:t>
      </w:r>
    </w:p>
    <w:p>
      <w:pPr>
        <w:pStyle w:val="BodyText"/>
        <w:spacing w:line="240" w:lineRule="auto" w:before="31"/>
        <w:ind w:left="536" w:right="0"/>
        <w:jc w:val="left"/>
      </w:pPr>
      <w:r>
        <w:rPr>
          <w:rFonts w:ascii="Times New Roman" w:hAnsi="Times New Roman" w:cs="Times New Roman" w:eastAsia="Times New Roman" w:hint="default"/>
        </w:rPr>
        <w:t>3</w:t>
      </w:r>
      <w:r>
        <w:rPr/>
        <w:t>、高级管理人员</w:t>
      </w:r>
    </w:p>
    <w:p>
      <w:pPr>
        <w:pStyle w:val="BodyText"/>
        <w:spacing w:line="316" w:lineRule="auto" w:before="63"/>
        <w:ind w:left="474" w:right="5749"/>
        <w:jc w:val="left"/>
      </w:pPr>
      <w:r>
        <w:rPr/>
        <w:t>总经理</w:t>
      </w:r>
      <w:r>
        <w:rPr>
          <w:spacing w:val="54"/>
        </w:rPr>
        <w:t> </w:t>
      </w:r>
      <w:r>
        <w:rPr/>
        <w:t>蔡廷祥，工作经历请参见前述董事会成员介绍。</w:t>
      </w:r>
      <w:r>
        <w:rPr/>
        <w:t> 副总经理</w:t>
      </w:r>
      <w:r>
        <w:rPr>
          <w:spacing w:val="53"/>
        </w:rPr>
        <w:t> </w:t>
      </w:r>
      <w:r>
        <w:rPr/>
        <w:t>吴淡珠，工作经历请参见前述董事会成员介绍。</w:t>
      </w:r>
      <w:r>
        <w:rPr/>
        <w:t> 副总经理</w:t>
      </w:r>
      <w:r>
        <w:rPr>
          <w:spacing w:val="53"/>
        </w:rPr>
        <w:t> </w:t>
      </w:r>
      <w:r>
        <w:rPr/>
        <w:t>任锋，工作经历请参见前述董事会成员介绍。</w:t>
      </w:r>
    </w:p>
    <w:p>
      <w:pPr>
        <w:pStyle w:val="BodyText"/>
        <w:spacing w:line="300" w:lineRule="auto" w:before="19"/>
        <w:ind w:right="1132" w:firstLine="360"/>
        <w:jc w:val="both"/>
      </w:pPr>
      <w:r>
        <w:rPr/>
        <w:t>副总经理、财务总监</w:t>
      </w:r>
      <w:r>
        <w:rPr>
          <w:spacing w:val="5"/>
        </w:rPr>
        <w:t> </w:t>
      </w:r>
      <w:r>
        <w:rPr/>
        <w:t>罗晨鹏，男，中国国籍，无永久境外居留权，</w:t>
      </w:r>
      <w:r>
        <w:rPr>
          <w:rFonts w:ascii="Times New Roman" w:hAnsi="Times New Roman" w:cs="Times New Roman" w:eastAsia="Times New Roman" w:hint="default"/>
        </w:rPr>
        <w:t>1972</w:t>
      </w:r>
      <w:r>
        <w:rPr/>
        <w:t>年出生，大学本科学历。曾任职于美的集团股 份有限公司。自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月加入广东文化长城集团股份有限公司，一直从事财务相关工作。</w:t>
      </w:r>
    </w:p>
    <w:p>
      <w:pPr>
        <w:pStyle w:val="BodyText"/>
        <w:spacing w:line="300" w:lineRule="auto" w:before="54"/>
        <w:ind w:right="1132" w:firstLine="360"/>
        <w:jc w:val="both"/>
      </w:pPr>
      <w:r>
        <w:rPr/>
        <w:t>副总经理</w:t>
      </w:r>
      <w:r>
        <w:rPr>
          <w:spacing w:val="5"/>
        </w:rPr>
        <w:t> </w:t>
      </w:r>
      <w:r>
        <w:rPr/>
        <w:t>陈伟雄，男，中国国籍，无永久境外居留权，</w:t>
      </w:r>
      <w:r>
        <w:rPr>
          <w:rFonts w:ascii="Times New Roman" w:hAnsi="Times New Roman" w:cs="Times New Roman" w:eastAsia="Times New Roman" w:hint="default"/>
        </w:rPr>
        <w:t>1974</w:t>
      </w:r>
      <w:r>
        <w:rPr/>
        <w:t>年出生，本科学历。</w:t>
      </w:r>
      <w:r>
        <w:rPr>
          <w:rFonts w:ascii="Times New Roman" w:hAnsi="Times New Roman" w:cs="Times New Roman" w:eastAsia="Times New Roman" w:hint="default"/>
        </w:rPr>
        <w:t>1994</w:t>
      </w:r>
      <w:r>
        <w:rPr/>
        <w:t>年加入本公司，先后任总经理助 理、行政总监、办公室主任。现任本公司副总经理兼项目拓展部总监。</w:t>
      </w:r>
    </w:p>
    <w:p>
      <w:pPr>
        <w:pStyle w:val="BodyText"/>
        <w:spacing w:line="240" w:lineRule="auto" w:before="72"/>
        <w:ind w:right="0"/>
        <w:jc w:val="both"/>
      </w:pPr>
      <w:r>
        <w:rPr/>
        <w:t>在股东单位任职情况</w:t>
      </w:r>
    </w:p>
    <w:p>
      <w:pPr>
        <w:pStyle w:val="BodyText"/>
        <w:spacing w:line="240" w:lineRule="auto" w:before="116"/>
        <w:ind w:right="0"/>
        <w:jc w:val="both"/>
      </w:pPr>
      <w:r>
        <w:rPr/>
        <w:t>□ 适用 √ 不适用</w:t>
      </w:r>
    </w:p>
    <w:p>
      <w:pPr>
        <w:spacing w:after="0" w:line="240" w:lineRule="auto"/>
        <w:jc w:val="both"/>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在其他单位任职情况</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2"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香港卫视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董事局主 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5"/>
              <w:jc w:val="left"/>
              <w:rPr>
                <w:rFonts w:ascii="宋体" w:hAnsi="宋体" w:cs="宋体" w:eastAsia="宋体" w:hint="default"/>
                <w:sz w:val="18"/>
                <w:szCs w:val="18"/>
              </w:rPr>
            </w:pPr>
            <w:r>
              <w:rPr>
                <w:rFonts w:ascii="宋体" w:hAnsi="宋体" w:cs="宋体" w:eastAsia="宋体" w:hint="default"/>
                <w:sz w:val="18"/>
                <w:szCs w:val="18"/>
              </w:rPr>
              <w:t>北京对外经贸大学和清华大学五道口 金融学院（原人民银行总行研究生部）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研究生导 </w:t>
            </w:r>
            <w:r>
              <w:rPr>
                <w:rFonts w:ascii="宋体" w:hAnsi="宋体" w:cs="宋体" w:eastAsia="宋体" w:hint="default"/>
                <w:spacing w:val="-11"/>
                <w:sz w:val="18"/>
                <w:szCs w:val="18"/>
              </w:rPr>
              <w:t>师、特聘教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兴业基金管理有限公司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山东中诚信会计师事务所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综合开发研究院（中国深圳）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主任研究 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潮州民营投资股份有限公司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13"/>
          <w:pgSz w:w="11910" w:h="16840"/>
          <w:pgMar w:footer="1019" w:header="907"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公司现任及报告期内离任董事、监事和高级管理人员近三年证券监管机构处罚的情况</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董事、监事、高级管理人员报酬的决策程序、确定依据、实际支付情况</w:t>
      </w:r>
    </w:p>
    <w:p>
      <w:pPr>
        <w:pStyle w:val="BodyText"/>
        <w:spacing w:line="309" w:lineRule="auto" w:before="116"/>
        <w:ind w:right="0"/>
        <w:jc w:val="left"/>
      </w:pPr>
      <w:r>
        <w:rPr>
          <w:rFonts w:ascii="Times New Roman" w:hAnsi="Times New Roman" w:cs="Times New Roman" w:eastAsia="Times New Roman" w:hint="default"/>
        </w:rPr>
        <w:t>1</w:t>
      </w:r>
      <w:r>
        <w:rPr/>
        <w:t>、董事、监事、高级管理人员报酬的决策程序 </w:t>
      </w:r>
      <w:r>
        <w:rPr>
          <w:spacing w:val="-2"/>
        </w:rPr>
        <w:t>公司董事、监事报酬由公司股东大会决定，公司高级管理人员报酬由公司董事会决定；在公司承担职务的董事、监事、高级</w:t>
      </w:r>
      <w:r>
        <w:rPr>
          <w:spacing w:val="-67"/>
        </w:rPr>
        <w:t> </w:t>
      </w:r>
      <w:r>
        <w:rPr>
          <w:spacing w:val="-67"/>
        </w:rPr>
      </w:r>
      <w:r>
        <w:rPr/>
        <w:t>管理人员报酬由公司支付，董事、监事不另外支付津贴。</w:t>
      </w:r>
    </w:p>
    <w:p>
      <w:pPr>
        <w:pStyle w:val="BodyText"/>
        <w:spacing w:line="309" w:lineRule="auto" w:before="24"/>
        <w:ind w:right="0"/>
        <w:jc w:val="left"/>
      </w:pPr>
      <w:r>
        <w:rPr>
          <w:rFonts w:ascii="Times New Roman" w:hAnsi="Times New Roman" w:cs="Times New Roman" w:eastAsia="Times New Roman" w:hint="default"/>
        </w:rPr>
        <w:t>2</w:t>
      </w:r>
      <w:r>
        <w:rPr/>
        <w:t>、董事、监事、高级管理人员报酬确定依据 </w:t>
      </w:r>
      <w:r>
        <w:rPr>
          <w:spacing w:val="-2"/>
        </w:rPr>
        <w:t>董事、监事和高级管理人员的报酬按照《公司章程》及《薪酬和考核委员会工作细则》等规定，依据公司经营状况、盈利水</w:t>
      </w:r>
      <w:r>
        <w:rPr>
          <w:spacing w:val="-71"/>
        </w:rPr>
        <w:t> </w:t>
      </w:r>
      <w:r>
        <w:rPr>
          <w:spacing w:val="-71"/>
        </w:rPr>
      </w:r>
      <w:r>
        <w:rPr/>
        <w:t>平结合其职位、责任、能力、市场薪资行情等因素确定并发放。</w:t>
      </w:r>
    </w:p>
    <w:p>
      <w:pPr>
        <w:pStyle w:val="BodyText"/>
        <w:spacing w:line="338" w:lineRule="auto" w:before="24"/>
        <w:ind w:right="1122"/>
        <w:jc w:val="left"/>
      </w:pPr>
      <w:r>
        <w:rPr>
          <w:rFonts w:ascii="Times New Roman" w:hAnsi="Times New Roman" w:cs="Times New Roman" w:eastAsia="Times New Roman" w:hint="default"/>
        </w:rPr>
        <w:t>3</w:t>
      </w:r>
      <w:r>
        <w:rPr/>
        <w:t>、董事、监事和高级管理人员报酬的实际支付情况 公司现任董事、监事、高级管理人员共</w:t>
      </w:r>
      <w:r>
        <w:rPr>
          <w:rFonts w:ascii="Times New Roman" w:hAnsi="Times New Roman" w:cs="Times New Roman" w:eastAsia="Times New Roman" w:hint="default"/>
        </w:rPr>
        <w:t>13</w:t>
      </w:r>
      <w:r>
        <w:rPr/>
        <w:t>人，离任高级管理人员</w:t>
      </w:r>
      <w:r>
        <w:rPr>
          <w:rFonts w:ascii="Times New Roman" w:hAnsi="Times New Roman" w:cs="Times New Roman" w:eastAsia="Times New Roman" w:hint="default"/>
        </w:rPr>
        <w:t>3</w:t>
      </w:r>
      <w:r>
        <w:rPr/>
        <w:t>人，</w:t>
      </w:r>
      <w:r>
        <w:rPr>
          <w:rFonts w:ascii="Times New Roman" w:hAnsi="Times New Roman" w:cs="Times New Roman" w:eastAsia="Times New Roman" w:hint="default"/>
        </w:rPr>
        <w:t>2018</w:t>
      </w:r>
      <w:r>
        <w:rPr/>
        <w:t>年度在公司领取的税前报酬总额为</w:t>
      </w:r>
      <w:r>
        <w:rPr>
          <w:rFonts w:ascii="宋体" w:hAnsi="宋体" w:cs="宋体" w:eastAsia="宋体" w:hint="default"/>
        </w:rPr>
        <w:t>285.03</w:t>
      </w:r>
      <w:r>
        <w:rPr/>
        <w:t>万元。 公司报告期内董事、监事和高级管理人员报酬情况</w:t>
      </w:r>
    </w:p>
    <w:p>
      <w:pPr>
        <w:pStyle w:val="BodyText"/>
        <w:spacing w:line="240" w:lineRule="auto" w:before="4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副董事长、副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副董事长、副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谢洁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财务总监、副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卢俊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鲁志宏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4"/>
          <w:pgSz w:w="11910" w:h="16840"/>
          <w:pgMar w:footer="1019" w:header="907" w:top="1100" w:bottom="1200" w:left="1020" w:right="0"/>
          <w:pgNumType w:start="101"/>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7"/>
        <w:gridCol w:w="1368"/>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285.03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2,178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2,450</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729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3"/>
                <w:sz w:val="18"/>
              </w:rPr>
              <w:t>114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3"/>
                <w:sz w:val="18"/>
              </w:rPr>
              <w:t>118</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2,450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2,450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0"/>
        <w:jc w:val="left"/>
      </w:pPr>
      <w:r>
        <w:rPr>
          <w:spacing w:val="-2"/>
        </w:rPr>
        <w:t>公司根据宽带薪酬的原理设计公司薪酬标准，每年根据市场需求针对公司的不同岗位修订薪酬方案、提成方案和绩效考核方</w:t>
      </w:r>
      <w:r>
        <w:rPr>
          <w:spacing w:val="-64"/>
        </w:rPr>
        <w:t> </w:t>
      </w:r>
      <w:r>
        <w:rPr>
          <w:spacing w:val="-64"/>
        </w:rPr>
      </w:r>
      <w:r>
        <w:rPr/>
        <w:t>案，以保证薪资水平具有市场竞争力，同时可促进员工积极性，引导员工重视个人技能的增长和能力的提高。</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2112"/>
        <w:jc w:val="left"/>
      </w:pPr>
      <w:r>
        <w:rPr/>
        <w:t>本年度公司主要以内训与外训相结合的方式有针对性的对销售、生产管理、行政人事、财务等部门进行培训。 一、集团公司人事部门负责集团文化、发展战略、员工心态以及规章制度的培训； 二、邀请知名培训导师针对业务员和高层管理进行内部培训； 三、针对个别岗位提供专业性外训，如经营管理、财务、人力资源等专业性较强的岗位。</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ind w:right="0"/>
        <w:jc w:val="left"/>
      </w:pPr>
      <w:r>
        <w:rPr/>
        <w:t>通过以上三种培训方式提高员工整体素质和业务水平，为公司培养和储备人才，为公司的可持续发展提供保障。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383" w:right="3401"/>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032" w:firstLine="360"/>
        <w:jc w:val="left"/>
      </w:pPr>
      <w:r>
        <w:rPr>
          <w:spacing w:val="-12"/>
        </w:rPr>
        <w:t>报告期内，公司严格按照《公司法》、《证券法》、《深圳证券交易所创业板股票上市规则》、《深圳证券交易所创业板上市</w:t>
      </w:r>
      <w:r>
        <w:rPr/>
        <w:t> 公司规范运作指引》等有关法律、行政法规和规范性文件的要求，强化对公司内部控制的检查，完善公司的法人治理结构， </w:t>
      </w:r>
      <w:r>
        <w:rPr>
          <w:spacing w:val="-2"/>
        </w:rPr>
        <w:t>防范及控制经营决策及管理风险，促进公司规范运作，提高公司治理水平。截至报告期末，公司治理实际情况符合《上市公</w:t>
      </w:r>
      <w:r>
        <w:rPr>
          <w:spacing w:val="-66"/>
        </w:rPr>
        <w:t> </w:t>
      </w:r>
      <w:r>
        <w:rPr>
          <w:spacing w:val="-66"/>
        </w:rPr>
      </w:r>
      <w:r>
        <w:rPr/>
        <w:t>司治理准则》和《深圳证券交易所创业板上市公司规范运作指引》等文件的要求。</w:t>
      </w:r>
    </w:p>
    <w:p>
      <w:pPr>
        <w:pStyle w:val="BodyText"/>
        <w:spacing w:line="300" w:lineRule="auto" w:before="19"/>
        <w:ind w:left="474" w:right="0" w:firstLine="1"/>
        <w:jc w:val="left"/>
      </w:pP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99"/>
        </w:rPr>
        <w:t> </w:t>
      </w:r>
      <w:r>
        <w:rPr>
          <w:spacing w:val="-2"/>
        </w:rPr>
        <w:t>公司股东按照《公司章程》的规定按其所持股份享受股东权利，并承担相应义务。股东大会是公司最高权力机构，公司</w:t>
      </w:r>
    </w:p>
    <w:p>
      <w:pPr>
        <w:pStyle w:val="BodyText"/>
        <w:spacing w:line="316" w:lineRule="auto" w:before="31"/>
        <w:ind w:right="1131"/>
        <w:jc w:val="both"/>
      </w:pPr>
      <w:r>
        <w:rPr>
          <w:spacing w:val="-5"/>
        </w:rPr>
        <w:t>严格按照《上市公司股东大会规则》、《公司章程》和《股东大会议事规则》等规定和要求，规范地召集、召开股东大会，确</w:t>
      </w:r>
      <w:r>
        <w:rPr>
          <w:spacing w:val="-80"/>
        </w:rPr>
        <w:t> </w:t>
      </w:r>
      <w:r>
        <w:rPr>
          <w:spacing w:val="-80"/>
        </w:rPr>
      </w:r>
      <w:r>
        <w:rPr>
          <w:spacing w:val="-2"/>
        </w:rPr>
        <w:t>保所有股东，特别是中小股东享有平等的地位并能充分行使相应的权利。公司在业务、资产、人员、机构、财务等方面均独</w:t>
      </w:r>
      <w:r>
        <w:rPr>
          <w:spacing w:val="-70"/>
        </w:rPr>
        <w:t> </w:t>
      </w:r>
      <w:r>
        <w:rPr>
          <w:spacing w:val="-70"/>
        </w:rPr>
      </w:r>
      <w:r>
        <w:rPr/>
        <w:t>立于股东，充分保护了社会公众股股东的权益。</w:t>
      </w:r>
    </w:p>
    <w:p>
      <w:pPr>
        <w:spacing w:line="300" w:lineRule="auto" w:before="19"/>
        <w:ind w:left="474" w:right="1136"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公司控股股东、实际控制人严格按照相关法律、法规、《公司章程》等规范自己的行为，没有超越股东大会直接或间接</w:t>
      </w:r>
    </w:p>
    <w:p>
      <w:pPr>
        <w:pStyle w:val="BodyText"/>
        <w:spacing w:line="316" w:lineRule="auto" w:before="31"/>
        <w:ind w:right="0"/>
        <w:jc w:val="left"/>
      </w:pPr>
      <w:r>
        <w:rPr>
          <w:spacing w:val="-2"/>
        </w:rPr>
        <w:t>干预公司的决策和经营活动。公司拥有独立完整的业务体系和自主经营能力，在业务、组织机构、财务、人员、资产上独立</w:t>
      </w:r>
      <w:r>
        <w:rPr>
          <w:spacing w:val="-67"/>
        </w:rPr>
        <w:t> </w:t>
      </w:r>
      <w:r>
        <w:rPr>
          <w:spacing w:val="-67"/>
        </w:rPr>
      </w:r>
      <w:r>
        <w:rPr>
          <w:spacing w:val="-4"/>
        </w:rPr>
        <w:t>于控股股东和实际控制人，公司董事会和监事会等内部机构独立运作。报告期内，公司没有为控股股东及关联企业提供担保，</w:t>
      </w:r>
      <w:r>
        <w:rPr>
          <w:spacing w:val="-44"/>
        </w:rPr>
        <w:t> </w:t>
      </w:r>
      <w:r>
        <w:rPr>
          <w:spacing w:val="-44"/>
        </w:rPr>
      </w:r>
      <w:r>
        <w:rPr/>
        <w:t>亦不存在控股股东占用上市公司资金的行为。</w:t>
      </w:r>
    </w:p>
    <w:p>
      <w:pPr>
        <w:pStyle w:val="BodyText"/>
        <w:spacing w:line="300" w:lineRule="auto" w:before="19"/>
        <w:ind w:left="474" w:right="0" w:firstLine="1"/>
        <w:jc w:val="left"/>
      </w:pPr>
      <w:r>
        <w:rPr>
          <w:rFonts w:ascii="Times New Roman" w:hAnsi="Times New Roman" w:cs="Times New Roman" w:eastAsia="Times New Roman" w:hint="default"/>
          <w:b/>
          <w:bCs/>
        </w:rPr>
        <w:t>3</w:t>
      </w:r>
      <w:r>
        <w:rPr>
          <w:rFonts w:ascii="宋体" w:hAnsi="宋体" w:cs="宋体" w:eastAsia="宋体" w:hint="default"/>
          <w:b/>
          <w:bCs/>
        </w:rPr>
        <w:t>、董事与董事会</w:t>
      </w:r>
      <w:r>
        <w:rPr>
          <w:rFonts w:ascii="宋体" w:hAnsi="宋体" w:cs="宋体" w:eastAsia="宋体" w:hint="default"/>
          <w:b/>
          <w:bCs/>
          <w:w w:val="99"/>
        </w:rPr>
        <w:t> </w:t>
      </w:r>
      <w:r>
        <w:rPr>
          <w:spacing w:val="-2"/>
        </w:rPr>
        <w:t>公司董事会设董事</w:t>
      </w:r>
      <w:r>
        <w:rPr>
          <w:rFonts w:ascii="宋体" w:hAnsi="宋体" w:cs="宋体" w:eastAsia="宋体" w:hint="default"/>
          <w:spacing w:val="-2"/>
        </w:rPr>
        <w:t>8</w:t>
      </w:r>
      <w:r>
        <w:rPr>
          <w:spacing w:val="-2"/>
        </w:rPr>
        <w:t>名，其中独立董事</w:t>
      </w:r>
      <w:r>
        <w:rPr>
          <w:rFonts w:ascii="Times New Roman" w:hAnsi="Times New Roman" w:cs="Times New Roman" w:eastAsia="Times New Roman" w:hint="default"/>
          <w:spacing w:val="-2"/>
        </w:rPr>
        <w:t>3</w:t>
      </w:r>
      <w:r>
        <w:rPr>
          <w:spacing w:val="-2"/>
        </w:rPr>
        <w:t>名，董事会的人员构成符合法律、法规和《公司章程》的要求，公司董事会下设</w:t>
      </w:r>
    </w:p>
    <w:p>
      <w:pPr>
        <w:pStyle w:val="BodyText"/>
        <w:spacing w:line="316" w:lineRule="auto" w:before="13"/>
        <w:ind w:right="1130"/>
        <w:jc w:val="both"/>
      </w:pPr>
      <w:r>
        <w:rPr>
          <w:spacing w:val="-2"/>
        </w:rPr>
        <w:t>战略发展、薪酬和考核、提名、审计等四个专门委员会。报告期内，各专门委员会分别按照《董事会战略发展委员会工作细</w:t>
      </w:r>
      <w:r>
        <w:rPr>
          <w:spacing w:val="-67"/>
        </w:rPr>
        <w:t> </w:t>
      </w:r>
      <w:r>
        <w:rPr>
          <w:spacing w:val="-67"/>
        </w:rPr>
      </w:r>
      <w:r>
        <w:rPr>
          <w:spacing w:val="-11"/>
        </w:rPr>
        <w:t>则》、《董事会薪酬和考核委员会工作细则》、《董事会提名委员会工作细则》和《审计委员会年报工作规则》、《审计委员会议</w:t>
      </w:r>
      <w:r>
        <w:rPr>
          <w:spacing w:val="-87"/>
        </w:rPr>
        <w:t> </w:t>
      </w:r>
      <w:r>
        <w:rPr>
          <w:spacing w:val="-87"/>
        </w:rPr>
      </w:r>
      <w:r>
        <w:rPr>
          <w:spacing w:val="-8"/>
        </w:rPr>
        <w:t>事规则》开展工作；各位董事能够依据《董事会议事规则》、《独立董事制度》、《深圳证券交易所创业板上市公司规范运作指</w:t>
      </w:r>
      <w:r>
        <w:rPr>
          <w:spacing w:val="-86"/>
        </w:rPr>
        <w:t> </w:t>
      </w:r>
      <w:r>
        <w:rPr>
          <w:spacing w:val="-86"/>
        </w:rPr>
      </w:r>
      <w:r>
        <w:rPr/>
        <w:t>引》等开展工作，出席董事会和股东大会，勤勉尽责地履行职责和义务。</w:t>
      </w:r>
    </w:p>
    <w:p>
      <w:pPr>
        <w:pStyle w:val="BodyText"/>
        <w:spacing w:line="300" w:lineRule="auto" w:before="19"/>
        <w:ind w:left="474" w:right="0" w:hanging="6"/>
        <w:jc w:val="left"/>
      </w:pPr>
      <w:r>
        <w:rPr>
          <w:rFonts w:ascii="Times New Roman" w:hAnsi="Times New Roman" w:cs="Times New Roman" w:eastAsia="Times New Roman" w:hint="default"/>
          <w:b/>
          <w:bCs/>
        </w:rPr>
        <w:t>4</w:t>
      </w:r>
      <w:r>
        <w:rPr>
          <w:rFonts w:ascii="宋体" w:hAnsi="宋体" w:cs="宋体" w:eastAsia="宋体" w:hint="default"/>
          <w:b/>
          <w:bCs/>
        </w:rPr>
        <w:t>、监事与监事会</w:t>
      </w:r>
      <w:r>
        <w:rPr>
          <w:rFonts w:ascii="宋体" w:hAnsi="宋体" w:cs="宋体" w:eastAsia="宋体" w:hint="default"/>
          <w:b/>
          <w:bCs/>
          <w:w w:val="99"/>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名，监事会的人员构成符合法律、法规和《公司章程》的要求。报告期内，各位</w:t>
      </w:r>
    </w:p>
    <w:p>
      <w:pPr>
        <w:pStyle w:val="BodyText"/>
        <w:spacing w:line="316" w:lineRule="auto" w:before="13"/>
        <w:ind w:right="0"/>
        <w:jc w:val="left"/>
      </w:pPr>
      <w:r>
        <w:rPr>
          <w:spacing w:val="-2"/>
        </w:rPr>
        <w:t>监事能够按照《监事会议事规则》的要求，认真履行自己的职责，本着对公司和全体股东负责的精神，依法、独立地对公司</w:t>
      </w:r>
      <w:r>
        <w:rPr>
          <w:spacing w:val="-67"/>
        </w:rPr>
        <w:t> </w:t>
      </w:r>
      <w:r>
        <w:rPr>
          <w:spacing w:val="-67"/>
        </w:rPr>
      </w:r>
      <w:r>
        <w:rPr/>
        <w:t>的重大事项、财务状况以及董事、高管人员履行职责的合法合规性进行监督。</w:t>
      </w:r>
    </w:p>
    <w:p>
      <w:pPr>
        <w:spacing w:line="300" w:lineRule="auto" w:before="19"/>
        <w:ind w:left="476" w:right="0" w:hanging="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公司建立了高级管理人员的薪酬与企业经营业绩挂钩的激励约束机制。公司董事会下设的提名委员会、薪酬和考核委员</w:t>
      </w:r>
    </w:p>
    <w:p>
      <w:pPr>
        <w:pStyle w:val="BodyText"/>
        <w:spacing w:line="309" w:lineRule="auto" w:before="31"/>
        <w:ind w:left="474" w:right="1118" w:hanging="360"/>
        <w:jc w:val="left"/>
      </w:pPr>
      <w:r>
        <w:rPr/>
        <w:t>会负责对公司的董事、监事、高管进行绩效考核，公司现有的考核及激励约束机制符合公司的发展现状。 </w:t>
      </w: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公司制定的《信息披露制度》规范了公司信息披露行为，确保披露信息真实、准确、完整、及时，促进公司依法规范运</w:t>
      </w:r>
    </w:p>
    <w:p>
      <w:pPr>
        <w:pStyle w:val="BodyText"/>
        <w:spacing w:line="240" w:lineRule="auto" w:before="24"/>
        <w:ind w:right="0"/>
        <w:jc w:val="left"/>
      </w:pPr>
      <w:r>
        <w:rPr/>
        <w:t>作，维护公司和投资者的合法权益。</w:t>
      </w:r>
      <w:r>
        <w:rPr>
          <w:spacing w:val="-17"/>
        </w:rPr>
        <w:t> </w:t>
      </w:r>
      <w:r>
        <w:rPr/>
        <w:t>公</w:t>
      </w:r>
      <w:r>
        <w:rPr>
          <w:spacing w:val="-2"/>
        </w:rPr>
        <w:t>司</w:t>
      </w:r>
      <w:r>
        <w:rPr/>
        <w:t>指定《中国证券报</w:t>
      </w:r>
      <w:r>
        <w:rPr>
          <w:spacing w:val="-90"/>
        </w:rPr>
        <w:t>》、</w:t>
      </w:r>
      <w:r>
        <w:rPr/>
        <w:t>《证券时报</w:t>
      </w:r>
      <w:r>
        <w:rPr>
          <w:spacing w:val="-90"/>
        </w:rPr>
        <w:t>》、</w:t>
      </w:r>
      <w:r>
        <w:rPr/>
        <w:t>《上海证券报</w:t>
      </w:r>
      <w:r>
        <w:rPr>
          <w:spacing w:val="-90"/>
        </w:rPr>
        <w:t>》、</w:t>
      </w:r>
      <w:r>
        <w:rPr/>
        <w:t>《证券日报》和巨潮资讯网</w:t>
      </w:r>
    </w:p>
    <w:p>
      <w:pPr>
        <w:pStyle w:val="BodyText"/>
        <w:spacing w:line="240" w:lineRule="auto" w:before="76"/>
        <w:ind w:right="0"/>
        <w:jc w:val="left"/>
      </w:pPr>
      <w:r>
        <w:rPr/>
        <w:t>（</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300" w:lineRule="auto" w:before="63"/>
        <w:ind w:left="476" w:right="0" w:hanging="5"/>
        <w:jc w:val="left"/>
      </w:pPr>
      <w:r>
        <w:rPr>
          <w:rFonts w:ascii="Times New Roman" w:hAnsi="Times New Roman" w:cs="Times New Roman" w:eastAsia="Times New Roman" w:hint="default"/>
          <w:b/>
          <w:bCs/>
        </w:rPr>
        <w:t>7</w:t>
      </w:r>
      <w:r>
        <w:rPr>
          <w:rFonts w:ascii="宋体" w:hAnsi="宋体" w:cs="宋体" w:eastAsia="宋体" w:hint="default"/>
          <w:b/>
          <w:bCs/>
        </w:rPr>
        <w:t>、相关利益者</w:t>
      </w:r>
      <w:r>
        <w:rPr>
          <w:rFonts w:ascii="宋体" w:hAnsi="宋体" w:cs="宋体" w:eastAsia="宋体" w:hint="default"/>
          <w:b/>
          <w:bCs/>
          <w:w w:val="99"/>
        </w:rPr>
        <w:t> </w:t>
      </w:r>
      <w:r>
        <w:rPr>
          <w:spacing w:val="-4"/>
        </w:rPr>
        <w:t>公司充分尊重和维护相关利益者的合法权益，实现社会、股东、员工等各方面利益的协调平衡，诚信对待供应商和客户，</w:t>
      </w:r>
    </w:p>
    <w:p>
      <w:pPr>
        <w:pStyle w:val="BodyText"/>
        <w:spacing w:line="360" w:lineRule="auto" w:before="31"/>
        <w:ind w:right="3552"/>
        <w:jc w:val="left"/>
      </w:pPr>
      <w:r>
        <w:rPr/>
        <w:t>坚持与相关利益者互利共赢的原则，共同推动公司持续、稳健发展。 公司治理的实际状况与中国证监会发布的有关上市公司治理的规范性文件是否存在重大差异</w:t>
      </w:r>
    </w:p>
    <w:p>
      <w:pPr>
        <w:pStyle w:val="BodyText"/>
        <w:spacing w:line="357" w:lineRule="auto" w:before="27"/>
        <w:ind w:right="3552"/>
        <w:jc w:val="left"/>
      </w:pPr>
      <w:r>
        <w:rPr/>
        <w:t>□ 是 √ 否 公司治理的实际状况与中国证监会发布的有关上市公司治理的规范性文件不存在重大差异。</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both"/>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34" w:right="6012"/>
        <w:jc w:val="left"/>
      </w:pPr>
      <w:r>
        <w:rPr/>
        <w:t>公司独立性情况良好，具有面向市场自主经营的能力。 </w:t>
      </w:r>
      <w:r>
        <w:rPr>
          <w:rFonts w:ascii="宋体" w:hAnsi="宋体" w:cs="宋体" w:eastAsia="宋体" w:hint="default"/>
        </w:rPr>
        <w:t>1</w:t>
      </w:r>
      <w:r>
        <w:rPr/>
        <w:t>、人员独立</w:t>
      </w:r>
    </w:p>
    <w:p>
      <w:pPr>
        <w:pStyle w:val="BodyText"/>
        <w:spacing w:line="316" w:lineRule="auto" w:before="19"/>
        <w:ind w:right="1131" w:firstLine="420"/>
        <w:jc w:val="both"/>
      </w:pPr>
      <w:r>
        <w:rPr>
          <w:spacing w:val="-4"/>
        </w:rPr>
        <w:t>公司的高管人员严格按照《公司法》、《公司章程》的相关规定产生，不存在由控股股东任免或审批的情形，未在控股</w:t>
      </w:r>
      <w:r>
        <w:rPr/>
        <w:t> </w:t>
      </w:r>
      <w:r>
        <w:rPr>
          <w:spacing w:val="-2"/>
        </w:rPr>
        <w:t>股东单位兼任除董事以外的其他职务，公司与高管人员签订的合同中不存在约定高管人员必须遵守控股股东有关干部管理权</w:t>
      </w:r>
      <w:r>
        <w:rPr>
          <w:spacing w:val="-64"/>
        </w:rPr>
        <w:t> </w:t>
      </w:r>
      <w:r>
        <w:rPr>
          <w:spacing w:val="-64"/>
        </w:rPr>
      </w:r>
      <w:r>
        <w:rPr>
          <w:spacing w:val="-2"/>
        </w:rPr>
        <w:t>限等规定的情形。公司人事及工资管理与股东单位完全严格分离，公司与员工已签订了《劳动合同》，所有员工均在公司领</w:t>
      </w:r>
      <w:r>
        <w:rPr>
          <w:spacing w:val="-72"/>
        </w:rPr>
        <w:t> </w:t>
      </w:r>
      <w:r>
        <w:rPr>
          <w:spacing w:val="-72"/>
        </w:rPr>
      </w:r>
      <w:r>
        <w:rPr/>
        <w:t>薪及购买社保，公司的劳动、人事及工资管理完全独立。</w:t>
      </w:r>
    </w:p>
    <w:p>
      <w:pPr>
        <w:pStyle w:val="BodyText"/>
        <w:spacing w:line="316" w:lineRule="auto" w:before="19"/>
        <w:ind w:left="534" w:right="1152"/>
        <w:jc w:val="left"/>
      </w:pPr>
      <w:r>
        <w:rPr>
          <w:rFonts w:ascii="宋体" w:hAnsi="宋体" w:cs="宋体" w:eastAsia="宋体" w:hint="default"/>
        </w:rPr>
        <w:t>2</w:t>
      </w:r>
      <w:r>
        <w:rPr/>
        <w:t>、资产独立 公司所拥有和使用的资产主要包括土地、房屋、机器设备、无形资产等与生产经营相关的资产以及其他辅助、配套资</w:t>
      </w:r>
    </w:p>
    <w:p>
      <w:pPr>
        <w:pStyle w:val="BodyText"/>
        <w:spacing w:line="316" w:lineRule="auto" w:before="19"/>
        <w:ind w:right="1133"/>
        <w:jc w:val="both"/>
      </w:pPr>
      <w:r>
        <w:rPr>
          <w:spacing w:val="-2"/>
        </w:rPr>
        <w:t>产，公司对该等资产拥有合法、完整的所有权或使用权，不存在向公司大股东租赁经营场所或与控股股东在同一厂区办公的</w:t>
      </w:r>
      <w:r>
        <w:rPr>
          <w:spacing w:val="-66"/>
        </w:rPr>
        <w:t> </w:t>
      </w:r>
      <w:r>
        <w:rPr>
          <w:spacing w:val="-66"/>
        </w:rPr>
      </w:r>
      <w:r>
        <w:rPr/>
        <w:t>情形。公司具备自己独立的商标，不存在向大股东租赁商标使用权的情形。</w:t>
      </w:r>
    </w:p>
    <w:p>
      <w:pPr>
        <w:pStyle w:val="BodyText"/>
        <w:spacing w:line="316" w:lineRule="auto" w:before="19"/>
        <w:ind w:left="474" w:right="1032" w:firstLine="60"/>
        <w:jc w:val="left"/>
      </w:pPr>
      <w:r>
        <w:rPr>
          <w:rFonts w:ascii="宋体" w:hAnsi="宋体" w:cs="宋体" w:eastAsia="宋体" w:hint="default"/>
        </w:rPr>
        <w:t>3</w:t>
      </w:r>
      <w:r>
        <w:rPr/>
        <w:t>、财务管理独立 公司设立了完整独立的财务部门，配备了独立的财务人员，建立了独立的财务核算体系，公司制定了完备的规章制度，</w:t>
      </w:r>
    </w:p>
    <w:p>
      <w:pPr>
        <w:pStyle w:val="BodyText"/>
        <w:spacing w:line="316" w:lineRule="auto" w:before="19"/>
        <w:ind w:right="1131"/>
        <w:jc w:val="both"/>
      </w:pPr>
      <w:r>
        <w:rPr>
          <w:spacing w:val="-2"/>
        </w:rPr>
        <w:t>建立了严格的内部控制制度，独立开立银行账户、依法独立纳税。不存在公司与控股股东使用同一财务信息系统，或与控股</w:t>
      </w:r>
      <w:r>
        <w:rPr>
          <w:spacing w:val="-66"/>
        </w:rPr>
        <w:t> </w:t>
      </w:r>
      <w:r>
        <w:rPr>
          <w:spacing w:val="-66"/>
        </w:rPr>
      </w:r>
      <w:r>
        <w:rPr/>
        <w:t>股东的系统联网，控股股东能随意查询或修改公司财务信息的情形。</w:t>
      </w:r>
    </w:p>
    <w:p>
      <w:pPr>
        <w:pStyle w:val="BodyText"/>
        <w:spacing w:line="316" w:lineRule="auto" w:before="19"/>
        <w:ind w:left="534" w:right="1152"/>
        <w:jc w:val="left"/>
      </w:pPr>
      <w:r>
        <w:rPr>
          <w:rFonts w:ascii="宋体" w:hAnsi="宋体" w:cs="宋体" w:eastAsia="宋体" w:hint="default"/>
        </w:rPr>
        <w:t>4</w:t>
      </w:r>
      <w:r>
        <w:rPr/>
        <w:t>、机构独立 公司建立了自身完整的组织结构，根据相关法律法规的要求建立了较完善的法人治理结构及各种规章制度，不存在控</w:t>
      </w:r>
    </w:p>
    <w:p>
      <w:pPr>
        <w:pStyle w:val="BodyText"/>
        <w:spacing w:line="316" w:lineRule="auto" w:before="19"/>
        <w:ind w:right="1132"/>
        <w:jc w:val="both"/>
      </w:pPr>
      <w:r>
        <w:rPr>
          <w:spacing w:val="-2"/>
        </w:rPr>
        <w:t>股股东直接发文要求上市公司执行控股股东单位管理制度的情形。公司可经董事会审批后自主调整机构设置，不须报控股股</w:t>
      </w:r>
      <w:r>
        <w:rPr>
          <w:spacing w:val="-64"/>
        </w:rPr>
        <w:t> </w:t>
      </w:r>
      <w:r>
        <w:rPr>
          <w:spacing w:val="-64"/>
        </w:rPr>
      </w:r>
      <w:r>
        <w:rPr>
          <w:spacing w:val="-2"/>
        </w:rPr>
        <w:t>东批准，不存在公司与控股股东部门职责未分开，人员任职重叠，人事、内部审计、档案管理部门相应职能由控股股东代为</w:t>
      </w:r>
      <w:r>
        <w:rPr>
          <w:spacing w:val="-66"/>
        </w:rPr>
        <w:t> </w:t>
      </w:r>
      <w:r>
        <w:rPr>
          <w:spacing w:val="-66"/>
        </w:rPr>
      </w:r>
      <w:r>
        <w:rPr/>
        <w:t>行使，控股股东的日常事务由上市公司经营管理人员负责等情形。</w:t>
      </w:r>
    </w:p>
    <w:p>
      <w:pPr>
        <w:pStyle w:val="BodyText"/>
        <w:spacing w:line="319" w:lineRule="auto" w:before="19"/>
        <w:ind w:left="474" w:right="1118" w:firstLine="60"/>
        <w:jc w:val="left"/>
      </w:pPr>
      <w:r>
        <w:rPr>
          <w:rFonts w:ascii="宋体" w:hAnsi="宋体" w:cs="宋体" w:eastAsia="宋体" w:hint="default"/>
        </w:rPr>
        <w:t>5</w:t>
      </w:r>
      <w:r>
        <w:rPr/>
        <w:t>、业务独立 </w:t>
      </w:r>
      <w:r>
        <w:rPr>
          <w:spacing w:val="-2"/>
        </w:rPr>
        <w:t>公司具有独立的研发、生产、销售业务体系，拥有完整的法人财产权，能够独立支配和使用人、财、物等生产要素，顺</w:t>
      </w:r>
    </w:p>
    <w:p>
      <w:pPr>
        <w:pStyle w:val="BodyText"/>
        <w:spacing w:line="316" w:lineRule="auto" w:before="17"/>
        <w:ind w:right="1131"/>
        <w:jc w:val="both"/>
      </w:pPr>
      <w:r>
        <w:rPr>
          <w:spacing w:val="-2"/>
        </w:rPr>
        <w:t>利组织和实施生产经营活动。在业务上与控股股东控制的关联企业不存在同业竞争关系；在采购、生产和销售上不依赖于任</w:t>
      </w:r>
      <w:r>
        <w:rPr>
          <w:spacing w:val="-66"/>
        </w:rPr>
        <w:t> </w:t>
      </w:r>
      <w:r>
        <w:rPr>
          <w:spacing w:val="-66"/>
        </w:rPr>
      </w:r>
      <w:r>
        <w:rPr>
          <w:spacing w:val="-2"/>
        </w:rPr>
        <w:t>何企业或个人。公司董事会能对公司的资金运用、重大投资项目等自主审议，不存在经控股股东审批的情形。公司不存在与</w:t>
      </w:r>
      <w:r>
        <w:rPr>
          <w:spacing w:val="-66"/>
        </w:rPr>
        <w:t> </w:t>
      </w:r>
      <w:r>
        <w:rPr>
          <w:spacing w:val="-66"/>
        </w:rPr>
      </w:r>
      <w:r>
        <w:rPr/>
        <w:t>控股股东合署办公，共用一套管理系统的情形。</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41"/>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年第一次临时股 东大会决议公告》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2018-046</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02"/>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年年度股东大会 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2018-049</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41"/>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年第二次临时股 东大会决议公告》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2018-069</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41"/>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年第三次临时股 东大会决议公告》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2018-070</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41"/>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年第四次临时股 东大会决议公告》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2018-085</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41"/>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年第四次临时股 东大会决议公告》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2018-094</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5"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right="5532"/>
        <w:jc w:val="left"/>
      </w:pPr>
      <w:r>
        <w:rPr/>
        <w:t>连续两次未亲自出席董事会的说明 报告期内，独立董事均未出现连续两次未亲自出席董事会的情形。</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57" w:lineRule="auto" w:before="116"/>
        <w:ind w:right="6972"/>
        <w:jc w:val="left"/>
      </w:pPr>
      <w:r>
        <w:rPr/>
        <w:t>□ 是 √ 否 报告期内独立董事对公司有关事项未提出异议。</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60" w:lineRule="auto" w:before="116"/>
        <w:ind w:right="6792"/>
        <w:jc w:val="left"/>
      </w:pPr>
      <w:r>
        <w:rPr/>
        <w:t>√ 是 □ 否 独立董事对公司有关建议被采纳或未被采纳的说明</w:t>
      </w:r>
    </w:p>
    <w:p>
      <w:pPr>
        <w:pStyle w:val="BodyText"/>
        <w:spacing w:line="316" w:lineRule="auto" w:before="25"/>
        <w:ind w:right="1050" w:firstLine="360"/>
        <w:jc w:val="both"/>
      </w:pPr>
      <w:r>
        <w:rPr>
          <w:spacing w:val="-5"/>
        </w:rPr>
        <w:t>报告期内，独立董事严格按照《公司章程》、《独立董事工作制度》等的相关规定勤勉履行职责，忠实履行职务，积极参</w:t>
      </w:r>
      <w:r>
        <w:rPr/>
        <w:t> </w:t>
      </w:r>
      <w:r>
        <w:rPr>
          <w:spacing w:val="-2"/>
        </w:rPr>
        <w:t>加历次董事会，审议各项议案。通过出席董事会、股东大会、现场办公等方式，深入了解公司生产经营状况和内部控制的建</w:t>
      </w:r>
      <w:r>
        <w:rPr>
          <w:spacing w:val="-66"/>
        </w:rPr>
        <w:t> </w:t>
      </w:r>
      <w:r>
        <w:rPr>
          <w:spacing w:val="-66"/>
        </w:rPr>
      </w:r>
      <w:r>
        <w:rPr>
          <w:spacing w:val="-2"/>
        </w:rPr>
        <w:t>设及董事会各项决议执行情况，并利用自已的专业优势为公司经营和发展提出了合理化的意见和建议，对公司利润分配、续</w:t>
      </w:r>
      <w:r>
        <w:rPr>
          <w:spacing w:val="-66"/>
        </w:rPr>
        <w:t> </w:t>
      </w:r>
      <w:r>
        <w:rPr>
          <w:spacing w:val="-66"/>
        </w:rPr>
      </w:r>
      <w:r>
        <w:rPr/>
        <w:t>聘审计机构等相关事项发表了客观、公正的独立意见，对董事会决策的公正、公平及保护中小投资者利益起到了积极作用。</w:t>
      </w:r>
    </w:p>
    <w:p>
      <w:pPr>
        <w:pStyle w:val="BodyText"/>
        <w:spacing w:line="240" w:lineRule="auto" w:before="59"/>
        <w:ind w:left="474" w:right="0"/>
        <w:jc w:val="left"/>
      </w:pPr>
      <w:r>
        <w:rPr/>
        <w:t>报告期内，公司各位独立董事对董事会各项议案及公司其他事项没有提出异议。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474" w:right="0" w:hanging="360"/>
        <w:jc w:val="left"/>
      </w:pPr>
      <w:r>
        <w:rPr>
          <w:rFonts w:ascii="Times New Roman" w:hAnsi="Times New Roman" w:cs="Times New Roman" w:eastAsia="Times New Roman" w:hint="default"/>
        </w:rPr>
        <w:t>1</w:t>
      </w:r>
      <w:r>
        <w:rPr/>
        <w:t>、董事会审计委员会 </w:t>
      </w:r>
      <w:r>
        <w:rPr>
          <w:spacing w:val="-12"/>
        </w:rPr>
        <w:t>公司董事会审计委员会根据《公司法》、《证券法》、《上市公司治理准则》、公司《审计委员会年报工作规则》、《审计委</w:t>
      </w:r>
    </w:p>
    <w:p>
      <w:pPr>
        <w:pStyle w:val="BodyText"/>
        <w:spacing w:line="316" w:lineRule="auto" w:before="31"/>
        <w:ind w:right="1131"/>
        <w:jc w:val="both"/>
      </w:pPr>
      <w:r>
        <w:rPr>
          <w:spacing w:val="-2"/>
        </w:rPr>
        <w:t>员会议事规则》等有关规定，认真履行职责，持续关注公司情况和重大事项进展，指导公司审计部在内部审计过程中应重点</w:t>
      </w:r>
      <w:r>
        <w:rPr>
          <w:spacing w:val="-66"/>
        </w:rPr>
        <w:t> </w:t>
      </w:r>
      <w:r>
        <w:rPr>
          <w:spacing w:val="-66"/>
        </w:rPr>
      </w:r>
      <w:r>
        <w:rPr>
          <w:spacing w:val="-2"/>
        </w:rPr>
        <w:t>关注和检查的事项，督促公司内部控制的有效执行。与公司聘任的审计机构积极沟通、加强联系，督促其提高审计效率，按</w:t>
      </w:r>
      <w:r>
        <w:rPr>
          <w:spacing w:val="-66"/>
        </w:rPr>
        <w:t> </w:t>
      </w:r>
      <w:r>
        <w:rPr>
          <w:spacing w:val="-66"/>
        </w:rPr>
      </w:r>
      <w:r>
        <w:rPr/>
        <w:t>计划进行审计工作，切实履行了审计委员会的职责。</w:t>
      </w:r>
    </w:p>
    <w:p>
      <w:pPr>
        <w:pStyle w:val="BodyText"/>
        <w:spacing w:line="300" w:lineRule="auto" w:before="19"/>
        <w:ind w:left="474" w:right="1136" w:hanging="360"/>
        <w:jc w:val="left"/>
      </w:pPr>
      <w:r>
        <w:rPr>
          <w:rFonts w:ascii="Times New Roman" w:hAnsi="Times New Roman" w:cs="Times New Roman" w:eastAsia="Times New Roman" w:hint="default"/>
        </w:rPr>
        <w:t>2</w:t>
      </w:r>
      <w:r>
        <w:rPr/>
        <w:t>、董事会薪酬与考核委员会 </w:t>
      </w:r>
      <w:r>
        <w:rPr>
          <w:spacing w:val="-2"/>
        </w:rPr>
        <w:t>报告期内，公司董事会薪酬与考核委员会严格按照相关法律法规及《公司章程》、公司《董事会薪酬和考核委员会工作</w:t>
      </w:r>
    </w:p>
    <w:p>
      <w:pPr>
        <w:pStyle w:val="BodyText"/>
        <w:spacing w:line="319" w:lineRule="auto" w:before="31"/>
        <w:ind w:right="0"/>
        <w:jc w:val="left"/>
      </w:pPr>
      <w:r>
        <w:rPr>
          <w:spacing w:val="-2"/>
        </w:rPr>
        <w:t>细则》的规定开展相关工作，对公司董事和高级管理人员的薪酬情况进行了考评，并对公司薪酬情况、绩效管理、奖金发放</w:t>
      </w:r>
      <w:r>
        <w:rPr>
          <w:spacing w:val="-66"/>
        </w:rPr>
        <w:t> </w:t>
      </w:r>
      <w:r>
        <w:rPr>
          <w:spacing w:val="-66"/>
        </w:rPr>
      </w:r>
      <w:r>
        <w:rPr/>
        <w:t>提出了建设性意见。</w:t>
      </w:r>
    </w:p>
    <w:p>
      <w:pPr>
        <w:pStyle w:val="BodyText"/>
        <w:spacing w:line="300" w:lineRule="auto" w:before="17"/>
        <w:ind w:left="474" w:right="1136" w:hanging="360"/>
        <w:jc w:val="left"/>
      </w:pPr>
      <w:r>
        <w:rPr>
          <w:rFonts w:ascii="Times New Roman" w:hAnsi="Times New Roman" w:cs="Times New Roman" w:eastAsia="Times New Roman" w:hint="default"/>
        </w:rPr>
        <w:t>3</w:t>
      </w:r>
      <w:r>
        <w:rPr/>
        <w:t>、战略发展委员会 </w:t>
      </w:r>
      <w:r>
        <w:rPr>
          <w:spacing w:val="-2"/>
        </w:rPr>
        <w:t>报告期内，公司董事会战略发展委员会按照相关法律法规及《公司章程》、公司《董事会战略发展委员会工作细则》等</w:t>
      </w:r>
    </w:p>
    <w:p>
      <w:pPr>
        <w:pStyle w:val="BodyText"/>
        <w:spacing w:line="316" w:lineRule="auto" w:before="31"/>
        <w:ind w:right="0"/>
        <w:jc w:val="left"/>
      </w:pPr>
      <w:r>
        <w:rPr>
          <w:spacing w:val="-2"/>
        </w:rPr>
        <w:t>相关制度的规定，深入了解公司的经营情况及发展状况，对未来一段时间内公司所处行业的发展态势进行了研究，积极探讨</w:t>
      </w:r>
      <w:r>
        <w:rPr>
          <w:spacing w:val="-66"/>
        </w:rPr>
        <w:t> </w:t>
      </w:r>
      <w:r>
        <w:rPr>
          <w:spacing w:val="-66"/>
        </w:rPr>
      </w:r>
      <w:r>
        <w:rPr/>
        <w:t>符合公司发展方向的战略布局，为公司实现快速、持续、健康的发展积极出谋划策。</w:t>
      </w:r>
    </w:p>
    <w:p>
      <w:pPr>
        <w:pStyle w:val="BodyText"/>
        <w:spacing w:line="240" w:lineRule="auto" w:before="19"/>
        <w:ind w:right="0"/>
        <w:jc w:val="left"/>
      </w:pPr>
      <w:r>
        <w:rPr>
          <w:rFonts w:ascii="Times New Roman" w:hAnsi="Times New Roman" w:cs="Times New Roman" w:eastAsia="Times New Roman" w:hint="default"/>
        </w:rPr>
        <w:t>4</w:t>
      </w:r>
      <w:r>
        <w:rPr/>
        <w:t>、提名委员会</w:t>
      </w:r>
    </w:p>
    <w:p>
      <w:pPr>
        <w:pStyle w:val="BodyText"/>
        <w:spacing w:line="316" w:lineRule="auto" w:before="63"/>
        <w:ind w:right="1140" w:firstLine="360"/>
        <w:jc w:val="both"/>
      </w:pPr>
      <w:r>
        <w:rPr>
          <w:spacing w:val="-2"/>
        </w:rPr>
        <w:t>报告期内，公司董事会提名委员会按照相关法律法规及《公司章程》、公司《董事会提名委员会工作细则》等相关制度</w:t>
      </w:r>
      <w:r>
        <w:rPr/>
        <w:t> 的规定，秉承勤勉尽职的工作原则，在公司高级管理人员的选任方面提出了建设性的意见。</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60" w:lineRule="auto" w:before="116"/>
        <w:ind w:right="7332"/>
        <w:jc w:val="left"/>
      </w:pPr>
      <w:r>
        <w:rPr/>
        <w:t>□ 是 √ 否 公司监事会对报告期内的监督事项无异议。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132" w:firstLine="360"/>
        <w:jc w:val="both"/>
      </w:pPr>
      <w:r>
        <w:rPr>
          <w:spacing w:val="-2"/>
        </w:rPr>
        <w:t>公司按照《绩效考核制度》，建立了高级管理人员的薪酬与公司业绩挂钩的绩效考核与激励约束机制。根据公司年度盈</w:t>
      </w:r>
      <w:r>
        <w:rPr/>
        <w:t> </w:t>
      </w:r>
      <w:r>
        <w:rPr>
          <w:spacing w:val="-2"/>
        </w:rPr>
        <w:t>利目标的完成情况及高级管理人员的工作成果，由董事会薪酬与考核委员会对高级管理人员进行年度绩效考核。公司根据绩</w:t>
      </w:r>
      <w:r>
        <w:rPr>
          <w:spacing w:val="-64"/>
        </w:rPr>
        <w:t> </w:t>
      </w:r>
      <w:r>
        <w:rPr>
          <w:spacing w:val="-64"/>
        </w:rPr>
      </w:r>
      <w:r>
        <w:rPr/>
        <w:t>效考核结果进行考评。</w:t>
      </w:r>
    </w:p>
    <w:p>
      <w:pPr>
        <w:pStyle w:val="BodyText"/>
        <w:spacing w:line="316" w:lineRule="auto" w:before="59"/>
        <w:ind w:right="1118"/>
        <w:jc w:val="left"/>
      </w:pPr>
      <w:r>
        <w:rPr>
          <w:spacing w:val="-2"/>
        </w:rPr>
        <w:t>公司通过建立完善的绩效考核管理制度，有效提升了公司的运营效率，充分调动了公司高级管理人员的积极性，提升了管理</w:t>
      </w:r>
      <w:r>
        <w:rPr>
          <w:spacing w:val="-66"/>
        </w:rPr>
        <w:t> </w:t>
      </w:r>
      <w:r>
        <w:rPr>
          <w:spacing w:val="-66"/>
        </w:rPr>
      </w:r>
      <w:r>
        <w:rPr/>
        <w:t>效率。</w:t>
      </w:r>
    </w:p>
    <w:p>
      <w:pPr>
        <w:spacing w:after="0" w:line="316"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before="26"/>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5"/>
        <w:gridCol w:w="3324"/>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39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1"/>
              <w:jc w:val="left"/>
              <w:rPr>
                <w:rFonts w:ascii="宋体" w:hAnsi="宋体" w:cs="宋体" w:eastAsia="宋体" w:hint="default"/>
                <w:sz w:val="18"/>
                <w:szCs w:val="18"/>
              </w:rPr>
            </w:pPr>
            <w:r>
              <w:rPr>
                <w:rFonts w:ascii="宋体" w:hAnsi="宋体" w:cs="宋体" w:eastAsia="宋体" w:hint="default"/>
                <w:spacing w:val="-3"/>
                <w:sz w:val="18"/>
                <w:szCs w:val="18"/>
              </w:rPr>
              <w:t>财务报告重大缺陷的迹象包括：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董事、监事和高级管理人员的舞弊行为；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）注 册会计师发现的却未被公司内部控制识 </w:t>
            </w:r>
            <w:r>
              <w:rPr>
                <w:rFonts w:ascii="宋体" w:hAnsi="宋体" w:cs="宋体" w:eastAsia="宋体" w:hint="default"/>
                <w:spacing w:val="-3"/>
                <w:sz w:val="18"/>
                <w:szCs w:val="18"/>
              </w:rPr>
              <w:t>别的财务报告中的重大错报；</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）审计委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员会和审计部门对公司的对外财务报告 和财务报告内部控制监督无效。财务报 </w:t>
            </w:r>
            <w:r>
              <w:rPr>
                <w:rFonts w:ascii="宋体" w:hAnsi="宋体" w:cs="宋体" w:eastAsia="宋体" w:hint="default"/>
                <w:spacing w:val="-3"/>
                <w:sz w:val="18"/>
                <w:szCs w:val="18"/>
              </w:rPr>
              <w:t>告重要缺陷的迹象包括：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）未依照公认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会计准则选择和应用会计政策；</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）未建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立反舞弊程序和控制措施；</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）对于非常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规或特殊交易的财务处理没有建立相应 的控制机制或没有实施且没有相应的补 </w:t>
            </w:r>
            <w:r>
              <w:rPr>
                <w:rFonts w:ascii="宋体" w:hAnsi="宋体" w:cs="宋体" w:eastAsia="宋体" w:hint="default"/>
                <w:spacing w:val="-3"/>
                <w:sz w:val="18"/>
                <w:szCs w:val="18"/>
              </w:rPr>
              <w:t>偿性控制；</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）对于期末财务报告过程的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控制存在一项或多项缺陷且不能合理保 证编制的财务报表达到真实、完整的目 标。一般缺陷是指除上述重大缺陷、重 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103" w:right="57"/>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 </w:t>
            </w:r>
            <w:r>
              <w:rPr>
                <w:rFonts w:ascii="宋体" w:hAnsi="宋体" w:cs="宋体" w:eastAsia="宋体" w:hint="default"/>
                <w:spacing w:val="-3"/>
                <w:sz w:val="18"/>
                <w:szCs w:val="18"/>
              </w:rPr>
              <w:t>业务流程有效性的影响程度、发生的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可能性作判定。</w:t>
            </w:r>
            <w:r>
              <w:rPr>
                <w:rFonts w:ascii="Times New Roman" w:hAnsi="Times New Roman" w:cs="Times New Roman" w:eastAsia="Times New Roman" w:hint="default"/>
                <w:sz w:val="18"/>
                <w:szCs w:val="18"/>
              </w:rPr>
              <w:t>A</w:t>
            </w:r>
            <w:r>
              <w:rPr>
                <w:rFonts w:ascii="宋体" w:hAnsi="宋体" w:cs="宋体" w:eastAsia="宋体" w:hint="default"/>
                <w:sz w:val="18"/>
                <w:szCs w:val="18"/>
              </w:rPr>
              <w:t>、如果缺陷发生的 可能性较小，会降低工作效率或效 </w:t>
            </w:r>
            <w:r>
              <w:rPr>
                <w:rFonts w:ascii="宋体" w:hAnsi="宋体" w:cs="宋体" w:eastAsia="宋体" w:hint="default"/>
                <w:spacing w:val="-3"/>
                <w:sz w:val="18"/>
                <w:szCs w:val="18"/>
              </w:rPr>
              <w:t>果、或加大效果的不确定性、或使之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偏离预期目标为一般缺陷；</w:t>
            </w:r>
            <w:r>
              <w:rPr>
                <w:rFonts w:ascii="Times New Roman" w:hAnsi="Times New Roman" w:cs="Times New Roman" w:eastAsia="Times New Roman" w:hint="default"/>
                <w:sz w:val="18"/>
                <w:szCs w:val="18"/>
              </w:rPr>
              <w:t>B</w:t>
            </w:r>
            <w:r>
              <w:rPr>
                <w:rFonts w:ascii="宋体" w:hAnsi="宋体" w:cs="宋体" w:eastAsia="宋体" w:hint="default"/>
                <w:sz w:val="18"/>
                <w:szCs w:val="18"/>
              </w:rPr>
              <w:t>、如果 </w:t>
            </w:r>
            <w:r>
              <w:rPr>
                <w:rFonts w:ascii="宋体" w:hAnsi="宋体" w:cs="宋体" w:eastAsia="宋体" w:hint="default"/>
                <w:spacing w:val="-3"/>
                <w:sz w:val="18"/>
                <w:szCs w:val="18"/>
              </w:rPr>
              <w:t>缺陷发生的可能性较高，会显著降低</w:t>
            </w:r>
            <w:r>
              <w:rPr>
                <w:rFonts w:ascii="宋体" w:hAnsi="宋体" w:cs="宋体" w:eastAsia="宋体" w:hint="default"/>
                <w:sz w:val="18"/>
                <w:szCs w:val="18"/>
              </w:rPr>
              <w:t> </w:t>
            </w:r>
            <w:r>
              <w:rPr>
                <w:rFonts w:ascii="宋体" w:hAnsi="宋体" w:cs="宋体" w:eastAsia="宋体" w:hint="default"/>
                <w:spacing w:val="-3"/>
                <w:sz w:val="18"/>
                <w:szCs w:val="18"/>
              </w:rPr>
              <w:t>工作效率或效果、或显著加大效果的</w:t>
            </w:r>
            <w:r>
              <w:rPr>
                <w:rFonts w:ascii="宋体" w:hAnsi="宋体" w:cs="宋体" w:eastAsia="宋体" w:hint="default"/>
                <w:sz w:val="18"/>
                <w:szCs w:val="18"/>
              </w:rPr>
              <w:t> </w:t>
            </w:r>
            <w:r>
              <w:rPr>
                <w:rFonts w:ascii="宋体" w:hAnsi="宋体" w:cs="宋体" w:eastAsia="宋体" w:hint="default"/>
                <w:spacing w:val="-3"/>
                <w:sz w:val="18"/>
                <w:szCs w:val="18"/>
              </w:rPr>
              <w:t>不确定性、或使之显著偏离预期目标</w:t>
            </w:r>
            <w:r>
              <w:rPr>
                <w:rFonts w:ascii="宋体" w:hAnsi="宋体" w:cs="宋体" w:eastAsia="宋体" w:hint="default"/>
                <w:sz w:val="18"/>
                <w:szCs w:val="18"/>
              </w:rPr>
              <w:t> 为重要缺陷；</w:t>
            </w:r>
            <w:r>
              <w:rPr>
                <w:rFonts w:ascii="Times New Roman" w:hAnsi="Times New Roman" w:cs="Times New Roman" w:eastAsia="Times New Roman" w:hint="default"/>
                <w:sz w:val="18"/>
                <w:szCs w:val="18"/>
              </w:rPr>
              <w:t>C</w:t>
            </w:r>
            <w:r>
              <w:rPr>
                <w:rFonts w:ascii="宋体" w:hAnsi="宋体" w:cs="宋体" w:eastAsia="宋体" w:hint="default"/>
                <w:sz w:val="18"/>
                <w:szCs w:val="18"/>
              </w:rPr>
              <w:t>、如果缺陷发生的可 能性高，会严重降低工作效率或效 </w:t>
            </w:r>
            <w:r>
              <w:rPr>
                <w:rFonts w:ascii="宋体" w:hAnsi="宋体" w:cs="宋体" w:eastAsia="宋体" w:hint="default"/>
                <w:spacing w:val="-3"/>
                <w:sz w:val="18"/>
                <w:szCs w:val="18"/>
              </w:rPr>
              <w:t>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p>
        </w:tc>
      </w:tr>
      <w:tr>
        <w:trPr>
          <w:trHeight w:val="223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01"/>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定量标准以营业收入、资产总额作为衡 量指标。内部控制缺陷可能导致或导致 的损失与利润表相关的，以营业收入指 标衡量。如果该缺陷单独或连同其他缺 陷可能导致的财务报告错报金额小于营 业收入的</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319" w:lineRule="auto"/>
              <w:ind w:left="103" w:right="237"/>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 量标准参照财务报告内部控制缺陷 评价的定量标准执行。</w:t>
            </w:r>
          </w:p>
        </w:tc>
      </w:tr>
    </w:tbl>
    <w:p>
      <w:pPr>
        <w:spacing w:after="0" w:line="319"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both"/>
              <w:rPr>
                <w:rFonts w:ascii="宋体" w:hAnsi="宋体" w:cs="宋体" w:eastAsia="宋体" w:hint="default"/>
                <w:sz w:val="18"/>
                <w:szCs w:val="18"/>
              </w:rPr>
            </w:pPr>
            <w:r>
              <w:rPr>
                <w:rFonts w:ascii="宋体" w:hAnsi="宋体" w:cs="宋体" w:eastAsia="宋体" w:hint="default"/>
                <w:spacing w:val="-3"/>
                <w:sz w:val="18"/>
                <w:szCs w:val="18"/>
              </w:rPr>
              <w:t>要缺陷；如果超过营业收入的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，则认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定为重大缺陷。内部控制缺陷可能导致 或导致的损失与资产管理相关的，以资 产总额指标衡量。如果该缺陷单独或连 同其他缺陷可能导致的财务报告错报金 额小于资产总额的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 缺陷；如果超过资产总额的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认定为重要缺陷；如果超过资产总额</w:t>
            </w:r>
          </w:p>
          <w:p>
            <w:pPr>
              <w:pStyle w:val="TableParagraph"/>
              <w:spacing w:line="240" w:lineRule="auto" w:before="6"/>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08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568" w:right="0"/>
        <w:jc w:val="left"/>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无法表示意见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006330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熊玲 张晓辉</w:t>
            </w:r>
          </w:p>
        </w:tc>
      </w:tr>
    </w:tbl>
    <w:p>
      <w:pPr>
        <w:pStyle w:val="BodyText"/>
        <w:spacing w:line="240" w:lineRule="auto" w:before="51"/>
        <w:ind w:left="2384" w:right="3400"/>
        <w:jc w:val="center"/>
      </w:pPr>
      <w:r>
        <w:rPr/>
        <w:t>审计报告正文</w:t>
      </w:r>
    </w:p>
    <w:p>
      <w:pPr>
        <w:spacing w:before="156"/>
        <w:ind w:left="2382" w:right="3401"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3"/>
        <w:spacing w:line="240" w:lineRule="auto" w:before="35"/>
        <w:ind w:left="0" w:right="1130"/>
        <w:jc w:val="right"/>
        <w:rPr>
          <w:b w:val="0"/>
          <w:bCs w:val="0"/>
        </w:rPr>
      </w:pPr>
      <w:r>
        <w:rPr>
          <w:w w:val="95"/>
        </w:rPr>
        <w:t>大华审字</w:t>
      </w:r>
      <w:r>
        <w:rPr>
          <w:rFonts w:ascii="宋体" w:hAnsi="宋体" w:cs="宋体" w:eastAsia="宋体" w:hint="default"/>
          <w:w w:val="95"/>
        </w:rPr>
        <w:t>[2019]006330</w:t>
      </w:r>
      <w:r>
        <w:rPr>
          <w:w w:val="95"/>
        </w:rPr>
        <w:t>号</w:t>
      </w:r>
      <w:r>
        <w:rPr>
          <w:b w:val="0"/>
          <w:bCs w:val="0"/>
        </w:rPr>
      </w:r>
    </w:p>
    <w:p>
      <w:pPr>
        <w:spacing w:line="240" w:lineRule="auto" w:before="8"/>
        <w:rPr>
          <w:rFonts w:ascii="宋体" w:hAnsi="宋体" w:cs="宋体" w:eastAsia="宋体" w:hint="default"/>
          <w:b/>
          <w:bCs/>
          <w:sz w:val="28"/>
          <w:szCs w:val="28"/>
        </w:rPr>
      </w:pPr>
    </w:p>
    <w:p>
      <w:pPr>
        <w:pStyle w:val="Heading5"/>
        <w:spacing w:line="316" w:lineRule="auto"/>
        <w:ind w:right="7319"/>
        <w:jc w:val="left"/>
        <w:rPr>
          <w:b w:val="0"/>
          <w:bCs w:val="0"/>
        </w:rPr>
      </w:pPr>
      <w:r>
        <w:rPr/>
        <w:t>广东文化长城集团股份有限公司全体股东：</w:t>
      </w:r>
      <w:r>
        <w:rPr>
          <w:w w:val="99"/>
        </w:rPr>
        <w:t> </w:t>
      </w:r>
      <w:r>
        <w:rPr/>
        <w:t>无法表示意见</w:t>
      </w:r>
      <w:r>
        <w:rPr>
          <w:b w:val="0"/>
          <w:bCs w:val="0"/>
        </w:rPr>
      </w:r>
    </w:p>
    <w:p>
      <w:pPr>
        <w:pStyle w:val="BodyText"/>
        <w:spacing w:line="316" w:lineRule="auto" w:before="19"/>
        <w:ind w:left="474" w:right="1132" w:firstLine="560"/>
        <w:jc w:val="both"/>
      </w:pPr>
      <w:r>
        <w:rPr/>
        <w:t>我们审计了广东文化长城集团股份有限公司</w:t>
      </w:r>
      <w:r>
        <w:rPr>
          <w:rFonts w:ascii="宋体" w:hAnsi="宋体" w:cs="宋体" w:eastAsia="宋体" w:hint="default"/>
        </w:rPr>
        <w:t>(</w:t>
      </w:r>
      <w:r>
        <w:rPr/>
        <w:t>以下简称“文化长城”</w:t>
      </w:r>
      <w:r>
        <w:rPr>
          <w:rFonts w:ascii="宋体" w:hAnsi="宋体" w:cs="宋体" w:eastAsia="宋体" w:hint="default"/>
        </w:rPr>
        <w:t>)</w:t>
      </w:r>
      <w:r>
        <w:rPr/>
        <w:t>财务报表，包括</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 </w:t>
      </w:r>
      <w:r>
        <w:rPr>
          <w:spacing w:val="-2"/>
        </w:rPr>
        <w:t>母公司资产负债表，</w:t>
      </w:r>
      <w:r>
        <w:rPr>
          <w:rFonts w:ascii="宋体" w:hAnsi="宋体" w:cs="宋体" w:eastAsia="宋体" w:hint="default"/>
          <w:spacing w:val="-2"/>
        </w:rPr>
        <w:t>2018</w:t>
      </w:r>
      <w:r>
        <w:rPr>
          <w:spacing w:val="-2"/>
        </w:rPr>
        <w:t>年度的合并及母公司利润表、合并及母公司现金流量表、合并及母公司股东权益变动表以及相</w:t>
      </w:r>
      <w:r>
        <w:rPr>
          <w:spacing w:val="-66"/>
        </w:rPr>
        <w:t> </w:t>
      </w:r>
      <w:r>
        <w:rPr>
          <w:spacing w:val="-66"/>
        </w:rPr>
      </w:r>
      <w:r>
        <w:rPr/>
        <w:t>关财务报表附注。</w:t>
      </w:r>
    </w:p>
    <w:p>
      <w:pPr>
        <w:pStyle w:val="BodyText"/>
        <w:spacing w:line="316" w:lineRule="auto" w:before="19"/>
        <w:ind w:left="474" w:right="1141" w:firstLine="560"/>
        <w:jc w:val="both"/>
      </w:pPr>
      <w:r>
        <w:rPr/>
        <w:t>我们不对后附的财务报表发表审计意见。由于“形成无法表示意见的基础”部分所述事项的重要性，我们无法 获取充分、适当的审计证据以作为形成财务报表审计意见的基础。</w:t>
      </w:r>
    </w:p>
    <w:p>
      <w:pPr>
        <w:pStyle w:val="Heading5"/>
        <w:spacing w:line="240" w:lineRule="auto" w:before="19"/>
        <w:ind w:right="0"/>
        <w:jc w:val="left"/>
        <w:rPr>
          <w:b w:val="0"/>
          <w:bCs w:val="0"/>
        </w:rPr>
      </w:pPr>
      <w:r>
        <w:rPr/>
        <w:t>形成无法表示意见的基础</w:t>
      </w:r>
      <w:r>
        <w:rPr>
          <w:b w:val="0"/>
          <w:bCs w:val="0"/>
        </w:rPr>
      </w:r>
    </w:p>
    <w:p>
      <w:pPr>
        <w:pStyle w:val="BodyText"/>
        <w:spacing w:line="316" w:lineRule="auto" w:before="76"/>
        <w:ind w:left="474" w:right="1130" w:firstLine="560"/>
        <w:jc w:val="both"/>
      </w:pPr>
      <w:r>
        <w:rPr>
          <w:rFonts w:ascii="宋体" w:hAnsi="宋体" w:cs="宋体" w:eastAsia="宋体" w:hint="default"/>
        </w:rPr>
        <w:t>1.</w:t>
      </w:r>
      <w:r>
        <w:rPr>
          <w:rFonts w:ascii="宋体" w:hAnsi="宋体" w:cs="宋体" w:eastAsia="宋体" w:hint="default"/>
          <w:spacing w:val="-13"/>
        </w:rPr>
        <w:t> </w:t>
      </w:r>
      <w:r>
        <w:rPr>
          <w:rFonts w:ascii="宋体" w:hAnsi="宋体" w:cs="宋体" w:eastAsia="宋体" w:hint="default"/>
        </w:rPr>
        <w:t>2018</w:t>
      </w:r>
      <w:r>
        <w:rPr/>
        <w:t>年度，文化长城全资子公司北京翡翠教育科技集团有限公司的收入和净利润金额分为</w:t>
      </w:r>
      <w:r>
        <w:rPr>
          <w:rFonts w:ascii="宋体" w:hAnsi="宋体" w:cs="宋体" w:eastAsia="宋体" w:hint="default"/>
        </w:rPr>
        <w:t>536,631,184.48</w:t>
      </w:r>
      <w:r>
        <w:rPr/>
        <w:t>元 </w:t>
      </w:r>
      <w:r>
        <w:rPr>
          <w:spacing w:val="-2"/>
        </w:rPr>
        <w:t>和</w:t>
      </w:r>
      <w:r>
        <w:rPr>
          <w:rFonts w:ascii="宋体" w:hAnsi="宋体" w:cs="宋体" w:eastAsia="宋体" w:hint="default"/>
          <w:spacing w:val="-2"/>
        </w:rPr>
        <w:t>143,359,290.61</w:t>
      </w:r>
      <w:r>
        <w:rPr>
          <w:spacing w:val="-2"/>
        </w:rPr>
        <w:t>元，分别占文化长城合并营业收入和净利润的</w:t>
      </w:r>
      <w:r>
        <w:rPr>
          <w:rFonts w:ascii="宋体" w:hAnsi="宋体" w:cs="宋体" w:eastAsia="宋体" w:hint="default"/>
          <w:spacing w:val="-2"/>
        </w:rPr>
        <w:t>45.72%</w:t>
      </w:r>
      <w:r>
        <w:rPr>
          <w:spacing w:val="-2"/>
        </w:rPr>
        <w:t>和</w:t>
      </w:r>
      <w:r>
        <w:rPr>
          <w:rFonts w:ascii="宋体" w:hAnsi="宋体" w:cs="宋体" w:eastAsia="宋体" w:hint="default"/>
          <w:spacing w:val="-2"/>
        </w:rPr>
        <w:t>63.24%</w:t>
      </w:r>
      <w:r>
        <w:rPr>
          <w:spacing w:val="-2"/>
        </w:rPr>
        <w:t>，文化长城非同一控制下合并翡翠教育</w:t>
      </w:r>
      <w:r>
        <w:rPr>
          <w:spacing w:val="-42"/>
        </w:rPr>
        <w:t> </w:t>
      </w:r>
      <w:r>
        <w:rPr>
          <w:spacing w:val="-42"/>
        </w:rPr>
      </w:r>
      <w:r>
        <w:rPr>
          <w:spacing w:val="-2"/>
        </w:rPr>
        <w:t>形成商誉</w:t>
      </w:r>
      <w:r>
        <w:rPr>
          <w:rFonts w:ascii="宋体" w:hAnsi="宋体" w:cs="宋体" w:eastAsia="宋体" w:hint="default"/>
          <w:spacing w:val="-2"/>
        </w:rPr>
        <w:t>761,166,405.12</w:t>
      </w:r>
      <w:r>
        <w:rPr>
          <w:spacing w:val="-2"/>
        </w:rPr>
        <w:t>元，占文化长城合并资产总额的</w:t>
      </w:r>
      <w:r>
        <w:rPr>
          <w:rFonts w:ascii="宋体" w:hAnsi="宋体" w:cs="宋体" w:eastAsia="宋体" w:hint="default"/>
          <w:spacing w:val="-2"/>
        </w:rPr>
        <w:t>17.21%</w:t>
      </w:r>
      <w:r>
        <w:rPr>
          <w:spacing w:val="-2"/>
        </w:rPr>
        <w:t>，由于翡翠教育对文化长城财务报表的重要性以及审计</w:t>
      </w:r>
      <w:r>
        <w:rPr>
          <w:spacing w:val="-48"/>
        </w:rPr>
        <w:t> </w:t>
      </w:r>
      <w:r>
        <w:rPr>
          <w:spacing w:val="-48"/>
        </w:rPr>
      </w:r>
      <w:r>
        <w:rPr/>
        <w:t>范围受限，我们无法判断相关事项对财务报表的影响。</w:t>
      </w:r>
    </w:p>
    <w:p>
      <w:pPr>
        <w:pStyle w:val="BodyText"/>
        <w:spacing w:line="316" w:lineRule="auto" w:before="19"/>
        <w:ind w:left="474" w:right="0" w:firstLine="560"/>
        <w:jc w:val="left"/>
      </w:pPr>
      <w:r>
        <w:rPr>
          <w:rFonts w:ascii="宋体" w:hAnsi="宋体" w:cs="宋体" w:eastAsia="宋体" w:hint="default"/>
        </w:rPr>
        <w:t>2.</w:t>
      </w:r>
      <w:r>
        <w:rPr>
          <w:rFonts w:ascii="宋体" w:hAnsi="宋体" w:cs="宋体" w:eastAsia="宋体" w:hint="default"/>
          <w:spacing w:val="13"/>
        </w:rPr>
        <w:t> </w:t>
      </w:r>
      <w:r>
        <w:rPr>
          <w:spacing w:val="-4"/>
        </w:rPr>
        <w:t>本年文化长城全资子公司广东联汛教育科技有限公司（以下简称“联汛教育”）采购无形资产</w:t>
      </w:r>
      <w:r>
        <w:rPr>
          <w:rFonts w:ascii="宋体" w:hAnsi="宋体" w:cs="宋体" w:eastAsia="宋体" w:hint="default"/>
          <w:spacing w:val="-4"/>
        </w:rPr>
        <w:t>112,959,395.82</w:t>
      </w:r>
      <w:r>
        <w:rPr>
          <w:rFonts w:ascii="宋体" w:hAnsi="宋体" w:cs="宋体" w:eastAsia="宋体" w:hint="default"/>
        </w:rPr>
        <w:t> </w:t>
      </w:r>
      <w:r>
        <w:rPr/>
        <w:t>元，占文化长城本期无形资产购置的</w:t>
      </w:r>
      <w:r>
        <w:rPr>
          <w:rFonts w:ascii="宋体" w:hAnsi="宋体" w:cs="宋体" w:eastAsia="宋体" w:hint="default"/>
        </w:rPr>
        <w:t>53.96%</w:t>
      </w:r>
      <w:r>
        <w:rPr/>
        <w:t>，采购的无形资产主要系用于学校教育运 </w:t>
      </w:r>
      <w:r>
        <w:rPr>
          <w:spacing w:val="-2"/>
        </w:rPr>
        <w:t>营业务的相关教学软件，经检查发现存在部分学校尚未安装相关的软硬件设备、发放学生卡的情况。联汛教育本期一次</w:t>
      </w:r>
      <w:r>
        <w:rPr>
          <w:spacing w:val="-70"/>
        </w:rPr>
        <w:t> </w:t>
      </w:r>
      <w:r>
        <w:rPr>
          <w:spacing w:val="-70"/>
        </w:rPr>
      </w:r>
      <w:r>
        <w:rPr>
          <w:spacing w:val="-4"/>
        </w:rPr>
        <w:t>性支付大额款项采购无形资产，我们对其采购大额无形资产的合理性及其采购的真实性无法获取充分、适当的审计证据，</w:t>
      </w:r>
      <w:r>
        <w:rPr>
          <w:spacing w:val="-52"/>
        </w:rPr>
        <w:t> </w:t>
      </w:r>
      <w:r>
        <w:rPr>
          <w:spacing w:val="-52"/>
        </w:rPr>
      </w:r>
      <w:r>
        <w:rPr/>
        <w:t>无法判断采购交易的真实性及是否存在减值。</w:t>
      </w:r>
    </w:p>
    <w:p>
      <w:pPr>
        <w:pStyle w:val="BodyText"/>
        <w:spacing w:line="316" w:lineRule="auto" w:before="19"/>
        <w:ind w:left="474" w:right="1131" w:firstLine="560"/>
        <w:jc w:val="both"/>
      </w:pPr>
      <w:r>
        <w:rPr>
          <w:rFonts w:ascii="宋体" w:hAnsi="宋体" w:cs="宋体" w:eastAsia="宋体" w:hint="default"/>
        </w:rPr>
        <w:t>3.</w:t>
      </w:r>
      <w:r>
        <w:rPr>
          <w:rFonts w:ascii="宋体" w:hAnsi="宋体" w:cs="宋体" w:eastAsia="宋体" w:hint="default"/>
          <w:spacing w:val="57"/>
        </w:rPr>
        <w:t> </w:t>
      </w:r>
      <w:r>
        <w:rPr/>
        <w:t>如附注六、注释</w:t>
      </w:r>
      <w:r>
        <w:rPr>
          <w:rFonts w:ascii="宋体" w:hAnsi="宋体" w:cs="宋体" w:eastAsia="宋体" w:hint="default"/>
        </w:rPr>
        <w:t>3</w:t>
      </w:r>
      <w:r>
        <w:rPr/>
        <w:t>和和注释</w:t>
      </w:r>
      <w:r>
        <w:rPr>
          <w:rFonts w:ascii="宋体" w:hAnsi="宋体" w:cs="宋体" w:eastAsia="宋体" w:hint="default"/>
        </w:rPr>
        <w:t>4</w:t>
      </w:r>
      <w:r>
        <w:rPr/>
        <w:t>所述，文化长城期末预付、其他应收潮州市枫溪区锦汇陶瓷原料厂、潮州市名 </w:t>
      </w:r>
      <w:r>
        <w:rPr>
          <w:spacing w:val="-2"/>
        </w:rPr>
        <w:t>源陶瓷有限公司和潮州市源发陶瓷有限公司的余额为</w:t>
      </w:r>
      <w:r>
        <w:rPr>
          <w:rFonts w:ascii="宋体" w:hAnsi="宋体" w:cs="宋体" w:eastAsia="宋体" w:hint="default"/>
          <w:spacing w:val="-2"/>
        </w:rPr>
        <w:t>535,256,955.27</w:t>
      </w:r>
      <w:r>
        <w:rPr>
          <w:spacing w:val="-2"/>
        </w:rPr>
        <w:t>元，由于未能获取充分适当的审计证据，无法判断</w:t>
      </w:r>
      <w:r>
        <w:rPr>
          <w:spacing w:val="-54"/>
        </w:rPr>
        <w:t> </w:t>
      </w:r>
      <w:r>
        <w:rPr>
          <w:spacing w:val="-54"/>
        </w:rPr>
      </w:r>
      <w:r>
        <w:rPr/>
        <w:t>该等款项的性质及期后的可收回性。</w:t>
      </w:r>
    </w:p>
    <w:p>
      <w:pPr>
        <w:pStyle w:val="Heading5"/>
        <w:spacing w:line="240" w:lineRule="auto" w:before="19"/>
        <w:ind w:right="0"/>
        <w:jc w:val="left"/>
        <w:rPr>
          <w:b w:val="0"/>
          <w:bCs w:val="0"/>
        </w:rPr>
      </w:pPr>
      <w:r>
        <w:rPr/>
        <w:t>关键审计事项</w:t>
      </w:r>
      <w:r>
        <w:rPr>
          <w:b w:val="0"/>
          <w:bCs w:val="0"/>
        </w:rPr>
      </w:r>
    </w:p>
    <w:p>
      <w:pPr>
        <w:pStyle w:val="BodyText"/>
        <w:spacing w:line="316" w:lineRule="auto" w:before="76"/>
        <w:ind w:left="474" w:right="1141" w:firstLine="560"/>
        <w:jc w:val="both"/>
      </w:pPr>
      <w:r>
        <w:rPr/>
        <w:t>关键审计事项是我们根据职业判断，认为对本期财务报表审计最为重要的事项。这些事项的应对以对财务报表 整体进行审计并形成审计意见为背景，我们不对这些事项单独发表意见。</w:t>
      </w:r>
    </w:p>
    <w:p>
      <w:pPr>
        <w:pStyle w:val="BodyText"/>
        <w:spacing w:line="240" w:lineRule="auto" w:before="19"/>
        <w:ind w:left="1034" w:right="0"/>
        <w:jc w:val="left"/>
      </w:pPr>
      <w:r>
        <w:rPr/>
        <w:t>除“形成无法表示意见的基础”</w:t>
      </w:r>
      <w:r>
        <w:rPr>
          <w:spacing w:val="-16"/>
        </w:rPr>
        <w:t> </w:t>
      </w:r>
      <w:r>
        <w:rPr/>
        <w:t>部分所描述的事项外，我们认为，没有其他需要在我们的报告中沟通的关键审</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spacing w:line="316" w:lineRule="auto" w:before="44"/>
        <w:ind w:left="114" w:right="8041" w:firstLine="360"/>
        <w:jc w:val="left"/>
        <w:rPr>
          <w:rFonts w:ascii="宋体" w:hAnsi="宋体" w:cs="宋体" w:eastAsia="宋体" w:hint="default"/>
          <w:sz w:val="18"/>
          <w:szCs w:val="18"/>
        </w:rPr>
      </w:pPr>
      <w:r>
        <w:rPr>
          <w:rFonts w:ascii="宋体" w:hAnsi="宋体" w:cs="宋体" w:eastAsia="宋体" w:hint="default"/>
          <w:sz w:val="18"/>
          <w:szCs w:val="18"/>
        </w:rPr>
        <w:t>计事项。 </w:t>
      </w:r>
      <w:r>
        <w:rPr>
          <w:rFonts w:ascii="宋体" w:hAnsi="宋体" w:cs="宋体" w:eastAsia="宋体" w:hint="default"/>
          <w:b/>
          <w:bCs/>
          <w:sz w:val="18"/>
          <w:szCs w:val="18"/>
        </w:rPr>
        <w:t>管理层和治理层对财务报表的责任</w:t>
      </w:r>
      <w:r>
        <w:rPr>
          <w:rFonts w:ascii="宋体" w:hAnsi="宋体" w:cs="宋体" w:eastAsia="宋体" w:hint="default"/>
          <w:sz w:val="18"/>
          <w:szCs w:val="18"/>
        </w:rPr>
      </w:r>
    </w:p>
    <w:p>
      <w:pPr>
        <w:pStyle w:val="BodyText"/>
        <w:spacing w:line="316" w:lineRule="auto" w:before="19"/>
        <w:ind w:left="474" w:right="0" w:firstLine="560"/>
        <w:jc w:val="left"/>
      </w:pPr>
      <w:r>
        <w:rPr/>
        <w:t>文化长城管理层负责按照企业会计准则的规定编制财务报表，使其实现公允反映，并设计、执行和维护必要的 内部控制，以使财务报表不存在由于舞弊或错误导致的重大错报。</w:t>
      </w:r>
    </w:p>
    <w:p>
      <w:pPr>
        <w:pStyle w:val="BodyText"/>
        <w:spacing w:line="316" w:lineRule="auto" w:before="19"/>
        <w:ind w:left="474" w:right="1032" w:firstLine="560"/>
        <w:jc w:val="left"/>
      </w:pPr>
      <w:r>
        <w:rPr>
          <w:spacing w:val="-4"/>
        </w:rPr>
        <w:t>在编制财务报表时，文化长城管理层负责评估文化长城的持续经营能力，披露与持续经营相关的事项（如适用），</w:t>
      </w:r>
      <w:r>
        <w:rPr/>
        <w:t> 并运用持续经营假设，除非管理层计划清算文化长城、终止运营或别无其他现实的选择。</w:t>
      </w:r>
    </w:p>
    <w:p>
      <w:pPr>
        <w:spacing w:line="316" w:lineRule="auto" w:before="19"/>
        <w:ind w:left="114" w:right="6412" w:firstLine="920"/>
        <w:jc w:val="left"/>
        <w:rPr>
          <w:rFonts w:ascii="宋体" w:hAnsi="宋体" w:cs="宋体" w:eastAsia="宋体" w:hint="default"/>
          <w:sz w:val="18"/>
          <w:szCs w:val="18"/>
        </w:rPr>
      </w:pPr>
      <w:r>
        <w:rPr>
          <w:rFonts w:ascii="宋体" w:hAnsi="宋体" w:cs="宋体" w:eastAsia="宋体" w:hint="default"/>
          <w:sz w:val="18"/>
          <w:szCs w:val="18"/>
        </w:rPr>
        <w:t>治理层负责监督文化长城的财务报告过程。 </w:t>
      </w:r>
      <w:r>
        <w:rPr>
          <w:rFonts w:ascii="宋体" w:hAnsi="宋体" w:cs="宋体" w:eastAsia="宋体" w:hint="default"/>
          <w:b/>
          <w:bCs/>
          <w:sz w:val="18"/>
          <w:szCs w:val="18"/>
        </w:rPr>
        <w:t>注册会计师对财务报表审计的责任</w:t>
      </w:r>
      <w:r>
        <w:rPr>
          <w:rFonts w:ascii="宋体" w:hAnsi="宋体" w:cs="宋体" w:eastAsia="宋体" w:hint="default"/>
          <w:sz w:val="18"/>
          <w:szCs w:val="18"/>
        </w:rPr>
      </w:r>
    </w:p>
    <w:p>
      <w:pPr>
        <w:pStyle w:val="BodyText"/>
        <w:spacing w:line="316" w:lineRule="auto" w:before="19"/>
        <w:ind w:right="0" w:firstLine="560"/>
        <w:jc w:val="left"/>
      </w:pPr>
      <w:r>
        <w:rPr/>
        <w:t>我们的责任是按照中国注册会计师审计准则的规定，对文化长城的财务报表执行审计工作，以出具审计报告。但由 于“形成无法表示意见的基础”部分所述的事项，我们无法获取充分、适当的审计证据以作为发表审计意见的基础。</w:t>
      </w:r>
    </w:p>
    <w:p>
      <w:pPr>
        <w:pStyle w:val="BodyText"/>
        <w:spacing w:line="240" w:lineRule="auto" w:before="19"/>
        <w:ind w:left="674" w:right="0"/>
        <w:jc w:val="left"/>
      </w:pPr>
      <w:r>
        <w:rPr/>
        <w:t>按照中国注册会计师职业道德守则，我们独立于文化长城，并履行了职业道德方面的其他责任。</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ind w:right="-20"/>
        <w:jc w:val="left"/>
      </w:pPr>
      <w:r>
        <w:rPr/>
        <w:t>编制单位：广东文化长城集团股份有限公司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1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3" w:right="0"/>
        <w:jc w:val="left"/>
      </w:pPr>
      <w:r>
        <w:rPr/>
        <w:t>单位：元</w:t>
      </w:r>
    </w:p>
    <w:p>
      <w:pPr>
        <w:spacing w:after="0" w:line="240" w:lineRule="auto"/>
        <w:jc w:val="left"/>
        <w:sectPr>
          <w:type w:val="continuous"/>
          <w:pgSz w:w="11910" w:h="16840"/>
          <w:pgMar w:top="1100" w:bottom="1200" w:left="1020" w:right="0"/>
          <w:cols w:num="3" w:equalWidth="0">
            <w:col w:w="3535" w:space="543"/>
            <w:col w:w="1599" w:space="3243"/>
            <w:col w:w="197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436,580,863.07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552,835,056.08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360,894,910.32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184,241,464.77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2,421,034.00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360,894,910.32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181,820,430.77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241,252,967.22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85,251,121.51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9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356,916,673.76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11,664,414.58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1,094,799.61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866,930.21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199,209,342.84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95,191,612.35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35,676,416.87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3,062,593.54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1,630,531,174.08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932,246,262.83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41,960,000.00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9,017,106.46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10,129,436.71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214,000,010.80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210,118,481.23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319,503,000.27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224,683,337.46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1,619,692.28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1,970,781.39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516,886,705.03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315,586,147.72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1,628,583,557.37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867,417,152.25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13,980,787.77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4,422,773.15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19,485,453.36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8,796,453.84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27,047,052.80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131,877,169.81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2,792,083,366.14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1,788,001,733.56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4,422,614,540.22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2,720,247,996.39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389,965,000.00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126,488,232.32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37,013,368.69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122,157,903.50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13,250,629.18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17,796,839.52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8,886,120.39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49,269,736.64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13,482,876.92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714,730,989.65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21,246,293.05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19,600,375.01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19,229,406.28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132,858,749.62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9,510,192.49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6,206,949.12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1,562,777,643.74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370,086,237.35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327,669,368.68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345,332,014.46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5,849,762.63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4,925,580.54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5,877,166.03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1,395,233.52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408,396,297.34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528,652,828.52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1,971,173,941.08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898,739,065.87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481,056,870.00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434,800,140.00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1,348,540,585.60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1,026,574,331.92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33,481,335.68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33,481,335.68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531,124,776.93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326,273,427.87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2,394,203,568.21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1,821,129,235.47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57,237,030.93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379,695.05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2,451,440,599.14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1,821,508,930.52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4,422,614,540.22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2,720,247,996.39</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ind w:left="0" w:right="1229"/>
        <w:jc w:val="right"/>
      </w:pPr>
      <w:r>
        <w:rPr/>
        <w:t>法定代表人：蔡廷祥</w:t>
        <w:tab/>
        <w:t>主管会计工作负责人：罗晨鹏</w:t>
        <w:tab/>
        <w:t>会计机构负责人：杨榕</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21,230,872.18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465,610,836.59</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138,948,119.45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128,394,321.72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138,948,119.45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128,394,321.72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203,552,039.98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55,373,804.66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433,146,339.29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102,761,783.97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771,787.74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50,297,755.36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48,511,999.62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1,176,355.78</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848,351,482.04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800,652,746.56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2,864,742,565.05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1,646,858,012.20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86,062,302.72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91,798,118.08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3,416,704.93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3,593,312.28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95,333.17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199,333.21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14,716,420.46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9,260,676.38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54,240,000.00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2,982,033,326.33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1,818,949,452.15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3,830,384,808.37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2,619,602,198.71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234,000,000.00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5,705,525.86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8,592,260.53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768,263.87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636,405.32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1,985,123.05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3,452,464.55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1,734.07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444,982.82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896,560,107.70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53,163,327.90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132,858,749.62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1,336,879,504.17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336,289,441.12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327,669,368.68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345,332,014.46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2,469,981.11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2,469,981.11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394,139,349.79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524,801,995.57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1,731,018,853.96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861,091,436.69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481,056,870.00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434,800,140.00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1,348,540,585.60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1,026,574,331.92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33,481,335.68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33,481,335.68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236,287,163.13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263,654,954.42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2,099,365,954.41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1,758,510,762.02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3,830,384,808.37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2,619,602,198.71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1,173,736,794.08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540,117,836.79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1,173,736,794.08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540,117,836.79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940,433,612.05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453,289,437.71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572,282,463.48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271,563,763.75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8"/>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7,110,196.19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7,391,410.31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130,082,530.41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46,745,855.08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102,145,957.45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54,585,854.34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42,415,315.22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21,405,392.57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50,313,457.00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53,051,054.75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62,227,400.03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44,005,210.02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4,545,020.45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4,173,563.56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36,083,692.30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-1,453,893.09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8,297,297.02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4,682,480.62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4,032,457.75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-5,598,741.53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3,881,529.57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-7,811,584.31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-56,976.32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-8,631.45</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245,575,960.48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85,903,506.72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1,354,512.91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146,547.48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4,408,738.75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1,922,688.50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242,521,734.64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84,127,365.70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24,031,508.69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10,754,120.62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218,490,225.95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73,373,245.08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218,458,153.11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73,373,245.08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32,072.84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-63,442.31</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204,851,349.06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73,461,776.76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13,638,876.89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-88,531.68</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218,490,225.95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73,373,245.08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204,851,349.06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73,461,776.76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13,638,876.89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-88,531.68</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r>
    </w:tbl>
    <w:p>
      <w:pPr>
        <w:pStyle w:val="BodyText"/>
        <w:tabs>
          <w:tab w:pos="3624" w:val="left" w:leader="none"/>
          <w:tab w:pos="7855" w:val="left" w:leader="none"/>
        </w:tabs>
        <w:spacing w:line="624" w:lineRule="auto" w:before="51"/>
        <w:ind w:right="1229"/>
        <w:jc w:val="left"/>
      </w:pPr>
      <w:r>
        <w:rPr/>
        <w:t>本期发生同一控制下企业合并的，被合并方在合并前实现的净利润为：元，上期被合并方实现的净利润为：元。 法定代表人：蔡廷祥</w:t>
        <w:tab/>
        <w:t>主管会计工作负责人：罗晨鹏</w:t>
        <w:tab/>
        <w:t>会计机构负责人：杨榕</w:t>
      </w:r>
    </w:p>
    <w:p>
      <w:pPr>
        <w:pStyle w:val="Heading3"/>
        <w:spacing w:line="240" w:lineRule="auto" w:before="63"/>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172,043,140.43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248,731,970.63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124,264,430.36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179,220,813.60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2,543,600.35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3,185,975.13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8,886,510.70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20,101,196.20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10,629,657.09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23,815,292.95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7,258,118.74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8,932,876.24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50,794,521.15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48,829,460.45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60,598,154.97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44,005,210.02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4,857,913.18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3,386,712.01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5,248,938.99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-3,924,099.46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1,786,562.00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1,181,284.00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3,881,529.57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51,237,149.93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3,881,529.57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-7,811,584.31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-20,900.00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-21,792.83</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-31,935,445.38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20,967,096.62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110,088.98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888,090.54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63,421.78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-32,823,535.37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21,013,763.82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-5,455,744.08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-4,244,228.62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-27,367,791.29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25,257,992.44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-27,367,791.29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25,257,992.44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-27,367,791.29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25,257,992.44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8" w:right="0"/>
              <w:jc w:val="left"/>
              <w:rPr>
                <w:rFonts w:ascii="Times New Roman" w:hAnsi="Times New Roman" w:cs="Times New Roman" w:eastAsia="Times New Roman" w:hint="default"/>
                <w:sz w:val="18"/>
                <w:szCs w:val="18"/>
              </w:rPr>
            </w:pPr>
            <w:r>
              <w:rPr>
                <w:rFonts w:ascii="Times New Roman"/>
                <w:sz w:val="18"/>
              </w:rPr>
              <w:t>1,183,264,607.13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597,893,360.77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19,300,380.78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12,674,694.48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67,148,010.06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12,260,385.37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1,269,712,997.97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622,828,440.62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725,621,021.75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330,373,822.47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186,725,023.51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76,786,634.94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46,692,966.79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24,891,077.41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156,275,107.31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68,954,925.90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1,115,314,119.36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501,006,460.72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154,398,878.61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121,821,979.90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85,674,927.27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516,400,000.00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150,928.18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2,212,842.78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25,840.00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1,767,000.00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1,053,681,673.72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1,139,533,369.17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520,379,842.78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235,927,108.32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197,751,353.76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147,833,400.00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1,124,593,165.60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1,508,353,673.92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810,251,353.76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-368,820,304.75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-289,871,510.98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27,249,095.86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503,270,000.00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654,399,095.86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305,535,000.00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417,770,000.00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21,384,080.21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34,105,758.15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80,290,095.95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18,187,184.51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407,209,176.16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470,062,942.66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96,060,823.84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184,336,153.20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-152,481.51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-1,404,950.41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-118,513,083.81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14,881,671.71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547,933,217.83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533,051,546.12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429,420,134.02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547,933,217.83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170,039,616.50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241,502,230.64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8,051,531.44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6,878,170.67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188,169,836.35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5,173,854.94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366,260,984.29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253,554,256.25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275,836,760.26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194,826,578.60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24,787,249.68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33,979,417.89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2,508,344.87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2,304,019.55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224,929,587.61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34,657,429.04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528,061,942.42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265,767,445.08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-161,800,958.13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-12,213,188.83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368,000,000.00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1,048,734.24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10,020,900.00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369,048,734.24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178,133.78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56,292,677.84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31,205,591.00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454,000,000.00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254,157,808.04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285,541,532.82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536,292,677.84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-275,520,632.82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-167,243,943.60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11,261,326.26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404,280,000.00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638,261,326.26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417,770,000.00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34,105,758.15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100,807,240.26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411,257,240.26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465,475,758.15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-6,977,240.26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172,785,568.11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-81,133.20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-785,973.97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-444,379,964.41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-7,457,538.29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465,610,836.59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473,068,374.88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21,230,872.18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465,610,836.59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21"/>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1"/>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6" w:right="146"/>
              <w:jc w:val="left"/>
              <w:rPr>
                <w:rFonts w:ascii="宋体" w:hAnsi="宋体" w:cs="宋体" w:eastAsia="宋体" w:hint="default"/>
                <w:sz w:val="18"/>
                <w:szCs w:val="18"/>
              </w:rPr>
            </w:pPr>
            <w:r>
              <w:rPr>
                <w:rFonts w:ascii="宋体" w:hAnsi="宋体" w:cs="宋体" w:eastAsia="宋体" w:hint="default"/>
                <w:sz w:val="18"/>
                <w:szCs w:val="18"/>
              </w:rPr>
              <w:t>减： 库存</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7" w:right="145"/>
              <w:jc w:val="left"/>
              <w:rPr>
                <w:rFonts w:ascii="宋体" w:hAnsi="宋体" w:cs="宋体" w:eastAsia="宋体" w:hint="default"/>
                <w:sz w:val="18"/>
                <w:szCs w:val="18"/>
              </w:rPr>
            </w:pPr>
            <w:r>
              <w:rPr>
                <w:rFonts w:ascii="宋体" w:hAnsi="宋体" w:cs="宋体" w:eastAsia="宋体" w:hint="default"/>
                <w:sz w:val="18"/>
                <w:szCs w:val="18"/>
              </w:rPr>
              <w:t>其他 综合</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8" w:right="146"/>
              <w:jc w:val="left"/>
              <w:rPr>
                <w:rFonts w:ascii="宋体" w:hAnsi="宋体" w:cs="宋体" w:eastAsia="宋体" w:hint="default"/>
                <w:sz w:val="18"/>
                <w:szCs w:val="18"/>
              </w:rPr>
            </w:pPr>
            <w:r>
              <w:rPr>
                <w:rFonts w:ascii="宋体" w:hAnsi="宋体" w:cs="宋体" w:eastAsia="宋体" w:hint="default"/>
                <w:sz w:val="18"/>
                <w:szCs w:val="18"/>
              </w:rPr>
              <w:t>一般 风险</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6" w:right="146"/>
              <w:jc w:val="left"/>
              <w:rPr>
                <w:rFonts w:ascii="宋体" w:hAnsi="宋体" w:cs="宋体" w:eastAsia="宋体" w:hint="default"/>
                <w:sz w:val="18"/>
                <w:szCs w:val="18"/>
              </w:rPr>
            </w:pPr>
            <w:r>
              <w:rPr>
                <w:rFonts w:ascii="宋体" w:hAnsi="宋体" w:cs="宋体" w:eastAsia="宋体" w:hint="default"/>
                <w:sz w:val="18"/>
                <w:szCs w:val="18"/>
              </w:rPr>
              <w:t>未分 配利</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36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优</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永</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其</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0" w:right="168"/>
              <w:jc w:val="left"/>
              <w:rPr>
                <w:rFonts w:ascii="宋体" w:hAnsi="宋体" w:cs="宋体" w:eastAsia="宋体" w:hint="default"/>
                <w:sz w:val="18"/>
                <w:szCs w:val="18"/>
              </w:rPr>
            </w:pPr>
            <w:r>
              <w:rPr>
                <w:rFonts w:ascii="宋体" w:hAnsi="宋体" w:cs="宋体" w:eastAsia="宋体" w:hint="default"/>
                <w:sz w:val="18"/>
                <w:szCs w:val="18"/>
              </w:rPr>
              <w:t>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0" w:right="169"/>
              <w:jc w:val="left"/>
              <w:rPr>
                <w:rFonts w:ascii="宋体" w:hAnsi="宋体" w:cs="宋体" w:eastAsia="宋体" w:hint="default"/>
                <w:sz w:val="18"/>
                <w:szCs w:val="18"/>
              </w:rPr>
            </w:pPr>
            <w:r>
              <w:rPr>
                <w:rFonts w:ascii="宋体" w:hAnsi="宋体" w:cs="宋体" w:eastAsia="宋体" w:hint="default"/>
                <w:sz w:val="18"/>
                <w:szCs w:val="18"/>
              </w:rPr>
              <w:t>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7"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8"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331.9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33,48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1,335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326,2</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73,42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379,6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95.05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1,821</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930.5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331.9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33,48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1,335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326,2</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73,42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379,6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95.05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1,821</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930.5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46,2</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56,7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321,9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66,25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204,8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51,34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56,85</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7,335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629,9</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31,66</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8.62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204,8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51,34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13,63</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8,876</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218,4</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90,22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5.95</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46,2</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56,7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321,9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66,25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43,21</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8,458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411,4</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41,44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2.67</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46,2</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56,7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321,9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66,25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1,140</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369,3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62,98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3.68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7" w:right="0"/>
              <w:jc w:val="left"/>
              <w:rPr>
                <w:rFonts w:ascii="Times New Roman" w:hAnsi="Times New Roman" w:cs="Times New Roman" w:eastAsia="Times New Roman" w:hint="default"/>
                <w:sz w:val="18"/>
                <w:szCs w:val="18"/>
              </w:rPr>
            </w:pPr>
            <w:r>
              <w:rPr>
                <w:rFonts w:ascii="Times New Roman"/>
                <w:sz w:val="18"/>
              </w:rPr>
              <w:t>42,07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9" w:right="0"/>
              <w:jc w:val="center"/>
              <w:rPr>
                <w:rFonts w:ascii="Times New Roman" w:hAnsi="Times New Roman" w:cs="Times New Roman" w:eastAsia="Times New Roman" w:hint="default"/>
                <w:sz w:val="18"/>
                <w:szCs w:val="18"/>
              </w:rPr>
            </w:pPr>
            <w:r>
              <w:rPr>
                <w:rFonts w:ascii="Times New Roman"/>
                <w:sz w:val="18"/>
              </w:rPr>
              <w:t>42,07</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Times New Roman"/>
                <w:sz w:val="18"/>
              </w:rPr>
              <w:t>8,458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 w:right="0"/>
              <w:jc w:val="center"/>
              <w:rPr>
                <w:rFonts w:ascii="Times New Roman" w:hAnsi="Times New Roman" w:cs="Times New Roman" w:eastAsia="Times New Roman" w:hint="default"/>
                <w:sz w:val="18"/>
                <w:szCs w:val="18"/>
              </w:rPr>
            </w:pPr>
            <w:r>
              <w:rPr>
                <w:rFonts w:ascii="Times New Roman"/>
                <w:sz w:val="18"/>
              </w:rPr>
              <w:t>8,458</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.99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481,</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056,</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870.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1,348</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,540,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585.6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33,48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1,335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531,1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24,77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6.93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57,23</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7,030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2,451</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,440,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599.1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22"/>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1"/>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7" w:right="145"/>
              <w:jc w:val="left"/>
              <w:rPr>
                <w:rFonts w:ascii="宋体" w:hAnsi="宋体" w:cs="宋体" w:eastAsia="宋体" w:hint="default"/>
                <w:sz w:val="18"/>
                <w:szCs w:val="18"/>
              </w:rPr>
            </w:pPr>
            <w:r>
              <w:rPr>
                <w:rFonts w:ascii="宋体" w:hAnsi="宋体" w:cs="宋体" w:eastAsia="宋体" w:hint="default"/>
                <w:sz w:val="18"/>
                <w:szCs w:val="18"/>
              </w:rPr>
              <w:t>减： 库存</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7" w:right="145"/>
              <w:jc w:val="left"/>
              <w:rPr>
                <w:rFonts w:ascii="宋体" w:hAnsi="宋体" w:cs="宋体" w:eastAsia="宋体" w:hint="default"/>
                <w:sz w:val="18"/>
                <w:szCs w:val="18"/>
              </w:rPr>
            </w:pPr>
            <w:r>
              <w:rPr>
                <w:rFonts w:ascii="宋体" w:hAnsi="宋体" w:cs="宋体" w:eastAsia="宋体" w:hint="default"/>
                <w:sz w:val="18"/>
                <w:szCs w:val="18"/>
              </w:rPr>
              <w:t>其他 综合</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6" w:right="146"/>
              <w:jc w:val="left"/>
              <w:rPr>
                <w:rFonts w:ascii="宋体" w:hAnsi="宋体" w:cs="宋体" w:eastAsia="宋体" w:hint="default"/>
                <w:sz w:val="18"/>
                <w:szCs w:val="18"/>
              </w:rPr>
            </w:pPr>
            <w:r>
              <w:rPr>
                <w:rFonts w:ascii="宋体" w:hAnsi="宋体" w:cs="宋体" w:eastAsia="宋体" w:hint="default"/>
                <w:sz w:val="18"/>
                <w:szCs w:val="18"/>
              </w:rPr>
              <w:t>一般 风险</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152"/>
              <w:jc w:val="left"/>
              <w:rPr>
                <w:rFonts w:ascii="宋体" w:hAnsi="宋体" w:cs="宋体" w:eastAsia="宋体" w:hint="default"/>
                <w:sz w:val="18"/>
                <w:szCs w:val="18"/>
              </w:rPr>
            </w:pPr>
            <w:r>
              <w:rPr>
                <w:rFonts w:ascii="宋体" w:hAnsi="宋体" w:cs="宋体" w:eastAsia="宋体" w:hint="default"/>
                <w:sz w:val="18"/>
                <w:szCs w:val="18"/>
              </w:rPr>
              <w:t>未分 配利</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36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优</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永</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其</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0" w:right="168"/>
              <w:jc w:val="left"/>
              <w:rPr>
                <w:rFonts w:ascii="宋体" w:hAnsi="宋体" w:cs="宋体" w:eastAsia="宋体" w:hint="default"/>
                <w:sz w:val="18"/>
                <w:szCs w:val="18"/>
              </w:rPr>
            </w:pPr>
            <w:r>
              <w:rPr>
                <w:rFonts w:ascii="宋体" w:hAnsi="宋体" w:cs="宋体" w:eastAsia="宋体" w:hint="default"/>
                <w:sz w:val="18"/>
                <w:szCs w:val="18"/>
              </w:rPr>
              <w:t>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0" w:right="169"/>
              <w:jc w:val="left"/>
              <w:rPr>
                <w:rFonts w:ascii="宋体" w:hAnsi="宋体" w:cs="宋体" w:eastAsia="宋体" w:hint="default"/>
                <w:sz w:val="18"/>
                <w:szCs w:val="18"/>
              </w:rPr>
            </w:pPr>
            <w:r>
              <w:rPr>
                <w:rFonts w:ascii="宋体" w:hAnsi="宋体" w:cs="宋体" w:eastAsia="宋体" w:hint="default"/>
                <w:sz w:val="18"/>
                <w:szCs w:val="18"/>
              </w:rPr>
              <w:t>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7"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331.9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5,536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266,2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07,45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26.73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1,758</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,855,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685.2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331.9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5,536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266,2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07,45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26.73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1,758</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,855,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685.2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2,525</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,799.</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60,06</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74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61,46</w:t>
            </w:r>
          </w:p>
          <w:p>
            <w:pPr>
              <w:pStyle w:val="TableParagraph"/>
              <w:spacing w:line="240" w:lineRule="auto" w:before="105"/>
              <w:ind w:left="224" w:right="0"/>
              <w:jc w:val="left"/>
              <w:rPr>
                <w:rFonts w:ascii="Times New Roman" w:hAnsi="Times New Roman" w:cs="Times New Roman" w:eastAsia="Times New Roman" w:hint="default"/>
                <w:sz w:val="18"/>
                <w:szCs w:val="18"/>
              </w:rPr>
            </w:pPr>
            <w:r>
              <w:rPr>
                <w:rFonts w:ascii="Times New Roman"/>
                <w:sz w:val="18"/>
              </w:rPr>
              <w:t>8.32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62,65</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3,245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.30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73,46</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1,776.</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31.68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73,37</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3,245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2,525</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,799.</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95,79</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9.02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9.78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2,525</w:t>
            </w:r>
          </w:p>
          <w:p>
            <w:pPr>
              <w:pStyle w:val="TableParagraph"/>
              <w:spacing w:line="240" w:lineRule="auto" w:before="104"/>
              <w:ind w:left="190" w:right="0"/>
              <w:jc w:val="left"/>
              <w:rPr>
                <w:rFonts w:ascii="Times New Roman" w:hAnsi="Times New Roman" w:cs="Times New Roman" w:eastAsia="Times New Roman" w:hint="default"/>
                <w:sz w:val="18"/>
                <w:szCs w:val="18"/>
              </w:rPr>
            </w:pPr>
            <w:r>
              <w:rPr>
                <w:rFonts w:ascii="Times New Roman"/>
                <w:sz w:val="18"/>
              </w:rPr>
              <w:t>,799.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5,799.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0" w:right="0"/>
              <w:jc w:val="lef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Times New Roman" w:hAnsi="Times New Roman" w:cs="Times New Roman" w:eastAsia="Times New Roman" w:hint="default"/>
                <w:sz w:val="18"/>
                <w:szCs w:val="18"/>
              </w:rPr>
            </w:pPr>
            <w:r>
              <w:rPr>
                <w:rFonts w:ascii="Times New Roman"/>
                <w:sz w:val="18"/>
              </w:rPr>
              <w:t>24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9.78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331.9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33,48</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1,335</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326,2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73,42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7.87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379,6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95.05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1,821</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930.5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5"/>
                <w:sz w:val="18"/>
                <w:szCs w:val="18"/>
              </w:rPr>
              <w:t>一、上年期末余</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434,8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3" w:right="0"/>
              <w:jc w:val="left"/>
              <w:rPr>
                <w:rFonts w:ascii="Times New Roman" w:hAnsi="Times New Roman" w:cs="Times New Roman" w:eastAsia="Times New Roman" w:hint="default"/>
                <w:sz w:val="18"/>
                <w:szCs w:val="18"/>
              </w:rPr>
            </w:pPr>
            <w:r>
              <w:rPr>
                <w:rFonts w:ascii="Times New Roman"/>
                <w:sz w:val="18"/>
              </w:rPr>
              <w:t>1,026,5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2" w:right="0"/>
              <w:jc w:val="left"/>
              <w:rPr>
                <w:rFonts w:ascii="Times New Roman" w:hAnsi="Times New Roman" w:cs="Times New Roman" w:eastAsia="Times New Roman" w:hint="default"/>
                <w:sz w:val="18"/>
                <w:szCs w:val="18"/>
              </w:rPr>
            </w:pPr>
            <w:r>
              <w:rPr>
                <w:rFonts w:ascii="Times New Roman"/>
                <w:sz w:val="18"/>
              </w:rPr>
              <w:t>33,481,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18"/>
                <w:szCs w:val="18"/>
              </w:rPr>
            </w:pPr>
            <w:r>
              <w:rPr>
                <w:rFonts w:ascii="Times New Roman"/>
                <w:sz w:val="18"/>
              </w:rPr>
              <w:t>263,6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1,758,5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3"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Times New Roman"/>
                <w:sz w:val="18"/>
              </w:rPr>
              <w:t>74,331.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Times New Roman" w:hAnsi="Times New Roman" w:cs="Times New Roman" w:eastAsia="Times New Roman" w:hint="default"/>
                <w:sz w:val="18"/>
                <w:szCs w:val="18"/>
              </w:rPr>
            </w:pPr>
            <w:r>
              <w:rPr>
                <w:rFonts w:ascii="Times New Roman"/>
                <w:sz w:val="18"/>
              </w:rPr>
              <w:t>335.68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54,95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10,762.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434,8</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1,026,5</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74,331.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33,481,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335.68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263,6</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54,95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1,758,5</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10,762.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46,25</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321,96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6,253.6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-27,3</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67,79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340,85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5,192.3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-27,3</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67,79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-27,367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,791.29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46,25</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321,96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6,253.6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368,22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2,983.6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46,25</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321,96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6,253.6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368,22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2,983.6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481,0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56,87</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1,348,5</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40,585.</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33,481,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335.68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236,2</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87,16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2,099,3</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65,954.</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41</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434,8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1,026,5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74,331.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30,955,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536.44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251,7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92,76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1,744,1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22,769.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434,8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1,026,5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74,331.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30,955,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536.44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251,7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92,76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1,744,1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22,769.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2,525,7</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99.24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11,86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2,193.</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14,387,</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992.66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5"/>
                <w:sz w:val="18"/>
                <w:szCs w:val="18"/>
              </w:rPr>
              <w:t>（一）综合收益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18"/>
                <w:szCs w:val="18"/>
              </w:rPr>
            </w:pPr>
            <w:r>
              <w:rPr>
                <w:rFonts w:ascii="Times New Roman"/>
                <w:sz w:val="18"/>
              </w:rPr>
              <w:t>25,25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25,257,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7,992.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Times New Roman"/>
                <w:sz w:val="18"/>
              </w:rPr>
              <w:t>992.44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2,525,7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99.24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95,79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-10,869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,999.78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2,525,7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99.24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24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-10,869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,999.78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434,8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1,026,5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74,331.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33,481,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335.68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263,6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54,95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1,758,5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10,762.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02</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534" w:right="0" w:firstLine="2"/>
        <w:jc w:val="left"/>
        <w:rPr>
          <w:rFonts w:ascii="宋体" w:hAnsi="宋体" w:cs="宋体" w:eastAsia="宋体" w:hint="default"/>
        </w:rPr>
      </w:pPr>
      <w:r>
        <w:rPr>
          <w:rFonts w:ascii="宋体" w:hAnsi="宋体" w:cs="宋体" w:eastAsia="宋体" w:hint="default"/>
          <w:b/>
          <w:bCs/>
        </w:rPr>
        <w:t>公司历史沿革</w:t>
      </w:r>
      <w:r>
        <w:rPr>
          <w:rFonts w:ascii="宋体" w:hAnsi="宋体" w:cs="宋体" w:eastAsia="宋体" w:hint="default"/>
          <w:b/>
          <w:bCs/>
          <w:w w:val="99"/>
        </w:rPr>
        <w:t> </w:t>
      </w:r>
      <w:r>
        <w:rPr>
          <w:spacing w:val="-1"/>
        </w:rPr>
        <w:t>广东文化长城集团股份有限公司（以下简称“公司”）前身为广东长城集团有限公司，于</w:t>
      </w:r>
      <w:r>
        <w:rPr>
          <w:rFonts w:ascii="宋体" w:hAnsi="宋体" w:cs="宋体" w:eastAsia="宋体" w:hint="default"/>
          <w:spacing w:val="-1"/>
        </w:rPr>
        <w:t>1996</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w:t>
      </w:r>
    </w:p>
    <w:p>
      <w:pPr>
        <w:pStyle w:val="Heading4"/>
        <w:spacing w:line="273" w:lineRule="auto"/>
        <w:ind w:left="534" w:right="0" w:hanging="420"/>
        <w:jc w:val="left"/>
      </w:pPr>
      <w:r>
        <w:rPr/>
        <w:t>日在潮州市工商行政管理局注册成立。 </w:t>
      </w:r>
      <w:r>
        <w:rPr>
          <w:rFonts w:ascii="宋体" w:hAnsi="宋体" w:cs="宋体" w:eastAsia="宋体" w:hint="default"/>
          <w:spacing w:val="-1"/>
        </w:rPr>
        <w:t>2008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22</w:t>
      </w:r>
      <w:r>
        <w:rPr>
          <w:spacing w:val="-1"/>
        </w:rPr>
        <w:t>日，根据广东长城集团有限公司股东会决议和广东长城集团股份有限公司发起人协议书，</w:t>
      </w:r>
    </w:p>
    <w:p>
      <w:pPr>
        <w:pStyle w:val="Heading4"/>
        <w:spacing w:line="273" w:lineRule="auto"/>
        <w:ind w:right="0"/>
        <w:jc w:val="left"/>
      </w:pPr>
      <w:r>
        <w:rPr>
          <w:spacing w:val="-1"/>
        </w:rPr>
        <w:t>广东长城集团有限公司原股东作为发起人，以发起方式将广东长城集团有限公司整体变更为广东长城集团</w:t>
      </w:r>
      <w:r>
        <w:rPr>
          <w:spacing w:val="-81"/>
        </w:rPr>
        <w:t> </w:t>
      </w:r>
      <w:r>
        <w:rPr>
          <w:spacing w:val="-81"/>
        </w:rPr>
      </w:r>
      <w:r>
        <w:rPr/>
        <w:t>股份有限公司。</w:t>
      </w:r>
    </w:p>
    <w:p>
      <w:pPr>
        <w:pStyle w:val="Heading4"/>
        <w:spacing w:line="240" w:lineRule="auto"/>
        <w:ind w:left="534" w:right="0"/>
        <w:jc w:val="left"/>
      </w:pPr>
      <w:r>
        <w:rPr>
          <w:rFonts w:ascii="宋体" w:hAnsi="宋体" w:cs="宋体" w:eastAsia="宋体" w:hint="default"/>
        </w:rPr>
        <w:t>201</w:t>
      </w:r>
      <w:r>
        <w:rPr>
          <w:rFonts w:ascii="宋体" w:hAnsi="宋体" w:cs="宋体" w:eastAsia="宋体" w:hint="default"/>
          <w:spacing w:val="17"/>
        </w:rPr>
        <w:t>0</w:t>
      </w:r>
      <w:r>
        <w:rPr>
          <w:spacing w:val="16"/>
        </w:rPr>
        <w:t>年</w:t>
      </w:r>
      <w:r>
        <w:rPr>
          <w:rFonts w:ascii="宋体" w:hAnsi="宋体" w:cs="宋体" w:eastAsia="宋体" w:hint="default"/>
          <w:spacing w:val="16"/>
        </w:rPr>
        <w:t>6</w:t>
      </w:r>
      <w:r>
        <w:rPr>
          <w:spacing w:val="15"/>
        </w:rPr>
        <w:t>月</w:t>
      </w:r>
      <w:r>
        <w:rPr>
          <w:rFonts w:ascii="宋体" w:hAnsi="宋体" w:cs="宋体" w:eastAsia="宋体" w:hint="default"/>
          <w:spacing w:val="16"/>
        </w:rPr>
        <w:t>1</w:t>
      </w:r>
      <w:r>
        <w:rPr>
          <w:spacing w:val="16"/>
        </w:rPr>
        <w:t>日经中</w:t>
      </w:r>
      <w:r>
        <w:rPr>
          <w:spacing w:val="15"/>
        </w:rPr>
        <w:t>国证</w:t>
      </w:r>
      <w:r>
        <w:rPr>
          <w:spacing w:val="16"/>
        </w:rPr>
        <w:t>券监督</w:t>
      </w:r>
      <w:r>
        <w:rPr>
          <w:spacing w:val="15"/>
        </w:rPr>
        <w:t>管理</w:t>
      </w:r>
      <w:r>
        <w:rPr>
          <w:spacing w:val="16"/>
        </w:rPr>
        <w:t>委员会</w:t>
      </w:r>
      <w:r>
        <w:rPr>
          <w:spacing w:val="15"/>
        </w:rPr>
        <w:t>核准</w:t>
      </w:r>
      <w:r>
        <w:rPr>
          <w:spacing w:val="16"/>
        </w:rPr>
        <w:t>（证监</w:t>
      </w:r>
      <w:r>
        <w:rPr>
          <w:spacing w:val="15"/>
        </w:rPr>
        <w:t>许</w:t>
      </w:r>
      <w:r>
        <w:rPr/>
        <w:t>可</w:t>
      </w:r>
      <w:r>
        <w:rPr>
          <w:spacing w:val="-85"/>
        </w:rPr>
        <w:t> </w:t>
      </w:r>
      <w:r>
        <w:rPr>
          <w:rFonts w:ascii="宋体" w:hAnsi="宋体" w:cs="宋体" w:eastAsia="宋体" w:hint="default"/>
        </w:rPr>
        <w:t>[2010]75</w:t>
      </w:r>
      <w:r>
        <w:rPr>
          <w:rFonts w:ascii="宋体" w:hAnsi="宋体" w:cs="宋体" w:eastAsia="宋体" w:hint="default"/>
          <w:spacing w:val="17"/>
        </w:rPr>
        <w:t>4</w:t>
      </w:r>
      <w:r>
        <w:rPr>
          <w:spacing w:val="15"/>
        </w:rPr>
        <w:t>号</w:t>
      </w:r>
      <w:r>
        <w:rPr>
          <w:spacing w:val="-89"/>
        </w:rPr>
        <w:t>）</w:t>
      </w:r>
      <w:r>
        <w:rPr>
          <w:spacing w:val="16"/>
        </w:rPr>
        <w:t>，公司</w:t>
      </w:r>
      <w:r>
        <w:rPr>
          <w:spacing w:val="15"/>
        </w:rPr>
        <w:t>向</w:t>
      </w:r>
      <w:r>
        <w:rPr>
          <w:spacing w:val="16"/>
        </w:rPr>
        <w:t>社会公开发</w:t>
      </w:r>
      <w:r>
        <w:rPr/>
        <w:t>行</w:t>
      </w:r>
    </w:p>
    <w:p>
      <w:pPr>
        <w:pStyle w:val="Heading4"/>
        <w:spacing w:line="273" w:lineRule="auto" w:before="37"/>
        <w:ind w:right="1092"/>
        <w:jc w:val="left"/>
      </w:pPr>
      <w:r>
        <w:rPr>
          <w:rFonts w:ascii="宋体" w:hAnsi="宋体" w:cs="宋体" w:eastAsia="宋体" w:hint="default"/>
        </w:rPr>
        <w:t>2,500.00</w:t>
      </w:r>
      <w:r>
        <w:rPr/>
        <w:t>万股，股本变更为</w:t>
      </w:r>
      <w:r>
        <w:rPr>
          <w:rFonts w:ascii="宋体" w:hAnsi="宋体" w:cs="宋体" w:eastAsia="宋体" w:hint="default"/>
        </w:rPr>
        <w:t>10,000.00</w:t>
      </w:r>
      <w:r>
        <w:rPr/>
        <w:t>万股，公司股票于</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25</w:t>
      </w:r>
      <w:r>
        <w:rPr/>
        <w:t>日在深圳证券交易所挂牌上市交易， 股票代码为</w:t>
      </w:r>
      <w:r>
        <w:rPr>
          <w:rFonts w:ascii="宋体" w:hAnsi="宋体" w:cs="宋体" w:eastAsia="宋体" w:hint="default"/>
        </w:rPr>
        <w:t>300089</w:t>
      </w:r>
      <w:r>
        <w:rPr/>
        <w:t>。</w:t>
      </w:r>
    </w:p>
    <w:p>
      <w:pPr>
        <w:pStyle w:val="Heading4"/>
        <w:spacing w:line="240" w:lineRule="auto"/>
        <w:ind w:left="534" w:right="0"/>
        <w:jc w:val="left"/>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24</w:t>
      </w:r>
      <w:r>
        <w:rPr/>
        <w:t>日，根据公司召开的</w:t>
      </w:r>
      <w:r>
        <w:rPr>
          <w:rFonts w:ascii="宋体" w:hAnsi="宋体" w:cs="宋体" w:eastAsia="宋体" w:hint="default"/>
        </w:rPr>
        <w:t>2012</w:t>
      </w:r>
      <w:r>
        <w:rPr/>
        <w:t>年年度股东大会决议及公司章程规定，公司以截至</w:t>
      </w:r>
      <w:r>
        <w:rPr>
          <w:rFonts w:ascii="宋体" w:hAnsi="宋体" w:cs="宋体" w:eastAsia="宋体" w:hint="default"/>
        </w:rPr>
        <w:t>2011</w:t>
      </w:r>
      <w:r>
        <w:rPr/>
        <w:t>年</w:t>
      </w:r>
      <w:r>
        <w:rPr>
          <w:rFonts w:ascii="宋体" w:hAnsi="宋体" w:cs="宋体" w:eastAsia="宋体" w:hint="default"/>
        </w:rPr>
        <w:t>12</w:t>
      </w:r>
      <w:r>
        <w:rPr/>
        <w:t>月</w:t>
      </w:r>
    </w:p>
    <w:p>
      <w:pPr>
        <w:pStyle w:val="Heading4"/>
        <w:spacing w:line="273" w:lineRule="auto" w:before="37"/>
        <w:ind w:right="0"/>
        <w:jc w:val="left"/>
      </w:pPr>
      <w:r>
        <w:rPr>
          <w:rFonts w:ascii="宋体" w:hAnsi="宋体" w:cs="宋体" w:eastAsia="宋体" w:hint="default"/>
        </w:rPr>
        <w:t>31</w:t>
      </w:r>
      <w:r>
        <w:rPr/>
        <w:t>日总股本</w:t>
      </w:r>
      <w:r>
        <w:rPr>
          <w:rFonts w:ascii="宋体" w:hAnsi="宋体" w:cs="宋体" w:eastAsia="宋体" w:hint="default"/>
        </w:rPr>
        <w:t>100,000,000.00</w:t>
      </w:r>
      <w:r>
        <w:rPr/>
        <w:t>股为基数，以资本公积向全体股东每</w:t>
      </w:r>
      <w:r>
        <w:rPr>
          <w:rFonts w:ascii="宋体" w:hAnsi="宋体" w:cs="宋体" w:eastAsia="宋体" w:hint="default"/>
        </w:rPr>
        <w:t>10</w:t>
      </w:r>
      <w:r>
        <w:rPr/>
        <w:t>股转增</w:t>
      </w:r>
      <w:r>
        <w:rPr>
          <w:rFonts w:ascii="宋体" w:hAnsi="宋体" w:cs="宋体" w:eastAsia="宋体" w:hint="default"/>
        </w:rPr>
        <w:t>5</w:t>
      </w:r>
      <w:r>
        <w:rPr/>
        <w:t>股，变更后公司注册资本及股</w:t>
      </w:r>
      <w:r>
        <w:rPr>
          <w:spacing w:val="-32"/>
        </w:rPr>
        <w:t> </w:t>
      </w:r>
      <w:r>
        <w:rPr>
          <w:spacing w:val="-32"/>
        </w:rPr>
      </w:r>
      <w:r>
        <w:rPr/>
        <w:t>本为</w:t>
      </w:r>
      <w:r>
        <w:rPr>
          <w:rFonts w:ascii="宋体" w:hAnsi="宋体" w:cs="宋体" w:eastAsia="宋体" w:hint="default"/>
        </w:rPr>
        <w:t>150,000,000</w:t>
      </w:r>
      <w:r>
        <w:rPr/>
        <w:t>元。</w:t>
      </w:r>
    </w:p>
    <w:p>
      <w:pPr>
        <w:pStyle w:val="Heading4"/>
        <w:spacing w:line="240" w:lineRule="auto"/>
        <w:ind w:left="534" w:right="0"/>
        <w:jc w:val="left"/>
      </w:pP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20</w:t>
      </w:r>
      <w:r>
        <w:rPr/>
        <w:t>日，根据公司召开的</w:t>
      </w:r>
      <w:r>
        <w:rPr>
          <w:rFonts w:ascii="宋体" w:hAnsi="宋体" w:cs="宋体" w:eastAsia="宋体" w:hint="default"/>
        </w:rPr>
        <w:t>2015</w:t>
      </w:r>
      <w:r>
        <w:rPr/>
        <w:t>年年度股东大会决议及公司章程规定，公司以截至</w:t>
      </w:r>
      <w:r>
        <w:rPr>
          <w:rFonts w:ascii="宋体" w:hAnsi="宋体" w:cs="宋体" w:eastAsia="宋体" w:hint="default"/>
        </w:rPr>
        <w:t>2016</w:t>
      </w:r>
      <w:r>
        <w:rPr/>
        <w:t>年</w:t>
      </w:r>
      <w:r>
        <w:rPr>
          <w:rFonts w:ascii="宋体" w:hAnsi="宋体" w:cs="宋体" w:eastAsia="宋体" w:hint="default"/>
        </w:rPr>
        <w:t>12</w:t>
      </w:r>
      <w:r>
        <w:rPr/>
        <w:t>月</w:t>
      </w:r>
    </w:p>
    <w:p>
      <w:pPr>
        <w:pStyle w:val="Heading4"/>
        <w:spacing w:line="240" w:lineRule="auto" w:before="37"/>
        <w:ind w:right="0"/>
        <w:jc w:val="left"/>
      </w:pPr>
      <w:r>
        <w:rPr>
          <w:rFonts w:ascii="宋体" w:hAnsi="宋体" w:cs="宋体" w:eastAsia="宋体" w:hint="default"/>
        </w:rPr>
        <w:t>31</w:t>
      </w:r>
      <w:r>
        <w:rPr>
          <w:rFonts w:ascii="宋体" w:hAnsi="宋体" w:cs="宋体" w:eastAsia="宋体" w:hint="default"/>
          <w:spacing w:val="-81"/>
        </w:rPr>
        <w:t> </w:t>
      </w:r>
      <w:r>
        <w:rPr>
          <w:spacing w:val="16"/>
        </w:rPr>
        <w:t>日总股本</w:t>
      </w:r>
      <w:r>
        <w:rPr>
          <w:spacing w:val="-80"/>
        </w:rPr>
        <w:t> </w:t>
      </w:r>
      <w:r>
        <w:rPr>
          <w:rFonts w:ascii="宋体" w:hAnsi="宋体" w:cs="宋体" w:eastAsia="宋体" w:hint="default"/>
        </w:rPr>
        <w:t>150,000,000.00</w:t>
      </w:r>
      <w:r>
        <w:rPr>
          <w:rFonts w:ascii="宋体" w:hAnsi="宋体" w:cs="宋体" w:eastAsia="宋体" w:hint="default"/>
          <w:spacing w:val="-80"/>
        </w:rPr>
        <w:t> </w:t>
      </w:r>
      <w:r>
        <w:rPr>
          <w:spacing w:val="17"/>
        </w:rPr>
        <w:t>股为基数，</w:t>
      </w:r>
      <w:r>
        <w:rPr>
          <w:spacing w:val="-82"/>
        </w:rPr>
        <w:t> </w:t>
      </w:r>
      <w:r>
        <w:rPr>
          <w:spacing w:val="20"/>
        </w:rPr>
        <w:t>以资本公积金向全体股东每</w:t>
      </w:r>
      <w:r>
        <w:rPr>
          <w:spacing w:val="-78"/>
        </w:rPr>
        <w:t> </w:t>
      </w:r>
      <w:r>
        <w:rPr>
          <w:rFonts w:ascii="宋体" w:hAnsi="宋体" w:cs="宋体" w:eastAsia="宋体" w:hint="default"/>
        </w:rPr>
        <w:t>10</w:t>
      </w:r>
      <w:r>
        <w:rPr>
          <w:rFonts w:ascii="宋体" w:hAnsi="宋体" w:cs="宋体" w:eastAsia="宋体" w:hint="default"/>
          <w:spacing w:val="-81"/>
        </w:rPr>
        <w:t> </w:t>
      </w:r>
      <w:r>
        <w:rPr>
          <w:spacing w:val="14"/>
        </w:rPr>
        <w:t>股转增</w:t>
      </w:r>
      <w:r>
        <w:rPr>
          <w:spacing w:val="-81"/>
        </w:rPr>
        <w:t> </w:t>
      </w:r>
      <w:r>
        <w:rPr>
          <w:rFonts w:ascii="宋体" w:hAnsi="宋体" w:cs="宋体" w:eastAsia="宋体" w:hint="default"/>
        </w:rPr>
        <w:t>15</w:t>
      </w:r>
      <w:r>
        <w:rPr>
          <w:rFonts w:ascii="宋体" w:hAnsi="宋体" w:cs="宋体" w:eastAsia="宋体" w:hint="default"/>
          <w:spacing w:val="-81"/>
        </w:rPr>
        <w:t> </w:t>
      </w:r>
      <w:r>
        <w:rPr>
          <w:spacing w:val="11"/>
        </w:rPr>
        <w:t>股，</w:t>
      </w:r>
      <w:r>
        <w:rPr>
          <w:spacing w:val="-82"/>
        </w:rPr>
        <w:t> </w:t>
      </w:r>
      <w:r>
        <w:rPr>
          <w:spacing w:val="19"/>
        </w:rPr>
        <w:t>合计转增股份</w:t>
      </w:r>
    </w:p>
    <w:p>
      <w:pPr>
        <w:pStyle w:val="Heading4"/>
        <w:spacing w:line="240" w:lineRule="auto" w:before="37"/>
        <w:ind w:right="0"/>
        <w:jc w:val="left"/>
      </w:pPr>
      <w:r>
        <w:rPr>
          <w:rFonts w:ascii="宋体" w:hAnsi="宋体" w:cs="宋体" w:eastAsia="宋体" w:hint="default"/>
        </w:rPr>
        <w:t>225,000,000.00</w:t>
      </w:r>
      <w:r>
        <w:rPr/>
        <w:t>股，变更后公司注册资本及股本为</w:t>
      </w:r>
      <w:r>
        <w:rPr>
          <w:rFonts w:ascii="宋体" w:hAnsi="宋体" w:cs="宋体" w:eastAsia="宋体" w:hint="default"/>
        </w:rPr>
        <w:t>375,000,000.00</w:t>
      </w:r>
      <w:r>
        <w:rPr/>
        <w:t>元。</w:t>
      </w:r>
    </w:p>
    <w:p>
      <w:pPr>
        <w:pStyle w:val="Heading4"/>
        <w:spacing w:line="273" w:lineRule="auto" w:before="37"/>
        <w:ind w:right="1131" w:firstLine="420"/>
        <w:jc w:val="both"/>
      </w:pPr>
      <w:r>
        <w:rPr>
          <w:rFonts w:ascii="宋体" w:hAnsi="宋体" w:cs="宋体" w:eastAsia="宋体" w:hint="default"/>
          <w:spacing w:val="-1"/>
        </w:rPr>
        <w:t>2016</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9</w:t>
      </w:r>
      <w:r>
        <w:rPr>
          <w:spacing w:val="-1"/>
        </w:rPr>
        <w:t>日，根据公司</w:t>
      </w:r>
      <w:r>
        <w:rPr>
          <w:rFonts w:ascii="宋体" w:hAnsi="宋体" w:cs="宋体" w:eastAsia="宋体" w:hint="default"/>
          <w:spacing w:val="-1"/>
        </w:rPr>
        <w:t>2016</w:t>
      </w:r>
      <w:r>
        <w:rPr>
          <w:spacing w:val="-1"/>
        </w:rPr>
        <w:t>年第一次临时股东大会审议通过的《关于公司符合向特定对象发行股份</w:t>
      </w:r>
      <w:r>
        <w:rPr/>
        <w:t> </w:t>
      </w:r>
      <w:r>
        <w:rPr>
          <w:spacing w:val="-1"/>
        </w:rPr>
        <w:t>及支付现金购买资产并募集配套资金条件的议案》，并经中国证券监督管理委员会《关于核准广东文化长</w:t>
      </w:r>
      <w:r>
        <w:rPr>
          <w:spacing w:val="-94"/>
        </w:rPr>
        <w:t> </w:t>
      </w:r>
      <w:r>
        <w:rPr>
          <w:spacing w:val="-94"/>
        </w:rPr>
      </w:r>
      <w:r>
        <w:rPr>
          <w:spacing w:val="-1"/>
        </w:rPr>
        <w:t>城集团股份有限公司向许高镭等发行股份购买资产并募集配套资金的批复》（证监许可</w:t>
      </w:r>
      <w:r>
        <w:rPr>
          <w:rFonts w:ascii="宋体" w:hAnsi="宋体" w:cs="宋体" w:eastAsia="宋体" w:hint="default"/>
          <w:spacing w:val="-1"/>
        </w:rPr>
        <w:t>[2016]1612</w:t>
      </w:r>
      <w:r>
        <w:rPr>
          <w:spacing w:val="-1"/>
        </w:rPr>
        <w:t>号）核</w:t>
      </w:r>
      <w:r>
        <w:rPr>
          <w:spacing w:val="-81"/>
        </w:rPr>
        <w:t> </w:t>
      </w:r>
      <w:r>
        <w:rPr>
          <w:spacing w:val="-81"/>
        </w:rPr>
      </w:r>
      <w:r>
        <w:rPr/>
        <w:t>准，公司向许高镭发行</w:t>
      </w:r>
      <w:r>
        <w:rPr>
          <w:rFonts w:ascii="宋体" w:hAnsi="宋体" w:cs="宋体" w:eastAsia="宋体" w:hint="default"/>
        </w:rPr>
        <w:t>23,772,847.00</w:t>
      </w:r>
      <w:r>
        <w:rPr/>
        <w:t>股股份、向广州商融投资咨询有限公司发行</w:t>
      </w:r>
      <w:r>
        <w:rPr>
          <w:rFonts w:ascii="宋体" w:hAnsi="宋体" w:cs="宋体" w:eastAsia="宋体" w:hint="default"/>
        </w:rPr>
        <w:t>3,038,634.00</w:t>
      </w:r>
      <w:r>
        <w:rPr/>
        <w:t>股股份，</w:t>
      </w:r>
      <w:r>
        <w:rPr>
          <w:spacing w:val="-36"/>
        </w:rPr>
        <w:t> </w:t>
      </w:r>
      <w:r>
        <w:rPr>
          <w:spacing w:val="-36"/>
        </w:rPr>
      </w:r>
      <w:r>
        <w:rPr/>
        <w:t>每股面值</w:t>
      </w:r>
      <w:r>
        <w:rPr>
          <w:rFonts w:ascii="宋体" w:hAnsi="宋体" w:cs="宋体" w:eastAsia="宋体" w:hint="default"/>
        </w:rPr>
        <w:t>1</w:t>
      </w:r>
      <w:r>
        <w:rPr/>
        <w:t>元，每股发行价格为</w:t>
      </w:r>
      <w:r>
        <w:rPr>
          <w:rFonts w:ascii="宋体" w:hAnsi="宋体" w:cs="宋体" w:eastAsia="宋体" w:hint="default"/>
        </w:rPr>
        <w:t>12.89</w:t>
      </w:r>
      <w:r>
        <w:rPr/>
        <w:t>元，发行股份后公司注册资本及股本变更为</w:t>
      </w:r>
      <w:r>
        <w:rPr>
          <w:rFonts w:ascii="宋体" w:hAnsi="宋体" w:cs="宋体" w:eastAsia="宋体" w:hint="default"/>
        </w:rPr>
        <w:t>401,811,481.00</w:t>
      </w:r>
      <w:r>
        <w:rPr/>
        <w:t>元。</w:t>
      </w:r>
    </w:p>
    <w:p>
      <w:pPr>
        <w:pStyle w:val="Heading4"/>
        <w:spacing w:line="273" w:lineRule="auto"/>
        <w:ind w:right="1131" w:firstLine="420"/>
        <w:jc w:val="both"/>
      </w:pP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7</w:t>
      </w:r>
      <w:r>
        <w:rPr>
          <w:spacing w:val="-1"/>
        </w:rPr>
        <w:t>日，根据公司</w:t>
      </w:r>
      <w:r>
        <w:rPr>
          <w:rFonts w:ascii="宋体" w:hAnsi="宋体" w:cs="宋体" w:eastAsia="宋体" w:hint="default"/>
          <w:spacing w:val="-1"/>
        </w:rPr>
        <w:t>2016</w:t>
      </w:r>
      <w:r>
        <w:rPr>
          <w:spacing w:val="-1"/>
        </w:rPr>
        <w:t>年第一次临时股东大会审议通过的《关于公司符合向特定对象发行股份</w:t>
      </w:r>
      <w:r>
        <w:rPr/>
        <w:t> </w:t>
      </w:r>
      <w:r>
        <w:rPr>
          <w:spacing w:val="-1"/>
        </w:rPr>
        <w:t>及支付现金购买资产并募集配套资金条件的议案》，并经中国证券监督管理委员会《关于核准广东文化长</w:t>
      </w:r>
      <w:r>
        <w:rPr>
          <w:spacing w:val="-94"/>
        </w:rPr>
        <w:t> </w:t>
      </w:r>
      <w:r>
        <w:rPr>
          <w:spacing w:val="-94"/>
        </w:rPr>
      </w:r>
      <w:r>
        <w:rPr>
          <w:spacing w:val="-1"/>
        </w:rPr>
        <w:t>城集团股份有限公司向许高镭等发行股份购买资产并募集配套资金的批复》（证监许可</w:t>
      </w:r>
      <w:r>
        <w:rPr>
          <w:rFonts w:ascii="宋体" w:hAnsi="宋体" w:cs="宋体" w:eastAsia="宋体" w:hint="default"/>
          <w:spacing w:val="-1"/>
        </w:rPr>
        <w:t>[2016]1612</w:t>
      </w:r>
      <w:r>
        <w:rPr>
          <w:spacing w:val="-1"/>
        </w:rPr>
        <w:t>号）核</w:t>
      </w:r>
      <w:r>
        <w:rPr>
          <w:spacing w:val="-81"/>
        </w:rPr>
        <w:t> </w:t>
      </w:r>
      <w:r>
        <w:rPr>
          <w:spacing w:val="-81"/>
        </w:rPr>
      </w:r>
      <w:r>
        <w:rPr>
          <w:spacing w:val="-1"/>
        </w:rPr>
        <w:t>准，公司向符合中国证监会相关规定条件的特定投资者发行人民币普通股（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32,988,659.00</w:t>
      </w:r>
      <w:r>
        <w:rPr>
          <w:spacing w:val="-1"/>
        </w:rPr>
        <w:t>股，每股</w:t>
      </w:r>
      <w:r>
        <w:rPr>
          <w:spacing w:val="-77"/>
        </w:rPr>
        <w:t> </w:t>
      </w:r>
      <w:r>
        <w:rPr>
          <w:spacing w:val="-77"/>
        </w:rPr>
      </w:r>
      <w:r>
        <w:rPr/>
        <w:t>发行价格为人民币</w:t>
      </w:r>
      <w:r>
        <w:rPr>
          <w:rFonts w:ascii="宋体" w:hAnsi="宋体" w:cs="宋体" w:eastAsia="宋体" w:hint="default"/>
        </w:rPr>
        <w:t>14.99</w:t>
      </w:r>
      <w:r>
        <w:rPr/>
        <w:t>元，发行股份后公司注册资本及股本变更为</w:t>
      </w:r>
      <w:r>
        <w:rPr>
          <w:rFonts w:ascii="宋体" w:hAnsi="宋体" w:cs="宋体" w:eastAsia="宋体" w:hint="default"/>
        </w:rPr>
        <w:t>434,800,140.00</w:t>
      </w:r>
      <w:r>
        <w:rPr/>
        <w:t>元。</w:t>
      </w:r>
    </w:p>
    <w:p>
      <w:pPr>
        <w:pStyle w:val="Heading4"/>
        <w:spacing w:line="273" w:lineRule="auto"/>
        <w:ind w:right="1109" w:firstLine="420"/>
        <w:jc w:val="both"/>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30</w:t>
      </w:r>
      <w:r>
        <w:rPr/>
        <w:t>日，根据公司</w:t>
      </w:r>
      <w:r>
        <w:rPr>
          <w:rFonts w:ascii="宋体" w:hAnsi="宋体" w:cs="宋体" w:eastAsia="宋体" w:hint="default"/>
        </w:rPr>
        <w:t>2017</w:t>
      </w:r>
      <w:r>
        <w:rPr/>
        <w:t>年第二次临时股东大会审议通过的《关于公司符合向特定对象发行股 </w:t>
      </w:r>
      <w:r>
        <w:rPr>
          <w:spacing w:val="-1"/>
        </w:rPr>
        <w:t>份及支付现金购买资产并募集配套资金条件的议案》，并经中国证券监督管理委员会《关于核准广东文化</w:t>
      </w:r>
      <w:r>
        <w:rPr>
          <w:spacing w:val="-94"/>
        </w:rPr>
        <w:t> </w:t>
      </w:r>
      <w:r>
        <w:rPr>
          <w:spacing w:val="-94"/>
        </w:rPr>
      </w:r>
      <w:r>
        <w:rPr>
          <w:spacing w:val="-1"/>
        </w:rPr>
        <w:t>长城集团股份有限公司向安卓易（北京）科技有限公司等发行股份购买资产并募集配套资金的批复》（证</w:t>
      </w:r>
      <w:r>
        <w:rPr>
          <w:spacing w:val="-94"/>
        </w:rPr>
        <w:t> </w:t>
      </w:r>
      <w:r>
        <w:rPr>
          <w:spacing w:val="-94"/>
        </w:rPr>
      </w:r>
      <w:r>
        <w:rPr/>
        <w:t>监许可</w:t>
      </w:r>
      <w:r>
        <w:rPr>
          <w:rFonts w:ascii="宋体" w:hAnsi="宋体" w:cs="宋体" w:eastAsia="宋体" w:hint="default"/>
        </w:rPr>
        <w:t>[2018]394</w:t>
      </w:r>
      <w:r>
        <w:rPr/>
        <w:t>号）核准，公司向符合中国证监会相关规定条件的特定投资者发行人民币普通股（</w:t>
      </w:r>
      <w:r>
        <w:rPr>
          <w:rFonts w:ascii="宋体" w:hAnsi="宋体" w:cs="宋体" w:eastAsia="宋体" w:hint="default"/>
        </w:rPr>
        <w:t>A</w:t>
      </w:r>
      <w:r>
        <w:rPr/>
        <w:t>股） </w:t>
      </w:r>
      <w:r>
        <w:rPr>
          <w:rFonts w:ascii="宋体" w:hAnsi="宋体" w:cs="宋体" w:eastAsia="宋体" w:hint="default"/>
        </w:rPr>
        <w:t>55,037,126.00</w:t>
      </w:r>
      <w:r>
        <w:rPr>
          <w:rFonts w:ascii="宋体" w:hAnsi="宋体" w:cs="宋体" w:eastAsia="宋体" w:hint="default"/>
          <w:spacing w:val="-3"/>
        </w:rPr>
        <w:t> </w:t>
      </w:r>
      <w:r>
        <w:rPr/>
        <w:t>股。发行股份后公司注册资本及股本变更为</w:t>
      </w:r>
      <w:r>
        <w:rPr>
          <w:rFonts w:ascii="宋体" w:hAnsi="宋体" w:cs="宋体" w:eastAsia="宋体" w:hint="default"/>
        </w:rPr>
        <w:t>489,837,266.00</w:t>
      </w:r>
      <w:r>
        <w:rPr/>
        <w:t>元。</w:t>
      </w:r>
    </w:p>
    <w:p>
      <w:pPr>
        <w:pStyle w:val="Heading4"/>
        <w:spacing w:line="273" w:lineRule="auto"/>
        <w:ind w:right="1032" w:firstLine="420"/>
        <w:jc w:val="left"/>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w:t>
      </w:r>
      <w:r>
        <w:rPr/>
        <w:t>日，根据公司</w:t>
      </w:r>
      <w:r>
        <w:rPr>
          <w:rFonts w:ascii="宋体" w:hAnsi="宋体" w:cs="宋体" w:eastAsia="宋体" w:hint="default"/>
        </w:rPr>
        <w:t>2018</w:t>
      </w:r>
      <w:r>
        <w:rPr/>
        <w:t>年第一次临时股东大会决议，审议通过了《关于以集中竞价交易方式回 </w:t>
      </w:r>
      <w:r>
        <w:rPr>
          <w:spacing w:val="-3"/>
        </w:rPr>
        <w:t>购公司股份的议案》，以货币资金方式回购公司股份共计</w:t>
      </w:r>
      <w:r>
        <w:rPr>
          <w:rFonts w:ascii="宋体" w:hAnsi="宋体" w:cs="宋体" w:eastAsia="宋体" w:hint="default"/>
          <w:spacing w:val="-3"/>
        </w:rPr>
        <w:t>8,780,390.00</w:t>
      </w:r>
      <w:r>
        <w:rPr>
          <w:spacing w:val="-3"/>
        </w:rPr>
        <w:t>股，减少注册资本</w:t>
      </w:r>
      <w:r>
        <w:rPr>
          <w:rFonts w:ascii="宋体" w:hAnsi="宋体" w:cs="宋体" w:eastAsia="宋体" w:hint="default"/>
          <w:spacing w:val="-3"/>
        </w:rPr>
        <w:t>8,780,390.00</w:t>
      </w:r>
      <w:r>
        <w:rPr>
          <w:spacing w:val="-3"/>
        </w:rPr>
        <w:t>元。</w:t>
      </w:r>
      <w:r>
        <w:rPr>
          <w:spacing w:val="-57"/>
        </w:rPr>
        <w:t> </w:t>
      </w:r>
      <w:r>
        <w:rPr/>
        <w:t>股</w:t>
      </w:r>
      <w:r>
        <w:rPr>
          <w:spacing w:val="-73"/>
        </w:rPr>
        <w:t> </w:t>
      </w:r>
      <w:r>
        <w:rPr/>
        <w:t>本</w:t>
      </w:r>
      <w:r>
        <w:rPr>
          <w:spacing w:val="-73"/>
        </w:rPr>
        <w:t> </w:t>
      </w:r>
      <w:r>
        <w:rPr/>
        <w:t>变</w:t>
      </w:r>
      <w:r>
        <w:rPr>
          <w:spacing w:val="-73"/>
        </w:rPr>
        <w:t> </w:t>
      </w:r>
      <w:r>
        <w:rPr/>
        <w:t>更</w:t>
      </w:r>
      <w:r>
        <w:rPr>
          <w:spacing w:val="-73"/>
        </w:rPr>
        <w:t> </w:t>
      </w:r>
      <w:r>
        <w:rPr/>
        <w:t>已</w:t>
      </w:r>
      <w:r>
        <w:rPr>
          <w:spacing w:val="-72"/>
        </w:rPr>
        <w:t> </w:t>
      </w:r>
      <w:r>
        <w:rPr/>
        <w:t>于</w:t>
      </w:r>
      <w:r>
        <w:rPr>
          <w:spacing w:val="-71"/>
        </w:rPr>
        <w:t> </w:t>
      </w:r>
      <w:r>
        <w:rPr>
          <w:rFonts w:ascii="宋体" w:hAnsi="宋体" w:cs="宋体" w:eastAsia="宋体" w:hint="default"/>
        </w:rPr>
        <w:t>2018</w:t>
      </w:r>
      <w:r>
        <w:rPr>
          <w:rFonts w:ascii="宋体" w:hAnsi="宋体" w:cs="宋体" w:eastAsia="宋体" w:hint="default"/>
          <w:spacing w:val="-73"/>
        </w:rPr>
        <w:t> </w:t>
      </w:r>
      <w:r>
        <w:rPr/>
        <w:t>年</w:t>
      </w:r>
      <w:r>
        <w:rPr>
          <w:spacing w:val="-73"/>
        </w:rPr>
        <w:t> </w:t>
      </w:r>
      <w:r>
        <w:rPr>
          <w:rFonts w:ascii="宋体" w:hAnsi="宋体" w:cs="宋体" w:eastAsia="宋体" w:hint="default"/>
        </w:rPr>
        <w:t>11</w:t>
      </w:r>
      <w:r>
        <w:rPr>
          <w:rFonts w:ascii="宋体" w:hAnsi="宋体" w:cs="宋体" w:eastAsia="宋体" w:hint="default"/>
          <w:spacing w:val="-74"/>
        </w:rPr>
        <w:t> </w:t>
      </w:r>
      <w:r>
        <w:rPr/>
        <w:t>月</w:t>
      </w:r>
      <w:r>
        <w:rPr>
          <w:spacing w:val="-73"/>
        </w:rPr>
        <w:t> </w:t>
      </w:r>
      <w:r>
        <w:rPr>
          <w:rFonts w:ascii="宋体" w:hAnsi="宋体" w:cs="宋体" w:eastAsia="宋体" w:hint="default"/>
        </w:rPr>
        <w:t>26</w:t>
      </w:r>
      <w:r>
        <w:rPr>
          <w:rFonts w:ascii="宋体" w:hAnsi="宋体" w:cs="宋体" w:eastAsia="宋体" w:hint="default"/>
          <w:spacing w:val="-72"/>
        </w:rPr>
        <w:t> </w:t>
      </w:r>
      <w:r>
        <w:rPr>
          <w:spacing w:val="28"/>
        </w:rPr>
        <w:t>日完成工商变更登</w:t>
      </w:r>
      <w:r>
        <w:rPr>
          <w:spacing w:val="-72"/>
        </w:rPr>
        <w:t> </w:t>
      </w:r>
      <w:r>
        <w:rPr>
          <w:spacing w:val="25"/>
        </w:rPr>
        <w:t>记，回购股</w:t>
      </w:r>
      <w:r>
        <w:rPr>
          <w:spacing w:val="-72"/>
        </w:rPr>
        <w:t> </w:t>
      </w:r>
      <w:r>
        <w:rPr>
          <w:spacing w:val="25"/>
        </w:rPr>
        <w:t>份后公司的</w:t>
      </w:r>
      <w:r>
        <w:rPr>
          <w:spacing w:val="-72"/>
        </w:rPr>
        <w:t> </w:t>
      </w:r>
      <w:r>
        <w:rPr>
          <w:spacing w:val="25"/>
        </w:rPr>
        <w:t>注册资本及</w:t>
      </w:r>
      <w:r>
        <w:rPr>
          <w:spacing w:val="-72"/>
        </w:rPr>
        <w:t> </w:t>
      </w:r>
      <w:r>
        <w:rPr>
          <w:spacing w:val="24"/>
        </w:rPr>
        <w:t>股本变更</w:t>
      </w:r>
      <w:r>
        <w:rPr>
          <w:spacing w:val="-74"/>
        </w:rPr>
        <w:t> </w:t>
      </w:r>
      <w:r>
        <w:rPr/>
        <w:t>为</w:t>
      </w:r>
      <w:r>
        <w:rPr/>
        <w:t> </w:t>
      </w:r>
      <w:r>
        <w:rPr>
          <w:rFonts w:ascii="宋体" w:hAnsi="宋体" w:cs="宋体" w:eastAsia="宋体" w:hint="default"/>
        </w:rPr>
        <w:t>481,056,870.00</w:t>
      </w:r>
      <w:r>
        <w:rPr/>
        <w:t>元。</w:t>
      </w:r>
    </w:p>
    <w:p>
      <w:pPr>
        <w:pStyle w:val="Heading4"/>
        <w:spacing w:line="240" w:lineRule="auto"/>
        <w:ind w:left="534" w:right="0"/>
        <w:jc w:val="left"/>
      </w:pPr>
      <w:r>
        <w:rPr/>
        <w:t>经过历年的转增股本及增发新股，截止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日，公司注册资本为</w:t>
      </w:r>
      <w:r>
        <w:rPr>
          <w:rFonts w:ascii="宋体" w:hAnsi="宋体" w:cs="宋体" w:eastAsia="宋体" w:hint="default"/>
        </w:rPr>
        <w:t>481,056,870.00</w:t>
      </w:r>
      <w:r>
        <w:rPr/>
        <w:t>元，股本为</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right="1092"/>
        <w:jc w:val="left"/>
      </w:pPr>
      <w:r>
        <w:rPr>
          <w:rFonts w:ascii="宋体" w:hAnsi="宋体" w:cs="宋体" w:eastAsia="宋体" w:hint="default"/>
          <w:spacing w:val="-1"/>
        </w:rPr>
        <w:t>481,056,870.00</w:t>
      </w:r>
      <w:r>
        <w:rPr>
          <w:spacing w:val="-1"/>
        </w:rPr>
        <w:t>元。公司统一社会信用代码为</w:t>
      </w:r>
      <w:r>
        <w:rPr>
          <w:rFonts w:ascii="宋体" w:hAnsi="宋体" w:cs="宋体" w:eastAsia="宋体" w:hint="default"/>
          <w:spacing w:val="-1"/>
        </w:rPr>
        <w:t>9144510023113011XF</w:t>
      </w:r>
      <w:r>
        <w:rPr>
          <w:spacing w:val="-1"/>
        </w:rPr>
        <w:t>，法定代表人为蔡廷祥，注册地址为广</w:t>
      </w:r>
      <w:r>
        <w:rPr>
          <w:spacing w:val="-71"/>
        </w:rPr>
        <w:t> </w:t>
      </w:r>
      <w:r>
        <w:rPr>
          <w:spacing w:val="-71"/>
        </w:rPr>
      </w:r>
      <w:r>
        <w:rPr/>
        <w:t>东省潮州市枫溪区蔡陇大道，总部地址为广东省潮州市枫溪区蔡陇大道，实际控制人为蔡廷祥、吴淡珠。</w:t>
      </w:r>
    </w:p>
    <w:p>
      <w:pPr>
        <w:spacing w:line="273" w:lineRule="auto" w:before="163"/>
        <w:ind w:left="534" w:right="5082" w:firstLine="2"/>
        <w:jc w:val="left"/>
        <w:rPr>
          <w:rFonts w:ascii="宋体" w:hAnsi="宋体" w:cs="宋体" w:eastAsia="宋体" w:hint="default"/>
          <w:sz w:val="21"/>
          <w:szCs w:val="21"/>
        </w:rPr>
      </w:pPr>
      <w:r>
        <w:rPr>
          <w:rFonts w:ascii="宋体" w:hAnsi="宋体" w:cs="宋体" w:eastAsia="宋体" w:hint="default"/>
          <w:b/>
          <w:bCs/>
          <w:sz w:val="21"/>
          <w:szCs w:val="21"/>
        </w:rPr>
        <w:t>公司业务性质和主要经营活动</w:t>
      </w:r>
      <w:r>
        <w:rPr>
          <w:rFonts w:ascii="宋体" w:hAnsi="宋体" w:cs="宋体" w:eastAsia="宋体" w:hint="default"/>
          <w:b/>
          <w:bCs/>
          <w:w w:val="99"/>
          <w:sz w:val="21"/>
          <w:szCs w:val="21"/>
        </w:rPr>
        <w:t> </w:t>
      </w:r>
      <w:r>
        <w:rPr>
          <w:rFonts w:ascii="宋体" w:hAnsi="宋体" w:cs="宋体" w:eastAsia="宋体" w:hint="default"/>
          <w:sz w:val="21"/>
          <w:szCs w:val="21"/>
        </w:rPr>
        <w:t>公司属陶瓷制品行业，主要产品为日用陶瓷、艺术陶瓷。</w:t>
      </w:r>
    </w:p>
    <w:p>
      <w:pPr>
        <w:pStyle w:val="Heading4"/>
        <w:spacing w:line="273" w:lineRule="auto" w:before="8"/>
        <w:ind w:right="1017" w:firstLine="420"/>
        <w:jc w:val="left"/>
      </w:pPr>
      <w:r>
        <w:rPr>
          <w:spacing w:val="-3"/>
        </w:rPr>
        <w:t>公司经营范围：生产、销售：工艺陶瓷、骨质瓷、抗菌镁质瓷、电子功能陶瓷（电感陶瓷、电阻陶瓷、</w:t>
      </w:r>
      <w:r>
        <w:rPr/>
        <w:t> </w:t>
      </w:r>
      <w:r>
        <w:rPr>
          <w:spacing w:val="-6"/>
        </w:rPr>
        <w:t>电容陶瓷、光纤连接器陶瓷插芯、陶瓷基板、新能源陶瓷、结构陶瓷）及其它各类陶瓷产品，电子产品（不</w:t>
      </w:r>
      <w:r>
        <w:rPr>
          <w:spacing w:val="-59"/>
        </w:rPr>
        <w:t> </w:t>
      </w:r>
      <w:r>
        <w:rPr>
          <w:spacing w:val="-59"/>
        </w:rPr>
      </w:r>
      <w:r>
        <w:rPr>
          <w:spacing w:val="-3"/>
        </w:rPr>
        <w:t>含电子出版物），包装制品（不含印刷）及陶瓷相关配套的藤、竹、木、铁、布、革、树脂、聚酯、橡胶、</w:t>
      </w:r>
      <w:r>
        <w:rPr>
          <w:spacing w:val="-99"/>
        </w:rPr>
        <w:t> </w:t>
      </w:r>
      <w:r>
        <w:rPr>
          <w:spacing w:val="-99"/>
        </w:rPr>
      </w:r>
      <w:r>
        <w:rPr>
          <w:spacing w:val="-3"/>
        </w:rPr>
        <w:t>玻璃、五金、塑料、不锈钢制品；手机、计算机软件开发、销售；销售：机械设备（不含汽车），五金交</w:t>
      </w:r>
      <w:r>
        <w:rPr>
          <w:spacing w:val="-72"/>
        </w:rPr>
        <w:t> </w:t>
      </w:r>
      <w:r>
        <w:rPr>
          <w:spacing w:val="-72"/>
        </w:rPr>
      </w:r>
      <w:r>
        <w:rPr>
          <w:spacing w:val="-3"/>
        </w:rPr>
        <w:t>电，化工产品（不含危险化学品），家具，建筑材料，针、纺织品，金属材料，家居用品，日用百货，文</w:t>
      </w:r>
      <w:r>
        <w:rPr>
          <w:spacing w:val="-74"/>
        </w:rPr>
        <w:t> </w:t>
      </w:r>
      <w:r>
        <w:rPr>
          <w:spacing w:val="-74"/>
        </w:rPr>
      </w:r>
      <w:r>
        <w:rPr>
          <w:spacing w:val="-6"/>
        </w:rPr>
        <w:t>化艺术品（不含文物）；设计、策划、代理、发布各类广告；商务信息咨询（不含限制项目）；市场建设项</w:t>
      </w:r>
      <w:r>
        <w:rPr>
          <w:spacing w:val="-61"/>
        </w:rPr>
        <w:t> </w:t>
      </w:r>
      <w:r>
        <w:rPr>
          <w:spacing w:val="-61"/>
        </w:rPr>
      </w:r>
      <w:r>
        <w:rPr/>
        <w:t>目投资与资产管理；货物进出口、技术进出口。</w:t>
      </w:r>
      <w:r>
        <w:rPr>
          <w:rFonts w:ascii="宋体" w:hAnsi="宋体" w:cs="宋体" w:eastAsia="宋体" w:hint="default"/>
        </w:rPr>
        <w:t>(</w:t>
      </w:r>
      <w:r>
        <w:rPr/>
        <w:t>依法须经批准的项目，经相关部门批准后方可开展经营 活动</w:t>
      </w:r>
      <w:r>
        <w:rPr>
          <w:rFonts w:ascii="宋体" w:hAnsi="宋体" w:cs="宋体" w:eastAsia="宋体" w:hint="default"/>
        </w:rPr>
        <w:t>)</w:t>
      </w:r>
      <w:r>
        <w:rPr/>
        <w:t>。</w:t>
      </w:r>
    </w:p>
    <w:p>
      <w:pPr>
        <w:spacing w:line="273" w:lineRule="auto" w:before="163"/>
        <w:ind w:left="534" w:right="5187" w:firstLine="2"/>
        <w:jc w:val="left"/>
        <w:rPr>
          <w:rFonts w:ascii="宋体" w:hAnsi="宋体" w:cs="宋体" w:eastAsia="宋体" w:hint="default"/>
          <w:sz w:val="21"/>
          <w:szCs w:val="21"/>
        </w:rPr>
      </w:pPr>
      <w:r>
        <w:rPr>
          <w:rFonts w:ascii="宋体" w:hAnsi="宋体" w:cs="宋体" w:eastAsia="宋体" w:hint="default"/>
          <w:b/>
          <w:bCs/>
          <w:sz w:val="21"/>
          <w:szCs w:val="21"/>
        </w:rPr>
        <w:t>财务报表的批准报出</w:t>
      </w:r>
      <w:r>
        <w:rPr>
          <w:rFonts w:ascii="宋体" w:hAnsi="宋体" w:cs="宋体" w:eastAsia="宋体" w:hint="default"/>
          <w:b/>
          <w:bCs/>
          <w:w w:val="99"/>
          <w:sz w:val="21"/>
          <w:szCs w:val="21"/>
        </w:rPr>
        <w:t> </w:t>
      </w:r>
      <w:r>
        <w:rPr>
          <w:rFonts w:ascii="宋体" w:hAnsi="宋体" w:cs="宋体" w:eastAsia="宋体" w:hint="default"/>
          <w:sz w:val="21"/>
          <w:szCs w:val="21"/>
        </w:rPr>
        <w:t>本财务报表业经公司董事会于</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日批准报出。</w:t>
      </w:r>
    </w:p>
    <w:p>
      <w:pPr>
        <w:spacing w:line="240" w:lineRule="auto" w:before="6"/>
        <w:rPr>
          <w:rFonts w:ascii="宋体" w:hAnsi="宋体" w:cs="宋体" w:eastAsia="宋体" w:hint="default"/>
          <w:sz w:val="24"/>
          <w:szCs w:val="24"/>
        </w:rPr>
      </w:pPr>
    </w:p>
    <w:p>
      <w:pPr>
        <w:spacing w:line="273" w:lineRule="auto" w:before="0"/>
        <w:ind w:left="534" w:right="5187" w:firstLine="2"/>
        <w:jc w:val="left"/>
        <w:rPr>
          <w:rFonts w:ascii="宋体" w:hAnsi="宋体" w:cs="宋体" w:eastAsia="宋体" w:hint="default"/>
          <w:sz w:val="21"/>
          <w:szCs w:val="21"/>
        </w:rPr>
      </w:pP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本期纳入合并财务报表范围的主体共</w:t>
      </w:r>
      <w:r>
        <w:rPr>
          <w:rFonts w:ascii="宋体" w:hAnsi="宋体" w:cs="宋体" w:eastAsia="宋体" w:hint="default"/>
          <w:sz w:val="21"/>
          <w:szCs w:val="21"/>
        </w:rPr>
        <w:t>115</w:t>
      </w:r>
      <w:r>
        <w:rPr>
          <w:rFonts w:ascii="宋体" w:hAnsi="宋体" w:cs="宋体" w:eastAsia="宋体" w:hint="default"/>
          <w:sz w:val="21"/>
          <w:szCs w:val="21"/>
        </w:rPr>
        <w:t>户，具体包括：</w:t>
      </w:r>
    </w:p>
    <w:p>
      <w:pPr>
        <w:spacing w:line="240" w:lineRule="auto" w:before="8"/>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667"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07" w:right="9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表决权比例</w:t>
            </w:r>
          </w:p>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潮州市万泉瓷业有限公司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深圳万城投资管理有限公司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河南长城绿色瓷艺科技有限公司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潮州市长城世家瓷业有限公司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郑州长城世家商贸有限公司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广州韵网信息科技有限公司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新疆联汛展望教育科技有限公司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郑州市智游职业培训学校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郑州智游爱峰科技有限公司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郑州智游联动教育咨询有限公司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北京京师智游教育科技有限公司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南京欧米伽网络科技有限公司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霍尔果斯臻龙教育科技有限公司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355"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21</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山西智游臻龙互联网科技有限公司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河北臻龙科技有限公司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厦门爱峰沐川科技有限公司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北京完美空间教育科技有限公司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成都翡翠教育咨询有限公司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北京市朝阳区昭阳软件教育培训学校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北京创思兰德教育科技有限公司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上海志趣动漫设计有限公司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广州市翡翠教育信息咨询有限公司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武汉翡翠空间数字科技有限公司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郑州翡翠计算机科技有限公司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成都卓新思创科技有限公司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安徽省创思兰博信息科技有限公司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西安品优创意文化发展有限公司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西安卓新数码科技有限公司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西安完美空间职业技能培训学校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上海昊育信息技术有限公司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上海安逆杰信息技术有限公司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51.00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沈阳磐岳网络科技有限公司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创思兰博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科技股份有限公司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上海翡翠职业技能培训学校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天津卓运天成科技有限公司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上海卓雅网络科技有限公司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天津完美空间数字技术有限责任公司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杭州并轨者网络科技有限公司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安徽省智趣兰德科技有限公司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北京畅晟宏达科技有限公司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常州世宏南骏信息科技有限公司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大连中钰睿泓科技有限公司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福州点积信息科技有限公司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河北翊思卓科技有限公司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无锡市智慧天空信息科技有限公司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南昌卡戎网络科技有限公司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宁波盛逸计算机科技有限公司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盛世光影（深圳）传媒有限公司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沈阳凯宣科技有限公司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天津众云金泰科技有限公司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广州市南跃科技有限公司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355"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60</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南宁易达讯网络科技有限公司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山西钰陆教育科技有限公司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山西智帆教育科技有限公司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重庆阿克提吾科技有限公司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北京创意之星艺术设计有限公司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西安拓客网络科技有限公司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北京优逸睿智科技有限公司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深圳市世纪星联科技有限公司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广州市联核攻源科技有限公司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湖南卓越新腾信息技术有限公司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南京诺博连信息科技有限公司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南昌五芒星科技有限公司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青岛龙果科技技术有限公司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成都智慧创想科技有限公司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上海嗣峰网络科技有限公司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重庆卓思迅杰科技有限公司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上海犇迩网络科技有限公司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西安易创智达科技有限公司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霍尔果斯众妙合一信息技术有限公司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成都龙腾讯飞科技有限公司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贵阳华腾天创科技有限公司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济南凡格信息科技有限公司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柳州墨本科技有限公司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南京小鸡卓米网络科技有限公司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武汉创思兰博科技有限公司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郑州智世睿通软件科技有限公司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杭州果脉科技有限公司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苏州深层纬度教育科技有限公司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上海墨林教育科技有限公司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长沙翡翠网络游戏有限公司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济南迅奇网络科技有限公司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深圳市灵动空间网络科技有限公司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长春市完美空间教育科技有限公司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哈尔滨聚谦电子信息技术有限公司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重庆翊思卓科技有限公司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西安完美创意科技有限公司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广州九点网络有限公司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杭州千程万码软件有限公司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55.00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55.00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昆明添力网络科技有限公司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34"/>
        <w:gridCol w:w="3544"/>
        <w:gridCol w:w="1560"/>
        <w:gridCol w:w="703"/>
        <w:gridCol w:w="1094"/>
        <w:gridCol w:w="1094"/>
      </w:tblGrid>
      <w:tr>
        <w:trPr>
          <w:trHeight w:val="355" w:hRule="exact"/>
        </w:trPr>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99</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米果科技</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10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深圳凌点网络科技有限公司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大连创睿网络技术有限公司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常州网之合信息科技有限公司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河北佳岷科技有限公司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烟台丛聚网络技术有限公司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湖南正致教育科技有限公司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106</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贺州市盛东网络科技有限公司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107</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武汉索思艾特科技有限公司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108</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南京睿斯博信息科技有限公司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109</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海南翊思卓网络科技有限公司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110</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海南完美空间网络科技有限公司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111</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潮州市润潮陶瓷有限公司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112</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潮州市长城世家贸易有限公司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3"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113</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湖北智游臻龙教育科技有限公司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60.00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60.00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114</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南京巅峰数据服务有限公司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r>
        <w:trPr>
          <w:trHeight w:val="352" w:hRule="exact"/>
        </w:trPr>
        <w:tc>
          <w:tcPr>
            <w:tcW w:w="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115</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苏州云柯数据服务有限公司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0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w:t>
            </w:r>
          </w:p>
        </w:tc>
      </w:tr>
    </w:tbl>
    <w:p>
      <w:pPr>
        <w:spacing w:line="240" w:lineRule="auto" w:before="4"/>
        <w:rPr>
          <w:rFonts w:ascii="Times New Roman" w:hAnsi="Times New Roman" w:cs="Times New Roman" w:eastAsia="Times New Roman" w:hint="default"/>
          <w:sz w:val="9"/>
          <w:szCs w:val="9"/>
        </w:rPr>
      </w:pPr>
    </w:p>
    <w:p>
      <w:pPr>
        <w:pStyle w:val="Heading4"/>
        <w:spacing w:line="273" w:lineRule="auto" w:before="35"/>
        <w:ind w:right="1512" w:firstLine="420"/>
        <w:jc w:val="left"/>
      </w:pPr>
      <w:r>
        <w:rPr/>
        <w:t>本期纳入合并财务报表范围的主体较上期相比，增加</w:t>
      </w:r>
      <w:r>
        <w:rPr>
          <w:rFonts w:ascii="宋体" w:hAnsi="宋体" w:cs="宋体" w:eastAsia="宋体" w:hint="default"/>
        </w:rPr>
        <w:t>92</w:t>
      </w:r>
      <w:r>
        <w:rPr/>
        <w:t>户，减少</w:t>
      </w:r>
      <w:r>
        <w:rPr>
          <w:rFonts w:ascii="宋体" w:hAnsi="宋体" w:cs="宋体" w:eastAsia="宋体" w:hint="default"/>
        </w:rPr>
        <w:t>2</w:t>
      </w:r>
      <w:r>
        <w:rPr/>
        <w:t>户，其中： </w:t>
      </w:r>
      <w:r>
        <w:rPr>
          <w:rFonts w:ascii="宋体" w:hAnsi="宋体" w:cs="宋体" w:eastAsia="宋体" w:hint="default"/>
        </w:rPr>
        <w:t>1.</w:t>
      </w:r>
      <w:r>
        <w:rPr/>
        <w:t>本期新纳入合并范围的子公司、特殊目的主体、通过受托经营或承租等方式形成控制权的经营实体</w:t>
      </w: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北京完美空间教育科技有限公司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成都翡翠教育咨询有限公司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北京市朝阳区昭阳软件教育培训学校</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北京创思兰德教育科技有限公司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上海志趣动漫设计有限公司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广州市翡翠教育信息咨询有限公司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武汉翡翠空间数字科技有限公司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郑州翡翠计算机科技有限公司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成都卓新思创科技有限公司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安徽省创思兰博信息科技有限公司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西安品优创意文化发展有限公司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西安卓新数码科技有限公司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西安完美空间职业技能培训学校</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上海昊育信息技术有限公司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上海安逆杰信息技术有限公司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沈阳磐岳网络科技有限公司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创思兰博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科技股份有限公司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上海翡翠职业技能培训学校</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天津卓运天成科技有限公司</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上海卓雅网络科技有限公司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天津完美空间数字技术有限责任公司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杭州并轨者网络科技有限公司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安徽省智趣兰德科技有限公司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北京畅晟宏达科技有限公司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常州世宏南骏信息科技有限公司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大连中钰睿泓科技有限公司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福州点积信息科技有限公司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河北翊思卓科技有限公司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无锡市智慧天空信息科技有限公司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南昌卡戎网络科技有限公司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宁波盛逸计算机科技有限公司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盛世光影（深圳）传媒有限公司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沈阳凯宣科技有限公司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天津众云金泰科技有限公司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广州市南跃科技有限公司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南宁易达讯网络科技有限公司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山西钰陆教育科技有限公司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山西智帆教育科技有限公司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重庆阿克提吾科技有限公司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北京创意之星艺术设计有限公司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西安拓客网络科技有限公司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北京优逸睿智科技有限公司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深圳市世纪星联科技有限公司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广州市联核攻源科技有限公司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湖南卓越新腾信息技术有限公司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南京诺博连信息科技有限公司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南昌五芒星科技有限公司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青岛龙果科技技术有限公司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成都智慧创想科技有限公司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上海嗣峰网络科技有限公司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重庆卓思迅杰科技有限公司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上海犇迩网络科技有限公司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西安易创智达科技有限公司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霍尔果斯众妙合一信息技术有限公司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成都龙腾讯飞科技有限公司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贵阳华腾天创科技有限公司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济南凡格信息科技有限公司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816"/>
        <w:gridCol w:w="4509"/>
        <w:gridCol w:w="3202"/>
      </w:tblGrid>
      <w:tr>
        <w:trPr>
          <w:trHeight w:val="355" w:hRule="exact"/>
        </w:trPr>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59</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柳州墨本科技有限公司</w:t>
            </w:r>
          </w:p>
        </w:tc>
        <w:tc>
          <w:tcPr>
            <w:tcW w:w="32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南京小鸡卓米网络科技有限公司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武汉创思兰博科技有限公司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郑州智世睿通软件科技有限公司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杭州果脉科技有限公司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苏州深层纬度教育科技有限公司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上海墨林教育科技有限公司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长沙翡翠网络游戏有限公司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济南迅奇网络科技有限公司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深圳市灵动空间网络科技有限公司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长春市完美空间教育科技有限公司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哈尔滨聚谦电子信息技术有限公司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重庆翊思卓科技有限公司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西安完美创意科技有限公司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广州九点网络有限公司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杭州千程万码软件有限公司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昆明添力网络科技有限公司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米果科技</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深圳凌点网络科技有限公司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大连创睿网络技术有限公司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常州网之合信息科技有限公司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河北佳岷科技有限公司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烟台丛聚网络技术有限公司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湖南正致教育科技有限公司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83</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贺州市盛东网络科技有限公司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84</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武汉索思艾特科技有限公司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85</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南京睿斯博信息科技有限公司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86</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海南翊思卓网络科技有限公司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87</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海南完美空间网络科技有限公司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88</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潮州市润潮陶瓷有限公司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89</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潮州市长城世家贸易有限公司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90</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湖北智游臻龙教育科技有限公司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南京巅峰数据服务有限公司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2"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92</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苏州云柯数据服务有限公司</w:t>
            </w:r>
          </w:p>
        </w:tc>
        <w:tc>
          <w:tcPr>
            <w:tcW w:w="32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spacing w:line="240" w:lineRule="auto" w:before="2"/>
        <w:rPr>
          <w:rFonts w:ascii="Times New Roman" w:hAnsi="Times New Roman" w:cs="Times New Roman" w:eastAsia="Times New Roman" w:hint="default"/>
          <w:sz w:val="9"/>
          <w:szCs w:val="9"/>
        </w:rPr>
      </w:pPr>
    </w:p>
    <w:p>
      <w:pPr>
        <w:pStyle w:val="Heading4"/>
        <w:spacing w:line="240" w:lineRule="auto" w:before="35"/>
        <w:ind w:right="0"/>
        <w:jc w:val="left"/>
      </w:pPr>
      <w:r>
        <w:rPr>
          <w:rFonts w:ascii="宋体" w:hAnsi="宋体" w:cs="宋体" w:eastAsia="宋体" w:hint="default"/>
        </w:rPr>
        <w:t>2.</w:t>
      </w:r>
      <w:r>
        <w:rPr/>
        <w:t>本期不再纳入合并范围的子公司、特殊目的主体、通过委托经营或出租等方式丧失控制权的经营实体</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818"/>
        <w:gridCol w:w="4509"/>
        <w:gridCol w:w="3203"/>
      </w:tblGrid>
      <w:tr>
        <w:trPr>
          <w:trHeight w:val="355" w:hRule="exact"/>
        </w:trPr>
        <w:tc>
          <w:tcPr>
            <w:tcW w:w="8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32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8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c>
          <w:tcPr>
            <w:tcW w:w="4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江西联汛教育科技有限公司</w:t>
            </w:r>
          </w:p>
        </w:tc>
        <w:tc>
          <w:tcPr>
            <w:tcW w:w="32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818"/>
        <w:gridCol w:w="4509"/>
        <w:gridCol w:w="3203"/>
      </w:tblGrid>
      <w:tr>
        <w:trPr>
          <w:trHeight w:val="355" w:hRule="exact"/>
        </w:trPr>
        <w:tc>
          <w:tcPr>
            <w:tcW w:w="8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4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新疆智游点石教育科技有限公司</w:t>
            </w:r>
          </w:p>
        </w:tc>
        <w:tc>
          <w:tcPr>
            <w:tcW w:w="32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1"/>
        <w:rPr>
          <w:rFonts w:ascii="宋体" w:hAnsi="宋体" w:cs="宋体" w:eastAsia="宋体" w:hint="default"/>
          <w:sz w:val="8"/>
          <w:szCs w:val="8"/>
        </w:rPr>
      </w:pPr>
    </w:p>
    <w:p>
      <w:pPr>
        <w:pStyle w:val="Heading4"/>
        <w:spacing w:line="240" w:lineRule="auto" w:before="35"/>
        <w:ind w:left="534" w:right="0"/>
        <w:jc w:val="left"/>
      </w:pPr>
      <w:r>
        <w:rPr/>
        <w:t>合并范围变更主体的具体信息详见“附注七、合并范围的变更</w:t>
      </w:r>
      <w:r>
        <w:rPr>
          <w:spacing w:val="-105"/>
        </w:rPr>
        <w:t>”</w:t>
      </w:r>
      <w:r>
        <w:rPr/>
        <w:t>。</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130" w:firstLine="420"/>
        <w:jc w:val="both"/>
      </w:pPr>
      <w:r>
        <w:rPr>
          <w:spacing w:val="-1"/>
        </w:rPr>
        <w:t>公司根据实际发生的交易和事项，按照财政部颁布的《企业会计准则——基本准则》和具体企业会计</w:t>
      </w:r>
      <w:r>
        <w:rPr/>
        <w:t> </w:t>
      </w:r>
      <w:r>
        <w:rPr>
          <w:spacing w:val="-1"/>
        </w:rPr>
        <w:t>准则、企业会计准则应用指南、企业会计准则解释及其他相关规定（以下合称“企业会计准则”）进行确</w:t>
      </w:r>
      <w:r>
        <w:rPr>
          <w:spacing w:val="-94"/>
        </w:rPr>
        <w:t> </w:t>
      </w:r>
      <w:r>
        <w:rPr>
          <w:spacing w:val="-94"/>
        </w:rPr>
      </w:r>
      <w:r>
        <w:rPr>
          <w:spacing w:val="-1"/>
        </w:rPr>
        <w:t>认和计量，在此基础上，结合中国证券监督管理委员会《公开发行证券的公司信息披露编报规则第</w:t>
      </w:r>
      <w:r>
        <w:rPr>
          <w:rFonts w:ascii="宋体" w:hAnsi="宋体" w:cs="宋体" w:eastAsia="宋体" w:hint="default"/>
          <w:spacing w:val="-1"/>
        </w:rPr>
        <w:t>15</w:t>
      </w:r>
      <w:r>
        <w:rPr>
          <w:spacing w:val="-1"/>
        </w:rPr>
        <w:t>号—</w:t>
      </w:r>
    </w:p>
    <w:p>
      <w:pPr>
        <w:pStyle w:val="Heading4"/>
        <w:spacing w:line="240" w:lineRule="auto"/>
        <w:ind w:right="0"/>
        <w:jc w:val="left"/>
      </w:pPr>
      <w:r>
        <w:rPr/>
        <w:t>—财务报告的一般规定</w:t>
      </w:r>
      <w:r>
        <w:rPr>
          <w:spacing w:val="-106"/>
        </w:rPr>
        <w:t>》</w:t>
      </w:r>
      <w:r>
        <w:rPr/>
        <w:t>（</w:t>
      </w:r>
      <w:r>
        <w:rPr>
          <w:rFonts w:ascii="宋体" w:hAnsi="宋体" w:cs="宋体" w:eastAsia="宋体" w:hint="default"/>
        </w:rPr>
        <w:t>201</w:t>
      </w:r>
      <w:r>
        <w:rPr>
          <w:rFonts w:ascii="宋体" w:hAnsi="宋体" w:cs="宋体" w:eastAsia="宋体" w:hint="default"/>
          <w:spacing w:val="1"/>
        </w:rPr>
        <w:t>4</w:t>
      </w:r>
      <w:r>
        <w:rPr/>
        <w:t>年</w:t>
      </w:r>
      <w:r>
        <w:rPr>
          <w:spacing w:val="-2"/>
        </w:rPr>
        <w:t>修</w:t>
      </w:r>
      <w:r>
        <w:rPr/>
        <w:t>订）的规定，编制财务报表。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131" w:firstLine="420"/>
        <w:jc w:val="both"/>
      </w:pPr>
      <w:r>
        <w:rPr>
          <w:spacing w:val="-1"/>
        </w:rPr>
        <w:t>公司对报告期末起</w:t>
      </w:r>
      <w:r>
        <w:rPr>
          <w:rFonts w:ascii="宋体" w:hAnsi="宋体" w:cs="宋体" w:eastAsia="宋体" w:hint="default"/>
          <w:spacing w:val="-1"/>
        </w:rPr>
        <w:t>12</w:t>
      </w:r>
      <w:r>
        <w:rPr>
          <w:spacing w:val="-1"/>
        </w:rPr>
        <w:t>个月的持续经营能力进行了评价，未发现对持续经营能力产生重大怀疑的事项或</w:t>
      </w:r>
      <w:r>
        <w:rPr/>
        <w:t> 情况。因此，本财务报表系在持续经营假设的基础上编制。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57" w:lineRule="auto" w:before="26"/>
        <w:ind w:right="8118"/>
        <w:jc w:val="left"/>
      </w:pPr>
      <w:r>
        <w:rPr/>
        <w:t>具体会计政策和会计估计提示： 无</w:t>
      </w:r>
    </w:p>
    <w:p>
      <w:pPr>
        <w:spacing w:line="614" w:lineRule="exact" w:before="18"/>
        <w:ind w:left="534" w:right="0" w:hanging="420"/>
        <w:jc w:val="left"/>
        <w:rPr>
          <w:rFonts w:ascii="宋体" w:hAnsi="宋体" w:cs="宋体" w:eastAsia="宋体" w:hint="default"/>
          <w:sz w:val="21"/>
          <w:szCs w:val="21"/>
        </w:rPr>
      </w:pPr>
      <w:bookmarkStart w:name="1、遵循企业会计准则的声明" w:id="169"/>
      <w:bookmarkEnd w:id="1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公司所编制的财务报表符合企业会计准则的要求，真实、完整地反映了报告期公司的财务状况、经营</w:t>
      </w:r>
    </w:p>
    <w:p>
      <w:pPr>
        <w:pStyle w:val="Heading4"/>
        <w:spacing w:line="219" w:lineRule="exact" w:before="0"/>
        <w:ind w:right="0"/>
        <w:jc w:val="left"/>
      </w:pPr>
      <w:r>
        <w:rPr/>
        <w:t>成果、现金流量等有关信息。</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34"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34" w:right="0"/>
        <w:jc w:val="left"/>
      </w:pPr>
      <w:r>
        <w:rPr/>
        <w:t>采用人民币为记账本位币。</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73" w:lineRule="auto"/>
        <w:ind w:right="0" w:firstLine="422"/>
        <w:jc w:val="left"/>
        <w:rPr>
          <w:b w:val="0"/>
          <w:bCs w:val="0"/>
        </w:rPr>
      </w:pPr>
      <w:r>
        <w:rPr>
          <w:spacing w:val="-1"/>
          <w:w w:val="95"/>
        </w:rPr>
        <w:t>分步实现企业合并过程中的各项交易的条款、条件以及经济影响符合以下一种或多种情况，将多次交</w:t>
      </w:r>
      <w:r>
        <w:rPr>
          <w:spacing w:val="-83"/>
          <w:w w:val="95"/>
        </w:rPr>
        <w:t> </w:t>
      </w:r>
      <w:r>
        <w:rPr>
          <w:spacing w:val="-83"/>
          <w:w w:val="95"/>
        </w:rPr>
      </w:r>
      <w:r>
        <w:rPr/>
        <w:t>易事项作为一揽子交易进行会计处理</w:t>
      </w:r>
      <w:r>
        <w:rPr>
          <w:b w:val="0"/>
          <w:bCs w:val="0"/>
        </w:rPr>
      </w:r>
    </w:p>
    <w:p>
      <w:pPr>
        <w:pStyle w:val="Heading4"/>
        <w:spacing w:line="240" w:lineRule="auto" w:before="8"/>
        <w:ind w:left="534" w:right="0"/>
        <w:jc w:val="left"/>
      </w:pPr>
      <w:r>
        <w:rPr/>
        <w:t>（</w:t>
      </w:r>
      <w:r>
        <w:rPr>
          <w:rFonts w:ascii="宋体" w:hAnsi="宋体" w:cs="宋体" w:eastAsia="宋体" w:hint="default"/>
        </w:rPr>
        <w:t>1</w:t>
      </w:r>
      <w:r>
        <w:rPr/>
        <w:t>）这些交易是同时或者在考虑了彼此影响的情况下订立的；</w:t>
      </w:r>
    </w:p>
    <w:p>
      <w:pPr>
        <w:pStyle w:val="Heading4"/>
        <w:spacing w:line="240" w:lineRule="auto" w:before="37"/>
        <w:ind w:left="534" w:right="0"/>
        <w:jc w:val="left"/>
      </w:pPr>
      <w:r>
        <w:rPr/>
        <w:t>（</w:t>
      </w:r>
      <w:r>
        <w:rPr>
          <w:rFonts w:ascii="宋体" w:hAnsi="宋体" w:cs="宋体" w:eastAsia="宋体" w:hint="default"/>
        </w:rPr>
        <w:t>2</w:t>
      </w:r>
      <w:r>
        <w:rPr/>
        <w:t>）这些交易整体才能达成一项完整的商业结果；</w:t>
      </w:r>
    </w:p>
    <w:p>
      <w:pPr>
        <w:pStyle w:val="Heading4"/>
        <w:spacing w:line="240" w:lineRule="auto" w:before="37"/>
        <w:ind w:left="534" w:right="0"/>
        <w:jc w:val="left"/>
      </w:pPr>
      <w:r>
        <w:rPr/>
        <w:t>（</w:t>
      </w:r>
      <w:r>
        <w:rPr>
          <w:rFonts w:ascii="宋体" w:hAnsi="宋体" w:cs="宋体" w:eastAsia="宋体" w:hint="default"/>
        </w:rPr>
        <w:t>3</w:t>
      </w:r>
      <w:r>
        <w:rPr/>
        <w:t>）一项交易的发生取决于其他至少一项交易的发生；</w:t>
      </w:r>
    </w:p>
    <w:p>
      <w:pPr>
        <w:spacing w:line="273" w:lineRule="auto" w:before="37"/>
        <w:ind w:left="536" w:right="3508" w:hanging="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）一项交易单独看是不经济的，但是和其他交易一并考虑时是经济的。 </w:t>
      </w:r>
      <w:r>
        <w:rPr>
          <w:rFonts w:ascii="宋体" w:hAnsi="宋体" w:cs="宋体" w:eastAsia="宋体" w:hint="default"/>
          <w:b/>
          <w:bCs/>
          <w:sz w:val="21"/>
          <w:szCs w:val="21"/>
        </w:rPr>
        <w:t>同一控制下的企业合并</w:t>
      </w:r>
      <w:r>
        <w:rPr>
          <w:rFonts w:ascii="宋体" w:hAnsi="宋体" w:cs="宋体" w:eastAsia="宋体" w:hint="default"/>
          <w:sz w:val="21"/>
          <w:szCs w:val="21"/>
        </w:rPr>
      </w:r>
    </w:p>
    <w:p>
      <w:pPr>
        <w:pStyle w:val="Heading4"/>
        <w:spacing w:line="273" w:lineRule="auto"/>
        <w:ind w:right="1130" w:firstLine="420"/>
        <w:jc w:val="both"/>
      </w:pPr>
      <w:r>
        <w:rPr>
          <w:spacing w:val="-1"/>
        </w:rPr>
        <w:t>公司在企业合并中取得的资产和负债，按照合并日在被合并方资产、负债（包括最终控制方收购被合</w:t>
      </w:r>
      <w:r>
        <w:rPr/>
        <w:t> </w:t>
      </w:r>
      <w:r>
        <w:rPr>
          <w:spacing w:val="-1"/>
        </w:rPr>
        <w:t>并方而形成的商誉）在最终控制方合并财务报表中的账面价值计量。在合并中取得的净资产账面价值与支</w:t>
      </w:r>
      <w:r>
        <w:rPr>
          <w:spacing w:val="-81"/>
        </w:rPr>
        <w:t> </w:t>
      </w:r>
      <w:r>
        <w:rPr>
          <w:spacing w:val="-81"/>
        </w:rPr>
      </w:r>
      <w:r>
        <w:rPr>
          <w:spacing w:val="-1"/>
        </w:rPr>
        <w:t>付的合并对价账面价值（或发行股份面值总额）的差额，调整资本公积中的股本溢价，资本公积中的股本</w:t>
      </w:r>
      <w:r>
        <w:rPr>
          <w:spacing w:val="-85"/>
        </w:rPr>
        <w:t> </w:t>
      </w:r>
      <w:r>
        <w:rPr>
          <w:spacing w:val="-85"/>
        </w:rPr>
      </w:r>
      <w:r>
        <w:rPr/>
        <w:t>溢价不足冲减的，调整留存收益。</w:t>
      </w:r>
    </w:p>
    <w:p>
      <w:pPr>
        <w:pStyle w:val="Heading4"/>
        <w:spacing w:line="273" w:lineRule="auto"/>
        <w:ind w:right="0" w:firstLine="420"/>
        <w:jc w:val="left"/>
      </w:pPr>
      <w:r>
        <w:rPr>
          <w:spacing w:val="-1"/>
        </w:rPr>
        <w:t>如果存在或有对价并需要确认预计负债或资产，该预计负债或资产金额与后续或有对价结算金额的差</w:t>
      </w:r>
      <w:r>
        <w:rPr/>
        <w:t> </w:t>
      </w:r>
      <w:r>
        <w:rPr>
          <w:spacing w:val="-4"/>
        </w:rPr>
        <w:t>额，调整资本公积（资本溢价或股本溢价），资本公积不足的，调整留存收益。</w:t>
      </w:r>
    </w:p>
    <w:p>
      <w:pPr>
        <w:pStyle w:val="Heading4"/>
        <w:spacing w:line="273" w:lineRule="auto"/>
        <w:ind w:right="1110" w:firstLine="420"/>
        <w:jc w:val="both"/>
      </w:pPr>
      <w:r>
        <w:rPr>
          <w:spacing w:val="-1"/>
        </w:rPr>
        <w:t>对于通过多次交易最终实现企业合并的，属于一揽子交易的，将各项交易作为一项取得控制权的交易</w:t>
      </w:r>
      <w:r>
        <w:rPr/>
        <w:t> </w:t>
      </w:r>
      <w:r>
        <w:rPr>
          <w:spacing w:val="-1"/>
        </w:rPr>
        <w:t>进行会计处理；不属于一揽子交易的，在取得控制权日，长期股权投资初始投资成本，与达到合并前的长</w:t>
      </w:r>
      <w:r>
        <w:rPr>
          <w:spacing w:val="-86"/>
        </w:rPr>
        <w:t> </w:t>
      </w:r>
      <w:r>
        <w:rPr>
          <w:spacing w:val="-86"/>
        </w:rPr>
      </w:r>
      <w:r>
        <w:rPr>
          <w:spacing w:val="-1"/>
        </w:rPr>
        <w:t>期股权投资账面价值加上合并日进一步取得股份新支付对价的账面价值之和的差额，调整资本公积；资本</w:t>
      </w:r>
      <w:r>
        <w:rPr>
          <w:spacing w:val="-81"/>
        </w:rPr>
        <w:t> </w:t>
      </w:r>
      <w:r>
        <w:rPr>
          <w:spacing w:val="-81"/>
        </w:rPr>
      </w:r>
      <w:r>
        <w:rPr>
          <w:spacing w:val="-1"/>
        </w:rPr>
        <w:t>公积不足冲减的，调整留存收益。对于合并日之前持有的股权投资，因采用权益法核算或金融工具确认和</w:t>
      </w:r>
      <w:r>
        <w:rPr>
          <w:spacing w:val="-83"/>
        </w:rPr>
        <w:t> </w:t>
      </w:r>
      <w:r>
        <w:rPr>
          <w:spacing w:val="-83"/>
        </w:rPr>
      </w:r>
      <w:r>
        <w:rPr>
          <w:spacing w:val="-1"/>
        </w:rPr>
        <w:t>计量准则核算而确认的其他综合收益，暂不进行会计处理，直至处置该项投资时采用与被投资单位直接处</w:t>
      </w:r>
      <w:r>
        <w:rPr>
          <w:spacing w:val="-81"/>
        </w:rPr>
        <w:t> </w:t>
      </w:r>
      <w:r>
        <w:rPr>
          <w:spacing w:val="-81"/>
        </w:rPr>
      </w:r>
      <w:r>
        <w:rPr/>
        <w:t>置相关资产或负债相同的基础进行会计处理；因采用权益法核算而确认的被投资单位净资产中除净损益、 </w:t>
      </w:r>
      <w:r>
        <w:rPr>
          <w:spacing w:val="-1"/>
        </w:rPr>
        <w:t>其他综合收益和利润分配以外的所有者权益其他变动，暂不进行会计处理，直至处置该项投资时转入当期</w:t>
      </w:r>
      <w:r>
        <w:rPr>
          <w:spacing w:val="-81"/>
        </w:rPr>
        <w:t> </w:t>
      </w:r>
      <w:r>
        <w:rPr>
          <w:spacing w:val="-81"/>
        </w:rPr>
      </w:r>
      <w:r>
        <w:rPr/>
        <w:t>损益。</w:t>
      </w:r>
    </w:p>
    <w:p>
      <w:pPr>
        <w:spacing w:line="273" w:lineRule="auto" w:before="7"/>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购买日是指公司实际取得对被购买方控制权的日期，即被购买方的净资产或生产经营决策的控制权转</w:t>
      </w:r>
    </w:p>
    <w:p>
      <w:pPr>
        <w:pStyle w:val="Heading4"/>
        <w:spacing w:line="240" w:lineRule="auto"/>
        <w:ind w:right="0"/>
        <w:jc w:val="left"/>
      </w:pPr>
      <w:r>
        <w:rPr/>
        <w:t>移给公司的日期。同时满足下列条件时，公司一般认为实现了控制权的转移：</w:t>
      </w:r>
    </w:p>
    <w:p>
      <w:pPr>
        <w:pStyle w:val="Heading4"/>
        <w:spacing w:line="240" w:lineRule="auto" w:before="37"/>
        <w:ind w:left="534" w:right="0"/>
        <w:jc w:val="left"/>
      </w:pPr>
      <w:r>
        <w:rPr/>
        <w:t>①企业合并合同或协议已获公司内部权力机构通过。</w:t>
      </w:r>
    </w:p>
    <w:p>
      <w:pPr>
        <w:pStyle w:val="Heading4"/>
        <w:spacing w:line="240" w:lineRule="auto" w:before="37"/>
        <w:ind w:left="534" w:right="0"/>
        <w:jc w:val="left"/>
      </w:pPr>
      <w:r>
        <w:rPr/>
        <w:t>②企业合并事项需要经过国家有关主管部门审批的，已获得批准。</w:t>
      </w:r>
    </w:p>
    <w:p>
      <w:pPr>
        <w:pStyle w:val="Heading4"/>
        <w:spacing w:line="240" w:lineRule="auto" w:before="37"/>
        <w:ind w:left="534" w:right="0"/>
        <w:jc w:val="left"/>
      </w:pPr>
      <w:r>
        <w:rPr/>
        <w:t>③已办理了必要的财产权转移手续。</w:t>
      </w:r>
    </w:p>
    <w:p>
      <w:pPr>
        <w:pStyle w:val="Heading4"/>
        <w:spacing w:line="240" w:lineRule="auto" w:before="37"/>
        <w:ind w:left="534" w:right="0"/>
        <w:jc w:val="left"/>
      </w:pPr>
      <w:r>
        <w:rPr/>
        <w:t>④公司已支付了合并价款的大部分，并且有能力、有计划支付剩余款项。</w:t>
      </w:r>
    </w:p>
    <w:p>
      <w:pPr>
        <w:pStyle w:val="Heading4"/>
        <w:spacing w:line="273" w:lineRule="auto" w:before="37"/>
        <w:ind w:left="534" w:right="0"/>
        <w:jc w:val="left"/>
      </w:pPr>
      <w:r>
        <w:rPr/>
        <w:t>⑤公司实际上已经控制了被购买方的财务和经营政策，并享有相应的利益、承担相应的风险。 </w:t>
      </w:r>
      <w:r>
        <w:rPr>
          <w:spacing w:val="-1"/>
        </w:rPr>
        <w:t>公司在购买日对作为企业合并对价付出的资产、发生或承担的负债按照公允价值计量，公允价值与其</w:t>
      </w:r>
    </w:p>
    <w:p>
      <w:pPr>
        <w:pStyle w:val="Heading4"/>
        <w:spacing w:line="273" w:lineRule="auto"/>
        <w:ind w:left="534" w:right="0" w:hanging="420"/>
        <w:jc w:val="left"/>
      </w:pPr>
      <w:r>
        <w:rPr/>
        <w:t>账面价值的差额，计入当期损益。 </w:t>
      </w:r>
      <w:r>
        <w:rPr>
          <w:spacing w:val="-1"/>
        </w:rPr>
        <w:t>公司对合并成本大于合并中取得的被购买方可辨认净资产公允价值份额的差额，确认为商誉；合并成</w:t>
      </w:r>
    </w:p>
    <w:p>
      <w:pPr>
        <w:pStyle w:val="Heading4"/>
        <w:spacing w:line="273" w:lineRule="auto"/>
        <w:ind w:left="534" w:right="0" w:hanging="420"/>
        <w:jc w:val="left"/>
      </w:pPr>
      <w:r>
        <w:rPr/>
        <w:t>本小于合并中取得的被购买方可辨认净资产公允价值份额的差额，经复核后，计入当期损益。 </w:t>
      </w:r>
      <w:r>
        <w:rPr>
          <w:spacing w:val="-1"/>
        </w:rPr>
        <w:t>通过多次交换交易分步实现的非同一控制下企业合并，属于一揽子交易的，将各项交易作为一项取得</w:t>
      </w:r>
    </w:p>
    <w:p>
      <w:pPr>
        <w:pStyle w:val="Heading4"/>
        <w:spacing w:line="273" w:lineRule="auto"/>
        <w:ind w:right="1130"/>
        <w:jc w:val="both"/>
      </w:pPr>
      <w:r>
        <w:rPr>
          <w:spacing w:val="-1"/>
        </w:rPr>
        <w:t>控制权的交易进行会计处理；不属于一揽子交易的，合并日之前持有的股权投资采用权益法核算的，以购</w:t>
      </w:r>
      <w:r>
        <w:rPr>
          <w:spacing w:val="-83"/>
        </w:rPr>
        <w:t> </w:t>
      </w:r>
      <w:r>
        <w:rPr>
          <w:spacing w:val="-83"/>
        </w:rPr>
      </w:r>
      <w:r>
        <w:rPr>
          <w:spacing w:val="3"/>
        </w:rPr>
        <w:t>买日之前所持被购买方的股权投资的账面价值与购买日新增投资成本之和，作为该项投资的初始投资成</w:t>
      </w:r>
      <w:r>
        <w:rPr>
          <w:spacing w:val="-74"/>
        </w:rPr>
        <w:t> </w:t>
      </w:r>
      <w:r>
        <w:rPr>
          <w:spacing w:val="-74"/>
        </w:rPr>
      </w:r>
      <w:r>
        <w:rPr>
          <w:spacing w:val="-1"/>
        </w:rPr>
        <w:t>本；购买日之前持有的股权投资因采用权益法核算而确认的其他综合收益，在处置该项投资时采用与被投</w:t>
      </w:r>
      <w:r>
        <w:rPr>
          <w:spacing w:val="-81"/>
        </w:rPr>
        <w:t> </w:t>
      </w:r>
      <w:r>
        <w:rPr>
          <w:spacing w:val="-81"/>
        </w:rPr>
      </w:r>
      <w:r>
        <w:rPr>
          <w:spacing w:val="-1"/>
        </w:rPr>
        <w:t>资单位直接处置相关资产或负债相同的基础进行会计处理。合并日之前持有的股权投资采用金融工具确认</w:t>
      </w:r>
      <w:r>
        <w:rPr>
          <w:spacing w:val="-81"/>
        </w:rPr>
        <w:t> </w:t>
      </w:r>
      <w:r>
        <w:rPr>
          <w:spacing w:val="-81"/>
        </w:rPr>
      </w:r>
      <w:r>
        <w:rPr>
          <w:spacing w:val="-1"/>
        </w:rPr>
        <w:t>和计量准则核算的，以该股权投资在合并日的公允价值加上新增投资成本之和，作为合并日的初始投资成</w:t>
      </w:r>
      <w:r>
        <w:rPr>
          <w:spacing w:val="-81"/>
        </w:rPr>
        <w:t> </w:t>
      </w:r>
      <w:r>
        <w:rPr>
          <w:spacing w:val="-81"/>
        </w:rPr>
      </w:r>
      <w:r>
        <w:rPr>
          <w:spacing w:val="-1"/>
        </w:rPr>
        <w:t>本。原持有股权的公允价值与账面价值之间的差额以及原计入其他综合收益的累计公允价值变动应全部转</w:t>
      </w:r>
      <w:r>
        <w:rPr>
          <w:spacing w:val="-81"/>
        </w:rPr>
        <w:t> </w:t>
      </w:r>
      <w:r>
        <w:rPr>
          <w:spacing w:val="-81"/>
        </w:rPr>
      </w:r>
      <w:r>
        <w:rPr/>
        <w:t>入合并日当期的投资收益。</w:t>
      </w:r>
    </w:p>
    <w:p>
      <w:pPr>
        <w:pStyle w:val="Heading3"/>
        <w:spacing w:line="240" w:lineRule="auto" w:before="7"/>
        <w:ind w:left="536" w:right="0"/>
        <w:jc w:val="left"/>
        <w:rPr>
          <w:b w:val="0"/>
          <w:bCs w:val="0"/>
        </w:rPr>
      </w:pPr>
      <w:r>
        <w:rPr/>
        <w:t>为合并发生的相关费用</w:t>
      </w:r>
      <w:r>
        <w:rPr>
          <w:b w:val="0"/>
          <w:bCs w:val="0"/>
        </w:rPr>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b/>
          <w:bCs/>
          <w:sz w:val="21"/>
          <w:szCs w:val="21"/>
        </w:rPr>
      </w:pPr>
    </w:p>
    <w:p>
      <w:pPr>
        <w:pStyle w:val="Heading4"/>
        <w:spacing w:line="273" w:lineRule="auto" w:before="35"/>
        <w:ind w:right="1130" w:firstLine="420"/>
        <w:jc w:val="both"/>
      </w:pPr>
      <w:r>
        <w:rPr>
          <w:spacing w:val="-1"/>
        </w:rPr>
        <w:t>为企业合并发生的审计、法律服务、评估咨询等中介费用以及其他直接相关费用，于发生时计入当期</w:t>
      </w:r>
      <w:r>
        <w:rPr/>
        <w:t> 损益；为企业合并而发行权益性证券的交易费用，可直接归属于权益性交易的从权益中扣减。</w:t>
      </w:r>
    </w:p>
    <w:p>
      <w:pPr>
        <w:pStyle w:val="Heading3"/>
        <w:spacing w:line="590" w:lineRule="atLeast" w:before="9"/>
        <w:ind w:left="536" w:right="8118" w:hanging="423"/>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w w:val="99"/>
        </w:rPr>
        <w:t> </w:t>
      </w:r>
      <w:r>
        <w:rPr/>
        <w:t>合并范围</w:t>
      </w:r>
      <w:r>
        <w:rPr>
          <w:b w:val="0"/>
          <w:bCs w:val="0"/>
        </w:rPr>
      </w:r>
    </w:p>
    <w:p>
      <w:pPr>
        <w:pStyle w:val="Heading4"/>
        <w:spacing w:line="273" w:lineRule="auto" w:before="37"/>
        <w:ind w:right="1131" w:firstLine="420"/>
        <w:jc w:val="both"/>
      </w:pPr>
      <w:r>
        <w:rPr>
          <w:spacing w:val="-1"/>
        </w:rPr>
        <w:t>公司合并财务报表的合并范围以控制为基础确定，所有子公司（包括公司所控制的单独主体）均纳入</w:t>
      </w:r>
      <w:r>
        <w:rPr/>
        <w:t> 合并财务报表。</w:t>
      </w:r>
    </w:p>
    <w:p>
      <w:pPr>
        <w:pStyle w:val="Heading4"/>
        <w:spacing w:line="273" w:lineRule="auto"/>
        <w:ind w:left="534" w:right="1118" w:firstLine="2"/>
        <w:jc w:val="left"/>
      </w:pPr>
      <w:r>
        <w:rPr>
          <w:rFonts w:ascii="宋体" w:hAnsi="宋体" w:cs="宋体" w:eastAsia="宋体" w:hint="default"/>
          <w:b/>
          <w:bCs/>
        </w:rPr>
        <w:t>合并程序</w:t>
      </w:r>
      <w:r>
        <w:rPr>
          <w:rFonts w:ascii="宋体" w:hAnsi="宋体" w:cs="宋体" w:eastAsia="宋体" w:hint="default"/>
          <w:b/>
          <w:bCs/>
          <w:w w:val="99"/>
        </w:rPr>
        <w:t> </w:t>
      </w:r>
      <w:r>
        <w:rPr>
          <w:spacing w:val="-1"/>
        </w:rPr>
        <w:t>公司以自身和各子公司的财务报表为基础，根据其他有关资料，编制合并财务报表。公司编制合并财</w:t>
      </w:r>
    </w:p>
    <w:p>
      <w:pPr>
        <w:pStyle w:val="Heading4"/>
        <w:spacing w:line="273" w:lineRule="auto"/>
        <w:ind w:right="1133"/>
        <w:jc w:val="both"/>
      </w:pPr>
      <w:r>
        <w:rPr>
          <w:spacing w:val="-1"/>
        </w:rPr>
        <w:t>务报表，将整个企业集团视为一个会计主体，依据相关企业会计准则的确认、计量和列报要求，按照统一</w:t>
      </w:r>
      <w:r>
        <w:rPr>
          <w:spacing w:val="-86"/>
        </w:rPr>
        <w:t> </w:t>
      </w:r>
      <w:r>
        <w:rPr>
          <w:spacing w:val="-86"/>
        </w:rPr>
      </w:r>
      <w:r>
        <w:rPr/>
        <w:t>的会计政策，反映本企业集团整体财务状况、经营成果和现金流量。</w:t>
      </w:r>
    </w:p>
    <w:p>
      <w:pPr>
        <w:pStyle w:val="Heading4"/>
        <w:spacing w:line="273" w:lineRule="auto"/>
        <w:ind w:right="1131" w:firstLine="420"/>
        <w:jc w:val="both"/>
      </w:pPr>
      <w:r>
        <w:rPr>
          <w:spacing w:val="-1"/>
        </w:rPr>
        <w:t>所有纳入合并财务报表合并范围的子公司所采用的会计政策、会计期间与公司一致，如子公司采用的</w:t>
      </w:r>
      <w:r>
        <w:rPr/>
        <w:t> </w:t>
      </w:r>
      <w:r>
        <w:rPr>
          <w:spacing w:val="-1"/>
        </w:rPr>
        <w:t>会计政策、会计期间与公司不一致的，在编制合并财务报表时，按公司的会计政策、会计期间进行必要的</w:t>
      </w:r>
      <w:r>
        <w:rPr>
          <w:spacing w:val="-86"/>
        </w:rPr>
        <w:t> </w:t>
      </w:r>
      <w:r>
        <w:rPr>
          <w:spacing w:val="-86"/>
        </w:rPr>
      </w:r>
      <w:r>
        <w:rPr/>
        <w:t>调整。</w:t>
      </w:r>
    </w:p>
    <w:p>
      <w:pPr>
        <w:pStyle w:val="Heading4"/>
        <w:spacing w:line="273" w:lineRule="auto"/>
        <w:ind w:right="1131" w:firstLine="420"/>
        <w:jc w:val="both"/>
      </w:pPr>
      <w:r>
        <w:rPr>
          <w:spacing w:val="-1"/>
        </w:rPr>
        <w:t>合并财务报表时抵销公司与各子公司、各子公司相互之间发生的内部交易对合并资产负债表、合并利</w:t>
      </w:r>
      <w:r>
        <w:rPr/>
        <w:t> </w:t>
      </w:r>
      <w:r>
        <w:rPr>
          <w:spacing w:val="-1"/>
        </w:rPr>
        <w:t>润表、合并现金流量表、合并股东权益变动表的影响。如果站在企业集团合并财务报表角度与以公司或子</w:t>
      </w:r>
      <w:r>
        <w:rPr>
          <w:spacing w:val="-83"/>
        </w:rPr>
        <w:t> </w:t>
      </w:r>
      <w:r>
        <w:rPr>
          <w:spacing w:val="-83"/>
        </w:rPr>
      </w:r>
      <w:r>
        <w:rPr/>
        <w:t>公司为会计主体对同一交易的认定不同时，从企业集团的角度对该交易予以调整。</w:t>
      </w:r>
    </w:p>
    <w:p>
      <w:pPr>
        <w:pStyle w:val="Heading4"/>
        <w:spacing w:line="273" w:lineRule="auto"/>
        <w:ind w:right="1130"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Heading4"/>
        <w:spacing w:line="273" w:lineRule="auto"/>
        <w:ind w:right="1131" w:firstLine="420"/>
        <w:jc w:val="both"/>
      </w:pPr>
      <w:r>
        <w:rPr>
          <w:spacing w:val="-1"/>
        </w:rPr>
        <w:t>对于同一控制下企业合并取得的子公司，以其资产、负债（包括最终控制方收购该子公司而形成的商</w:t>
      </w:r>
      <w:r>
        <w:rPr/>
        <w:t> 誉）在最终控制方财务报表中的账面价值为基础对其财务报表进行调整。</w:t>
      </w:r>
    </w:p>
    <w:p>
      <w:pPr>
        <w:pStyle w:val="Heading4"/>
        <w:spacing w:line="273" w:lineRule="auto"/>
        <w:ind w:right="1132" w:firstLine="420"/>
        <w:jc w:val="both"/>
      </w:pPr>
      <w:r>
        <w:rPr>
          <w:spacing w:val="-1"/>
        </w:rPr>
        <w:t>对于非同一控制下企业合并取得的子公司，以购买日可辨认净资产公允价值为基础对其财务报表进行</w:t>
      </w:r>
      <w:r>
        <w:rPr/>
        <w:t> 调整</w:t>
      </w:r>
    </w:p>
    <w:p>
      <w:pPr>
        <w:pStyle w:val="Heading4"/>
        <w:spacing w:line="273" w:lineRule="auto"/>
        <w:ind w:left="534" w:right="0" w:hanging="105"/>
        <w:jc w:val="left"/>
      </w:pPr>
      <w:r>
        <w:rPr/>
        <w:t>（</w:t>
      </w:r>
      <w:r>
        <w:rPr>
          <w:rFonts w:ascii="宋体" w:hAnsi="宋体" w:cs="宋体" w:eastAsia="宋体" w:hint="default"/>
        </w:rPr>
        <w:t>1</w:t>
      </w:r>
      <w:r>
        <w:rPr/>
        <w:t>）增加子公司或业务 </w:t>
      </w:r>
      <w:r>
        <w:rPr>
          <w:spacing w:val="-1"/>
        </w:rPr>
        <w:t>在报告期内，若因同一控制下企业合并增加子公司或业务的，则调整合并资产负债表的期初数；将子</w:t>
      </w:r>
    </w:p>
    <w:p>
      <w:pPr>
        <w:pStyle w:val="Heading4"/>
        <w:spacing w:line="273" w:lineRule="auto"/>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Heading4"/>
        <w:spacing w:line="273" w:lineRule="auto"/>
        <w:ind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Heading4"/>
        <w:spacing w:line="273" w:lineRule="auto"/>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Heading4"/>
        <w:spacing w:line="273" w:lineRule="auto"/>
        <w:ind w:right="1023" w:firstLine="420"/>
        <w:jc w:val="left"/>
      </w:pPr>
      <w:r>
        <w:rPr/>
        <w:t>因追加投资等原因能够对非同一控制下的被投资方实施控制的，对于购买日之前持有的被购买方的股 </w:t>
      </w:r>
      <w:r>
        <w:rPr>
          <w:spacing w:val="-3"/>
        </w:rPr>
        <w:t>权，公司按照该股权在购买日的公允价值进行重新计量，公允价值与其账面价值的差额计入当期投资收益。</w:t>
      </w:r>
      <w:r>
        <w:rPr>
          <w:spacing w:val="-92"/>
        </w:rPr>
        <w:t> </w:t>
      </w:r>
      <w:r>
        <w:rPr>
          <w:spacing w:val="-92"/>
        </w:rPr>
      </w:r>
      <w:r>
        <w:rPr/>
        <w:t>购买日之前持有的被购买方的股权涉及权益法核算下的其他综合收益以及除净损益、其他综合收益和利润</w:t>
      </w:r>
      <w:r>
        <w:rPr/>
        <w:t> 分配之外的其他所有者权益变动的，与其相关的其他综合收益、其他所有者权益变动转为购买日所属当期 投资收益，由于被投资方重新计量设定受益计划净负债或净资产变动而产生的其他综合收益除外。</w:t>
      </w:r>
    </w:p>
    <w:p>
      <w:pPr>
        <w:pStyle w:val="Heading4"/>
        <w:spacing w:line="273" w:lineRule="auto"/>
        <w:ind w:left="534" w:right="8232" w:hanging="105"/>
        <w:jc w:val="left"/>
      </w:pPr>
      <w:r>
        <w:rPr/>
        <w:t>（</w:t>
      </w:r>
      <w:r>
        <w:rPr>
          <w:rFonts w:ascii="宋体" w:hAnsi="宋体" w:cs="宋体" w:eastAsia="宋体" w:hint="default"/>
        </w:rPr>
        <w:t>2</w:t>
      </w:r>
      <w:r>
        <w:rPr/>
        <w:t>）处置子公司或业务 </w:t>
      </w:r>
      <w:r>
        <w:rPr>
          <w:rFonts w:ascii="宋体" w:hAnsi="宋体" w:cs="宋体" w:eastAsia="宋体" w:hint="default"/>
        </w:rPr>
        <w:t>1</w:t>
      </w:r>
      <w:r>
        <w:rPr/>
        <w:t>）一般处理方法</w:t>
      </w:r>
    </w:p>
    <w:p>
      <w:pPr>
        <w:spacing w:after="0" w:line="273"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right="1133" w:firstLine="420"/>
        <w:jc w:val="both"/>
      </w:pPr>
      <w:r>
        <w:rPr>
          <w:spacing w:val="-1"/>
        </w:rPr>
        <w:t>在报告期内，公司处置子公司或业务，则该子公司或业务期初至处置日的收入、费用、利润纳入合并</w:t>
      </w:r>
      <w:r>
        <w:rPr/>
        <w:t> 利润表；该子公司或业务期初至处置日的现金流量纳入合并现金流量表。</w:t>
      </w:r>
    </w:p>
    <w:p>
      <w:pPr>
        <w:pStyle w:val="Heading4"/>
        <w:spacing w:line="273" w:lineRule="auto"/>
        <w:ind w:right="1131" w:firstLine="420"/>
        <w:jc w:val="both"/>
      </w:pPr>
      <w:r>
        <w:rPr>
          <w:spacing w:val="-1"/>
        </w:rPr>
        <w:t>因处置部分股权投资或其他原因丧失了对被投资方控制权时，对于处置后的剩余股权投资，公司按照</w:t>
      </w:r>
      <w:r>
        <w:rPr/>
        <w:t> </w:t>
      </w:r>
      <w:r>
        <w:rPr>
          <w:spacing w:val="-1"/>
        </w:rPr>
        <w:t>其在丧失控制权日的公允价值进行重新计量。处置股权取得的对价与剩余股权公允价值之和，减去按原持</w:t>
      </w:r>
      <w:r>
        <w:rPr>
          <w:spacing w:val="-81"/>
        </w:rPr>
        <w:t> </w:t>
      </w:r>
      <w:r>
        <w:rPr>
          <w:spacing w:val="-81"/>
        </w:rPr>
      </w:r>
      <w:r>
        <w:rPr>
          <w:spacing w:val="-1"/>
        </w:rPr>
        <w:t>股比例计算应享有原有子公司自购买日或合并日开始持续计算的净资产的份额与商誉之和的差额，计入丧</w:t>
      </w:r>
      <w:r>
        <w:rPr>
          <w:spacing w:val="-81"/>
        </w:rPr>
        <w:t> </w:t>
      </w:r>
      <w:r>
        <w:rPr>
          <w:spacing w:val="-81"/>
        </w:rPr>
      </w:r>
      <w:r>
        <w:rPr>
          <w:spacing w:val="-1"/>
        </w:rPr>
        <w:t>失控制权当期的投资收益。与原有子公司股权投资相关的其他综合收益或除净损益、其他综合收益及利润</w:t>
      </w:r>
      <w:r>
        <w:rPr>
          <w:spacing w:val="-81"/>
        </w:rPr>
        <w:t> </w:t>
      </w:r>
      <w:r>
        <w:rPr>
          <w:spacing w:val="-81"/>
        </w:rPr>
      </w:r>
      <w:r>
        <w:rPr>
          <w:spacing w:val="-1"/>
        </w:rPr>
        <w:t>分配之外的其他所有者权益变动，在丧失控制权时转为当期投资收益，由于被投资方重新计量设定受益计</w:t>
      </w:r>
      <w:r>
        <w:rPr>
          <w:spacing w:val="-81"/>
        </w:rPr>
        <w:t> </w:t>
      </w:r>
      <w:r>
        <w:rPr>
          <w:spacing w:val="-81"/>
        </w:rPr>
      </w:r>
      <w:r>
        <w:rPr/>
        <w:t>划净负债或净资产变动而产生的其他综合收益除外。</w:t>
      </w:r>
    </w:p>
    <w:p>
      <w:pPr>
        <w:pStyle w:val="Heading4"/>
        <w:spacing w:line="273" w:lineRule="auto"/>
        <w:ind w:left="534" w:right="0"/>
        <w:jc w:val="left"/>
      </w:pPr>
      <w:r>
        <w:rPr>
          <w:rFonts w:ascii="宋体" w:hAnsi="宋体" w:cs="宋体" w:eastAsia="宋体" w:hint="default"/>
        </w:rPr>
        <w:t>2</w:t>
      </w:r>
      <w:r>
        <w:rPr/>
        <w:t>）分步处置子公司 </w:t>
      </w:r>
      <w:r>
        <w:rPr>
          <w:spacing w:val="-1"/>
        </w:rPr>
        <w:t>通过多次交易分步处置对子公司股权投资直至丧失控制权的，处置对子公司股权投资的各项交易的条</w:t>
      </w:r>
    </w:p>
    <w:p>
      <w:pPr>
        <w:pStyle w:val="Heading4"/>
        <w:spacing w:line="273" w:lineRule="auto"/>
        <w:ind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Heading4"/>
        <w:spacing w:line="273" w:lineRule="auto"/>
        <w:ind w:left="534" w:right="1132"/>
        <w:jc w:val="left"/>
      </w:pPr>
      <w:r>
        <w:rPr>
          <w:rFonts w:ascii="宋体" w:hAnsi="宋体" w:cs="宋体" w:eastAsia="宋体" w:hint="default"/>
        </w:rPr>
        <w:t>A.</w:t>
      </w:r>
      <w:r>
        <w:rPr/>
        <w:t>这些交易是同时或者在考虑了彼此影响的情况下订立的； </w:t>
      </w:r>
      <w:r>
        <w:rPr>
          <w:rFonts w:ascii="宋体" w:hAnsi="宋体" w:cs="宋体" w:eastAsia="宋体" w:hint="default"/>
        </w:rPr>
        <w:t>B.</w:t>
      </w:r>
      <w:r>
        <w:rPr/>
        <w:t>这些交易整体才能达成一项完整的商业结果； </w:t>
      </w:r>
      <w:r>
        <w:rPr>
          <w:rFonts w:ascii="宋体" w:hAnsi="宋体" w:cs="宋体" w:eastAsia="宋体" w:hint="default"/>
        </w:rPr>
        <w:t>C.</w:t>
      </w:r>
      <w:r>
        <w:rPr/>
        <w:t>一项交易的发生取决于其他至少一项交易的发生； </w:t>
      </w:r>
      <w:r>
        <w:rPr>
          <w:rFonts w:ascii="宋体" w:hAnsi="宋体" w:cs="宋体" w:eastAsia="宋体" w:hint="default"/>
        </w:rPr>
        <w:t>D.</w:t>
      </w:r>
      <w:r>
        <w:rPr/>
        <w:t>一项交易单独看是不经济的，但是和其他交易一并考虑时是经济的。 </w:t>
      </w:r>
      <w:r>
        <w:rPr>
          <w:spacing w:val="-1"/>
        </w:rPr>
        <w:t>处置对子公司股权投资直至丧失控制权的各项交易属于一揽子交易的，公司将各项交易作为一项处置</w:t>
      </w:r>
    </w:p>
    <w:p>
      <w:pPr>
        <w:pStyle w:val="Heading4"/>
        <w:spacing w:line="273" w:lineRule="auto"/>
        <w:ind w:right="1131"/>
        <w:jc w:val="both"/>
      </w:pPr>
      <w:r>
        <w:rPr>
          <w:spacing w:val="-1"/>
        </w:rPr>
        <w:t>子公司并丧失控制权的交易进行会计处理；但是，在丧失控制权之前每一次处置价款与处置投资对应的享</w:t>
      </w:r>
      <w:r>
        <w:rPr>
          <w:spacing w:val="-81"/>
        </w:rPr>
        <w:t> </w:t>
      </w:r>
      <w:r>
        <w:rPr>
          <w:spacing w:val="-81"/>
        </w:rPr>
      </w:r>
      <w:r>
        <w:rPr>
          <w:spacing w:val="-1"/>
        </w:rPr>
        <w:t>有该子公司净资产份额的差额，在合并财务报表中确认为其他综合收益，在丧失控制权时一并转入丧失控</w:t>
      </w:r>
      <w:r>
        <w:rPr>
          <w:spacing w:val="-81"/>
        </w:rPr>
        <w:t> </w:t>
      </w:r>
      <w:r>
        <w:rPr>
          <w:spacing w:val="-81"/>
        </w:rPr>
      </w:r>
      <w:r>
        <w:rPr/>
        <w:t>制权当期的损益。</w:t>
      </w:r>
    </w:p>
    <w:p>
      <w:pPr>
        <w:pStyle w:val="Heading4"/>
        <w:spacing w:line="273" w:lineRule="auto"/>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Heading4"/>
        <w:spacing w:line="273" w:lineRule="auto"/>
        <w:ind w:left="534" w:right="0" w:hanging="105"/>
        <w:jc w:val="left"/>
      </w:pPr>
      <w:r>
        <w:rPr/>
        <w:t>（</w:t>
      </w:r>
      <w:r>
        <w:rPr>
          <w:rFonts w:ascii="宋体" w:hAnsi="宋体" w:cs="宋体" w:eastAsia="宋体" w:hint="default"/>
        </w:rPr>
        <w:t>3</w:t>
      </w:r>
      <w:r>
        <w:rPr/>
        <w:t>）购买子公司少数股权 </w:t>
      </w:r>
      <w:r>
        <w:rPr>
          <w:spacing w:val="-1"/>
        </w:rPr>
        <w:t>公司因购买少数股权新取得的长期股权投资与按照新增持股比例计算应享有子公司自购买日（或合并</w:t>
      </w:r>
    </w:p>
    <w:p>
      <w:pPr>
        <w:pStyle w:val="Heading4"/>
        <w:spacing w:line="273" w:lineRule="auto"/>
        <w:ind w:right="1131"/>
        <w:jc w:val="both"/>
      </w:pPr>
      <w:r>
        <w:rPr>
          <w:spacing w:val="-1"/>
        </w:rPr>
        <w:t>日）开始持续计算的净资产份额之间的差额，调整合并资产负债表中的资本公积中的股本溢价，资本公积</w:t>
      </w:r>
      <w:r>
        <w:rPr>
          <w:spacing w:val="-83"/>
        </w:rPr>
        <w:t> </w:t>
      </w:r>
      <w:r>
        <w:rPr>
          <w:spacing w:val="-83"/>
        </w:rPr>
      </w:r>
      <w:r>
        <w:rPr/>
        <w:t>中的股本溢价不足冲减的，调整留存收益。</w:t>
      </w:r>
    </w:p>
    <w:p>
      <w:pPr>
        <w:pStyle w:val="Heading4"/>
        <w:spacing w:line="273" w:lineRule="auto"/>
        <w:ind w:left="534" w:right="0" w:hanging="105"/>
        <w:jc w:val="left"/>
      </w:pPr>
      <w:r>
        <w:rPr/>
        <w:t>（</w:t>
      </w:r>
      <w:r>
        <w:rPr>
          <w:rFonts w:ascii="宋体" w:hAnsi="宋体" w:cs="宋体" w:eastAsia="宋体"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Heading4"/>
        <w:spacing w:line="273" w:lineRule="auto"/>
        <w:ind w:right="1132"/>
        <w:jc w:val="both"/>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pStyle w:val="Heading3"/>
        <w:spacing w:line="590" w:lineRule="atLeast" w:before="9"/>
        <w:ind w:left="536" w:right="6853" w:hanging="423"/>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w w:val="99"/>
        </w:rPr>
        <w:t> </w:t>
      </w:r>
      <w:r>
        <w:rPr/>
        <w:t>合营安排的分类</w:t>
      </w:r>
      <w:r>
        <w:rPr>
          <w:b w:val="0"/>
          <w:bCs w:val="0"/>
        </w:rPr>
      </w:r>
    </w:p>
    <w:p>
      <w:pPr>
        <w:pStyle w:val="Heading4"/>
        <w:spacing w:line="273" w:lineRule="auto" w:before="37"/>
        <w:ind w:right="1131" w:firstLine="420"/>
        <w:jc w:val="both"/>
      </w:pPr>
      <w:r>
        <w:rPr>
          <w:spacing w:val="-1"/>
        </w:rPr>
        <w:t>公司根据合营安排的结构、法律形式以及合营安排中约定的条款、其他相关事实和情况等因素，将合</w:t>
      </w:r>
      <w:r>
        <w:rPr/>
        <w:t> 营安排分为共同经营和合营企业。</w:t>
      </w:r>
    </w:p>
    <w:p>
      <w:pPr>
        <w:pStyle w:val="Heading4"/>
        <w:spacing w:line="273" w:lineRule="auto"/>
        <w:ind w:right="0" w:firstLine="420"/>
        <w:jc w:val="left"/>
      </w:pPr>
      <w:r>
        <w:rPr>
          <w:spacing w:val="-1"/>
        </w:rPr>
        <w:t>未通过单独主体达成的合营安排，划分为共同经营；通过单独主体达成的合营安排，通常划分为合营</w:t>
      </w:r>
      <w:r>
        <w:rPr/>
        <w:t> 企业；但有确凿证据表明满足下列任一条件并且符合相关法律法规规定的合营安排划分为共同经营： 合营安排的法律形式表明，合营方对该安排中的相关资产和负债分别享有权利和承担义务。</w:t>
      </w:r>
    </w:p>
    <w:p>
      <w:pPr>
        <w:pStyle w:val="Heading4"/>
        <w:spacing w:line="273" w:lineRule="auto" w:before="8"/>
        <w:ind w:left="324" w:right="0" w:hanging="2"/>
        <w:jc w:val="left"/>
      </w:pPr>
      <w:r>
        <w:rPr/>
        <w:t>合营安排的合同条款约定，合营方对该安排中的相关资产和负债分别享有权利和承担义务。 </w:t>
      </w:r>
      <w:r>
        <w:rPr>
          <w:spacing w:val="-1"/>
        </w:rPr>
        <w:t>其他相关事实和情况表明，合营方对该安排中的相关资产和负债分别享有权利和承担义务，如合营方享</w:t>
      </w:r>
    </w:p>
    <w:p>
      <w:pPr>
        <w:pStyle w:val="Heading4"/>
        <w:spacing w:line="273" w:lineRule="auto"/>
        <w:ind w:left="536" w:right="2563" w:hanging="423"/>
        <w:jc w:val="left"/>
        <w:rPr>
          <w:rFonts w:ascii="宋体" w:hAnsi="宋体" w:cs="宋体" w:eastAsia="宋体" w:hint="default"/>
        </w:rPr>
      </w:pPr>
      <w:r>
        <w:rPr/>
        <w:t>有与合营安排相关的几乎所有产出，并且该安排中负债的清偿持续依赖于合营方的支持。 </w:t>
      </w:r>
      <w:r>
        <w:rPr>
          <w:rFonts w:ascii="宋体" w:hAnsi="宋体" w:cs="宋体" w:eastAsia="宋体" w:hint="default"/>
          <w:b/>
          <w:bCs/>
        </w:rPr>
        <w:t>共同经营会计处理方法</w:t>
      </w:r>
      <w:r>
        <w:rPr>
          <w:rFonts w:ascii="宋体" w:hAnsi="宋体" w:cs="宋体" w:eastAsia="宋体" w:hint="default"/>
        </w:rPr>
      </w:r>
    </w:p>
    <w:p>
      <w:pPr>
        <w:spacing w:after="0" w:line="273" w:lineRule="auto"/>
        <w:jc w:val="left"/>
        <w:rPr>
          <w:rFonts w:ascii="宋体" w:hAnsi="宋体" w:cs="宋体" w:eastAsia="宋体" w:hint="default"/>
        </w:rPr>
        <w:sectPr>
          <w:pgSz w:w="11910" w:h="16840"/>
          <w:pgMar w:header="907" w:footer="1019" w:top="1100" w:bottom="1200" w:left="1020" w:right="0"/>
        </w:sectPr>
      </w:pPr>
    </w:p>
    <w:p>
      <w:pPr>
        <w:spacing w:line="240" w:lineRule="auto" w:before="8"/>
        <w:rPr>
          <w:rFonts w:ascii="宋体" w:hAnsi="宋体" w:cs="宋体" w:eastAsia="宋体" w:hint="default"/>
          <w:b/>
          <w:bCs/>
          <w:sz w:val="21"/>
          <w:szCs w:val="21"/>
        </w:rPr>
      </w:pPr>
    </w:p>
    <w:p>
      <w:pPr>
        <w:pStyle w:val="Heading4"/>
        <w:spacing w:line="273" w:lineRule="auto" w:before="35"/>
        <w:ind w:right="1132" w:firstLine="420"/>
        <w:jc w:val="both"/>
      </w:pPr>
      <w:r>
        <w:rPr>
          <w:spacing w:val="-1"/>
        </w:rPr>
        <w:t>公司确认共同经营中利益份额中与公司相关的下列项目，并按照相关企业会计准则的规定进行会计处</w:t>
      </w:r>
      <w:r>
        <w:rPr/>
        <w:t> 理：</w:t>
      </w:r>
    </w:p>
    <w:p>
      <w:pPr>
        <w:pStyle w:val="Heading4"/>
        <w:spacing w:line="273" w:lineRule="auto"/>
        <w:ind w:left="531" w:right="1118" w:firstLine="2"/>
        <w:jc w:val="left"/>
      </w:pPr>
      <w:r>
        <w:rPr/>
        <w:t>确认单独所持有的资产，以及按其份额确认共同持有的资产； 确认单独所承担的负债，以及按其份额确认共同承担的负债； 确认出售其享有的共同经营产出份额所产生的收入； 按其份额确认共同经营因出售产出所产生的收入； 确认单独所发生的费用，以及按其份额确认共同经营发生的费用。 </w:t>
      </w:r>
      <w:r>
        <w:rPr>
          <w:spacing w:val="-1"/>
        </w:rPr>
        <w:t>公司向共同经营投出或出售资产等（该资产构成业务的除外），在该资产等由共同经营出售给第三方</w:t>
      </w:r>
    </w:p>
    <w:p>
      <w:pPr>
        <w:pStyle w:val="Heading4"/>
        <w:spacing w:line="273" w:lineRule="auto"/>
        <w:ind w:right="0"/>
        <w:jc w:val="left"/>
      </w:pPr>
      <w:r>
        <w:rPr>
          <w:spacing w:val="-1"/>
        </w:rPr>
        <w:t>之前，仅确认因该交易产生的损益中归属于共同经营其他参与方的部分。投出或出售的资产发生符合《企</w:t>
      </w:r>
      <w:r>
        <w:rPr>
          <w:spacing w:val="-83"/>
        </w:rPr>
        <w:t> </w:t>
      </w:r>
      <w:r>
        <w:rPr>
          <w:spacing w:val="-83"/>
        </w:rPr>
      </w:r>
      <w:r>
        <w:rPr/>
        <w:t>业会计准则第</w:t>
      </w:r>
      <w:r>
        <w:rPr>
          <w:rFonts w:ascii="宋体" w:hAnsi="宋体" w:cs="宋体" w:eastAsia="宋体" w:hint="default"/>
        </w:rPr>
        <w:t>8</w:t>
      </w:r>
      <w:r>
        <w:rPr/>
        <w:t>号——资产减值》等规定的资产减值损失的，公司全额确认该损失。</w:t>
      </w:r>
    </w:p>
    <w:p>
      <w:pPr>
        <w:pStyle w:val="Heading4"/>
        <w:spacing w:line="273" w:lineRule="auto"/>
        <w:ind w:right="1127" w:firstLine="420"/>
        <w:jc w:val="both"/>
      </w:pPr>
      <w:r>
        <w:rPr>
          <w:spacing w:val="-1"/>
        </w:rPr>
        <w:t>公司自共同经营购买资产等（该资产构成业务的除外），在将该资产等出售给第三方之前，仅确认因</w:t>
      </w:r>
      <w:r>
        <w:rPr/>
        <w:t> 该交易产生的损益中归属于共同经营其他参与方的部分。购入的资产发生符合《企业会计准则第</w:t>
      </w:r>
      <w:r>
        <w:rPr>
          <w:rFonts w:ascii="宋体" w:hAnsi="宋体" w:cs="宋体" w:eastAsia="宋体" w:hint="default"/>
        </w:rPr>
        <w:t>8</w:t>
      </w:r>
      <w:r>
        <w:rPr/>
        <w:t>号——</w:t>
      </w:r>
      <w:r>
        <w:rPr>
          <w:spacing w:val="-22"/>
        </w:rPr>
        <w:t> </w:t>
      </w:r>
      <w:r>
        <w:rPr/>
        <w:t>资产减值》等规定的资产减值损失的，公司按承担的份额确认该部分损失。</w:t>
      </w:r>
    </w:p>
    <w:p>
      <w:pPr>
        <w:pStyle w:val="Heading4"/>
        <w:spacing w:line="273" w:lineRule="auto"/>
        <w:ind w:right="1109" w:firstLine="420"/>
        <w:jc w:val="both"/>
      </w:pPr>
      <w:r>
        <w:rPr/>
        <w:t>公司对共同经营不享有共同控制，如果公司享有该共同经营相关资产且承担该共同经营相关负债的， 仍按上述原则进行会计处理，否则，应当按照相关企业会计准则的规定进行会计处理。</w:t>
      </w:r>
    </w:p>
    <w:p>
      <w:pPr>
        <w:spacing w:line="590" w:lineRule="atLeast" w:before="9"/>
        <w:ind w:left="534" w:right="0" w:hanging="420"/>
        <w:jc w:val="left"/>
        <w:rPr>
          <w:rFonts w:ascii="宋体" w:hAnsi="宋体" w:cs="宋体" w:eastAsia="宋体" w:hint="default"/>
          <w:sz w:val="21"/>
          <w:szCs w:val="21"/>
        </w:rPr>
      </w:pPr>
      <w:bookmarkStart w:name="8、现金及现金等价物的确定标准" w:id="176"/>
      <w:bookmarkEnd w:id="17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在编制现金流量表时，将公司库存现金以及可以随时用于支付的存款确认为现金。将同时具备期限短</w:t>
      </w:r>
    </w:p>
    <w:p>
      <w:pPr>
        <w:pStyle w:val="Heading4"/>
        <w:spacing w:line="273" w:lineRule="auto" w:before="37"/>
        <w:ind w:right="0"/>
        <w:jc w:val="left"/>
      </w:pPr>
      <w:r>
        <w:rPr>
          <w:spacing w:val="-3"/>
        </w:rPr>
        <w:t>（一般从购买日起三个月内到期）、流动性强、易于转换为已知金额的现金、价值变动风险很小四个条件</w:t>
      </w:r>
      <w:r>
        <w:rPr>
          <w:spacing w:val="-74"/>
        </w:rPr>
        <w:t> </w:t>
      </w:r>
      <w:r>
        <w:rPr>
          <w:spacing w:val="-74"/>
        </w:rPr>
      </w:r>
      <w:r>
        <w:rPr/>
        <w:t>的投资，确定为现金等价物。</w:t>
      </w:r>
    </w:p>
    <w:p>
      <w:pPr>
        <w:pStyle w:val="Heading3"/>
        <w:spacing w:line="590" w:lineRule="atLeast" w:before="10"/>
        <w:ind w:left="536" w:right="8118" w:hanging="423"/>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w w:val="99"/>
        </w:rPr>
        <w:t> </w:t>
      </w:r>
      <w:r>
        <w:rPr/>
        <w:t>外币业务</w:t>
      </w:r>
      <w:r>
        <w:rPr>
          <w:b w:val="0"/>
          <w:bCs w:val="0"/>
        </w:rPr>
      </w:r>
    </w:p>
    <w:p>
      <w:pPr>
        <w:pStyle w:val="Heading4"/>
        <w:spacing w:line="273" w:lineRule="auto" w:before="37"/>
        <w:ind w:right="1131" w:firstLine="420"/>
        <w:jc w:val="both"/>
      </w:pPr>
      <w:r>
        <w:rPr>
          <w:spacing w:val="-1"/>
        </w:rPr>
        <w:t>外币业务交易在初始确认时，采用交易发生日的即期汇率（或即期汇率的近似汇率，通常指中国人民</w:t>
      </w:r>
      <w:r>
        <w:rPr/>
        <w:t> 银行公布的当日外汇牌价的中间价，下同）作为折算汇率折合成人民币记账。</w:t>
      </w:r>
    </w:p>
    <w:p>
      <w:pPr>
        <w:pStyle w:val="Heading4"/>
        <w:spacing w:line="273" w:lineRule="auto"/>
        <w:ind w:right="1131" w:firstLine="420"/>
        <w:jc w:val="both"/>
      </w:pPr>
      <w:r>
        <w:rPr>
          <w:spacing w:val="-1"/>
        </w:rPr>
        <w:t>资产负债表日，外币货币性项目按资产负债表日即期汇率折算，由此产生的汇兑差额，除属于与购建</w:t>
      </w:r>
      <w:r>
        <w:rPr/>
        <w:t> </w:t>
      </w:r>
      <w:r>
        <w:rPr>
          <w:spacing w:val="-1"/>
        </w:rPr>
        <w:t>符合资本化条件的资产相关的外币专门借款产生的汇兑差额按照借款费用资本化的原则处理外，均计入当</w:t>
      </w:r>
      <w:r>
        <w:rPr>
          <w:spacing w:val="-81"/>
        </w:rPr>
        <w:t> </w:t>
      </w:r>
      <w:r>
        <w:rPr>
          <w:spacing w:val="-81"/>
        </w:rPr>
      </w:r>
      <w:r>
        <w:rPr>
          <w:spacing w:val="-1"/>
        </w:rPr>
        <w:t>期损益。以历史成本计量的外币非货币性项目，仍采用交易发生日的即期汇率折算，不改变其记账本位币</w:t>
      </w:r>
      <w:r>
        <w:rPr>
          <w:spacing w:val="-83"/>
        </w:rPr>
        <w:t> </w:t>
      </w:r>
      <w:r>
        <w:rPr>
          <w:spacing w:val="-83"/>
        </w:rPr>
      </w:r>
      <w:r>
        <w:rPr/>
        <w:t>金额。</w:t>
      </w:r>
    </w:p>
    <w:p>
      <w:pPr>
        <w:pStyle w:val="Heading4"/>
        <w:spacing w:line="273" w:lineRule="auto"/>
        <w:ind w:right="1131" w:firstLine="420"/>
        <w:jc w:val="both"/>
      </w:pPr>
      <w:r>
        <w:rPr>
          <w:spacing w:val="-1"/>
        </w:rPr>
        <w:t>以公允价值计量的外币非货币性项目，采用公允价值确定日的即期汇率折算，由此产生的汇兑差额作</w:t>
      </w:r>
      <w:r>
        <w:rPr/>
        <w:t> </w:t>
      </w:r>
      <w:r>
        <w:rPr>
          <w:spacing w:val="-1"/>
        </w:rPr>
        <w:t>为公允价值变动损益计入当期损益。如属于可供出售外币非货币性项目的，形成的汇兑差额计入其他综合</w:t>
      </w:r>
      <w:r>
        <w:rPr>
          <w:spacing w:val="-81"/>
        </w:rPr>
        <w:t> </w:t>
      </w:r>
      <w:r>
        <w:rPr>
          <w:spacing w:val="-81"/>
        </w:rPr>
      </w:r>
      <w:r>
        <w:rPr/>
        <w:t>收益。</w:t>
      </w:r>
    </w:p>
    <w:p>
      <w:pPr>
        <w:pStyle w:val="Heading4"/>
        <w:spacing w:line="273" w:lineRule="auto"/>
        <w:ind w:left="534" w:right="0" w:firstLine="2"/>
        <w:jc w:val="left"/>
      </w:pPr>
      <w:r>
        <w:rPr>
          <w:rFonts w:ascii="宋体" w:hAnsi="宋体" w:cs="宋体" w:eastAsia="宋体" w:hint="default"/>
          <w:b/>
          <w:bCs/>
        </w:rPr>
        <w:t>外币财务报表的折算</w:t>
      </w:r>
      <w:r>
        <w:rPr>
          <w:rFonts w:ascii="宋体" w:hAnsi="宋体" w:cs="宋体" w:eastAsia="宋体" w:hint="default"/>
          <w:b/>
          <w:bCs/>
          <w:w w:val="99"/>
        </w:rPr>
        <w:t> </w:t>
      </w:r>
      <w:r>
        <w:rPr>
          <w:spacing w:val="-1"/>
        </w:rPr>
        <w:t>资产负债表中的资产和负债项目，采用资产负债表日的即期汇率折算；所有者权益项目除“未分配利</w:t>
      </w:r>
    </w:p>
    <w:p>
      <w:pPr>
        <w:pStyle w:val="Heading4"/>
        <w:spacing w:line="273" w:lineRule="auto"/>
        <w:ind w:right="1023"/>
        <w:jc w:val="left"/>
      </w:pPr>
      <w:r>
        <w:rPr>
          <w:spacing w:val="-3"/>
        </w:rPr>
        <w:t>润”项目外，其他项目采用发生时的即期汇率折算。利润表中的收入和费用项目，采用当期平均汇率折算。</w:t>
      </w:r>
      <w:r>
        <w:rPr>
          <w:spacing w:val="-93"/>
        </w:rPr>
        <w:t> </w:t>
      </w:r>
      <w:r>
        <w:rPr>
          <w:spacing w:val="-93"/>
        </w:rPr>
      </w:r>
      <w:r>
        <w:rPr/>
        <w:t>按照上述折算产生的外币财务报表折算差额计入其他综合收益。</w:t>
      </w:r>
    </w:p>
    <w:p>
      <w:pPr>
        <w:pStyle w:val="Heading4"/>
        <w:spacing w:line="273" w:lineRule="auto"/>
        <w:ind w:right="1130" w:firstLine="526"/>
        <w:jc w:val="both"/>
      </w:pPr>
      <w:r>
        <w:rPr/>
        <w:t>处置境外经营时，将资产负债表中其他综合收益项目中列示的、与该境外经营相关的外币财务报表 </w:t>
      </w:r>
      <w:r>
        <w:rPr>
          <w:spacing w:val="-1"/>
        </w:rPr>
        <w:t>折算差额，自其他综合收益项目转入处置当期损益；在处置部分股权投资或其他原因导致持有境外经营权</w:t>
      </w:r>
      <w:r>
        <w:rPr>
          <w:spacing w:val="-81"/>
        </w:rPr>
        <w:t> </w:t>
      </w:r>
      <w:r>
        <w:rPr>
          <w:spacing w:val="-81"/>
        </w:rPr>
      </w:r>
      <w:r>
        <w:rPr>
          <w:spacing w:val="-1"/>
        </w:rPr>
        <w:t>益比例降低但不丧失对境外经营控制权时，与该境外经营处置部分相关的外币报表折算差额将归属于少数</w:t>
      </w:r>
      <w:r>
        <w:rPr>
          <w:spacing w:val="-80"/>
        </w:rPr>
        <w:t> </w:t>
      </w:r>
      <w:r>
        <w:rPr>
          <w:spacing w:val="-80"/>
        </w:rPr>
      </w:r>
      <w:r>
        <w:rPr>
          <w:spacing w:val="-1"/>
        </w:rPr>
        <w:t>股东权益，不转入当期损益。在处置境外经营为联营企业或合营企业的部分股权时，与该境外经营相关的</w:t>
      </w:r>
      <w:r>
        <w:rPr>
          <w:spacing w:val="-83"/>
        </w:rPr>
        <w:t> </w:t>
      </w:r>
      <w:r>
        <w:rPr>
          <w:spacing w:val="-83"/>
        </w:rPr>
      </w:r>
      <w:r>
        <w:rPr/>
        <w:t>外币报表折算差额，按处置该境外经营的比例转入处置当期损益。</w:t>
      </w:r>
    </w:p>
    <w:p>
      <w:pPr>
        <w:spacing w:after="0" w:line="273"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spacing w:line="273" w:lineRule="auto" w:before="0"/>
        <w:ind w:left="536" w:right="5923" w:hanging="3"/>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 </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Heading4"/>
        <w:spacing w:line="273" w:lineRule="auto" w:before="8"/>
        <w:ind w:right="1131" w:firstLine="420"/>
        <w:jc w:val="both"/>
      </w:pPr>
      <w:r>
        <w:rPr>
          <w:spacing w:val="-1"/>
        </w:rPr>
        <w:t>公司根据所发行金融工具的合同条款及其所反映的经济实质而非仅以法律形式，结合取得持有金融资</w:t>
      </w:r>
      <w:r>
        <w:rPr/>
        <w:t> </w:t>
      </w:r>
      <w:r>
        <w:rPr>
          <w:spacing w:val="-1"/>
        </w:rPr>
        <w:t>产和承担金融负债的目的，在初始确认时将金融资产和金融负债分为不同类别：以公允价值计量且其变动</w:t>
      </w:r>
      <w:r>
        <w:rPr>
          <w:spacing w:val="-81"/>
        </w:rPr>
        <w:t> </w:t>
      </w:r>
      <w:r>
        <w:rPr>
          <w:spacing w:val="-81"/>
        </w:rPr>
      </w:r>
      <w:r>
        <w:rPr>
          <w:spacing w:val="-3"/>
        </w:rPr>
        <w:t>计入当期损益的金融资产（或金融负债）；持有至到期投资；应收款项；可供出售金融资产等。</w:t>
      </w:r>
    </w:p>
    <w:p>
      <w:pPr>
        <w:pStyle w:val="Heading3"/>
        <w:spacing w:line="240" w:lineRule="auto" w:before="7"/>
        <w:ind w:left="642" w:right="0"/>
        <w:jc w:val="left"/>
        <w:rPr>
          <w:b w:val="0"/>
          <w:bCs w:val="0"/>
        </w:rPr>
      </w:pPr>
      <w:r>
        <w:rPr/>
        <w:t>融工具的确认依据和计量方法</w:t>
      </w:r>
      <w:r>
        <w:rPr>
          <w:b w:val="0"/>
          <w:bCs w:val="0"/>
        </w:rPr>
      </w:r>
    </w:p>
    <w:p>
      <w:pPr>
        <w:pStyle w:val="Heading4"/>
        <w:spacing w:line="273" w:lineRule="auto" w:before="37"/>
        <w:ind w:left="534" w:right="0" w:hanging="105"/>
        <w:jc w:val="left"/>
      </w:pPr>
      <w:r>
        <w:rPr/>
        <w:t>（</w:t>
      </w:r>
      <w:r>
        <w:rPr>
          <w:rFonts w:ascii="宋体" w:hAnsi="宋体" w:cs="宋体" w:eastAsia="宋体"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Heading4"/>
        <w:spacing w:line="273" w:lineRule="auto"/>
        <w:ind w:left="534" w:right="3402" w:hanging="420"/>
        <w:jc w:val="left"/>
      </w:pPr>
      <w:r>
        <w:rPr/>
        <w:t>接指定为以公允价值计量且其变动计入当期损益的金融资产或金融负债。 交易性金融资产或金融负债是指满足下列条件之一的金融资产或金融负债： </w:t>
      </w:r>
      <w:r>
        <w:rPr>
          <w:rFonts w:ascii="宋体" w:hAnsi="宋体" w:cs="宋体" w:eastAsia="宋体" w:hint="default"/>
        </w:rPr>
        <w:t>1</w:t>
      </w:r>
      <w:r>
        <w:rPr/>
        <w:t>）取得该金融资产或金融负债的目的是为了在短期内出售、回购或赎回；</w:t>
      </w:r>
    </w:p>
    <w:p>
      <w:pPr>
        <w:pStyle w:val="Heading4"/>
        <w:spacing w:line="273" w:lineRule="auto"/>
        <w:ind w:right="1141" w:firstLine="420"/>
        <w:jc w:val="both"/>
      </w:pPr>
      <w:r>
        <w:rPr>
          <w:rFonts w:ascii="宋体" w:hAnsi="宋体" w:cs="宋体" w:eastAsia="宋体" w:hint="default"/>
        </w:rPr>
        <w:t>2</w:t>
      </w:r>
      <w:r>
        <w:rPr/>
        <w:t>）属于进行集中管理的可辨认金融工具组合的一部分，且有客观证据表明公司近期采用短期获利方 式对该组合进行管理；</w:t>
      </w:r>
    </w:p>
    <w:p>
      <w:pPr>
        <w:pStyle w:val="Heading4"/>
        <w:spacing w:line="273" w:lineRule="auto"/>
        <w:ind w:right="1138" w:firstLine="420"/>
        <w:jc w:val="both"/>
      </w:pPr>
      <w:r>
        <w:rPr>
          <w:rFonts w:ascii="宋体" w:hAnsi="宋体" w:cs="宋体" w:eastAsia="宋体" w:hint="default"/>
        </w:rPr>
        <w:t>3</w:t>
      </w:r>
      <w:r>
        <w:rPr/>
        <w:t>）属于衍生金融工具，但是被指定为有效套期工具的衍生工具、属于财务担保合同的衍生工具、与 </w:t>
      </w:r>
      <w:r>
        <w:rPr>
          <w:spacing w:val="3"/>
        </w:rPr>
        <w:t>在活跃市场中没有报价且其公允价值不能可靠计量的权益工具投资挂钩并须通过交付该权益工具结算的</w:t>
      </w:r>
      <w:r>
        <w:rPr>
          <w:spacing w:val="-82"/>
        </w:rPr>
        <w:t> </w:t>
      </w:r>
      <w:r>
        <w:rPr>
          <w:spacing w:val="-82"/>
        </w:rPr>
      </w:r>
      <w:r>
        <w:rPr/>
        <w:t>衍生工具除外。</w:t>
      </w:r>
    </w:p>
    <w:p>
      <w:pPr>
        <w:pStyle w:val="Heading4"/>
        <w:spacing w:line="273" w:lineRule="auto"/>
        <w:ind w:right="1132" w:firstLine="420"/>
        <w:jc w:val="both"/>
      </w:pPr>
      <w:r>
        <w:rPr>
          <w:spacing w:val="-1"/>
        </w:rPr>
        <w:t>只有符合以下条件之一，金融资产或金融负债才可在初始计量时指定为以公允价值计量且其变动计入</w:t>
      </w:r>
      <w:r>
        <w:rPr/>
        <w:t> 损益的金融资产或金融负债：</w:t>
      </w:r>
    </w:p>
    <w:p>
      <w:pPr>
        <w:pStyle w:val="Heading4"/>
        <w:spacing w:line="273" w:lineRule="auto"/>
        <w:ind w:right="1141" w:firstLine="420"/>
        <w:jc w:val="both"/>
      </w:pPr>
      <w:r>
        <w:rPr>
          <w:rFonts w:ascii="宋体" w:hAnsi="宋体" w:cs="宋体" w:eastAsia="宋体" w:hint="default"/>
        </w:rPr>
        <w:t>1</w:t>
      </w:r>
      <w:r>
        <w:rPr/>
        <w:t>）该项指定可以消除或明显减少由于金融资产或金融负债的计量基础不同所导致的相关利得或损失 在确认或计量方面不一致的情况；</w:t>
      </w:r>
    </w:p>
    <w:p>
      <w:pPr>
        <w:pStyle w:val="Heading4"/>
        <w:spacing w:line="273" w:lineRule="auto" w:before="8"/>
        <w:ind w:right="1132" w:firstLine="420"/>
        <w:jc w:val="both"/>
      </w:pPr>
      <w:r>
        <w:rPr>
          <w:rFonts w:ascii="宋体" w:hAnsi="宋体" w:cs="宋体" w:eastAsia="宋体" w:hint="default"/>
        </w:rPr>
        <w:t>2</w:t>
      </w:r>
      <w:r>
        <w:rPr/>
        <w:t>）风险管理或投资策略的正式书面文件已载明，该金融资产组合、该金融负债组合、或该金融资产 和金融负债组合，以公允价值为基础进行管理、评价并向关键管理人员报告；</w:t>
      </w:r>
    </w:p>
    <w:p>
      <w:pPr>
        <w:pStyle w:val="Heading4"/>
        <w:spacing w:line="273" w:lineRule="auto"/>
        <w:ind w:right="1141" w:firstLine="420"/>
        <w:jc w:val="both"/>
      </w:pPr>
      <w:r>
        <w:rPr>
          <w:rFonts w:ascii="宋体" w:hAnsi="宋体" w:cs="宋体" w:eastAsia="宋体" w:hint="default"/>
        </w:rPr>
        <w:t>3</w:t>
      </w:r>
      <w:r>
        <w:rPr/>
        <w:t>）包含一项或多项嵌入衍生工具的混合工具，除非嵌入衍生工具对混合工具的现金流量没有重大改 变，或所嵌入的衍生工具明显不应当从相关混合工具中分拆；</w:t>
      </w:r>
    </w:p>
    <w:p>
      <w:pPr>
        <w:pStyle w:val="Heading4"/>
        <w:spacing w:line="273" w:lineRule="auto"/>
        <w:ind w:right="1141" w:firstLine="420"/>
        <w:jc w:val="both"/>
      </w:pPr>
      <w:r>
        <w:rPr>
          <w:rFonts w:ascii="宋体" w:hAnsi="宋体" w:cs="宋体" w:eastAsia="宋体" w:hint="default"/>
        </w:rPr>
        <w:t>4</w:t>
      </w:r>
      <w:r>
        <w:rPr/>
        <w:t>）包含需要分拆但无法在取得时或后续的资产负债表日对其进行单独计量的嵌入衍生工具的混合工 具。</w:t>
      </w:r>
    </w:p>
    <w:p>
      <w:pPr>
        <w:pStyle w:val="Heading4"/>
        <w:spacing w:line="273" w:lineRule="auto"/>
        <w:ind w:right="1131" w:firstLine="420"/>
        <w:jc w:val="both"/>
      </w:pPr>
      <w:r>
        <w:rPr>
          <w:spacing w:val="-1"/>
        </w:rPr>
        <w:t>公司对以公允价值计量且其变动计入当期损益的金融资产或金融负债，在取得时以公允价值（扣除已</w:t>
      </w:r>
      <w:r>
        <w:rPr/>
        <w:t> </w:t>
      </w:r>
      <w:r>
        <w:rPr>
          <w:spacing w:val="-1"/>
        </w:rPr>
        <w:t>宣告但尚未发放的现金股利或已到付息期但尚未领取的债券利息）作为初始确认金额，相关的交易费用计</w:t>
      </w:r>
      <w:r>
        <w:rPr>
          <w:spacing w:val="-81"/>
        </w:rPr>
        <w:t> </w:t>
      </w:r>
      <w:r>
        <w:rPr>
          <w:spacing w:val="-81"/>
        </w:rPr>
      </w:r>
      <w:r>
        <w:rPr>
          <w:spacing w:val="-1"/>
        </w:rPr>
        <w:t>入当期损益。持有期间将取得的利息或现金股利确认为投资收益，期末将公允价值变动计入当期损益。处</w:t>
      </w:r>
      <w:r>
        <w:rPr>
          <w:spacing w:val="-83"/>
        </w:rPr>
        <w:t> </w:t>
      </w:r>
      <w:r>
        <w:rPr>
          <w:spacing w:val="-83"/>
        </w:rPr>
      </w:r>
      <w:r>
        <w:rPr/>
        <w:t>置时，其公允价值与初始入账金额之间的差额确认为投资收益，同时调整公允价值变动损益。</w:t>
      </w:r>
    </w:p>
    <w:p>
      <w:pPr>
        <w:pStyle w:val="Heading4"/>
        <w:spacing w:line="273" w:lineRule="auto"/>
        <w:ind w:left="534" w:right="2772" w:hanging="105"/>
        <w:jc w:val="left"/>
      </w:pPr>
      <w:r>
        <w:rPr/>
        <w:t>（</w:t>
      </w:r>
      <w:r>
        <w:rPr>
          <w:rFonts w:ascii="宋体" w:hAnsi="宋体" w:cs="宋体" w:eastAsia="宋体" w:hint="default"/>
        </w:rPr>
        <w:t>2</w:t>
      </w:r>
      <w:r>
        <w:rPr/>
        <w:t>）应收款项 应收款项是指在活跃市场中没有报价、回收金额固定或可确定的非衍生金融资产。</w:t>
      </w:r>
    </w:p>
    <w:p>
      <w:pPr>
        <w:pStyle w:val="Heading4"/>
        <w:spacing w:line="273" w:lineRule="auto"/>
        <w:ind w:right="1131" w:firstLine="420"/>
        <w:jc w:val="both"/>
      </w:pPr>
      <w:r>
        <w:rPr>
          <w:spacing w:val="-1"/>
        </w:rPr>
        <w:t>公司对外销售商品或提供劳务形成的应收债权，以及公司持有的其他企业的债权（不包括在活跃市场</w:t>
      </w:r>
      <w:r>
        <w:rPr/>
        <w:t> </w:t>
      </w:r>
      <w:r>
        <w:rPr>
          <w:spacing w:val="-1"/>
        </w:rPr>
        <w:t>上有报价的债务工具），包括应收账款、其他应收款、应收票据、长期应收款等，以向购货方应收的合同</w:t>
      </w:r>
      <w:r>
        <w:rPr>
          <w:spacing w:val="-94"/>
        </w:rPr>
        <w:t> </w:t>
      </w:r>
      <w:r>
        <w:rPr>
          <w:spacing w:val="-94"/>
        </w:rPr>
      </w:r>
      <w:r>
        <w:rPr/>
        <w:t>或协议价款作为初始确认金额；具有融资性质的，按其现值进行初始确认。</w:t>
      </w:r>
    </w:p>
    <w:p>
      <w:pPr>
        <w:pStyle w:val="Heading4"/>
        <w:spacing w:line="240" w:lineRule="auto"/>
        <w:ind w:left="534" w:right="0"/>
        <w:jc w:val="left"/>
      </w:pPr>
      <w:r>
        <w:rPr/>
        <w:t>收回或处置时，将取得的价款与该应收款项账面价值之间的差额计入当期损益。</w:t>
      </w:r>
    </w:p>
    <w:p>
      <w:pPr>
        <w:pStyle w:val="Heading4"/>
        <w:spacing w:line="273" w:lineRule="auto" w:before="37"/>
        <w:ind w:left="534" w:right="0" w:hanging="105"/>
        <w:jc w:val="left"/>
      </w:pPr>
      <w:r>
        <w:rPr/>
        <w:t>（</w:t>
      </w:r>
      <w:r>
        <w:rPr>
          <w:rFonts w:ascii="宋体" w:hAnsi="宋体" w:cs="宋体" w:eastAsia="宋体" w:hint="default"/>
        </w:rPr>
        <w:t>3</w:t>
      </w:r>
      <w:r>
        <w:rPr/>
        <w:t>）持有至到期投资 </w:t>
      </w:r>
      <w:r>
        <w:rPr>
          <w:spacing w:val="-1"/>
        </w:rPr>
        <w:t>持有至到期投资是指到期日固定、回收金额固定或可确定，且公司有明确意图和能力持有至到期的非</w:t>
      </w:r>
    </w:p>
    <w:p>
      <w:pPr>
        <w:pStyle w:val="Heading4"/>
        <w:spacing w:line="273" w:lineRule="auto" w:before="8"/>
        <w:ind w:left="534" w:right="0" w:hanging="420"/>
        <w:jc w:val="left"/>
      </w:pPr>
      <w:r>
        <w:rPr/>
        <w:t>衍生性金融资产。 </w:t>
      </w:r>
      <w:r>
        <w:rPr>
          <w:spacing w:val="-1"/>
        </w:rPr>
        <w:t>公司对持有至到期投资，在取得时按公允价值（扣除已到付息期但尚未领取的债券利息）和相关交易</w:t>
      </w:r>
    </w:p>
    <w:p>
      <w:pPr>
        <w:pStyle w:val="Heading4"/>
        <w:spacing w:line="273" w:lineRule="auto"/>
        <w:ind w:right="0"/>
        <w:jc w:val="left"/>
      </w:pPr>
      <w:r>
        <w:rPr>
          <w:spacing w:val="-1"/>
        </w:rPr>
        <w:t>费用之和作为初始确认金额。持有期间按照摊余成本和实际利率计算确认利息收入，计入投资收益。实际</w:t>
      </w:r>
      <w:r>
        <w:rPr>
          <w:spacing w:val="-83"/>
        </w:rPr>
        <w:t> </w:t>
      </w:r>
      <w:r>
        <w:rPr>
          <w:spacing w:val="-83"/>
        </w:rPr>
      </w:r>
      <w:r>
        <w:rPr>
          <w:spacing w:val="-1"/>
        </w:rPr>
        <w:t>利率在取得时确定，在该预期存续期间或适用的更短期间内保持不变。处置时，将所取得价款与该投资账</w:t>
      </w:r>
    </w:p>
    <w:p>
      <w:pPr>
        <w:spacing w:after="0" w:line="273"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left="534" w:right="0" w:hanging="420"/>
        <w:jc w:val="left"/>
      </w:pPr>
      <w:r>
        <w:rPr/>
        <w:t>面价值之间的差额计入投资收益。 </w:t>
      </w:r>
      <w:r>
        <w:rPr>
          <w:spacing w:val="-1"/>
        </w:rPr>
        <w:t>如果持有至到期投资处置或重分类为其他类金融资产的金额，相对于公司全部持有至到期投资在出售</w:t>
      </w:r>
    </w:p>
    <w:p>
      <w:pPr>
        <w:pStyle w:val="Heading4"/>
        <w:spacing w:line="273" w:lineRule="auto"/>
        <w:ind w:right="1131"/>
        <w:jc w:val="both"/>
      </w:pPr>
      <w:r>
        <w:rPr>
          <w:spacing w:val="3"/>
        </w:rPr>
        <w:t>或重分类前的总额较大，在处置或重分类后应立即将其剩余的持有至到期投资重分类为可供出售金融资</w:t>
      </w:r>
      <w:r>
        <w:rPr>
          <w:spacing w:val="-82"/>
        </w:rPr>
        <w:t> </w:t>
      </w:r>
      <w:r>
        <w:rPr>
          <w:spacing w:val="-82"/>
        </w:rPr>
      </w:r>
      <w:r>
        <w:rPr>
          <w:spacing w:val="-1"/>
        </w:rPr>
        <w:t>产；重分类日，该投资的账面价值与其公允价值之间的差额计入其他综合收益，在该可供出售金融资产发</w:t>
      </w:r>
      <w:r>
        <w:rPr>
          <w:spacing w:val="-83"/>
        </w:rPr>
        <w:t> </w:t>
      </w:r>
      <w:r>
        <w:rPr>
          <w:spacing w:val="-83"/>
        </w:rPr>
      </w:r>
      <w:r>
        <w:rPr/>
        <w:t>生减值或终止确认时转出，计入当期损益。但是，遇到下列情况可以除外：</w:t>
      </w:r>
    </w:p>
    <w:p>
      <w:pPr>
        <w:pStyle w:val="Heading4"/>
        <w:spacing w:line="273" w:lineRule="auto"/>
        <w:ind w:right="0" w:firstLine="420"/>
        <w:jc w:val="left"/>
      </w:pPr>
      <w:r>
        <w:rPr>
          <w:rFonts w:ascii="宋体" w:hAnsi="宋体" w:cs="宋体" w:eastAsia="宋体" w:hint="default"/>
        </w:rPr>
        <w:t>1</w:t>
      </w:r>
      <w:r>
        <w:rPr/>
        <w:t>）出售日或重分类日距离该项投资到期日或赎回日较近</w:t>
      </w:r>
      <w:r>
        <w:rPr>
          <w:rFonts w:ascii="宋体" w:hAnsi="宋体" w:cs="宋体" w:eastAsia="宋体" w:hint="default"/>
        </w:rPr>
        <w:t>(</w:t>
      </w:r>
      <w:r>
        <w:rPr/>
        <w:t>如到期前三个月内</w:t>
      </w:r>
      <w:r>
        <w:rPr>
          <w:rFonts w:ascii="宋体" w:hAnsi="宋体" w:cs="宋体" w:eastAsia="宋体" w:hint="default"/>
        </w:rPr>
        <w:t>)</w:t>
      </w:r>
      <w:r>
        <w:rPr/>
        <w:t>，且市场利率变化对该 项投资的公允价值没有显著影响。</w:t>
      </w:r>
    </w:p>
    <w:p>
      <w:pPr>
        <w:pStyle w:val="Heading4"/>
        <w:spacing w:line="240" w:lineRule="auto"/>
        <w:ind w:left="534" w:right="0"/>
        <w:jc w:val="left"/>
      </w:pPr>
      <w:r>
        <w:rPr>
          <w:rFonts w:ascii="宋体" w:hAnsi="宋体" w:cs="宋体" w:eastAsia="宋体" w:hint="default"/>
        </w:rPr>
        <w:t>2</w:t>
      </w:r>
      <w:r>
        <w:rPr/>
        <w:t>）根据合同约定的偿付方式，企业已收回几乎所有初始本金。</w:t>
      </w:r>
    </w:p>
    <w:p>
      <w:pPr>
        <w:pStyle w:val="Heading4"/>
        <w:spacing w:line="240" w:lineRule="auto" w:before="37"/>
        <w:ind w:left="534" w:right="0"/>
        <w:jc w:val="left"/>
      </w:pPr>
      <w:r>
        <w:rPr>
          <w:rFonts w:ascii="宋体" w:hAnsi="宋体" w:cs="宋体" w:eastAsia="宋体" w:hint="default"/>
        </w:rPr>
        <w:t>3</w:t>
      </w:r>
      <w:r>
        <w:rPr/>
        <w:t>）出售或重分类是由于企业无法控制、预期不会重复发生且难以合理预计的独立事件所引起。</w:t>
      </w:r>
    </w:p>
    <w:p>
      <w:pPr>
        <w:pStyle w:val="Heading4"/>
        <w:spacing w:line="273" w:lineRule="auto" w:before="37"/>
        <w:ind w:left="534" w:right="0" w:hanging="105"/>
        <w:jc w:val="left"/>
      </w:pPr>
      <w:r>
        <w:rPr/>
        <w:t>（</w:t>
      </w:r>
      <w:r>
        <w:rPr>
          <w:rFonts w:ascii="宋体" w:hAnsi="宋体" w:cs="宋体" w:eastAsia="宋体" w:hint="default"/>
        </w:rPr>
        <w:t>4</w:t>
      </w:r>
      <w:r>
        <w:rPr/>
        <w:t>）可供出售金融资产 </w:t>
      </w:r>
      <w:r>
        <w:rPr>
          <w:spacing w:val="-1"/>
        </w:rPr>
        <w:t>可供出售金融资产，是指初始确认时即指定为可供出售的非衍生金融资产，以及除其他金融资产类别</w:t>
      </w:r>
    </w:p>
    <w:p>
      <w:pPr>
        <w:pStyle w:val="Heading4"/>
        <w:spacing w:line="273" w:lineRule="auto"/>
        <w:ind w:left="534" w:right="0" w:hanging="420"/>
        <w:jc w:val="left"/>
      </w:pPr>
      <w:r>
        <w:rPr/>
        <w:t>以外的金融资产。 </w:t>
      </w:r>
      <w:r>
        <w:rPr>
          <w:spacing w:val="-1"/>
        </w:rPr>
        <w:t>公司对可供出售金融资产，在取得时按公允价值（扣除已宣告但尚未发放的现金股利或已到付息期但</w:t>
      </w:r>
    </w:p>
    <w:p>
      <w:pPr>
        <w:pStyle w:val="Heading4"/>
        <w:spacing w:line="273" w:lineRule="auto"/>
        <w:ind w:right="1131"/>
        <w:jc w:val="both"/>
      </w:pPr>
      <w:r>
        <w:rPr>
          <w:spacing w:val="-1"/>
        </w:rPr>
        <w:t>尚未领取的债券利息）和相关交易费用之和作为初始确认金额。持有期间将取得的利息或现金股利确认为</w:t>
      </w:r>
      <w:r>
        <w:rPr>
          <w:spacing w:val="-81"/>
        </w:rPr>
        <w:t> </w:t>
      </w:r>
      <w:r>
        <w:rPr>
          <w:spacing w:val="-81"/>
        </w:rPr>
      </w:r>
      <w:r>
        <w:rPr>
          <w:spacing w:val="-1"/>
        </w:rPr>
        <w:t>投资收益。可供出售金融资产的公允价值变动形成的利得或损失，除减值损失和外币货币性金融资产形成</w:t>
      </w:r>
      <w:r>
        <w:rPr>
          <w:spacing w:val="-81"/>
        </w:rPr>
        <w:t> </w:t>
      </w:r>
      <w:r>
        <w:rPr>
          <w:spacing w:val="-81"/>
        </w:rPr>
      </w:r>
      <w:r>
        <w:rPr>
          <w:spacing w:val="-1"/>
        </w:rPr>
        <w:t>的汇兑差额外，直接计入其他综合收益。处置可供出售金融资产时，将取得的价款与该金融资产账面价值</w:t>
      </w:r>
      <w:r>
        <w:rPr>
          <w:spacing w:val="-83"/>
        </w:rPr>
        <w:t> </w:t>
      </w:r>
      <w:r>
        <w:rPr>
          <w:spacing w:val="-83"/>
        </w:rPr>
      </w:r>
      <w:r>
        <w:rPr>
          <w:spacing w:val="-1"/>
        </w:rPr>
        <w:t>之间的差额，计入投资损益；同时，将原直接计入其他综合收益的公允价值变动累计额对应处置部分的金</w:t>
      </w:r>
      <w:r>
        <w:rPr>
          <w:spacing w:val="-83"/>
        </w:rPr>
        <w:t> </w:t>
      </w:r>
      <w:r>
        <w:rPr>
          <w:spacing w:val="-83"/>
        </w:rPr>
      </w:r>
      <w:r>
        <w:rPr/>
        <w:t>额转出，计入投资损益。</w:t>
      </w:r>
    </w:p>
    <w:p>
      <w:pPr>
        <w:pStyle w:val="Heading4"/>
        <w:spacing w:line="273" w:lineRule="auto"/>
        <w:ind w:right="0" w:firstLine="420"/>
        <w:jc w:val="left"/>
      </w:pPr>
      <w:r>
        <w:rPr>
          <w:spacing w:val="-1"/>
        </w:rPr>
        <w:t>公司对在活跃市场中没有报价且其公允价值不能可靠计量的权益工具投资，以及与该权益工具挂钩并</w:t>
      </w:r>
      <w:r>
        <w:rPr/>
        <w:t> 须通过交付该权益工具结算的衍生金融资产，按照成本计量。</w:t>
      </w:r>
    </w:p>
    <w:p>
      <w:pPr>
        <w:pStyle w:val="Heading4"/>
        <w:spacing w:line="273" w:lineRule="auto"/>
        <w:ind w:left="534" w:right="1118" w:hanging="105"/>
        <w:jc w:val="left"/>
      </w:pPr>
      <w:r>
        <w:rPr/>
        <w:t>（</w:t>
      </w:r>
      <w:r>
        <w:rPr>
          <w:rFonts w:ascii="宋体" w:hAnsi="宋体" w:cs="宋体" w:eastAsia="宋体" w:hint="default"/>
        </w:rPr>
        <w:t>5</w:t>
      </w:r>
      <w:r>
        <w:rPr/>
        <w:t>）其他金融负债 按其公允价值和相关交易费用之和作为初始确认金额。采用摊余成本进行后续计量。 </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1"/>
        </w:rPr>
        <w:t>公司发生金融资产转移时，如已将金融资产所有权上几乎所有的风险和报酬转移给转入方，则终止确</w:t>
      </w:r>
    </w:p>
    <w:p>
      <w:pPr>
        <w:pStyle w:val="Heading4"/>
        <w:spacing w:line="273" w:lineRule="auto"/>
        <w:ind w:left="534" w:right="0"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Heading4"/>
        <w:spacing w:line="273" w:lineRule="auto"/>
        <w:ind w:right="1131"/>
        <w:jc w:val="both"/>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Heading4"/>
        <w:spacing w:line="240" w:lineRule="auto"/>
        <w:ind w:left="534" w:right="0"/>
        <w:jc w:val="left"/>
      </w:pPr>
      <w:r>
        <w:rPr/>
        <w:t>（</w:t>
      </w:r>
      <w:r>
        <w:rPr>
          <w:rFonts w:ascii="宋体" w:hAnsi="宋体" w:cs="宋体" w:eastAsia="宋体" w:hint="default"/>
        </w:rPr>
        <w:t>1</w:t>
      </w:r>
      <w:r>
        <w:rPr/>
        <w:t>）所转移金融资产的账面价值；</w:t>
      </w:r>
    </w:p>
    <w:p>
      <w:pPr>
        <w:pStyle w:val="Heading4"/>
        <w:spacing w:line="273" w:lineRule="auto" w:before="37"/>
        <w:ind w:right="0" w:firstLine="420"/>
        <w:jc w:val="left"/>
      </w:pPr>
      <w:r>
        <w:rPr/>
        <w:t>（</w:t>
      </w:r>
      <w:r>
        <w:rPr>
          <w:rFonts w:ascii="宋体" w:hAnsi="宋体" w:cs="宋体" w:eastAsia="宋体" w:hint="default"/>
        </w:rPr>
        <w:t>2</w:t>
      </w:r>
      <w:r>
        <w:rPr/>
        <w:t>）因转移而收到的对价，与原直接计入所有者权益的公允价值变动累计额（涉及转移的金融资产 为可供出售金融资产的情形）之和。</w:t>
      </w:r>
    </w:p>
    <w:p>
      <w:pPr>
        <w:pStyle w:val="Heading4"/>
        <w:spacing w:line="273" w:lineRule="auto"/>
        <w:ind w:right="0"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Heading4"/>
        <w:spacing w:line="240" w:lineRule="auto"/>
        <w:ind w:left="534" w:right="0"/>
        <w:jc w:val="left"/>
      </w:pPr>
      <w:r>
        <w:rPr/>
        <w:t>（</w:t>
      </w:r>
      <w:r>
        <w:rPr>
          <w:rFonts w:ascii="宋体" w:hAnsi="宋体" w:cs="宋体" w:eastAsia="宋体" w:hint="default"/>
        </w:rPr>
        <w:t>1</w:t>
      </w:r>
      <w:r>
        <w:rPr/>
        <w:t>）终止确认部分的账面价值；</w:t>
      </w:r>
    </w:p>
    <w:p>
      <w:pPr>
        <w:pStyle w:val="Heading4"/>
        <w:spacing w:line="273" w:lineRule="auto" w:before="37"/>
        <w:ind w:right="0" w:firstLine="420"/>
        <w:jc w:val="left"/>
      </w:pPr>
      <w:r>
        <w:rPr/>
        <w:t>（</w:t>
      </w:r>
      <w:r>
        <w:rPr>
          <w:rFonts w:ascii="宋体" w:hAnsi="宋体" w:cs="宋体" w:eastAsia="宋体" w:hint="default"/>
        </w:rPr>
        <w:t>2</w:t>
      </w:r>
      <w:r>
        <w:rPr/>
        <w:t>）终止确认部分的对价，与原直接计入所有者权益的公允价值变动累计额中对应终止确认部分的 金额（涉及转移的金融资产为可供出售金融资产的情形）之和。</w:t>
      </w:r>
    </w:p>
    <w:p>
      <w:pPr>
        <w:pStyle w:val="Heading4"/>
        <w:spacing w:line="273" w:lineRule="auto"/>
        <w:ind w:left="534" w:right="0"/>
        <w:jc w:val="left"/>
      </w:pPr>
      <w:r>
        <w:rPr/>
        <w:t>金融资产转移不满足终止确认条件的，继续确认该金融资产，所收到的对价确认为一项金融负债。 </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金融负债的现时义务全部或部分已经解除的，则终止确认该金融负债或其一部分；公司若与债权人签</w:t>
      </w:r>
    </w:p>
    <w:p>
      <w:pPr>
        <w:pStyle w:val="Heading4"/>
        <w:spacing w:line="273" w:lineRule="auto"/>
        <w:ind w:right="1131"/>
        <w:jc w:val="both"/>
      </w:pPr>
      <w:r>
        <w:rPr>
          <w:spacing w:val="-1"/>
        </w:rPr>
        <w:t>定协议，以承担新金融负债方式替换现存金融负债，且新金融负债与现存金融负债的合同条款实质上不同</w:t>
      </w:r>
      <w:r>
        <w:rPr>
          <w:spacing w:val="-81"/>
        </w:rPr>
        <w:t> </w:t>
      </w:r>
      <w:r>
        <w:rPr>
          <w:spacing w:val="-81"/>
        </w:rPr>
      </w:r>
      <w:r>
        <w:rPr/>
        <w:t>的，则终止确认现存金融负债，并同时确认新金融负债。</w:t>
      </w:r>
    </w:p>
    <w:p>
      <w:pPr>
        <w:pStyle w:val="Heading4"/>
        <w:spacing w:line="273" w:lineRule="auto"/>
        <w:ind w:right="0" w:firstLine="420"/>
        <w:jc w:val="left"/>
      </w:pPr>
      <w:r>
        <w:rPr>
          <w:spacing w:val="-1"/>
        </w:rPr>
        <w:t>对现存金融负债全部或部分合同条款作出实质性修改的，则终止确认现存金融负债或其一部分，同时</w:t>
      </w:r>
      <w:r>
        <w:rPr/>
        <w:t> 将修改条款后的金融负债确认为一项新金融负债。</w:t>
      </w:r>
    </w:p>
    <w:p>
      <w:pPr>
        <w:pStyle w:val="Heading4"/>
        <w:spacing w:line="240" w:lineRule="auto"/>
        <w:ind w:left="534" w:right="0"/>
        <w:jc w:val="left"/>
      </w:pPr>
      <w:r>
        <w:rPr/>
        <w:t>金融负债全部或部分终止确认时，终止确认的金融负债账面价值与支付对价（包括转出的非现金资产</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left="534" w:right="0" w:hanging="420"/>
        <w:jc w:val="left"/>
      </w:pPr>
      <w:r>
        <w:rPr/>
        <w:t>或承担的新金融负债）之间的差额，计入当期损益。 </w:t>
      </w:r>
      <w:r>
        <w:rPr>
          <w:spacing w:val="-1"/>
        </w:rPr>
        <w:t>公司若回购部分金融负债的，在回购日按照继续确认部分与终止确认部分的相对公允价值，将该金融</w:t>
      </w:r>
    </w:p>
    <w:p>
      <w:pPr>
        <w:pStyle w:val="Heading4"/>
        <w:spacing w:line="273" w:lineRule="auto"/>
        <w:ind w:right="1131"/>
        <w:jc w:val="both"/>
      </w:pPr>
      <w:r>
        <w:rPr>
          <w:spacing w:val="-1"/>
        </w:rPr>
        <w:t>负债整体的账面价值进行分配。分配给终止确认部分的账面价值与支付的对价（包括转出的非现金资产或</w:t>
      </w:r>
      <w:r>
        <w:rPr>
          <w:spacing w:val="-81"/>
        </w:rPr>
        <w:t> </w:t>
      </w:r>
      <w:r>
        <w:rPr>
          <w:spacing w:val="-81"/>
        </w:rPr>
      </w:r>
      <w:r>
        <w:rPr/>
        <w:t>承担的新金融负债）之间的差额，计入当期损益。</w:t>
      </w:r>
    </w:p>
    <w:p>
      <w:pPr>
        <w:spacing w:line="273" w:lineRule="auto" w:before="8"/>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存在活跃市场的金融资产或金融负债，以活跃市场的报价确定其公允价值；活跃市场的报价包括易于</w:t>
      </w:r>
    </w:p>
    <w:p>
      <w:pPr>
        <w:pStyle w:val="Heading4"/>
        <w:spacing w:line="273" w:lineRule="auto"/>
        <w:ind w:right="1133"/>
        <w:jc w:val="both"/>
      </w:pPr>
      <w:r>
        <w:rPr>
          <w:spacing w:val="-1"/>
        </w:rPr>
        <w:t>且可定期从交易所、交易商、经纪人、行业集团、定价机构或监管机构等获得相关资产或负债的报价，且</w:t>
      </w:r>
      <w:r>
        <w:rPr>
          <w:spacing w:val="-83"/>
        </w:rPr>
        <w:t> </w:t>
      </w:r>
      <w:r>
        <w:rPr>
          <w:spacing w:val="-83"/>
        </w:rPr>
      </w:r>
      <w:r>
        <w:rPr/>
        <w:t>能代表在公平交易基础上实际并经常发生的市场交易。</w:t>
      </w:r>
    </w:p>
    <w:p>
      <w:pPr>
        <w:pStyle w:val="Heading4"/>
        <w:spacing w:line="273" w:lineRule="auto"/>
        <w:ind w:left="534" w:right="0"/>
        <w:jc w:val="left"/>
      </w:pPr>
      <w:r>
        <w:rPr/>
        <w:t>初始取得或衍生的金融资产或承担的金融负债，以市场交易价格作为确定其公允价值的基础。 </w:t>
      </w:r>
      <w:r>
        <w:rPr>
          <w:spacing w:val="-1"/>
        </w:rPr>
        <w:t>不存在活跃市场的金融资产或金融负债，采用估值技术确定其公允价值。在估值时，公司采用在当前</w:t>
      </w:r>
    </w:p>
    <w:p>
      <w:pPr>
        <w:pStyle w:val="Heading4"/>
        <w:spacing w:line="273" w:lineRule="auto"/>
        <w:ind w:right="1131"/>
        <w:jc w:val="both"/>
      </w:pPr>
      <w:r>
        <w:rPr>
          <w:spacing w:val="-1"/>
        </w:rPr>
        <w:t>情况下适用并且有足够可利用数据和其他信息支持的估值技术，选择与市场参与者在相关资产或负债的交</w:t>
      </w:r>
      <w:r>
        <w:rPr>
          <w:spacing w:val="-81"/>
        </w:rPr>
        <w:t> </w:t>
      </w:r>
      <w:r>
        <w:rPr>
          <w:spacing w:val="-81"/>
        </w:rPr>
      </w:r>
      <w:r>
        <w:rPr>
          <w:spacing w:val="-1"/>
        </w:rPr>
        <w:t>易中所考虑的资产或负债特征相一致的输入值，并尽可能优先使用相关可观察输入值。在相关可观察输入</w:t>
      </w:r>
      <w:r>
        <w:rPr>
          <w:spacing w:val="-81"/>
        </w:rPr>
        <w:t> </w:t>
      </w:r>
      <w:r>
        <w:rPr>
          <w:spacing w:val="-81"/>
        </w:rPr>
      </w:r>
      <w:r>
        <w:rPr/>
        <w:t>值无法取得或取得不切实可行的情况下，使用不可观察输入值。</w:t>
      </w:r>
    </w:p>
    <w:p>
      <w:pPr>
        <w:spacing w:line="273" w:lineRule="auto" w:before="7"/>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资产负债表日对以公允价值计量且其变动计入当期损益的金融资产以外的金融资产的账面价值进行</w:t>
      </w:r>
    </w:p>
    <w:p>
      <w:pPr>
        <w:pStyle w:val="Heading4"/>
        <w:spacing w:line="273" w:lineRule="auto"/>
        <w:ind w:left="534" w:right="4662" w:hanging="420"/>
        <w:jc w:val="left"/>
      </w:pPr>
      <w:r>
        <w:rPr/>
        <w:t>检查，如有客观证据表明该金融资产发生减值的，计提减值准备。 金融资产发生减值的客观证据，包括但不限于：</w:t>
      </w:r>
    </w:p>
    <w:p>
      <w:pPr>
        <w:pStyle w:val="Heading4"/>
        <w:spacing w:line="240" w:lineRule="auto"/>
        <w:ind w:left="535" w:right="0"/>
        <w:jc w:val="left"/>
      </w:pPr>
      <w:r>
        <w:rPr/>
        <w:t>①发行方或债务人发生严重财务困难；</w:t>
      </w:r>
    </w:p>
    <w:p>
      <w:pPr>
        <w:pStyle w:val="Heading4"/>
        <w:spacing w:line="240" w:lineRule="auto" w:before="37"/>
        <w:ind w:left="535" w:right="0"/>
        <w:jc w:val="left"/>
      </w:pPr>
      <w:r>
        <w:rPr/>
        <w:t>②债务人违反了合同条款，如偿付利息或本金发生违约或逾期等；</w:t>
      </w:r>
    </w:p>
    <w:p>
      <w:pPr>
        <w:pStyle w:val="Heading4"/>
        <w:spacing w:line="240" w:lineRule="auto" w:before="37"/>
        <w:ind w:left="535" w:right="0"/>
        <w:jc w:val="left"/>
      </w:pPr>
      <w:r>
        <w:rPr/>
        <w:t>③债权人出于经济或法律等方面因素的考虑，对发生财务困难的债务人作出让步；</w:t>
      </w:r>
    </w:p>
    <w:p>
      <w:pPr>
        <w:pStyle w:val="Heading4"/>
        <w:spacing w:line="240" w:lineRule="auto" w:before="37"/>
        <w:ind w:left="535" w:right="0"/>
        <w:jc w:val="left"/>
      </w:pPr>
      <w:r>
        <w:rPr/>
        <w:t>④债务人很可能倒闭或进行其他财务重组；</w:t>
      </w:r>
    </w:p>
    <w:p>
      <w:pPr>
        <w:pStyle w:val="Heading4"/>
        <w:spacing w:line="240" w:lineRule="auto" w:before="37"/>
        <w:ind w:left="535" w:right="0"/>
        <w:jc w:val="left"/>
      </w:pPr>
      <w:r>
        <w:rPr/>
        <w:t>⑤因发行方发生重大财务困难，该金融资产无法在活跃市场继续交易；</w:t>
      </w:r>
    </w:p>
    <w:p>
      <w:pPr>
        <w:pStyle w:val="Heading4"/>
        <w:spacing w:line="273" w:lineRule="auto" w:before="37"/>
        <w:ind w:right="1131" w:firstLine="421"/>
        <w:jc w:val="both"/>
      </w:pPr>
      <w:r>
        <w:rPr>
          <w:spacing w:val="-1"/>
        </w:rPr>
        <w:t>⑥无法辨认一组金融资产中的某项资产的现金流量是否已经减少，但根据公开的数据对其进行总体评</w:t>
      </w:r>
      <w:r>
        <w:rPr/>
        <w:t> </w:t>
      </w:r>
      <w:r>
        <w:rPr>
          <w:spacing w:val="-1"/>
        </w:rPr>
        <w:t>价后发现，该组金融资产自初始确认以来的预计未来现金流量确已减少且可计量，如该组金融资产的债务</w:t>
      </w:r>
      <w:r>
        <w:rPr>
          <w:spacing w:val="-81"/>
        </w:rPr>
        <w:t> </w:t>
      </w:r>
      <w:r>
        <w:rPr>
          <w:spacing w:val="-81"/>
        </w:rPr>
      </w:r>
      <w:r>
        <w:rPr>
          <w:spacing w:val="-1"/>
        </w:rPr>
        <w:t>人支付能力逐步恶化，或债务人所在国家或地区失业率提高、担保物在其所在地区的价格明显下降、所处</w:t>
      </w:r>
      <w:r>
        <w:rPr>
          <w:spacing w:val="-83"/>
        </w:rPr>
        <w:t> </w:t>
      </w:r>
      <w:r>
        <w:rPr>
          <w:spacing w:val="-83"/>
        </w:rPr>
      </w:r>
      <w:r>
        <w:rPr/>
        <w:t>行业不景气等；</w:t>
      </w:r>
    </w:p>
    <w:p>
      <w:pPr>
        <w:pStyle w:val="Heading4"/>
        <w:spacing w:line="273" w:lineRule="auto"/>
        <w:ind w:right="1131" w:firstLine="421"/>
        <w:jc w:val="both"/>
      </w:pPr>
      <w:r>
        <w:rPr>
          <w:spacing w:val="-1"/>
        </w:rPr>
        <w:t>⑦权益工具发行方经营所处的技术、市场、经济或法律环境等发生重大不利变化，使权益工具投资人</w:t>
      </w:r>
      <w:r>
        <w:rPr/>
        <w:t> 可能无法收回投资成本；</w:t>
      </w:r>
    </w:p>
    <w:p>
      <w:pPr>
        <w:pStyle w:val="Heading4"/>
        <w:spacing w:line="273" w:lineRule="auto"/>
        <w:ind w:left="534" w:right="5291" w:firstLine="1"/>
        <w:jc w:val="left"/>
      </w:pPr>
      <w:r>
        <w:rPr/>
        <w:t>⑧权益工具投资的公允价值发生严重或非暂时性下跌； 金融资产的具体减值方法如下：</w:t>
      </w:r>
    </w:p>
    <w:p>
      <w:pPr>
        <w:pStyle w:val="Heading4"/>
        <w:spacing w:line="273" w:lineRule="auto"/>
        <w:ind w:left="534" w:right="0"/>
        <w:jc w:val="left"/>
      </w:pPr>
      <w:r>
        <w:rPr/>
        <w:t>（</w:t>
      </w:r>
      <w:r>
        <w:rPr>
          <w:rFonts w:ascii="宋体" w:hAnsi="宋体" w:cs="宋体" w:eastAsia="宋体" w:hint="default"/>
        </w:rPr>
        <w:t>1</w:t>
      </w:r>
      <w:r>
        <w:rPr/>
        <w:t>）可供出售金融资产减值准备 </w:t>
      </w:r>
      <w:r>
        <w:rPr>
          <w:spacing w:val="-1"/>
        </w:rPr>
        <w:t>可供出售金融资产能以公允价值可靠计量的，以公允价值低于账面价值部分计提减值准备，计入当期</w:t>
      </w:r>
    </w:p>
    <w:p>
      <w:pPr>
        <w:pStyle w:val="Heading4"/>
        <w:spacing w:line="273" w:lineRule="auto"/>
        <w:ind w:right="1131"/>
        <w:jc w:val="both"/>
      </w:pPr>
      <w:r>
        <w:rPr>
          <w:spacing w:val="-1"/>
        </w:rPr>
        <w:t>损益；可供出售金融资产的公允价值不能可靠计量的，以预计未来现金流（不包括尚未发生的未来信用损</w:t>
      </w:r>
      <w:r>
        <w:rPr>
          <w:spacing w:val="-83"/>
        </w:rPr>
        <w:t> </w:t>
      </w:r>
      <w:r>
        <w:rPr>
          <w:spacing w:val="-83"/>
        </w:rPr>
      </w:r>
      <w:r>
        <w:rPr/>
        <w:t>失）现值低于账面价值部分计提减值准备，计入当期损益。</w:t>
      </w:r>
    </w:p>
    <w:p>
      <w:pPr>
        <w:pStyle w:val="Heading4"/>
        <w:spacing w:line="273" w:lineRule="auto"/>
        <w:ind w:right="1131" w:firstLine="420"/>
        <w:jc w:val="both"/>
      </w:pPr>
      <w:r>
        <w:rPr>
          <w:spacing w:val="-1"/>
        </w:rPr>
        <w:t>可供出售金融资产发生减值时，即使该金融资产没有终止确认，公司将原直接计入其他综合收益的因</w:t>
      </w:r>
      <w:r>
        <w:rPr/>
        <w:t> </w:t>
      </w:r>
      <w:r>
        <w:rPr>
          <w:spacing w:val="-1"/>
        </w:rPr>
        <w:t>公允价值下降形成的累计损失从其他综合收益转出，计入当期损益。该转出的累计损失，等于可供出售金</w:t>
      </w:r>
      <w:r>
        <w:rPr>
          <w:spacing w:val="-83"/>
        </w:rPr>
        <w:t> </w:t>
      </w:r>
      <w:r>
        <w:rPr>
          <w:spacing w:val="-83"/>
        </w:rPr>
      </w:r>
      <w:r>
        <w:rPr>
          <w:spacing w:val="3"/>
        </w:rPr>
        <w:t>融资产的初始取得成本扣除已收回本金和已摊余金额、当前公允价值和原已计入损益的减值损失后的余</w:t>
      </w:r>
      <w:r>
        <w:rPr>
          <w:spacing w:val="-82"/>
        </w:rPr>
        <w:t> </w:t>
      </w:r>
      <w:r>
        <w:rPr>
          <w:spacing w:val="-82"/>
        </w:rPr>
      </w:r>
      <w:r>
        <w:rPr/>
        <w:t>额。</w:t>
      </w:r>
    </w:p>
    <w:p>
      <w:pPr>
        <w:pStyle w:val="Heading4"/>
        <w:spacing w:line="273" w:lineRule="auto"/>
        <w:ind w:right="1131"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r>
        <w:rPr>
          <w:spacing w:val="-81"/>
        </w:rPr>
        <w:t> </w:t>
      </w:r>
      <w:r>
        <w:rPr>
          <w:spacing w:val="-81"/>
        </w:rPr>
      </w: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Heading4"/>
        <w:spacing w:line="240" w:lineRule="auto"/>
        <w:ind w:left="534" w:right="0"/>
        <w:jc w:val="left"/>
      </w:pPr>
      <w:r>
        <w:rPr/>
        <w:t>（</w:t>
      </w:r>
      <w:r>
        <w:rPr>
          <w:rFonts w:ascii="宋体" w:hAnsi="宋体" w:cs="宋体" w:eastAsia="宋体" w:hint="default"/>
        </w:rPr>
        <w:t>2</w:t>
      </w:r>
      <w:r>
        <w:rPr/>
        <w:t>）持有至到期投资减值准备</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right="1131" w:firstLine="420"/>
        <w:jc w:val="both"/>
      </w:pPr>
      <w:r>
        <w:rPr>
          <w:spacing w:val="-1"/>
        </w:rPr>
        <w:t>对于持有至到期投资，有客观证据表明其发生了减值的，根据其账面价值与预计未来现金流量现值之</w:t>
      </w:r>
      <w:r>
        <w:rPr/>
        <w:t> </w:t>
      </w:r>
      <w:r>
        <w:rPr>
          <w:spacing w:val="-1"/>
        </w:rPr>
        <w:t>间差额计算确认减值损失；计提后如有证据表明其价值已恢复，原确认的减值损失可予以转回，记入当期</w:t>
      </w:r>
      <w:r>
        <w:rPr>
          <w:spacing w:val="-83"/>
        </w:rPr>
        <w:t> </w:t>
      </w:r>
      <w:r>
        <w:rPr>
          <w:spacing w:val="-83"/>
        </w:rPr>
      </w:r>
      <w:r>
        <w:rPr/>
        <w:t>损益，但该转回的账面价值不超过假定不计提减值准备情况下该金融资产在转回日的摊余成本。</w:t>
      </w:r>
    </w:p>
    <w:p>
      <w:pPr>
        <w:spacing w:line="273" w:lineRule="auto" w:before="7"/>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金融资产和金融负债在资产负债表内分别列示，没有相互抵销。但是，同时满足下列条件的，以相互</w:t>
      </w:r>
    </w:p>
    <w:p>
      <w:pPr>
        <w:pStyle w:val="Heading4"/>
        <w:spacing w:line="240" w:lineRule="auto"/>
        <w:ind w:right="0"/>
        <w:jc w:val="left"/>
      </w:pPr>
      <w:r>
        <w:rPr/>
        <w:t>抵销后的净额在资产负债表内列示：</w:t>
      </w:r>
    </w:p>
    <w:p>
      <w:pPr>
        <w:pStyle w:val="Heading4"/>
        <w:spacing w:line="240" w:lineRule="auto" w:before="37"/>
        <w:ind w:left="534" w:right="0"/>
        <w:jc w:val="left"/>
      </w:pPr>
      <w:r>
        <w:rPr/>
        <w:t>（</w:t>
      </w:r>
      <w:r>
        <w:rPr>
          <w:rFonts w:ascii="宋体" w:hAnsi="宋体" w:cs="宋体" w:eastAsia="宋体" w:hint="default"/>
        </w:rPr>
        <w:t>1</w:t>
      </w:r>
      <w:r>
        <w:rPr/>
        <w:t>）公司具有抵销已确认金额的法定权利，且该种法定权利是当前可执行的；</w:t>
      </w:r>
    </w:p>
    <w:p>
      <w:pPr>
        <w:pStyle w:val="Heading4"/>
        <w:spacing w:line="240" w:lineRule="auto" w:before="37"/>
        <w:ind w:left="534" w:right="0"/>
        <w:jc w:val="left"/>
      </w:pPr>
      <w:r>
        <w:rPr/>
        <w:t>（</w:t>
      </w:r>
      <w:r>
        <w:rPr>
          <w:rFonts w:ascii="宋体" w:hAnsi="宋体" w:cs="宋体" w:eastAsia="宋体" w:hint="default"/>
        </w:rPr>
        <w:t>2</w:t>
      </w:r>
      <w:r>
        <w:rPr/>
        <w:t>）公司计划以净额结算，或同时变现该金融资产和清偿该金融负债。</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1、应收票据及应收账款" w:id="179"/>
      <w:bookmarkEnd w:id="179"/>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 当应收款项的预计未来现金流量（不包括尚未发生的未来 信用损失）按原实际利率折现的现值低于其账面价值时， 将该应收款项的账面价值减记至该现值，减记的金额确认 为资产减值损失，计提坏账准备，计入当期损益。单独测 试未发生减值的应收款项，以账龄为信用风险组合计提坏 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8"/>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存在客观证据表明公司将无法按应收款项的原有条款收回 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当应收款项的预计未来现金流量（不包括尚未发生的未来 信用损失）按原实际利率折现的现值低于其账面价值时， 将该应收款项的账面价值减记至该现值，减记的金额确认 为资产减值损失，计提坏账准备。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Heading4"/>
        <w:spacing w:line="273" w:lineRule="auto" w:before="0"/>
        <w:ind w:left="534" w:right="1118" w:firstLine="2"/>
        <w:jc w:val="left"/>
      </w:pPr>
      <w:r>
        <w:rPr>
          <w:rFonts w:ascii="宋体" w:hAnsi="宋体" w:cs="宋体" w:eastAsia="宋体" w:hint="default"/>
          <w:b/>
          <w:bCs/>
        </w:rPr>
        <w:t>存货的分类</w:t>
      </w:r>
      <w:r>
        <w:rPr>
          <w:rFonts w:ascii="宋体" w:hAnsi="宋体" w:cs="宋体" w:eastAsia="宋体" w:hint="default"/>
          <w:b/>
          <w:bCs/>
          <w:w w:val="99"/>
        </w:rPr>
        <w:t> </w:t>
      </w:r>
      <w:r>
        <w:rPr>
          <w:spacing w:val="-1"/>
        </w:rPr>
        <w:t>存货是指公司在日常活动中持有以备出售的产成品或商品、处在生产过程中的在产品、在生产过程或</w:t>
      </w:r>
    </w:p>
    <w:p>
      <w:pPr>
        <w:pStyle w:val="Heading4"/>
        <w:spacing w:line="273" w:lineRule="auto"/>
        <w:ind w:right="1133"/>
        <w:jc w:val="both"/>
      </w:pPr>
      <w:r>
        <w:rPr>
          <w:spacing w:val="-1"/>
        </w:rPr>
        <w:t>提供劳务过程中耗用的材料和物料等。主要包括原材料、包装物、低值易耗品、在产品、库存商品和发出</w:t>
      </w:r>
      <w:r>
        <w:rPr>
          <w:spacing w:val="-83"/>
        </w:rPr>
        <w:t> </w:t>
      </w:r>
      <w:r>
        <w:rPr>
          <w:spacing w:val="-83"/>
        </w:rPr>
      </w:r>
      <w:r>
        <w:rPr/>
        <w:t>商品等。</w:t>
      </w:r>
    </w:p>
    <w:p>
      <w:pPr>
        <w:pStyle w:val="Heading4"/>
        <w:spacing w:line="273" w:lineRule="auto"/>
        <w:ind w:left="534" w:right="0" w:firstLine="2"/>
        <w:jc w:val="left"/>
      </w:pPr>
      <w:r>
        <w:rPr>
          <w:rFonts w:ascii="宋体" w:hAnsi="宋体" w:cs="宋体" w:eastAsia="宋体" w:hint="default"/>
          <w:b/>
          <w:bCs/>
        </w:rPr>
        <w:t>存货的计价方法</w:t>
      </w:r>
      <w:r>
        <w:rPr>
          <w:rFonts w:ascii="宋体" w:hAnsi="宋体" w:cs="宋体" w:eastAsia="宋体" w:hint="default"/>
          <w:b/>
          <w:bCs/>
          <w:w w:val="99"/>
        </w:rPr>
        <w:t> </w:t>
      </w:r>
      <w:r>
        <w:rPr>
          <w:spacing w:val="-1"/>
        </w:rPr>
        <w:t>存货在取得时，按成本进行初始计量，包括采购成本、加工成本和其他成本。存货发出时按加权平均</w:t>
      </w:r>
    </w:p>
    <w:p>
      <w:pPr>
        <w:pStyle w:val="Heading4"/>
        <w:spacing w:line="240" w:lineRule="auto"/>
        <w:ind w:right="0"/>
        <w:jc w:val="left"/>
      </w:pPr>
      <w:r>
        <w:rPr/>
        <w:t>法计价。</w:t>
      </w:r>
    </w:p>
    <w:p>
      <w:pPr>
        <w:spacing w:line="273" w:lineRule="auto" w:before="37"/>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公司于每年中期期末及期末对存货进行全面清查后，对遭受损失，全部或部分陈旧过时或销售价格低</w:t>
      </w:r>
    </w:p>
    <w:p>
      <w:pPr>
        <w:pStyle w:val="Heading4"/>
        <w:spacing w:line="273" w:lineRule="auto"/>
        <w:ind w:right="1131"/>
        <w:jc w:val="both"/>
      </w:pPr>
      <w:r>
        <w:rPr>
          <w:spacing w:val="-1"/>
        </w:rPr>
        <w:t>于成本的存货，按存货的成本与可变现净值孰低提取或调整存货跌价准备。产成品、库存商品和用于出售</w:t>
      </w:r>
      <w:r>
        <w:rPr>
          <w:spacing w:val="-83"/>
        </w:rPr>
        <w:t> </w:t>
      </w:r>
      <w:r>
        <w:rPr>
          <w:spacing w:val="-83"/>
        </w:rPr>
      </w:r>
      <w:r>
        <w:rPr>
          <w:spacing w:val="-1"/>
        </w:rPr>
        <w:t>的材料等直接用于出售的商品存货，在正常生产经营过程中，以该存货的估计售价减去估计的销售费用和</w:t>
      </w:r>
      <w:r>
        <w:rPr>
          <w:spacing w:val="-81"/>
        </w:rPr>
        <w:t> </w:t>
      </w:r>
      <w:r>
        <w:rPr>
          <w:spacing w:val="-81"/>
        </w:rPr>
      </w:r>
      <w:r>
        <w:rPr>
          <w:spacing w:val="-1"/>
        </w:rPr>
        <w:t>相关税费后的金额，确定其可变现净值；需要经过加工的材料存货，在正常生产经营过程中，以所生产的</w:t>
      </w:r>
      <w:r>
        <w:rPr>
          <w:spacing w:val="-86"/>
        </w:rPr>
        <w:t> </w:t>
      </w:r>
      <w:r>
        <w:rPr>
          <w:spacing w:val="-86"/>
        </w:rPr>
      </w:r>
      <w:r>
        <w:rPr>
          <w:spacing w:val="-1"/>
        </w:rPr>
        <w:t>产成品的估计售价减去至完工时估计将要发生的成本、估计的销售费用和相关税费后的金额，确定其可变</w:t>
      </w:r>
      <w:r>
        <w:rPr>
          <w:spacing w:val="-81"/>
        </w:rPr>
        <w:t> </w:t>
      </w:r>
      <w:r>
        <w:rPr>
          <w:spacing w:val="-81"/>
        </w:rPr>
      </w:r>
      <w:r>
        <w:rPr>
          <w:spacing w:val="-1"/>
        </w:rPr>
        <w:t>现净值；为执行销售合同或者劳务合同而持有的存货，其可变现净值以合同价格为基础计算，若持有存货</w:t>
      </w:r>
      <w:r>
        <w:rPr>
          <w:spacing w:val="-83"/>
        </w:rPr>
        <w:t> </w:t>
      </w:r>
      <w:r>
        <w:rPr>
          <w:spacing w:val="-83"/>
        </w:rPr>
      </w:r>
      <w:r>
        <w:rPr/>
        <w:t>的数量多于销售合同订购数量的，超出部分的存货的可变现净值以一般销售价格为基础计算。</w:t>
      </w:r>
    </w:p>
    <w:p>
      <w:pPr>
        <w:pStyle w:val="Heading4"/>
        <w:spacing w:line="273" w:lineRule="auto"/>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Heading4"/>
        <w:spacing w:line="273" w:lineRule="auto"/>
        <w:ind w:right="1131" w:firstLine="420"/>
        <w:jc w:val="both"/>
      </w:pPr>
      <w:r>
        <w:rPr>
          <w:spacing w:val="-1"/>
        </w:rPr>
        <w:t>以前减记存货价值的影响因素已经消失的，减记的金额予以恢复，并在原已计提的存货跌价准备金额</w:t>
      </w:r>
      <w:r>
        <w:rPr/>
        <w:t> 内转回，转回的金额计入当期损益。</w:t>
      </w:r>
    </w:p>
    <w:p>
      <w:pPr>
        <w:pStyle w:val="Heading4"/>
        <w:spacing w:line="273" w:lineRule="auto"/>
        <w:ind w:left="534" w:right="0" w:firstLine="2"/>
        <w:jc w:val="left"/>
      </w:pPr>
      <w:r>
        <w:rPr>
          <w:rFonts w:ascii="宋体" w:hAnsi="宋体" w:cs="宋体" w:eastAsia="宋体" w:hint="default"/>
          <w:b/>
          <w:bCs/>
        </w:rPr>
        <w:t>存货的盘存制度</w:t>
      </w:r>
      <w:r>
        <w:rPr>
          <w:rFonts w:ascii="宋体" w:hAnsi="宋体" w:cs="宋体" w:eastAsia="宋体" w:hint="default"/>
          <w:b/>
          <w:bCs/>
          <w:w w:val="99"/>
        </w:rPr>
        <w:t> </w:t>
      </w:r>
      <w:r>
        <w:rPr>
          <w:spacing w:val="-3"/>
        </w:rPr>
        <w:t>采用永续盘存制。，并且定期对存货进行盘点，盘点结果如与账面记录不符，于期末前查明原因，并</w:t>
      </w:r>
    </w:p>
    <w:p>
      <w:pPr>
        <w:spacing w:line="273" w:lineRule="auto" w:before="7"/>
        <w:ind w:left="536" w:right="4453" w:hanging="423"/>
        <w:jc w:val="left"/>
        <w:rPr>
          <w:rFonts w:ascii="宋体" w:hAnsi="宋体" w:cs="宋体" w:eastAsia="宋体" w:hint="default"/>
          <w:sz w:val="21"/>
          <w:szCs w:val="21"/>
        </w:rPr>
      </w:pPr>
      <w:r>
        <w:rPr>
          <w:rFonts w:ascii="宋体" w:hAnsi="宋体" w:cs="宋体" w:eastAsia="宋体" w:hint="default"/>
          <w:sz w:val="21"/>
          <w:szCs w:val="21"/>
        </w:rPr>
        <w:t>根据管理权限报经批准后，在年终结账前处理完毕，计入当期损益。 </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Heading4"/>
        <w:spacing w:line="240" w:lineRule="auto"/>
        <w:ind w:left="429" w:right="0"/>
        <w:jc w:val="left"/>
      </w:pPr>
      <w:r>
        <w:rPr/>
        <w:t>（</w:t>
      </w:r>
      <w:r>
        <w:rPr>
          <w:rFonts w:ascii="宋体" w:hAnsi="宋体" w:cs="宋体" w:eastAsia="宋体" w:hint="default"/>
        </w:rPr>
        <w:t>1</w:t>
      </w:r>
      <w:r>
        <w:rPr/>
        <w:t>）低值易耗品采用一次转销法。</w:t>
      </w:r>
    </w:p>
    <w:p>
      <w:pPr>
        <w:pStyle w:val="Heading4"/>
        <w:spacing w:line="240" w:lineRule="auto" w:before="37"/>
        <w:ind w:left="429" w:right="0"/>
        <w:jc w:val="left"/>
      </w:pPr>
      <w:r>
        <w:rPr/>
        <w:t>（</w:t>
      </w: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506" w:lineRule="auto"/>
        <w:ind w:left="536" w:right="8011" w:hanging="423"/>
        <w:jc w:val="left"/>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w w:val="99"/>
        </w:rPr>
        <w:t> </w:t>
      </w:r>
      <w:r>
        <w:rPr/>
        <w:t>划分为持有待售确认标准</w:t>
      </w:r>
      <w:r>
        <w:rPr>
          <w:b w:val="0"/>
          <w:bCs w:val="0"/>
        </w:rPr>
      </w:r>
    </w:p>
    <w:p>
      <w:pPr>
        <w:spacing w:after="0" w:line="506" w:lineRule="auto"/>
        <w:jc w:val="left"/>
        <w:sectPr>
          <w:pgSz w:w="11910" w:h="16840"/>
          <w:pgMar w:header="907" w:footer="1019" w:top="1100" w:bottom="1200" w:left="1020" w:right="0"/>
        </w:sectPr>
      </w:pPr>
    </w:p>
    <w:p>
      <w:pPr>
        <w:spacing w:line="240" w:lineRule="auto" w:before="8"/>
        <w:rPr>
          <w:rFonts w:ascii="宋体" w:hAnsi="宋体" w:cs="宋体" w:eastAsia="宋体" w:hint="default"/>
          <w:b/>
          <w:bCs/>
          <w:sz w:val="21"/>
          <w:szCs w:val="21"/>
        </w:rPr>
      </w:pPr>
    </w:p>
    <w:p>
      <w:pPr>
        <w:pStyle w:val="Heading4"/>
        <w:spacing w:line="240" w:lineRule="auto" w:before="35"/>
        <w:ind w:left="534" w:right="0"/>
        <w:jc w:val="left"/>
      </w:pPr>
      <w:r>
        <w:rPr/>
        <w:t>公司将同时满足下列条件的非流动资产或处置组确认为持有待售组成部分：</w:t>
      </w:r>
    </w:p>
    <w:p>
      <w:pPr>
        <w:pStyle w:val="Heading4"/>
        <w:spacing w:line="240" w:lineRule="auto" w:before="37"/>
        <w:ind w:left="534" w:right="0"/>
        <w:jc w:val="left"/>
      </w:pPr>
      <w:r>
        <w:rPr/>
        <w:t>（</w:t>
      </w:r>
      <w:r>
        <w:rPr>
          <w:rFonts w:ascii="宋体" w:hAnsi="宋体" w:cs="宋体" w:eastAsia="宋体" w:hint="default"/>
        </w:rPr>
        <w:t>1</w:t>
      </w:r>
      <w:r>
        <w:rPr/>
        <w:t>）根据类似交易中出售此类资产或处置组的惯例，在当前状况下即可立即出售；</w:t>
      </w:r>
    </w:p>
    <w:p>
      <w:pPr>
        <w:pStyle w:val="Heading4"/>
        <w:spacing w:line="273" w:lineRule="auto" w:before="37"/>
        <w:ind w:right="1215" w:firstLine="420"/>
        <w:jc w:val="both"/>
      </w:pPr>
      <w:r>
        <w:rPr/>
        <w:t>（</w:t>
      </w:r>
      <w:r>
        <w:rPr>
          <w:rFonts w:ascii="宋体" w:hAnsi="宋体" w:cs="宋体" w:eastAsia="宋体" w:hint="default"/>
        </w:rPr>
        <w:t>2</w:t>
      </w:r>
      <w:r>
        <w:rPr/>
        <w:t>）出售极可能发生，即公司已经就一项出售计划作出决议，且获得确定的购买承诺，预计出售将 在一年内完成。有关规定要求公司相关权力机构或者监管部门批准后方可出售的，应当已经获得批准。</w:t>
      </w:r>
    </w:p>
    <w:p>
      <w:pPr>
        <w:pStyle w:val="Heading4"/>
        <w:spacing w:line="273" w:lineRule="auto" w:before="8"/>
        <w:ind w:right="1131" w:firstLine="420"/>
        <w:jc w:val="both"/>
      </w:pPr>
      <w:r>
        <w:rPr>
          <w:spacing w:val="-1"/>
        </w:rPr>
        <w:t>确定的购买承诺，是指公司与其他方签订的具有法律约束力的购买协议，该协议包含交易价格、时间</w:t>
      </w:r>
      <w:r>
        <w:rPr/>
        <w:t> 和足够严厉的违约惩罚等重要条款，使协议出现重大调整或者撤销的可能性极小。</w:t>
      </w:r>
    </w:p>
    <w:p>
      <w:pPr>
        <w:pStyle w:val="Heading4"/>
        <w:spacing w:line="273" w:lineRule="auto"/>
        <w:ind w:left="534" w:right="0" w:firstLine="2"/>
        <w:jc w:val="left"/>
      </w:pPr>
      <w:r>
        <w:rPr>
          <w:rFonts w:ascii="宋体" w:hAnsi="宋体" w:cs="宋体" w:eastAsia="宋体" w:hint="default"/>
          <w:b/>
          <w:bCs/>
        </w:rPr>
        <w:t>持有待售核算方法</w:t>
      </w:r>
      <w:r>
        <w:rPr>
          <w:rFonts w:ascii="宋体" w:hAnsi="宋体" w:cs="宋体" w:eastAsia="宋体" w:hint="default"/>
          <w:b/>
          <w:bCs/>
          <w:w w:val="99"/>
        </w:rPr>
        <w:t> </w:t>
      </w:r>
      <w:r>
        <w:rPr>
          <w:spacing w:val="-1"/>
        </w:rPr>
        <w:t>公司对于持有待售的非流动资产或处置组不计提折旧或摊销，其账面价值高于公允价值减去出售费用</w:t>
      </w:r>
    </w:p>
    <w:p>
      <w:pPr>
        <w:pStyle w:val="Heading4"/>
        <w:spacing w:line="273" w:lineRule="auto"/>
        <w:ind w:right="1110"/>
        <w:jc w:val="both"/>
      </w:pPr>
      <w:r>
        <w:rPr/>
        <w:t>后的净额的，应当将账面价值减记至公允价值减去出售费用后的净额，减记的金额确认为资产减值损失， 计入当期损益，同时计提持有待售资产减值准备。</w:t>
      </w:r>
    </w:p>
    <w:p>
      <w:pPr>
        <w:pStyle w:val="Heading4"/>
        <w:spacing w:line="273" w:lineRule="auto"/>
        <w:ind w:right="1132" w:firstLine="420"/>
        <w:jc w:val="both"/>
      </w:pPr>
      <w:r>
        <w:rPr>
          <w:spacing w:val="-1"/>
        </w:rPr>
        <w:t>对于取得日划分为持有待售类别的非流动资产或处置组，在初始计量时比较假定其不划分为持有待售</w:t>
      </w:r>
      <w:r>
        <w:rPr/>
        <w:t> 类别情况下的初始计量金额和公允价值减去出售费用后的净额，以两者孰低计量。</w:t>
      </w:r>
    </w:p>
    <w:p>
      <w:pPr>
        <w:pStyle w:val="Heading4"/>
        <w:spacing w:line="273" w:lineRule="auto"/>
        <w:ind w:right="1131" w:firstLine="420"/>
        <w:jc w:val="both"/>
      </w:pPr>
      <w:r>
        <w:rPr>
          <w:spacing w:val="-1"/>
        </w:rPr>
        <w:t>上述原则适用于所有非流动资产，但不包括采用公允价值模式进行后续计量的投资性房地产、采用公</w:t>
      </w:r>
      <w:r>
        <w:rPr/>
        <w:t> </w:t>
      </w:r>
      <w:r>
        <w:rPr>
          <w:spacing w:val="-1"/>
        </w:rPr>
        <w:t>允价值减去出售费用后的净额计量的生物资产、职工薪酬形成的资产、递延所得税资产、由金融工具相关</w:t>
      </w:r>
      <w:r>
        <w:rPr>
          <w:spacing w:val="-82"/>
        </w:rPr>
        <w:t> </w:t>
      </w:r>
      <w:r>
        <w:rPr>
          <w:spacing w:val="-82"/>
        </w:rPr>
      </w:r>
      <w:r>
        <w:rPr/>
        <w:t>会计准则规范的金融资产、由保险合同相关会计准则规范的保险合同所产生的权利。</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42" w:right="0"/>
        <w:jc w:val="left"/>
        <w:rPr>
          <w:b w:val="0"/>
          <w:bCs w:val="0"/>
        </w:rPr>
      </w:pPr>
      <w:r>
        <w:rPr/>
        <w:t>初始投资成本的确定</w:t>
      </w:r>
      <w:r>
        <w:rPr>
          <w:b w:val="0"/>
          <w:bCs w:val="0"/>
        </w:rPr>
      </w:r>
    </w:p>
    <w:p>
      <w:pPr>
        <w:pStyle w:val="Heading4"/>
        <w:spacing w:line="273" w:lineRule="auto" w:before="37"/>
        <w:ind w:right="1141" w:firstLine="420"/>
        <w:jc w:val="both"/>
      </w:pPr>
      <w:r>
        <w:rPr/>
        <w:t>（</w:t>
      </w:r>
      <w:r>
        <w:rPr>
          <w:rFonts w:ascii="宋体" w:hAnsi="宋体" w:cs="宋体" w:eastAsia="宋体" w:hint="default"/>
        </w:rPr>
        <w:t>1</w:t>
      </w:r>
      <w:r>
        <w:rPr/>
        <w:t>）企业合并形成的长期股权投资，具体会计政策详见本附注四／（四）同一控制下和非同一控制 下企业合并的会计处理方法</w:t>
      </w:r>
    </w:p>
    <w:p>
      <w:pPr>
        <w:pStyle w:val="Heading4"/>
        <w:spacing w:line="273" w:lineRule="auto"/>
        <w:ind w:left="534" w:right="0"/>
        <w:jc w:val="left"/>
      </w:pPr>
      <w:r>
        <w:rPr/>
        <w:t>（</w:t>
      </w:r>
      <w:r>
        <w:rPr>
          <w:rFonts w:ascii="宋体" w:hAnsi="宋体" w:cs="宋体" w:eastAsia="宋体" w:hint="default"/>
        </w:rPr>
        <w:t>2</w:t>
      </w:r>
      <w:r>
        <w:rPr/>
        <w:t>）其他方式取得的长期股权投资 </w:t>
      </w:r>
      <w:r>
        <w:rPr>
          <w:spacing w:val="-1"/>
        </w:rPr>
        <w:t>以支付现金方式取得的长期股权投资，按照实际支付的购买价款作为初始投资成本。初始投资成本包</w:t>
      </w:r>
    </w:p>
    <w:p>
      <w:pPr>
        <w:pStyle w:val="Heading4"/>
        <w:spacing w:line="273" w:lineRule="auto"/>
        <w:ind w:left="534" w:right="0" w:hanging="420"/>
        <w:jc w:val="left"/>
      </w:pPr>
      <w:r>
        <w:rPr/>
        <w:t>括与取得长期股权投资直接相关的费用、税金及其他必要支出。 </w:t>
      </w:r>
      <w:r>
        <w:rPr>
          <w:spacing w:val="-1"/>
        </w:rPr>
        <w:t>以发行权益性证券取得的长期股权投资，按照发行权益性证券的公允价值作为初始投资成本；发行或</w:t>
      </w:r>
    </w:p>
    <w:p>
      <w:pPr>
        <w:pStyle w:val="Heading4"/>
        <w:spacing w:line="273" w:lineRule="auto"/>
        <w:ind w:left="534" w:right="0" w:hanging="420"/>
        <w:jc w:val="left"/>
      </w:pPr>
      <w:r>
        <w:rPr/>
        <w:t>取得自身权益工具时发生的交易费用，可直接归属于权益性交易的从权益中扣减。 </w:t>
      </w:r>
      <w:r>
        <w:rPr>
          <w:spacing w:val="-1"/>
        </w:rPr>
        <w:t>在非货币性资产交换具备商业实质和换入资产或换出资产的公允价值能够可靠计量的前提下，非货币</w:t>
      </w:r>
    </w:p>
    <w:p>
      <w:pPr>
        <w:pStyle w:val="Heading4"/>
        <w:spacing w:line="273" w:lineRule="auto"/>
        <w:ind w:right="1131"/>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Heading4"/>
        <w:spacing w:line="273" w:lineRule="auto"/>
        <w:ind w:left="536" w:right="2983" w:hanging="3"/>
        <w:jc w:val="left"/>
        <w:rPr>
          <w:rFonts w:ascii="宋体" w:hAnsi="宋体" w:cs="宋体" w:eastAsia="宋体" w:hint="default"/>
        </w:rPr>
      </w:pPr>
      <w:r>
        <w:rPr/>
        <w:t>通过债务重组取得的长期股权投资，其初始投资成本按照公允价值为基础确定。 </w:t>
      </w:r>
      <w:r>
        <w:rPr>
          <w:rFonts w:ascii="宋体" w:hAnsi="宋体" w:cs="宋体" w:eastAsia="宋体" w:hint="default"/>
          <w:b/>
          <w:bCs/>
        </w:rPr>
        <w:t>后续计量及损益确认</w:t>
      </w:r>
      <w:r>
        <w:rPr>
          <w:rFonts w:ascii="宋体" w:hAnsi="宋体" w:cs="宋体" w:eastAsia="宋体" w:hint="default"/>
        </w:rPr>
      </w:r>
    </w:p>
    <w:p>
      <w:pPr>
        <w:pStyle w:val="Heading4"/>
        <w:spacing w:line="273" w:lineRule="auto"/>
        <w:ind w:left="534" w:right="1118"/>
        <w:jc w:val="left"/>
      </w:pPr>
      <w:r>
        <w:rPr/>
        <w:t>（</w:t>
      </w:r>
      <w:r>
        <w:rPr>
          <w:rFonts w:ascii="宋体" w:hAnsi="宋体" w:cs="宋体" w:eastAsia="宋体" w:hint="default"/>
        </w:rPr>
        <w:t>1</w:t>
      </w:r>
      <w:r>
        <w:rPr/>
        <w:t>）成本法 </w:t>
      </w:r>
      <w:r>
        <w:rPr>
          <w:spacing w:val="-1"/>
        </w:rPr>
        <w:t>公司能够对被投资单位实施控制的长期股权投资采用成本法核算，并按照初始投资成本计价，追加或</w:t>
      </w:r>
    </w:p>
    <w:p>
      <w:pPr>
        <w:pStyle w:val="Heading4"/>
        <w:spacing w:line="273" w:lineRule="auto"/>
        <w:ind w:left="534" w:right="0" w:hanging="420"/>
        <w:jc w:val="left"/>
      </w:pPr>
      <w:r>
        <w:rPr/>
        <w:t>收回投资调整长期股权投资的成本。 </w:t>
      </w:r>
      <w:r>
        <w:rPr>
          <w:spacing w:val="-1"/>
        </w:rPr>
        <w:t>除取得投资时实际支付的价款或对价中包含的已宣告但尚未发放的现金股利或利润外，公司按照享有</w:t>
      </w:r>
    </w:p>
    <w:p>
      <w:pPr>
        <w:pStyle w:val="Heading4"/>
        <w:spacing w:line="240" w:lineRule="auto"/>
        <w:ind w:right="0"/>
        <w:jc w:val="left"/>
      </w:pPr>
      <w:r>
        <w:rPr/>
        <w:t>被投资单位宣告分派的现金股利或利润确认为当期投资收益。</w:t>
      </w:r>
    </w:p>
    <w:p>
      <w:pPr>
        <w:pStyle w:val="Heading4"/>
        <w:spacing w:line="273" w:lineRule="auto" w:before="37"/>
        <w:ind w:left="534" w:right="4452"/>
        <w:jc w:val="left"/>
      </w:pPr>
      <w:r>
        <w:rPr/>
        <w:t>（</w:t>
      </w:r>
      <w:r>
        <w:rPr>
          <w:rFonts w:ascii="宋体" w:hAnsi="宋体" w:cs="宋体" w:eastAsia="宋体" w:hint="default"/>
        </w:rPr>
        <w:t>2</w:t>
      </w:r>
      <w:r>
        <w:rPr/>
        <w:t>）权益法 对具有共同控制、重大影响的长期股权投资，采用权益法核算。</w:t>
      </w:r>
    </w:p>
    <w:p>
      <w:pPr>
        <w:pStyle w:val="Heading4"/>
        <w:spacing w:line="273" w:lineRule="auto"/>
        <w:ind w:right="1131" w:firstLine="420"/>
        <w:jc w:val="both"/>
      </w:pPr>
      <w:r>
        <w:rPr>
          <w:spacing w:val="-1"/>
        </w:rPr>
        <w:t>公司对联营企业和合营企业的长期股权投资采用权益法核算；对于其中一部分通过风险投资机构、共</w:t>
      </w:r>
      <w:r>
        <w:rPr/>
        <w:t> </w:t>
      </w:r>
      <w:r>
        <w:rPr>
          <w:spacing w:val="-1"/>
        </w:rPr>
        <w:t>同基金、信托公司或包括投连险基金在内的类似主体间接持有的联营企业的权益性投资，采用公允价值计</w:t>
      </w:r>
      <w:r>
        <w:rPr>
          <w:spacing w:val="-81"/>
        </w:rPr>
        <w:t> </w:t>
      </w:r>
      <w:r>
        <w:rPr>
          <w:spacing w:val="-81"/>
        </w:rPr>
      </w:r>
      <w:r>
        <w:rPr/>
        <w:t>量且其变动计入损益。</w:t>
      </w:r>
    </w:p>
    <w:p>
      <w:pPr>
        <w:pStyle w:val="Heading4"/>
        <w:spacing w:line="273" w:lineRule="auto"/>
        <w:ind w:right="1132" w:firstLine="420"/>
        <w:jc w:val="both"/>
      </w:pPr>
      <w:r>
        <w:rPr>
          <w:spacing w:val="-1"/>
        </w:rPr>
        <w:t>长期股权投资的初始投资成本大于投资时应享有被投资单位可辨认净资产公允价值份额的差额，不调</w:t>
      </w:r>
      <w:r>
        <w:rPr/>
        <w:t> </w:t>
      </w:r>
      <w:r>
        <w:rPr>
          <w:spacing w:val="-1"/>
        </w:rPr>
        <w:t>整长期股权投资的初始投资成本；初始投资成本小于投资时应享有被投资单位可辨认净资产公允价值份额</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left="534" w:right="1092" w:hanging="420"/>
        <w:jc w:val="left"/>
      </w:pPr>
      <w:r>
        <w:rPr/>
        <w:t>的差额，计入当期损益。 公司取得长期股权投资后，按照应享有或应分担的被投资单位实现的净损益和其他综合收益的份额，</w:t>
      </w:r>
    </w:p>
    <w:p>
      <w:pPr>
        <w:pStyle w:val="Heading4"/>
        <w:spacing w:line="273" w:lineRule="auto"/>
        <w:ind w:right="1130"/>
        <w:jc w:val="both"/>
      </w:pPr>
      <w:r>
        <w:rPr>
          <w:spacing w:val="-1"/>
        </w:rPr>
        <w:t>分别确认投资收益和其他综合收益，同时调整长期股权投资的账面价值；并按照被投资单位宣告分派的利</w:t>
      </w:r>
      <w:r>
        <w:rPr>
          <w:spacing w:val="-81"/>
        </w:rPr>
        <w:t> </w:t>
      </w:r>
      <w:r>
        <w:rPr>
          <w:spacing w:val="-81"/>
        </w:rPr>
      </w:r>
      <w:r>
        <w:rPr>
          <w:spacing w:val="-1"/>
        </w:rPr>
        <w:t>润或现金股利计算应享有的部分，相应减少长期股权投资的账面价值；对于被投资单位除净损益、其他综</w:t>
      </w:r>
      <w:r>
        <w:rPr>
          <w:spacing w:val="-82"/>
        </w:rPr>
        <w:t> </w:t>
      </w:r>
      <w:r>
        <w:rPr>
          <w:spacing w:val="-82"/>
        </w:rPr>
      </w:r>
      <w:r>
        <w:rPr/>
        <w:t>合收益和利润分配以外所有者权益的其他变动，调整长期股权投资的账面价值并计入所有者权益。</w:t>
      </w:r>
    </w:p>
    <w:p>
      <w:pPr>
        <w:pStyle w:val="Heading4"/>
        <w:spacing w:line="273" w:lineRule="auto"/>
        <w:ind w:right="1131" w:firstLine="420"/>
        <w:jc w:val="both"/>
      </w:pPr>
      <w:r>
        <w:rPr>
          <w:spacing w:val="-1"/>
        </w:rPr>
        <w:t>公司在确认应享有被投资单位净损益的份额时，以取得投资时被投资单位各项可辨认资产等的公允价</w:t>
      </w:r>
      <w:r>
        <w:rPr/>
        <w:t> </w:t>
      </w:r>
      <w:r>
        <w:rPr>
          <w:spacing w:val="-1"/>
        </w:rPr>
        <w:t>值为基础，对被投资单位的净利润进行调整后确认。公司与联营企业、合营企业之间发生的未实现内部交</w:t>
      </w:r>
      <w:r>
        <w:rPr>
          <w:spacing w:val="-83"/>
        </w:rPr>
        <w:t> </w:t>
      </w:r>
      <w:r>
        <w:rPr>
          <w:spacing w:val="-83"/>
        </w:rPr>
      </w:r>
      <w:r>
        <w:rPr/>
        <w:t>易损益按照应享有的比例计算归属于公司的部分予以抵销，在此基础上确认投资损益。</w:t>
      </w:r>
    </w:p>
    <w:p>
      <w:pPr>
        <w:pStyle w:val="Heading4"/>
        <w:spacing w:line="273" w:lineRule="auto"/>
        <w:ind w:right="1131" w:firstLine="420"/>
        <w:jc w:val="both"/>
      </w:pPr>
      <w:r>
        <w:rPr>
          <w:spacing w:val="-1"/>
        </w:rPr>
        <w:t>公司确认应分担被投资单位发生的亏损时，按照以下顺序进行处理：首先，冲减长期股权投资的账面</w:t>
      </w:r>
      <w:r>
        <w:rPr/>
        <w:t> </w:t>
      </w:r>
      <w:r>
        <w:rPr>
          <w:spacing w:val="-1"/>
        </w:rPr>
        <w:t>价值。其次，长期股权投资的账面价值不足以冲减的，以其他实质上构成对被投资单位净投资的长期权益</w:t>
      </w:r>
      <w:r>
        <w:rPr>
          <w:spacing w:val="-83"/>
        </w:rPr>
        <w:t> </w:t>
      </w:r>
      <w:r>
        <w:rPr>
          <w:spacing w:val="-83"/>
        </w:rPr>
      </w:r>
      <w:r>
        <w:rPr>
          <w:spacing w:val="-1"/>
        </w:rPr>
        <w:t>账面价值为限继续确认投资损失，冲减长期应收项目等的账面价值。最后，经过上述处理，按照投资合同</w:t>
      </w:r>
      <w:r>
        <w:rPr>
          <w:spacing w:val="-86"/>
        </w:rPr>
        <w:t> </w:t>
      </w:r>
      <w:r>
        <w:rPr>
          <w:spacing w:val="-86"/>
        </w:rPr>
      </w:r>
      <w:r>
        <w:rPr/>
        <w:t>或协议约定企业仍承担额外义务的，按预计承担的义务确认预计负债，计入当期投资损失。</w:t>
      </w:r>
    </w:p>
    <w:p>
      <w:pPr>
        <w:pStyle w:val="Heading4"/>
        <w:spacing w:line="273" w:lineRule="auto"/>
        <w:ind w:right="1131" w:firstLine="420"/>
        <w:jc w:val="both"/>
      </w:pPr>
      <w:r>
        <w:rPr>
          <w:spacing w:val="-1"/>
        </w:rPr>
        <w:t>被投资单位以后期间实现盈利的，公司在扣除未确认的亏损分担额后，按与上述相反的顺序处理，减</w:t>
      </w:r>
      <w:r>
        <w:rPr/>
        <w:t> </w:t>
      </w:r>
      <w:r>
        <w:rPr>
          <w:spacing w:val="-1"/>
        </w:rPr>
        <w:t>记已确认预计负债的账面余额、恢复其他实质上构成对被投资单位净投资的长期权益及长期股权投资的账</w:t>
      </w:r>
      <w:r>
        <w:rPr>
          <w:spacing w:val="-81"/>
        </w:rPr>
        <w:t> </w:t>
      </w:r>
      <w:r>
        <w:rPr>
          <w:spacing w:val="-81"/>
        </w:rPr>
      </w:r>
      <w:r>
        <w:rPr/>
        <w:t>面价值后，恢复确认投资收益。</w:t>
      </w:r>
    </w:p>
    <w:p>
      <w:pPr>
        <w:pStyle w:val="Heading3"/>
        <w:spacing w:line="240" w:lineRule="auto" w:before="7"/>
        <w:ind w:left="536" w:right="0"/>
        <w:jc w:val="left"/>
        <w:rPr>
          <w:b w:val="0"/>
          <w:bCs w:val="0"/>
        </w:rPr>
      </w:pPr>
      <w:r>
        <w:rPr/>
        <w:t>长期股权投资核算方法的转换</w:t>
      </w:r>
      <w:r>
        <w:rPr>
          <w:b w:val="0"/>
          <w:bCs w:val="0"/>
        </w:rPr>
      </w:r>
    </w:p>
    <w:p>
      <w:pPr>
        <w:pStyle w:val="Heading4"/>
        <w:spacing w:line="273" w:lineRule="auto" w:before="37"/>
        <w:ind w:left="534" w:right="0" w:hanging="105"/>
        <w:jc w:val="left"/>
      </w:pPr>
      <w:r>
        <w:rPr/>
        <w:t>（</w:t>
      </w:r>
      <w:r>
        <w:rPr>
          <w:rFonts w:ascii="宋体" w:hAnsi="宋体" w:cs="宋体" w:eastAsia="宋体" w:hint="default"/>
        </w:rPr>
        <w:t>1</w:t>
      </w:r>
      <w:r>
        <w:rPr/>
        <w:t>）公允价值计量转权益法核算 </w:t>
      </w:r>
      <w:r>
        <w:rPr>
          <w:spacing w:val="-1"/>
        </w:rPr>
        <w:t>公司原持有的对被投资单位不具有控制、共同控制或重大影响的按金融工具确认和计量准则进行会计</w:t>
      </w:r>
    </w:p>
    <w:p>
      <w:pPr>
        <w:pStyle w:val="Heading4"/>
        <w:spacing w:line="273" w:lineRule="auto"/>
        <w:ind w:right="1110"/>
        <w:jc w:val="both"/>
      </w:pPr>
      <w:r>
        <w:rPr/>
        <w:t>处理的权益性投资，因追加投资等原因能够对被投资单位施加重大影响或实施共同控制但不构成控制的， </w:t>
      </w:r>
      <w:r>
        <w:rPr>
          <w:spacing w:val="-1"/>
        </w:rPr>
        <w:t>按照《企业会计准则第</w:t>
      </w:r>
      <w:r>
        <w:rPr>
          <w:rFonts w:ascii="宋体" w:hAnsi="宋体" w:cs="宋体" w:eastAsia="宋体" w:hint="default"/>
          <w:spacing w:val="-1"/>
        </w:rPr>
        <w:t>22</w:t>
      </w:r>
      <w:r>
        <w:rPr>
          <w:spacing w:val="-1"/>
        </w:rPr>
        <w:t>号——金融工具确认和计量》确定的原持有的股权投资的公允价值加上新增投资</w:t>
      </w:r>
      <w:r>
        <w:rPr>
          <w:spacing w:val="-83"/>
        </w:rPr>
        <w:t> </w:t>
      </w:r>
      <w:r>
        <w:rPr>
          <w:spacing w:val="-83"/>
        </w:rPr>
      </w:r>
      <w:r>
        <w:rPr/>
        <w:t>成本之和，作为改按权益法核算的初始投资成本。</w:t>
      </w:r>
    </w:p>
    <w:p>
      <w:pPr>
        <w:pStyle w:val="Heading4"/>
        <w:spacing w:line="273" w:lineRule="auto"/>
        <w:ind w:right="1131" w:firstLine="420"/>
        <w:jc w:val="both"/>
      </w:pPr>
      <w:r>
        <w:rPr>
          <w:spacing w:val="-1"/>
        </w:rPr>
        <w:t>原持有的股权投资分类为可供出售金融资产的，其公允价值与账面价值之间的差额，以及原计入其他</w:t>
      </w:r>
      <w:r>
        <w:rPr/>
        <w:t> 综合收益的累计公允价值变动转入改按权益法核算的当期损益。</w:t>
      </w:r>
    </w:p>
    <w:p>
      <w:pPr>
        <w:pStyle w:val="Heading4"/>
        <w:spacing w:line="273" w:lineRule="auto"/>
        <w:ind w:right="1129" w:firstLine="420"/>
        <w:jc w:val="both"/>
      </w:pPr>
      <w:r>
        <w:rPr>
          <w:spacing w:val="3"/>
        </w:rPr>
        <w:t>按权益法核算的初始投资成本小于按照追加投资后全新的持股比例计算确定的应享有被投资单位在</w:t>
      </w:r>
      <w:r>
        <w:rPr/>
        <w:t> </w:t>
      </w:r>
      <w:r>
        <w:rPr>
          <w:spacing w:val="-1"/>
        </w:rPr>
        <w:t>追加投资日可辨认净资产公允价值份额之间的差额，调整长期股权投资的账面价值，并计入当期营业外收</w:t>
      </w:r>
      <w:r>
        <w:rPr>
          <w:spacing w:val="-81"/>
        </w:rPr>
        <w:t> </w:t>
      </w:r>
      <w:r>
        <w:rPr>
          <w:spacing w:val="-81"/>
        </w:rPr>
      </w:r>
      <w:r>
        <w:rPr/>
        <w:t>入。</w:t>
      </w:r>
    </w:p>
    <w:p>
      <w:pPr>
        <w:pStyle w:val="Heading4"/>
        <w:spacing w:line="273" w:lineRule="auto"/>
        <w:ind w:left="534" w:right="0" w:hanging="105"/>
        <w:jc w:val="left"/>
      </w:pPr>
      <w:r>
        <w:rPr/>
        <w:t>（</w:t>
      </w:r>
      <w:r>
        <w:rPr>
          <w:rFonts w:ascii="宋体" w:hAnsi="宋体" w:cs="宋体" w:eastAsia="宋体" w:hint="default"/>
        </w:rPr>
        <w:t>2</w:t>
      </w:r>
      <w:r>
        <w:rPr/>
        <w:t>）公允价值计量或权益法核算转成本法核算 </w:t>
      </w:r>
      <w:r>
        <w:rPr>
          <w:spacing w:val="-1"/>
        </w:rPr>
        <w:t>公司原持有的对被投资单位不具有控制、共同控制或重大影响的按金融工具确认和计量准则进行会计</w:t>
      </w:r>
    </w:p>
    <w:p>
      <w:pPr>
        <w:pStyle w:val="Heading4"/>
        <w:spacing w:line="273" w:lineRule="auto"/>
        <w:ind w:right="1131"/>
        <w:jc w:val="both"/>
      </w:pPr>
      <w:r>
        <w:rPr>
          <w:spacing w:val="-1"/>
        </w:rPr>
        <w:t>处理的权益性投资，或原持有对联营企业、合营企业的长期股权投资，因追加投资等原因能够对非同一控</w:t>
      </w:r>
      <w:r>
        <w:rPr>
          <w:spacing w:val="-83"/>
        </w:rPr>
        <w:t> </w:t>
      </w:r>
      <w:r>
        <w:rPr>
          <w:spacing w:val="-83"/>
        </w:rPr>
      </w:r>
      <w:r>
        <w:rPr>
          <w:spacing w:val="-1"/>
        </w:rPr>
        <w:t>制下的被投资单位实施控制的，在编制个别财务报表时，按照原持有的股权投资账面价值加上新增投资成</w:t>
      </w:r>
      <w:r>
        <w:rPr>
          <w:spacing w:val="-81"/>
        </w:rPr>
        <w:t> </w:t>
      </w:r>
      <w:r>
        <w:rPr>
          <w:spacing w:val="-81"/>
        </w:rPr>
      </w:r>
      <w:r>
        <w:rPr/>
        <w:t>本之和，作为改按成本法核算的初始投资成本。</w:t>
      </w:r>
    </w:p>
    <w:p>
      <w:pPr>
        <w:pStyle w:val="Heading4"/>
        <w:spacing w:line="273" w:lineRule="auto"/>
        <w:ind w:right="1131" w:firstLine="420"/>
        <w:jc w:val="both"/>
      </w:pPr>
      <w:r>
        <w:rPr>
          <w:spacing w:val="-1"/>
        </w:rPr>
        <w:t>购买日之前持有的股权投资因采用权益法核算而确认的其他综合收益，在处置该项投资时采用与被投</w:t>
      </w:r>
      <w:r>
        <w:rPr/>
        <w:t> 资单位直接处置相关资产或负债相同的基础进行会计处理。</w:t>
      </w:r>
    </w:p>
    <w:p>
      <w:pPr>
        <w:pStyle w:val="Heading4"/>
        <w:spacing w:line="273" w:lineRule="auto"/>
        <w:ind w:right="1131" w:firstLine="420"/>
        <w:jc w:val="both"/>
      </w:pPr>
      <w:r>
        <w:rPr>
          <w:spacing w:val="-1"/>
        </w:rPr>
        <w:t>购买日之前持有的股权投资按照《企业会计准则第</w:t>
      </w:r>
      <w:r>
        <w:rPr>
          <w:rFonts w:ascii="宋体" w:hAnsi="宋体" w:cs="宋体" w:eastAsia="宋体" w:hint="default"/>
          <w:spacing w:val="-1"/>
        </w:rPr>
        <w:t>22</w:t>
      </w:r>
      <w:r>
        <w:rPr>
          <w:spacing w:val="-1"/>
        </w:rPr>
        <w:t>号——金融工具确认和计量》的有关规定进行会</w:t>
      </w:r>
      <w:r>
        <w:rPr/>
        <w:t> 计处理的，原计入其他综合收益的累计公允价值变动在改按成本法核算时转入当期损益。</w:t>
      </w:r>
    </w:p>
    <w:p>
      <w:pPr>
        <w:pStyle w:val="Heading4"/>
        <w:spacing w:line="273" w:lineRule="auto"/>
        <w:ind w:left="534" w:right="0" w:hanging="105"/>
        <w:jc w:val="left"/>
      </w:pPr>
      <w:r>
        <w:rPr/>
        <w:t>（</w:t>
      </w:r>
      <w:r>
        <w:rPr>
          <w:rFonts w:ascii="宋体" w:hAnsi="宋体" w:cs="宋体" w:eastAsia="宋体" w:hint="default"/>
        </w:rPr>
        <w:t>3</w:t>
      </w:r>
      <w:r>
        <w:rPr/>
        <w:t>）权益法核算转公允价值计量 </w:t>
      </w:r>
      <w:r>
        <w:rPr>
          <w:spacing w:val="-1"/>
        </w:rPr>
        <w:t>公司因处置部分股权投资等原因丧失了对被投资单位的共同控制或重大影响的，处置后的剩余股权改</w:t>
      </w:r>
    </w:p>
    <w:p>
      <w:pPr>
        <w:pStyle w:val="Heading4"/>
        <w:spacing w:line="273" w:lineRule="auto"/>
        <w:ind w:right="1131"/>
        <w:jc w:val="both"/>
      </w:pPr>
      <w:r>
        <w:rPr>
          <w:spacing w:val="-1"/>
        </w:rPr>
        <w:t>按《企业会计准则第</w:t>
      </w:r>
      <w:r>
        <w:rPr>
          <w:rFonts w:ascii="宋体" w:hAnsi="宋体" w:cs="宋体" w:eastAsia="宋体" w:hint="default"/>
          <w:spacing w:val="-1"/>
        </w:rPr>
        <w:t>22</w:t>
      </w:r>
      <w:r>
        <w:rPr>
          <w:spacing w:val="-1"/>
        </w:rPr>
        <w:t>号——金融工具确认和计量》核算，其在丧失共同控制或重大影响之日的公允价值</w:t>
      </w:r>
      <w:r>
        <w:rPr>
          <w:spacing w:val="-83"/>
        </w:rPr>
        <w:t> </w:t>
      </w:r>
      <w:r>
        <w:rPr>
          <w:spacing w:val="-83"/>
        </w:rPr>
      </w:r>
      <w:r>
        <w:rPr/>
        <w:t>与账面价值之间的差额计入当期损益。</w:t>
      </w:r>
    </w:p>
    <w:p>
      <w:pPr>
        <w:pStyle w:val="Heading4"/>
        <w:spacing w:line="273" w:lineRule="auto"/>
        <w:ind w:right="1132" w:firstLine="420"/>
        <w:jc w:val="both"/>
      </w:pPr>
      <w:r>
        <w:rPr>
          <w:spacing w:val="-1"/>
        </w:rPr>
        <w:t>原股权投资因采用权益法核算而确认的其他综合收益，在终止采用权益法核算时采用与被投资单位直</w:t>
      </w:r>
      <w:r>
        <w:rPr/>
        <w:t> 接处置相关资产或负债相同的基础进行会计处理。</w:t>
      </w:r>
    </w:p>
    <w:p>
      <w:pPr>
        <w:pStyle w:val="Heading4"/>
        <w:spacing w:line="273" w:lineRule="auto"/>
        <w:ind w:left="534" w:right="0" w:hanging="105"/>
        <w:jc w:val="left"/>
      </w:pPr>
      <w:r>
        <w:rPr/>
        <w:t>（</w:t>
      </w:r>
      <w:r>
        <w:rPr>
          <w:rFonts w:ascii="宋体" w:hAnsi="宋体" w:cs="宋体" w:eastAsia="宋体" w:hint="default"/>
        </w:rPr>
        <w:t>4</w:t>
      </w:r>
      <w:r>
        <w:rPr/>
        <w:t>）成本法转权益法 </w:t>
      </w:r>
      <w:r>
        <w:rPr>
          <w:spacing w:val="-1"/>
        </w:rPr>
        <w:t>公司因处置部分权益性投资等原因丧失了对被投资单位的控制的，在编制个别财务报表时，处置后的</w:t>
      </w:r>
    </w:p>
    <w:p>
      <w:pPr>
        <w:pStyle w:val="Heading4"/>
        <w:spacing w:line="240" w:lineRule="auto"/>
        <w:ind w:right="0"/>
        <w:jc w:val="both"/>
      </w:pPr>
      <w:r>
        <w:rPr/>
        <w:t>剩余股权能够对被投资单位实施共同控制或施加重大影响的，改按权益法核算，并对该剩余股权视同自取</w:t>
      </w:r>
    </w:p>
    <w:p>
      <w:pPr>
        <w:spacing w:after="0" w:line="240"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pPr>
      <w:r>
        <w:rPr/>
        <w:t>得时即采用权益法核算进行调整。</w:t>
      </w:r>
    </w:p>
    <w:p>
      <w:pPr>
        <w:pStyle w:val="Heading4"/>
        <w:spacing w:line="273" w:lineRule="auto" w:before="37"/>
        <w:ind w:left="534" w:right="0" w:hanging="105"/>
        <w:jc w:val="left"/>
      </w:pPr>
      <w:r>
        <w:rPr/>
        <w:t>（</w:t>
      </w:r>
      <w:r>
        <w:rPr>
          <w:rFonts w:ascii="宋体" w:hAnsi="宋体" w:cs="宋体" w:eastAsia="宋体" w:hint="default"/>
        </w:rPr>
        <w:t>5</w:t>
      </w:r>
      <w:r>
        <w:rPr/>
        <w:t>）成本法转公允价值计量 </w:t>
      </w:r>
      <w:r>
        <w:rPr>
          <w:spacing w:val="-1"/>
        </w:rPr>
        <w:t>公司因处置部分权益性投资等原因丧失了对被投资单位的控制的，在编制个别财务报表时，处置后的</w:t>
      </w:r>
    </w:p>
    <w:p>
      <w:pPr>
        <w:pStyle w:val="Heading4"/>
        <w:spacing w:line="273" w:lineRule="auto"/>
        <w:ind w:right="1092"/>
        <w:jc w:val="left"/>
      </w:pPr>
      <w:r>
        <w:rPr>
          <w:spacing w:val="-1"/>
        </w:rPr>
        <w:t>剩余股权不能对被投资单位实施共同控制或施加重大影响的，改按《企业会计准则第</w:t>
      </w:r>
      <w:r>
        <w:rPr>
          <w:rFonts w:ascii="宋体" w:hAnsi="宋体" w:cs="宋体" w:eastAsia="宋体" w:hint="default"/>
          <w:spacing w:val="-1"/>
        </w:rPr>
        <w:t>22</w:t>
      </w:r>
      <w:r>
        <w:rPr>
          <w:spacing w:val="-1"/>
        </w:rPr>
        <w:t>号——金融工具确</w:t>
      </w:r>
      <w:r>
        <w:rPr>
          <w:spacing w:val="-81"/>
        </w:rPr>
        <w:t> </w:t>
      </w:r>
      <w:r>
        <w:rPr>
          <w:spacing w:val="-81"/>
        </w:rPr>
      </w:r>
      <w:r>
        <w:rPr/>
        <w:t>认和计量》的有关规定进行会计处理，其在丧失控制之日的公允价值与账面价值间的差额计入当期损益。</w:t>
      </w:r>
    </w:p>
    <w:p>
      <w:pPr>
        <w:pStyle w:val="Heading4"/>
        <w:spacing w:line="273" w:lineRule="auto"/>
        <w:ind w:left="534" w:right="0" w:firstLine="2"/>
        <w:jc w:val="left"/>
      </w:pPr>
      <w:r>
        <w:rPr>
          <w:rFonts w:ascii="宋体" w:hAnsi="宋体" w:cs="宋体" w:eastAsia="宋体" w:hint="default"/>
          <w:b/>
          <w:bCs/>
        </w:rPr>
        <w:t>长期股权投资的处置</w:t>
      </w:r>
      <w:r>
        <w:rPr>
          <w:rFonts w:ascii="宋体" w:hAnsi="宋体" w:cs="宋体" w:eastAsia="宋体" w:hint="default"/>
          <w:b/>
          <w:bCs/>
          <w:w w:val="99"/>
        </w:rPr>
        <w:t> </w:t>
      </w:r>
      <w:r>
        <w:rPr>
          <w:spacing w:val="-1"/>
        </w:rPr>
        <w:t>处置长期股权投资，其账面价值与实际取得价款之间的差额，应当计入当期损益。采用权益法核算的</w:t>
      </w:r>
    </w:p>
    <w:p>
      <w:pPr>
        <w:pStyle w:val="Heading4"/>
        <w:spacing w:line="273" w:lineRule="auto"/>
        <w:ind w:right="0"/>
        <w:jc w:val="left"/>
      </w:pP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Heading4"/>
        <w:spacing w:line="273" w:lineRule="auto"/>
        <w:ind w:right="1130" w:firstLine="420"/>
        <w:jc w:val="both"/>
      </w:pPr>
      <w:r>
        <w:rPr>
          <w:spacing w:val="-1"/>
        </w:rPr>
        <w:t>处置对子公司股权投资的各项交易的条款、条件以及经济影响符合以下一种或多种情况，将多次交易</w:t>
      </w:r>
      <w:r>
        <w:rPr/>
        <w:t> 事项作为一揽子交易进行会计处理：</w:t>
      </w:r>
    </w:p>
    <w:p>
      <w:pPr>
        <w:pStyle w:val="Heading4"/>
        <w:spacing w:line="240" w:lineRule="auto"/>
        <w:ind w:left="429" w:right="0"/>
        <w:jc w:val="left"/>
      </w:pPr>
      <w:r>
        <w:rPr/>
        <w:t>（</w:t>
      </w:r>
      <w:r>
        <w:rPr>
          <w:rFonts w:ascii="宋体" w:hAnsi="宋体" w:cs="宋体" w:eastAsia="宋体" w:hint="default"/>
        </w:rPr>
        <w:t>1</w:t>
      </w:r>
      <w:r>
        <w:rPr/>
        <w:t>）这些交易是同时或者在考虑了彼此影响的情况下订立的；</w:t>
      </w:r>
    </w:p>
    <w:p>
      <w:pPr>
        <w:pStyle w:val="Heading4"/>
        <w:spacing w:line="240" w:lineRule="auto" w:before="37"/>
        <w:ind w:left="429" w:right="0"/>
        <w:jc w:val="left"/>
      </w:pPr>
      <w:r>
        <w:rPr/>
        <w:t>（</w:t>
      </w:r>
      <w:r>
        <w:rPr>
          <w:rFonts w:ascii="宋体" w:hAnsi="宋体" w:cs="宋体" w:eastAsia="宋体" w:hint="default"/>
        </w:rPr>
        <w:t>2</w:t>
      </w:r>
      <w:r>
        <w:rPr/>
        <w:t>）这些交易整体才能达成一项完整的商业结果；</w:t>
      </w:r>
    </w:p>
    <w:p>
      <w:pPr>
        <w:pStyle w:val="Heading4"/>
        <w:spacing w:line="240" w:lineRule="auto" w:before="37"/>
        <w:ind w:left="429" w:right="0"/>
        <w:jc w:val="left"/>
      </w:pPr>
      <w:r>
        <w:rPr/>
        <w:t>（</w:t>
      </w:r>
      <w:r>
        <w:rPr>
          <w:rFonts w:ascii="宋体" w:hAnsi="宋体" w:cs="宋体" w:eastAsia="宋体" w:hint="default"/>
        </w:rPr>
        <w:t>3</w:t>
      </w:r>
      <w:r>
        <w:rPr/>
        <w:t>）一项交易的发生取决于其他至少一项交易的发生；</w:t>
      </w:r>
    </w:p>
    <w:p>
      <w:pPr>
        <w:pStyle w:val="Heading4"/>
        <w:spacing w:line="273" w:lineRule="auto" w:before="37"/>
        <w:ind w:left="534" w:right="0" w:hanging="105"/>
        <w:jc w:val="left"/>
      </w:pPr>
      <w:r>
        <w:rPr/>
        <w:t>（</w:t>
      </w:r>
      <w:r>
        <w:rPr>
          <w:rFonts w:ascii="宋体" w:hAnsi="宋体" w:cs="宋体" w:eastAsia="宋体" w:hint="default"/>
        </w:rPr>
        <w:t>4</w:t>
      </w:r>
      <w:r>
        <w:rPr/>
        <w:t>）一项交易单独看是不经济的，但是和其他交易一并考虑时是经济的。 </w:t>
      </w:r>
      <w:r>
        <w:rPr>
          <w:spacing w:val="-1"/>
        </w:rPr>
        <w:t>因处置部分股权投资或其他原因丧失了对原有子公司控制权的，不属于一揽子交易的，区分个别财务</w:t>
      </w:r>
    </w:p>
    <w:p>
      <w:pPr>
        <w:pStyle w:val="Heading4"/>
        <w:spacing w:line="240" w:lineRule="auto"/>
        <w:ind w:right="0"/>
        <w:jc w:val="left"/>
      </w:pPr>
      <w:r>
        <w:rPr/>
        <w:t>报表和合并财务报表进行相关会计处理：</w:t>
      </w:r>
    </w:p>
    <w:p>
      <w:pPr>
        <w:pStyle w:val="Heading4"/>
        <w:spacing w:line="273" w:lineRule="auto" w:before="37"/>
        <w:ind w:right="1128" w:firstLine="420"/>
        <w:jc w:val="both"/>
      </w:pPr>
      <w:r>
        <w:rPr/>
        <w:t>（</w:t>
      </w:r>
      <w:r>
        <w:rPr>
          <w:rFonts w:ascii="宋体" w:hAnsi="宋体" w:cs="宋体" w:eastAsia="宋体" w:hint="default"/>
        </w:rPr>
        <w:t>1</w:t>
      </w:r>
      <w:r>
        <w:rPr/>
        <w:t>）在个别财务报表中，对于处置的股权，其账面价值与实际取得价款之间的差额计入当期损益。</w:t>
      </w:r>
      <w:r>
        <w:rPr>
          <w:spacing w:val="2"/>
        </w:rPr>
        <w:t> </w:t>
      </w:r>
      <w:r>
        <w:rPr>
          <w:spacing w:val="-1"/>
        </w:rPr>
        <w:t>处置后的剩余股权能够对被投资单位实施共同控制或施加重大影响的，改按权益法核算，并对该剩余股权</w:t>
      </w:r>
      <w:r>
        <w:rPr>
          <w:spacing w:val="-81"/>
        </w:rPr>
        <w:t> </w:t>
      </w:r>
      <w:r>
        <w:rPr>
          <w:spacing w:val="-81"/>
        </w:rPr>
      </w:r>
      <w:r>
        <w:rPr>
          <w:spacing w:val="-1"/>
        </w:rPr>
        <w:t>视同自取得时即采用权益法核算进行调整；处置后的剩余股权不能对被投资单位实施共同控制或施加重大</w:t>
      </w:r>
      <w:r>
        <w:rPr>
          <w:spacing w:val="-81"/>
        </w:rPr>
        <w:t> </w:t>
      </w:r>
      <w:r>
        <w:rPr>
          <w:spacing w:val="-81"/>
        </w:rPr>
      </w:r>
      <w:r>
        <w:rPr>
          <w:spacing w:val="-1"/>
        </w:rPr>
        <w:t>影响的，改按《企业会计准则第</w:t>
      </w:r>
      <w:r>
        <w:rPr>
          <w:rFonts w:ascii="宋体" w:hAnsi="宋体" w:cs="宋体" w:eastAsia="宋体" w:hint="default"/>
          <w:spacing w:val="-1"/>
        </w:rPr>
        <w:t>22</w:t>
      </w:r>
      <w:r>
        <w:rPr>
          <w:spacing w:val="-1"/>
        </w:rPr>
        <w:t>号——金融工具确认和计量》的有关规定进行会计处理，其在丧失控制</w:t>
      </w:r>
      <w:r>
        <w:rPr>
          <w:spacing w:val="-86"/>
        </w:rPr>
        <w:t> </w:t>
      </w:r>
      <w:r>
        <w:rPr>
          <w:spacing w:val="-86"/>
        </w:rPr>
      </w:r>
      <w:r>
        <w:rPr/>
        <w:t>之日的公允价值与账面价值间的差额计入当期损益。</w:t>
      </w:r>
    </w:p>
    <w:p>
      <w:pPr>
        <w:pStyle w:val="Heading4"/>
        <w:spacing w:line="273" w:lineRule="auto" w:before="8"/>
        <w:ind w:right="1110" w:firstLine="420"/>
        <w:jc w:val="both"/>
      </w:pPr>
      <w:r>
        <w:rPr/>
        <w:t>（</w:t>
      </w:r>
      <w:r>
        <w:rPr>
          <w:rFonts w:ascii="宋体" w:hAnsi="宋体" w:cs="宋体" w:eastAsia="宋体" w:hint="default"/>
        </w:rPr>
        <w:t>2</w:t>
      </w:r>
      <w:r>
        <w:rPr/>
        <w:t>）在合并财务报表中，对于在丧失对子公司控制权以前的各项交易，处置价款与处置长期股权投 </w:t>
      </w:r>
      <w:r>
        <w:rPr>
          <w:spacing w:val="3"/>
        </w:rPr>
        <w:t>资相应对享有子公司自购买日或合并日开始持续计算的净资产份额之间的差额，调整资本公积（股本溢</w:t>
      </w:r>
      <w:r>
        <w:rPr>
          <w:spacing w:val="-82"/>
        </w:rPr>
        <w:t> </w:t>
      </w:r>
      <w:r>
        <w:rPr>
          <w:spacing w:val="-82"/>
        </w:rPr>
      </w:r>
      <w:r>
        <w:rPr>
          <w:spacing w:val="-1"/>
        </w:rPr>
        <w:t>价），资本公积不足冲减的，调整留存收益；在丧失对子公司控制权时，对于剩余股权，按照其在丧失控</w:t>
      </w:r>
      <w:r>
        <w:rPr>
          <w:spacing w:val="-94"/>
        </w:rPr>
        <w:t> </w:t>
      </w:r>
      <w:r>
        <w:rPr>
          <w:spacing w:val="-94"/>
        </w:rPr>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Heading4"/>
        <w:spacing w:line="273" w:lineRule="auto"/>
        <w:ind w:right="1132" w:firstLine="420"/>
        <w:jc w:val="both"/>
      </w:pPr>
      <w:r>
        <w:rPr>
          <w:spacing w:val="-1"/>
        </w:rPr>
        <w:t>处置对子公司股权投资直至丧失控制权的各项交易属于一揽子交易的，将各项交易作为一项处置子公</w:t>
      </w:r>
      <w:r>
        <w:rPr/>
        <w:t> 司股权投资并丧失控制权的交易进行会计处理，区分个别财务报表和合并财务报表进行相关会计处理：</w:t>
      </w:r>
    </w:p>
    <w:p>
      <w:pPr>
        <w:pStyle w:val="Heading4"/>
        <w:spacing w:line="273" w:lineRule="auto"/>
        <w:ind w:right="1141" w:firstLine="420"/>
        <w:jc w:val="both"/>
      </w:pPr>
      <w:r>
        <w:rPr/>
        <w:t>（</w:t>
      </w:r>
      <w:r>
        <w:rPr>
          <w:rFonts w:ascii="宋体" w:hAnsi="宋体" w:cs="宋体" w:eastAsia="宋体" w:hint="default"/>
        </w:rPr>
        <w:t>1</w:t>
      </w:r>
      <w:r>
        <w:rPr/>
        <w:t>）在个别财务报表中，在丧失控制权之前每一次处置价款与处置的股权对应的长期股权投资账面 价值之间的差额，确认为其他综合收益，在丧失控制权时一并转入丧失控制权当期的损益。</w:t>
      </w:r>
    </w:p>
    <w:p>
      <w:pPr>
        <w:pStyle w:val="Heading4"/>
        <w:spacing w:line="273" w:lineRule="auto"/>
        <w:ind w:right="1141" w:firstLine="420"/>
        <w:jc w:val="both"/>
      </w:pPr>
      <w:r>
        <w:rPr/>
        <w:t>（</w:t>
      </w:r>
      <w:r>
        <w:rPr>
          <w:rFonts w:ascii="宋体" w:hAnsi="宋体" w:cs="宋体" w:eastAsia="宋体" w:hint="default"/>
        </w:rPr>
        <w:t>2</w:t>
      </w:r>
      <w:r>
        <w:rPr/>
        <w:t>）在合并财务报表中，在丧失控制权之前每一次处置价款与处置投资对应的享有该子公司净资产 份额的差额，确认为其他综合收益，在丧失控制权时一并转入丧失控制权当期的损益。</w:t>
      </w:r>
    </w:p>
    <w:p>
      <w:pPr>
        <w:spacing w:line="273" w:lineRule="auto" w:before="7"/>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3"/>
          <w:sz w:val="21"/>
          <w:szCs w:val="21"/>
        </w:rPr>
        <w:t>如果公司按照相关约定与其他参与方集体控制某项安排，并且对该安排回报具有重大影响的活动决</w:t>
      </w:r>
    </w:p>
    <w:p>
      <w:pPr>
        <w:pStyle w:val="Heading4"/>
        <w:spacing w:line="273" w:lineRule="auto"/>
        <w:ind w:right="0"/>
        <w:jc w:val="left"/>
      </w:pPr>
      <w:r>
        <w:rPr>
          <w:spacing w:val="-1"/>
        </w:rPr>
        <w:t>策，需要经过分享控制权的参与方一致同意时才存在，则视为公司与其他参与方共同控制某项安排，该安</w:t>
      </w:r>
      <w:r>
        <w:rPr>
          <w:spacing w:val="-83"/>
        </w:rPr>
        <w:t> </w:t>
      </w:r>
      <w:r>
        <w:rPr>
          <w:spacing w:val="-83"/>
        </w:rPr>
      </w:r>
      <w:r>
        <w:rPr/>
        <w:t>排即属于合营安排。</w:t>
      </w:r>
    </w:p>
    <w:p>
      <w:pPr>
        <w:pStyle w:val="Heading4"/>
        <w:spacing w:line="273" w:lineRule="auto"/>
        <w:ind w:right="1110" w:firstLine="420"/>
        <w:jc w:val="both"/>
      </w:pPr>
      <w:r>
        <w:rPr>
          <w:spacing w:val="-1"/>
        </w:rPr>
        <w:t>合营安排通过单独主体达成的，根据相关约定判断公司对该单独主体的净资产享有权利时，将该单独</w:t>
      </w:r>
      <w:r>
        <w:rPr/>
        <w:t> 主体作为合营企业，采用权益法核算。若根据相关约定判断公司并非对该单独主体的净资产享有权利时， </w:t>
      </w:r>
      <w:r>
        <w:rPr>
          <w:spacing w:val="-1"/>
        </w:rPr>
        <w:t>该单独主体作为共同经营，公司确认与共同经营利益份额相关的项目，并按照相关企业会计准则的规定进</w:t>
      </w:r>
      <w:r>
        <w:rPr>
          <w:spacing w:val="-81"/>
        </w:rPr>
        <w:t> </w:t>
      </w:r>
      <w:r>
        <w:rPr>
          <w:spacing w:val="-81"/>
        </w:rPr>
      </w:r>
      <w:r>
        <w:rPr/>
        <w:t>行会计处理。</w:t>
      </w:r>
    </w:p>
    <w:p>
      <w:pPr>
        <w:pStyle w:val="Heading4"/>
        <w:spacing w:line="273" w:lineRule="auto"/>
        <w:ind w:right="1131" w:firstLine="420"/>
        <w:jc w:val="both"/>
      </w:pPr>
      <w:r>
        <w:rPr>
          <w:spacing w:val="-1"/>
        </w:rPr>
        <w:t>重大影响，是指投资方对被投资单位的财务和经营政策有参与决策的权力，但并不能够控制或者与其</w:t>
      </w:r>
      <w:r>
        <w:rPr/>
        <w:t> </w:t>
      </w:r>
      <w:r>
        <w:rPr>
          <w:spacing w:val="-1"/>
        </w:rPr>
        <w:t>他方一起共同控制这些政策的制定。公司通过以下一种或多种情形，并综合考虑所有事实和情况后，判断</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right="1017"/>
        <w:jc w:val="left"/>
      </w:pPr>
      <w:r>
        <w:rPr>
          <w:spacing w:val="-5"/>
        </w:rPr>
        <w:t>对被投资单位具有重大影响。（</w:t>
      </w:r>
      <w:r>
        <w:rPr>
          <w:rFonts w:ascii="宋体" w:hAnsi="宋体" w:cs="宋体" w:eastAsia="宋体" w:hint="default"/>
          <w:spacing w:val="-5"/>
        </w:rPr>
        <w:t>1</w:t>
      </w:r>
      <w:r>
        <w:rPr>
          <w:spacing w:val="-5"/>
        </w:rPr>
        <w:t>）在被投资单位的董事会或类似权力机构中派有代表；（</w:t>
      </w:r>
      <w:r>
        <w:rPr>
          <w:rFonts w:ascii="宋体" w:hAnsi="宋体" w:cs="宋体" w:eastAsia="宋体" w:hint="default"/>
          <w:spacing w:val="-5"/>
        </w:rPr>
        <w:t>2</w:t>
      </w:r>
      <w:r>
        <w:rPr>
          <w:spacing w:val="-5"/>
        </w:rPr>
        <w:t>）参与被投资单</w:t>
      </w:r>
      <w:r>
        <w:rPr>
          <w:spacing w:val="-101"/>
        </w:rPr>
        <w:t> </w:t>
      </w:r>
      <w:r>
        <w:rPr>
          <w:spacing w:val="-101"/>
        </w:rPr>
      </w:r>
      <w:r>
        <w:rPr>
          <w:spacing w:val="-9"/>
        </w:rPr>
        <w:t>位财务和经营政策制定过程；（</w:t>
      </w:r>
      <w:r>
        <w:rPr>
          <w:rFonts w:ascii="宋体" w:hAnsi="宋体" w:cs="宋体" w:eastAsia="宋体" w:hint="default"/>
          <w:spacing w:val="-9"/>
        </w:rPr>
        <w:t>3</w:t>
      </w:r>
      <w:r>
        <w:rPr>
          <w:spacing w:val="-9"/>
        </w:rPr>
        <w:t>）与被投资单位之间发生重要交易；（</w:t>
      </w:r>
      <w:r>
        <w:rPr>
          <w:rFonts w:ascii="宋体" w:hAnsi="宋体" w:cs="宋体" w:eastAsia="宋体" w:hint="default"/>
          <w:spacing w:val="-9"/>
        </w:rPr>
        <w:t>4</w:t>
      </w:r>
      <w:r>
        <w:rPr>
          <w:spacing w:val="-9"/>
        </w:rPr>
        <w:t>）向被投资单位派出管理人员；（</w:t>
      </w:r>
      <w:r>
        <w:rPr>
          <w:rFonts w:ascii="宋体" w:hAnsi="宋体" w:cs="宋体" w:eastAsia="宋体" w:hint="default"/>
          <w:spacing w:val="-9"/>
        </w:rPr>
        <w:t>5</w:t>
      </w:r>
      <w:r>
        <w:rPr>
          <w:spacing w:val="-9"/>
        </w:rPr>
        <w:t>）</w:t>
      </w:r>
      <w:r>
        <w:rPr>
          <w:spacing w:val="-101"/>
        </w:rPr>
        <w:t> </w:t>
      </w:r>
      <w:r>
        <w:rPr/>
        <w:t>向被投资单位提供关键技术资料。</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952"/>
        <w:jc w:val="left"/>
      </w:pPr>
      <w:r>
        <w:rPr/>
        <w:t>投资性房地产计量模式 成本法计量 折旧或摊销方法</w:t>
      </w:r>
    </w:p>
    <w:p>
      <w:pPr>
        <w:pStyle w:val="Heading4"/>
        <w:spacing w:line="273" w:lineRule="auto" w:before="0"/>
        <w:ind w:right="1023" w:firstLine="420"/>
        <w:jc w:val="left"/>
      </w:pPr>
      <w:r>
        <w:rPr/>
        <w:t>投资性房地产是指为赚取租金或资本增值，或两者兼有而持有的房地产，包括已出租的土地使用权、 </w:t>
      </w:r>
      <w:r>
        <w:rPr>
          <w:spacing w:val="-3"/>
        </w:rPr>
        <w:t>持有并准备增值后转让的土地使用权、已出租的建筑物。此外，对于公司持有以备经营出租的空置建筑物，</w:t>
      </w:r>
      <w:r>
        <w:rPr>
          <w:spacing w:val="-89"/>
        </w:rPr>
        <w:t> </w:t>
      </w:r>
      <w:r>
        <w:rPr>
          <w:spacing w:val="-89"/>
        </w:rPr>
      </w:r>
      <w:r>
        <w:rPr/>
        <w:t>若董事会作出书面决议，明确表示将其用于经营出租且持有意图短期内不再发生变化的，也作为投资性房</w:t>
      </w:r>
      <w:r>
        <w:rPr/>
        <w:t> 地产列报。</w:t>
      </w:r>
    </w:p>
    <w:p>
      <w:pPr>
        <w:pStyle w:val="Heading4"/>
        <w:spacing w:line="273" w:lineRule="auto"/>
        <w:ind w:right="1131" w:firstLine="420"/>
        <w:jc w:val="both"/>
      </w:pPr>
      <w:r>
        <w:rPr>
          <w:spacing w:val="-1"/>
        </w:rPr>
        <w:t>公司的投资性房地产按其成本作为入账价值，外购投资性房地产的成本包括购买价款、相关税费和可</w:t>
      </w:r>
      <w:r>
        <w:rPr/>
        <w:t> </w:t>
      </w:r>
      <w:r>
        <w:rPr>
          <w:spacing w:val="-1"/>
        </w:rPr>
        <w:t>直接归属于该资产的其他支出；自行建造投资性房地产的成本，由建造该项资产达到预定可使用状态前所</w:t>
      </w:r>
      <w:r>
        <w:rPr>
          <w:spacing w:val="-81"/>
        </w:rPr>
        <w:t> </w:t>
      </w:r>
      <w:r>
        <w:rPr>
          <w:spacing w:val="-81"/>
        </w:rPr>
      </w:r>
      <w:r>
        <w:rPr/>
        <w:t>发生的必要支出构成。</w:t>
      </w:r>
    </w:p>
    <w:p>
      <w:pPr>
        <w:pStyle w:val="Heading4"/>
        <w:spacing w:line="273" w:lineRule="auto"/>
        <w:ind w:right="1110" w:firstLine="420"/>
        <w:jc w:val="both"/>
      </w:pPr>
      <w:r>
        <w:rPr>
          <w:spacing w:val="-1"/>
        </w:rPr>
        <w:t>公司对投资性房地产采用成本模式进行后续计量，按其预计使用寿命及净残值率对建筑物和土地使用</w:t>
      </w:r>
      <w:r>
        <w:rPr/>
        <w:t> 权计提折旧或摊销。资产负债表日，有迹象表明投资性房地产发生减值的，计提投资性房地产减值准备。 投资性房地产减值损失一经确认，在以后会计期间不再转回。</w:t>
      </w:r>
    </w:p>
    <w:p>
      <w:pPr>
        <w:pStyle w:val="Heading4"/>
        <w:spacing w:line="273" w:lineRule="auto"/>
        <w:ind w:right="1131" w:firstLine="420"/>
        <w:jc w:val="both"/>
      </w:pPr>
      <w:r>
        <w:rPr>
          <w:spacing w:val="-1"/>
        </w:rPr>
        <w:t>投资性房地产的用途改变为自用时，自改变之日起，公司将该投资性房地产转换为固定资产或无形资</w:t>
      </w:r>
      <w:r>
        <w:rPr/>
        <w:t> </w:t>
      </w:r>
      <w:r>
        <w:rPr>
          <w:spacing w:val="-1"/>
        </w:rPr>
        <w:t>产。自用房地产的用途改变为赚取租金或资本增值时，自改变之日起，公司将固定资产或无形资产转换为</w:t>
      </w:r>
      <w:r>
        <w:rPr>
          <w:spacing w:val="-83"/>
        </w:rPr>
        <w:t> </w:t>
      </w:r>
      <w:r>
        <w:rPr>
          <w:spacing w:val="-83"/>
        </w:rPr>
      </w:r>
      <w:r>
        <w:rPr/>
        <w:t>投资性房地产。发生转换时，以转换前的账面价值作为转换后的入账价值。</w:t>
      </w:r>
    </w:p>
    <w:p>
      <w:pPr>
        <w:pStyle w:val="Heading4"/>
        <w:spacing w:line="273" w:lineRule="auto" w:before="8"/>
        <w:ind w:right="1131" w:firstLine="420"/>
        <w:jc w:val="both"/>
      </w:pPr>
      <w:r>
        <w:rPr>
          <w:spacing w:val="-1"/>
        </w:rPr>
        <w:t>当投资性房地产被处置，或者永久退出使用且预计不能从其处置中取得经济利益时，终止确认该项投</w:t>
      </w:r>
      <w:r>
        <w:rPr/>
        <w:t> </w:t>
      </w:r>
      <w:r>
        <w:rPr>
          <w:spacing w:val="-1"/>
        </w:rPr>
        <w:t>资性房地产。投资性房地产出售、转让、报废或毁损的处置收入扣除其账面价值和相关税费后的金额计入</w:t>
      </w:r>
      <w:r>
        <w:rPr>
          <w:spacing w:val="-83"/>
        </w:rPr>
        <w:t> </w:t>
      </w:r>
      <w:r>
        <w:rPr>
          <w:spacing w:val="-83"/>
        </w:rPr>
      </w:r>
      <w:r>
        <w:rPr/>
        <w:t>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w:t>
      </w:r>
    </w:p>
    <w:p>
      <w:pPr>
        <w:pStyle w:val="BodyText"/>
        <w:spacing w:line="240" w:lineRule="auto" w:before="58"/>
        <w:ind w:right="0"/>
        <w:jc w:val="left"/>
      </w:pPr>
      <w:r>
        <w:rPr/>
        <w:t>①与该固定资产有关的经济利益很可能流入企业；</w:t>
      </w:r>
    </w:p>
    <w:p>
      <w:pPr>
        <w:pStyle w:val="BodyText"/>
        <w:spacing w:line="240" w:lineRule="auto" w:before="116"/>
        <w:ind w:right="0"/>
        <w:jc w:val="left"/>
      </w:pPr>
      <w:r>
        <w:rPr/>
        <w:t>②该固定资产的成本能够可靠地计量。</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公司是否需要遵守特殊行业的披露要求</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否</w:t>
      </w:r>
    </w:p>
    <w:p>
      <w:pPr>
        <w:pStyle w:val="Heading4"/>
        <w:spacing w:line="273" w:lineRule="auto" w:before="89"/>
        <w:ind w:left="534" w:right="0" w:firstLine="2"/>
        <w:jc w:val="left"/>
      </w:pPr>
      <w:r>
        <w:rPr>
          <w:rFonts w:ascii="宋体" w:hAnsi="宋体" w:cs="宋体" w:eastAsia="宋体" w:hint="default"/>
          <w:b/>
          <w:bCs/>
        </w:rPr>
        <w:t>在建工程初始计量</w:t>
      </w:r>
      <w:r>
        <w:rPr>
          <w:rFonts w:ascii="宋体" w:hAnsi="宋体" w:cs="宋体" w:eastAsia="宋体" w:hint="default"/>
          <w:b/>
          <w:bCs/>
          <w:w w:val="99"/>
        </w:rPr>
        <w:t> </w:t>
      </w:r>
      <w:r>
        <w:rPr>
          <w:spacing w:val="-1"/>
        </w:rPr>
        <w:t>公司自行建造的在建工程按实际成本计价，实际成本由建造该项资产达到预定可使用状态前所发生的</w:t>
      </w:r>
    </w:p>
    <w:p>
      <w:pPr>
        <w:pStyle w:val="Heading4"/>
        <w:spacing w:line="273" w:lineRule="auto"/>
        <w:ind w:right="1133"/>
        <w:jc w:val="both"/>
      </w:pPr>
      <w:r>
        <w:rPr>
          <w:spacing w:val="-1"/>
        </w:rPr>
        <w:t>必要支出构成，包括所发生的材料成本、人工成本、安装成本、应予资本化的借款费用以及应分摊的间接</w:t>
      </w:r>
      <w:r>
        <w:rPr>
          <w:spacing w:val="-86"/>
        </w:rPr>
        <w:t> </w:t>
      </w:r>
      <w:r>
        <w:rPr>
          <w:spacing w:val="-86"/>
        </w:rPr>
      </w:r>
      <w:r>
        <w:rPr/>
        <w:t>费用等。</w:t>
      </w:r>
    </w:p>
    <w:p>
      <w:pPr>
        <w:spacing w:line="273" w:lineRule="auto" w:before="7"/>
        <w:ind w:left="534" w:right="1092" w:firstLine="2"/>
        <w:jc w:val="left"/>
        <w:rPr>
          <w:rFonts w:ascii="宋体" w:hAnsi="宋体" w:cs="宋体" w:eastAsia="宋体" w:hint="default"/>
          <w:sz w:val="21"/>
          <w:szCs w:val="21"/>
        </w:rPr>
      </w:pP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Heading4"/>
        <w:spacing w:line="273" w:lineRule="auto"/>
        <w:ind w:right="1131"/>
        <w:jc w:val="both"/>
      </w:pPr>
      <w:r>
        <w:rPr>
          <w:spacing w:val="-1"/>
        </w:rPr>
        <w:t>所建造的在建工程已达到预定可使用状态，但尚未办理竣工决算的，自达到预定可使用状态之日起，根据</w:t>
      </w:r>
      <w:r>
        <w:rPr>
          <w:spacing w:val="-83"/>
        </w:rPr>
        <w:t> </w:t>
      </w:r>
      <w:r>
        <w:rPr>
          <w:spacing w:val="-83"/>
        </w:rPr>
      </w:r>
      <w:r>
        <w:rPr>
          <w:spacing w:val="-1"/>
        </w:rPr>
        <w:t>工程预算、造价或者工程实际成本等，按估计的价值转入固定资产，并按公司固定资产折旧政策计提固定</w:t>
      </w:r>
      <w:r>
        <w:rPr>
          <w:spacing w:val="-83"/>
        </w:rPr>
        <w:t> </w:t>
      </w:r>
      <w:r>
        <w:rPr>
          <w:spacing w:val="-83"/>
        </w:rPr>
      </w:r>
      <w:r>
        <w:rPr>
          <w:spacing w:val="-1"/>
        </w:rPr>
        <w:t>资产的折旧，待办理竣工决算后，再按实际成本调整原来的暂估价值，但不调整原已计提的折旧额。购建</w:t>
      </w:r>
      <w:r>
        <w:rPr>
          <w:spacing w:val="-86"/>
        </w:rPr>
        <w:t> </w:t>
      </w:r>
      <w:r>
        <w:rPr>
          <w:spacing w:val="-86"/>
        </w:rPr>
      </w:r>
      <w:r>
        <w:rPr>
          <w:spacing w:val="3"/>
        </w:rPr>
        <w:t>或者生产符合资本化条件的资产而借入的专门借款或占用了一般借款发生的借款利息以及专门借款发生</w:t>
      </w:r>
      <w:r>
        <w:rPr>
          <w:spacing w:val="-80"/>
        </w:rPr>
        <w:t> </w:t>
      </w:r>
      <w:r>
        <w:rPr>
          <w:spacing w:val="-80"/>
        </w:rPr>
      </w:r>
      <w:r>
        <w:rPr>
          <w:spacing w:val="-1"/>
        </w:rPr>
        <w:t>的辅助费用，在所购建或者生产的符合资本化条件的资产达到预定可使用或者可销售状态之前根据其发生</w:t>
      </w:r>
      <w:r>
        <w:rPr>
          <w:spacing w:val="-81"/>
        </w:rPr>
        <w:t> </w:t>
      </w:r>
      <w:r>
        <w:rPr>
          <w:spacing w:val="-81"/>
        </w:rPr>
      </w:r>
      <w:r>
        <w:rPr/>
        <w:t>额予以资本化。</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8、借款费用" w:id="192"/>
      <w:bookmarkEnd w:id="19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spacing w:line="273" w:lineRule="auto" w:before="0"/>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公司发生的借款费用，可直接归属于符合资本化条件的资产的购建或者生产的，予以资本化，计入相</w:t>
      </w:r>
    </w:p>
    <w:p>
      <w:pPr>
        <w:pStyle w:val="Heading4"/>
        <w:spacing w:line="273" w:lineRule="auto"/>
        <w:ind w:left="534" w:right="0"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Heading4"/>
        <w:spacing w:line="273" w:lineRule="auto"/>
        <w:ind w:left="534" w:right="6132" w:hanging="420"/>
        <w:jc w:val="left"/>
      </w:pPr>
      <w:r>
        <w:rPr/>
        <w:t>售状态的固定资产、投资性房地产和存货等资产。 借款费用同时满足下列条件时开始资本化：</w:t>
      </w:r>
    </w:p>
    <w:p>
      <w:pPr>
        <w:pStyle w:val="Heading4"/>
        <w:spacing w:line="273" w:lineRule="auto" w:before="8"/>
        <w:ind w:right="0" w:firstLine="420"/>
        <w:jc w:val="left"/>
      </w:pPr>
      <w:r>
        <w:rPr/>
        <w:t>（</w:t>
      </w:r>
      <w:r>
        <w:rPr>
          <w:rFonts w:ascii="宋体" w:hAnsi="宋体" w:cs="宋体" w:eastAsia="宋体" w:hint="default"/>
        </w:rPr>
        <w:t>1</w:t>
      </w:r>
      <w:r>
        <w:rPr/>
        <w:t>）资产支出已经发生，资产支出包括为购建或者生产符合资本化条件的资产而以支付现金、转移 非现金资产或者承担带息债务形式发生的支出；</w:t>
      </w:r>
    </w:p>
    <w:p>
      <w:pPr>
        <w:pStyle w:val="Heading4"/>
        <w:spacing w:line="240" w:lineRule="auto"/>
        <w:ind w:left="534" w:right="0"/>
        <w:jc w:val="left"/>
      </w:pPr>
      <w:r>
        <w:rPr/>
        <w:t>（</w:t>
      </w:r>
      <w:r>
        <w:rPr>
          <w:rFonts w:ascii="宋体" w:hAnsi="宋体" w:cs="宋体" w:eastAsia="宋体" w:hint="default"/>
        </w:rPr>
        <w:t>2</w:t>
      </w:r>
      <w:r>
        <w:rPr/>
        <w:t>）借款费用已经发生；</w:t>
      </w:r>
    </w:p>
    <w:p>
      <w:pPr>
        <w:pStyle w:val="Heading4"/>
        <w:spacing w:line="273" w:lineRule="auto" w:before="37"/>
        <w:ind w:left="534" w:right="1118"/>
        <w:jc w:val="left"/>
      </w:pPr>
      <w:r>
        <w:rPr/>
        <w:t>（</w:t>
      </w:r>
      <w:r>
        <w:rPr>
          <w:rFonts w:ascii="宋体" w:hAnsi="宋体" w:cs="宋体" w:eastAsia="宋体" w:hint="default"/>
        </w:rPr>
        <w:t>3</w:t>
      </w:r>
      <w:r>
        <w:rPr/>
        <w:t>）为使资产达到预定可使用或者可销售状态所必要的购建或者生产活动已经开始。 </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w:t>
      </w:r>
    </w:p>
    <w:p>
      <w:pPr>
        <w:pStyle w:val="Heading4"/>
        <w:spacing w:line="240" w:lineRule="auto"/>
        <w:ind w:right="0"/>
        <w:jc w:val="both"/>
      </w:pPr>
      <w:r>
        <w:rPr/>
        <w:t>包括在内。</w:t>
      </w:r>
    </w:p>
    <w:p>
      <w:pPr>
        <w:pStyle w:val="Heading4"/>
        <w:spacing w:line="273" w:lineRule="auto" w:before="37"/>
        <w:ind w:left="53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Heading4"/>
        <w:spacing w:line="240" w:lineRule="auto"/>
        <w:ind w:right="0"/>
        <w:jc w:val="both"/>
      </w:pPr>
      <w:r>
        <w:rPr/>
        <w:t>止资本化。</w:t>
      </w:r>
    </w:p>
    <w:p>
      <w:pPr>
        <w:pStyle w:val="Heading4"/>
        <w:spacing w:line="273" w:lineRule="auto" w:before="37"/>
        <w:ind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Heading4"/>
        <w:spacing w:line="273" w:lineRule="auto"/>
        <w:ind w:left="534" w:right="0" w:firstLine="2"/>
        <w:jc w:val="left"/>
      </w:pP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宋体" w:hAnsi="宋体" w:cs="宋体" w:eastAsia="宋体" w:hint="default"/>
        </w:rPr>
        <w:t>3</w:t>
      </w:r>
      <w:r>
        <w:rPr/>
        <w:t>个月的，则借</w:t>
      </w:r>
    </w:p>
    <w:p>
      <w:pPr>
        <w:pStyle w:val="Heading4"/>
        <w:spacing w:line="273" w:lineRule="auto"/>
        <w:ind w:right="1130"/>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2"/>
        </w:rPr>
        <w:t> </w:t>
      </w:r>
      <w:r>
        <w:rPr>
          <w:spacing w:val="-82"/>
        </w:rPr>
      </w:r>
      <w:r>
        <w:rPr/>
        <w:t>或者生产活动重新开始后借款费用继续资本化。</w:t>
      </w:r>
    </w:p>
    <w:p>
      <w:pPr>
        <w:spacing w:line="273" w:lineRule="auto" w:before="7"/>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Heading4"/>
        <w:spacing w:line="273" w:lineRule="auto"/>
        <w:ind w:right="1110"/>
        <w:jc w:val="both"/>
      </w:pPr>
      <w:r>
        <w:rPr/>
        <w:t>投资收益）及其辅助费用在所购建或者生产的符合资本化条件的资产达到预定可使用或者可销售状态前， 予以资本化。</w:t>
      </w:r>
    </w:p>
    <w:p>
      <w:pPr>
        <w:pStyle w:val="Heading4"/>
        <w:spacing w:line="240" w:lineRule="auto"/>
        <w:ind w:left="534" w:right="0"/>
        <w:jc w:val="left"/>
      </w:pPr>
      <w:r>
        <w:rPr/>
        <w:t>根据累计资产支出超过专门借款部分的资产支出加权平均数乘以所占用一般借款的资本化率，计算确</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left="534" w:right="0" w:hanging="420"/>
        <w:jc w:val="left"/>
      </w:pPr>
      <w:r>
        <w:rPr/>
        <w:t>定一般借款应予资本化的利息金额。资本化率根据一般借款加权平均利率计算确定。 </w:t>
      </w:r>
      <w:r>
        <w:rPr>
          <w:spacing w:val="-1"/>
        </w:rPr>
        <w:t>借款存在折价或者溢价的，按照实际利率法确定每一会计期间应摊销的折价或者溢价金额，调整每期</w:t>
      </w:r>
    </w:p>
    <w:p>
      <w:pPr>
        <w:pStyle w:val="Heading4"/>
        <w:spacing w:line="240" w:lineRule="auto"/>
        <w:ind w:right="0"/>
        <w:jc w:val="left"/>
      </w:pPr>
      <w:r>
        <w:rPr/>
        <w:t>利息金额。</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19、生物资产" w:id="193"/>
      <w:bookmarkEnd w:id="19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194"/>
      <w:bookmarkEnd w:id="19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195"/>
      <w:bookmarkEnd w:id="19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Heading4"/>
        <w:spacing w:line="273" w:lineRule="auto" w:before="0"/>
        <w:ind w:right="1131" w:firstLine="420"/>
        <w:jc w:val="both"/>
      </w:pPr>
      <w:r>
        <w:rPr>
          <w:spacing w:val="-1"/>
        </w:rPr>
        <w:t>无形资产是指公司拥有或者控制的没有实物形态的可辨认非货币性资产，包括土地使用权、软件、商</w:t>
      </w:r>
      <w:r>
        <w:rPr/>
        <w:t> 标、专利等。</w:t>
      </w:r>
    </w:p>
    <w:p>
      <w:pPr>
        <w:pStyle w:val="Heading4"/>
        <w:spacing w:line="273" w:lineRule="auto"/>
        <w:ind w:left="534" w:right="0" w:firstLine="2"/>
        <w:jc w:val="left"/>
      </w:pPr>
      <w:r>
        <w:rPr>
          <w:rFonts w:ascii="宋体" w:hAnsi="宋体" w:cs="宋体" w:eastAsia="宋体" w:hint="default"/>
          <w:b/>
          <w:bCs/>
        </w:rPr>
        <w:t>无形资产的初始计量</w:t>
      </w:r>
      <w:r>
        <w:rPr>
          <w:rFonts w:ascii="宋体" w:hAnsi="宋体" w:cs="宋体" w:eastAsia="宋体" w:hint="default"/>
          <w:b/>
          <w:bCs/>
          <w:w w:val="99"/>
        </w:rPr>
        <w:t> </w:t>
      </w:r>
      <w:r>
        <w:rPr>
          <w:spacing w:val="-1"/>
        </w:rPr>
        <w:t>外购无形资产的成本，包括购买价款、相关税费以及直接归属于使该项资产达到预定用途所发生的其</w:t>
      </w:r>
    </w:p>
    <w:p>
      <w:pPr>
        <w:pStyle w:val="Heading4"/>
        <w:spacing w:line="273" w:lineRule="auto"/>
        <w:ind w:right="1131"/>
        <w:jc w:val="both"/>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Heading4"/>
        <w:spacing w:line="273" w:lineRule="auto"/>
        <w:ind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Heading4"/>
        <w:spacing w:line="273" w:lineRule="auto" w:before="8"/>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Heading4"/>
        <w:spacing w:line="273" w:lineRule="auto"/>
        <w:ind w:right="1131"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Heading4"/>
        <w:spacing w:line="273" w:lineRule="auto"/>
        <w:ind w:right="1131" w:firstLine="420"/>
        <w:jc w:val="both"/>
      </w:pPr>
      <w:r>
        <w:rPr>
          <w:spacing w:val="-1"/>
        </w:rPr>
        <w:t>投资者投入的无形资产，按照投资合同或协议约定的价值作为成本，但合同或协议约定价值不公允的</w:t>
      </w:r>
      <w:r>
        <w:rPr/>
        <w:t> 除外。</w:t>
      </w:r>
    </w:p>
    <w:p>
      <w:pPr>
        <w:pStyle w:val="Heading4"/>
        <w:spacing w:line="273" w:lineRule="auto"/>
        <w:ind w:right="1110" w:firstLine="420"/>
        <w:jc w:val="both"/>
      </w:pPr>
      <w:r>
        <w:rPr/>
        <w:t>接受捐赠的无形资产，捐赠方提供了有关凭据的，按凭据上标明的金额加上应支付的相关税费计价； </w:t>
      </w:r>
      <w:r>
        <w:rPr>
          <w:spacing w:val="-1"/>
        </w:rPr>
        <w:t>捐赠方没有提供有关凭据的，如果同类或类似无形资产存在活跃市场的，按同类或类似无形资产的市场价</w:t>
      </w:r>
      <w:r>
        <w:rPr>
          <w:spacing w:val="-81"/>
        </w:rPr>
        <w:t> </w:t>
      </w:r>
      <w:r>
        <w:rPr>
          <w:spacing w:val="-81"/>
        </w:rPr>
      </w:r>
      <w:r>
        <w:rPr>
          <w:spacing w:val="-1"/>
        </w:rPr>
        <w:t>格估计的金额，加上应支付的相关税费，作为实际成本；如果同类或类似无形资产不存在活跃市场的，按</w:t>
      </w:r>
      <w:r>
        <w:rPr>
          <w:spacing w:val="-85"/>
        </w:rPr>
        <w:t> </w:t>
      </w:r>
      <w:r>
        <w:rPr>
          <w:spacing w:val="-85"/>
        </w:rPr>
      </w:r>
      <w:r>
        <w:rPr>
          <w:spacing w:val="-1"/>
        </w:rPr>
        <w:t>接受捐赠的无形资产的预计未来现金流量现值，作为实际成本；自行开发并按法律程序申请取得的无形资</w:t>
      </w:r>
      <w:r>
        <w:rPr>
          <w:spacing w:val="-81"/>
        </w:rPr>
        <w:t> </w:t>
      </w:r>
      <w:r>
        <w:rPr>
          <w:spacing w:val="-81"/>
        </w:rPr>
      </w:r>
      <w:r>
        <w:rPr/>
        <w:t>产，按依法取得时发生的注册费，聘请律师费等费用，作为实际成本。</w:t>
      </w:r>
    </w:p>
    <w:p>
      <w:pPr>
        <w:pStyle w:val="Heading4"/>
        <w:spacing w:line="273" w:lineRule="auto"/>
        <w:ind w:right="1132"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pStyle w:val="Heading3"/>
        <w:spacing w:line="240" w:lineRule="auto" w:before="7"/>
        <w:ind w:left="536" w:right="0"/>
        <w:jc w:val="left"/>
        <w:rPr>
          <w:b w:val="0"/>
          <w:bCs w:val="0"/>
        </w:rPr>
      </w:pPr>
      <w:r>
        <w:rPr/>
        <w:t>无形资产的后续计量</w:t>
      </w:r>
      <w:r>
        <w:rPr>
          <w:b w:val="0"/>
          <w:bCs w:val="0"/>
        </w:rPr>
      </w:r>
    </w:p>
    <w:p>
      <w:pPr>
        <w:pStyle w:val="Heading4"/>
        <w:spacing w:line="273" w:lineRule="auto" w:before="37"/>
        <w:ind w:left="534" w:right="0" w:hanging="105"/>
        <w:jc w:val="left"/>
      </w:pPr>
      <w:r>
        <w:rPr/>
        <w:t>（</w:t>
      </w:r>
      <w:r>
        <w:rPr>
          <w:rFonts w:ascii="宋体" w:hAnsi="宋体" w:cs="宋体" w:eastAsia="宋体" w:hint="default"/>
        </w:rPr>
        <w:t>1</w:t>
      </w:r>
      <w:r>
        <w:rPr/>
        <w:t>）无形资产使用寿命的估计 </w:t>
      </w:r>
      <w:r>
        <w:rPr>
          <w:spacing w:val="-1"/>
        </w:rPr>
        <w:t>公司拥有或控制的来源于合同性权利或其他法定权利的无形资产，其使用寿命不超过合同性权利或其</w:t>
      </w:r>
    </w:p>
    <w:p>
      <w:pPr>
        <w:pStyle w:val="Heading4"/>
        <w:spacing w:line="273" w:lineRule="auto"/>
        <w:ind w:right="1110"/>
        <w:jc w:val="both"/>
      </w:pPr>
      <w:r>
        <w:rPr>
          <w:spacing w:val="-1"/>
        </w:rPr>
        <w:t>他法定权利的期限；合同性权利或其他法定权利在到期时因续约等延续、且有证据表明公司续约不需要付</w:t>
      </w:r>
      <w:r>
        <w:rPr>
          <w:spacing w:val="-81"/>
        </w:rPr>
        <w:t> </w:t>
      </w:r>
      <w:r>
        <w:rPr>
          <w:spacing w:val="-81"/>
        </w:rPr>
      </w:r>
      <w:r>
        <w:rPr>
          <w:spacing w:val="-1"/>
        </w:rPr>
        <w:t>出大额成本的，续约期计入使用寿命；合同或法律没有规定使用寿命的，无形资产的使用寿命参考历史经</w:t>
      </w:r>
      <w:r>
        <w:rPr>
          <w:spacing w:val="-83"/>
        </w:rPr>
        <w:t> </w:t>
      </w:r>
      <w:r>
        <w:rPr>
          <w:spacing w:val="-83"/>
        </w:rPr>
      </w:r>
      <w:r>
        <w:rPr/>
        <w:t>验或聘请相关专家进行论证等确定。按照上述方法仍无法合理确定无形资产为公司带来经济利益期限的，</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pPr>
      <w:r>
        <w:rPr/>
        <w:t>公司将该项无形资产作为使用寿命不确定的无形资产。</w:t>
      </w:r>
    </w:p>
    <w:p>
      <w:pPr>
        <w:pStyle w:val="Heading4"/>
        <w:spacing w:line="273" w:lineRule="auto" w:before="37"/>
        <w:ind w:left="534" w:right="0" w:hanging="105"/>
        <w:jc w:val="left"/>
      </w:pPr>
      <w:r>
        <w:rPr/>
        <w:t>（</w:t>
      </w:r>
      <w:r>
        <w:rPr>
          <w:rFonts w:ascii="宋体" w:hAnsi="宋体" w:cs="宋体" w:eastAsia="宋体" w:hint="default"/>
        </w:rPr>
        <w:t>2</w:t>
      </w:r>
      <w:r>
        <w:rPr/>
        <w:t>）无形资产使用寿命的复核 </w:t>
      </w:r>
      <w:r>
        <w:rPr>
          <w:spacing w:val="-1"/>
        </w:rPr>
        <w:t>公司至少于每年年度终了时，第无形资产的使用寿命及摊销方法进行复核，如与原先估计数存在差异</w:t>
      </w:r>
    </w:p>
    <w:p>
      <w:pPr>
        <w:pStyle w:val="Heading4"/>
        <w:spacing w:line="240" w:lineRule="auto"/>
        <w:ind w:right="0"/>
        <w:jc w:val="left"/>
      </w:pPr>
      <w:r>
        <w:rPr/>
        <w:t>的，进行相应的调整。</w:t>
      </w:r>
    </w:p>
    <w:p>
      <w:pPr>
        <w:pStyle w:val="Heading4"/>
        <w:spacing w:line="273" w:lineRule="auto" w:before="37"/>
        <w:ind w:left="534" w:right="0" w:hanging="105"/>
        <w:jc w:val="left"/>
      </w:pPr>
      <w:r>
        <w:rPr/>
        <w:t>（</w:t>
      </w:r>
      <w:r>
        <w:rPr>
          <w:rFonts w:ascii="宋体" w:hAnsi="宋体" w:cs="宋体" w:eastAsia="宋体" w:hint="default"/>
        </w:rPr>
        <w:t>3</w:t>
      </w:r>
      <w:r>
        <w:rPr/>
        <w:t>）无形资产的摊销 </w:t>
      </w:r>
      <w:r>
        <w:rPr>
          <w:spacing w:val="-1"/>
        </w:rPr>
        <w:t>公司对于使用寿命有限的无形资产，自取得当月起在预计使用寿命内采用直线法分期摊销。使用寿命</w:t>
      </w:r>
    </w:p>
    <w:p>
      <w:pPr>
        <w:pStyle w:val="Heading4"/>
        <w:spacing w:line="273" w:lineRule="auto"/>
        <w:ind w:right="0"/>
        <w:jc w:val="left"/>
      </w:pPr>
      <w:r>
        <w:rPr>
          <w:spacing w:val="-1"/>
        </w:rPr>
        <w:t>不确定的无形资产不摊销，每年末均进行减值测试。无形资产的应摊销金额为其成本扣除预计残值后的金</w:t>
      </w:r>
      <w:r>
        <w:rPr>
          <w:spacing w:val="-81"/>
        </w:rPr>
        <w:t> </w:t>
      </w:r>
      <w:r>
        <w:rPr>
          <w:spacing w:val="-81"/>
        </w:rPr>
      </w:r>
      <w:r>
        <w:rPr/>
        <w:t>额。已计提减值准备的无形资产，还应扣除已计提的无形资产减值准备累计金额。</w:t>
      </w:r>
    </w:p>
    <w:p>
      <w:pPr>
        <w:pStyle w:val="Heading3"/>
        <w:spacing w:line="590" w:lineRule="atLeast" w:before="9"/>
        <w:ind w:left="536" w:right="2742" w:hanging="423"/>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w w:val="99"/>
        </w:rPr>
        <w:t> </w:t>
      </w:r>
      <w:r>
        <w:rPr>
          <w:w w:val="95"/>
        </w:rPr>
        <w:t>划分公司内部研究开发项目的研究阶段和开发阶段具体标准</w:t>
      </w:r>
      <w:r>
        <w:rPr>
          <w:b w:val="0"/>
          <w:bCs w:val="0"/>
        </w:rPr>
      </w:r>
    </w:p>
    <w:p>
      <w:pPr>
        <w:pStyle w:val="Heading4"/>
        <w:spacing w:line="273" w:lineRule="auto" w:before="37"/>
        <w:ind w:left="534" w:right="0"/>
        <w:jc w:val="left"/>
      </w:pPr>
      <w:r>
        <w:rPr/>
        <w:t>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Heading4"/>
        <w:spacing w:line="273" w:lineRule="auto"/>
        <w:ind w:left="534" w:right="3402" w:hanging="420"/>
        <w:jc w:val="left"/>
      </w:pPr>
      <w:r>
        <w:rPr/>
        <w:t>的或具有实质性改进的材料、装置、产品等活动的阶段。 内部研究开发项目研究阶段的支出，在发生时计入当期损益。 </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w:t>
      </w:r>
    </w:p>
    <w:p>
      <w:pPr>
        <w:pStyle w:val="Heading4"/>
        <w:spacing w:line="240" w:lineRule="auto"/>
        <w:ind w:left="534" w:right="0"/>
        <w:jc w:val="left"/>
      </w:pPr>
      <w:r>
        <w:rPr/>
        <w:t>（</w:t>
      </w:r>
      <w:r>
        <w:rPr>
          <w:rFonts w:ascii="宋体" w:hAnsi="宋体" w:cs="宋体" w:eastAsia="宋体" w:hint="default"/>
        </w:rPr>
        <w:t>1</w:t>
      </w:r>
      <w:r>
        <w:rPr/>
        <w:t>）完成该无形资产以使其能够使用或出售在技术上具有可行性；</w:t>
      </w:r>
    </w:p>
    <w:p>
      <w:pPr>
        <w:pStyle w:val="Heading4"/>
        <w:spacing w:line="240" w:lineRule="auto" w:before="37"/>
        <w:ind w:left="534" w:right="0"/>
        <w:jc w:val="left"/>
      </w:pPr>
      <w:r>
        <w:rPr/>
        <w:t>（</w:t>
      </w:r>
      <w:r>
        <w:rPr>
          <w:rFonts w:ascii="宋体" w:hAnsi="宋体" w:cs="宋体" w:eastAsia="宋体" w:hint="default"/>
        </w:rPr>
        <w:t>2</w:t>
      </w:r>
      <w:r>
        <w:rPr/>
        <w:t>）具有完成该无形资产并使用或出售的意图；</w:t>
      </w:r>
    </w:p>
    <w:p>
      <w:pPr>
        <w:pStyle w:val="Heading4"/>
        <w:spacing w:line="273" w:lineRule="auto" w:before="37"/>
        <w:ind w:right="0" w:firstLine="420"/>
        <w:jc w:val="left"/>
      </w:pPr>
      <w:r>
        <w:rPr/>
        <w:t>（</w:t>
      </w:r>
      <w:r>
        <w:rPr>
          <w:rFonts w:ascii="宋体" w:hAnsi="宋体" w:cs="宋体" w:eastAsia="宋体" w:hint="default"/>
        </w:rPr>
        <w:t>3</w:t>
      </w:r>
      <w:r>
        <w:rPr/>
        <w:t>）无形资产产生经济利益的方式，包括能够证明运用该无形资产生产的产品存在市场或无形资产 自身存在市场，无形资产将在内部使用的，能够证明其有用性；</w:t>
      </w:r>
    </w:p>
    <w:p>
      <w:pPr>
        <w:pStyle w:val="Heading4"/>
        <w:spacing w:line="273" w:lineRule="auto" w:before="8"/>
        <w:ind w:right="1118" w:firstLine="420"/>
        <w:jc w:val="left"/>
      </w:pPr>
      <w:r>
        <w:rPr/>
        <w:t>（</w:t>
      </w:r>
      <w:r>
        <w:rPr>
          <w:rFonts w:ascii="宋体" w:hAnsi="宋体" w:cs="宋体" w:eastAsia="宋体" w:hint="default"/>
        </w:rPr>
        <w:t>4</w:t>
      </w:r>
      <w:r>
        <w:rPr/>
        <w:t>）有足够的技术、财务资源和其他资源支持，以完成该无形资产的开发，并有能力使用或出售该</w:t>
      </w:r>
      <w:r>
        <w:rPr>
          <w:spacing w:val="2"/>
        </w:rPr>
        <w:t> </w:t>
      </w:r>
      <w:r>
        <w:rPr/>
        <w:t>无形资产；</w:t>
      </w:r>
    </w:p>
    <w:p>
      <w:pPr>
        <w:pStyle w:val="Heading4"/>
        <w:spacing w:line="273" w:lineRule="auto"/>
        <w:ind w:left="534" w:right="0"/>
        <w:jc w:val="left"/>
      </w:pPr>
      <w:r>
        <w:rPr/>
        <w:t>（</w:t>
      </w:r>
      <w:r>
        <w:rPr>
          <w:rFonts w:ascii="宋体" w:hAnsi="宋体" w:cs="宋体" w:eastAsia="宋体" w:hint="default"/>
        </w:rPr>
        <w:t>5</w:t>
      </w:r>
      <w:r>
        <w:rPr/>
        <w:t>）归属于该无形资产开发阶段的支出能够可靠地计量。 </w:t>
      </w:r>
      <w:r>
        <w:rPr>
          <w:spacing w:val="-1"/>
        </w:rPr>
        <w:t>不满足上述条件的开发阶段的支出，于发生时计入当期损益。以前期间已计入损益的开发支出不在以</w:t>
      </w:r>
    </w:p>
    <w:p>
      <w:pPr>
        <w:pStyle w:val="Heading4"/>
        <w:spacing w:line="273" w:lineRule="auto"/>
        <w:ind w:right="0"/>
        <w:jc w:val="left"/>
      </w:pP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pStyle w:val="Heading4"/>
        <w:spacing w:line="590" w:lineRule="atLeast" w:before="9"/>
        <w:ind w:left="534" w:right="0" w:hanging="420"/>
        <w:jc w:val="left"/>
      </w:pPr>
      <w:bookmarkStart w:name="22、长期资产减值" w:id="198"/>
      <w:bookmarkEnd w:id="198"/>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公司在资产负债表日判断长期资产是否存在可能发生减值的迹象。因企业合并所形成的商誉和使用寿</w:t>
      </w:r>
    </w:p>
    <w:p>
      <w:pPr>
        <w:pStyle w:val="Heading4"/>
        <w:spacing w:line="273" w:lineRule="auto" w:before="37"/>
        <w:ind w:left="534" w:right="0" w:hanging="420"/>
        <w:jc w:val="left"/>
      </w:pPr>
      <w:r>
        <w:rPr/>
        <w:t>命不确定的无形资产，无论是否存在减值迹象，每年都进行减值测试。 </w:t>
      </w:r>
      <w:r>
        <w:rPr>
          <w:spacing w:val="-1"/>
        </w:rPr>
        <w:t>资产可收回金额的估计，根据其公允价值减去处置费用后的净额与资产预计未来现金流量的现值两者</w:t>
      </w:r>
    </w:p>
    <w:p>
      <w:pPr>
        <w:pStyle w:val="Heading4"/>
        <w:spacing w:line="273" w:lineRule="auto"/>
        <w:ind w:left="534" w:right="0" w:hanging="420"/>
        <w:jc w:val="left"/>
      </w:pPr>
      <w:r>
        <w:rPr/>
        <w:t>之间较高者确定。 </w:t>
      </w:r>
      <w:r>
        <w:rPr>
          <w:spacing w:val="-1"/>
        </w:rPr>
        <w:t>可收回金额的计量结果表明，长期资产的可收回金额低于其账面价值的，将长期资产的账面价值减记</w:t>
      </w:r>
    </w:p>
    <w:p>
      <w:pPr>
        <w:pStyle w:val="Heading4"/>
        <w:spacing w:line="273" w:lineRule="auto"/>
        <w:ind w:right="0"/>
        <w:jc w:val="left"/>
      </w:pPr>
      <w:r>
        <w:rPr>
          <w:spacing w:val="-1"/>
        </w:rPr>
        <w:t>至可收回金额，减记的金额确认为资产减值损失，计入当期损益，同时计提相应的资产减值准备。资产减</w:t>
      </w:r>
      <w:r>
        <w:rPr>
          <w:spacing w:val="-86"/>
        </w:rPr>
        <w:t> </w:t>
      </w:r>
      <w:r>
        <w:rPr>
          <w:spacing w:val="-86"/>
        </w:rPr>
      </w:r>
      <w:r>
        <w:rPr/>
        <w:t>值损失一经确认，在以后会计期间不得转回。</w:t>
      </w:r>
    </w:p>
    <w:p>
      <w:pPr>
        <w:pStyle w:val="Heading4"/>
        <w:spacing w:line="273" w:lineRule="auto"/>
        <w:ind w:right="0" w:firstLine="420"/>
        <w:jc w:val="left"/>
      </w:pPr>
      <w:r>
        <w:rPr>
          <w:spacing w:val="-1"/>
        </w:rPr>
        <w:t>资产减值损失确认后，减值资产的折旧或者摊销费用在未来期间作相应调整，以使该资产在剩余使用</w:t>
      </w:r>
      <w:r>
        <w:rPr/>
        <w:t> </w:t>
      </w:r>
      <w:r>
        <w:rPr>
          <w:spacing w:val="-4"/>
        </w:rPr>
        <w:t>寿命内，系统地分摊调整后的资产账面价值（扣除预计净残值）。</w:t>
      </w:r>
    </w:p>
    <w:p>
      <w:pPr>
        <w:pStyle w:val="Heading4"/>
        <w:spacing w:line="273" w:lineRule="auto" w:before="8"/>
        <w:ind w:right="1118" w:firstLine="420"/>
        <w:jc w:val="left"/>
      </w:pPr>
      <w:r>
        <w:rPr>
          <w:spacing w:val="-1"/>
        </w:rPr>
        <w:t>因企业合并所形成的商誉和使用寿命不确定的无形资产，无论是否存在减值迹象，每年都进行减值测</w:t>
      </w:r>
      <w:r>
        <w:rPr/>
        <w:t> 试。</w:t>
      </w:r>
    </w:p>
    <w:p>
      <w:pPr>
        <w:pStyle w:val="Heading4"/>
        <w:spacing w:line="273" w:lineRule="auto"/>
        <w:ind w:right="0" w:firstLine="420"/>
        <w:jc w:val="left"/>
      </w:pPr>
      <w:r>
        <w:rPr>
          <w:spacing w:val="-1"/>
        </w:rPr>
        <w:t>在对商誉进行减值测试时，将商誉的账面价值分摊至预期从企业合并的协同效应中受益的资产组或资</w:t>
      </w:r>
      <w:r>
        <w:rPr/>
        <w:t> </w:t>
      </w:r>
      <w:r>
        <w:rPr>
          <w:spacing w:val="-1"/>
        </w:rPr>
        <w:t>产组组合。在对包含商誉的相关资产组或者资产组组合进行减值测试时，如与商誉相关的资产组或者资产</w:t>
      </w:r>
    </w:p>
    <w:p>
      <w:pPr>
        <w:spacing w:after="0" w:line="273"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right="1131"/>
        <w:jc w:val="both"/>
      </w:pPr>
      <w:r>
        <w:rPr>
          <w:spacing w:val="-1"/>
        </w:rPr>
        <w:t>组组合存在减值迹象的，先对不包含商誉的资产组或者资产组组合进行减值测试，计算可收回金额，并与</w:t>
      </w:r>
      <w:r>
        <w:rPr>
          <w:spacing w:val="-83"/>
        </w:rPr>
        <w:t> </w:t>
      </w:r>
      <w:r>
        <w:rPr>
          <w:spacing w:val="-83"/>
        </w:rPr>
      </w:r>
      <w:r>
        <w:rPr>
          <w:spacing w:val="-1"/>
        </w:rPr>
        <w:t>相关账面价值相比较，确认相应的减值损失。再对包含商誉的资产组或者资产组组合进行减值测试，比较</w:t>
      </w:r>
      <w:r>
        <w:rPr>
          <w:spacing w:val="-83"/>
        </w:rPr>
        <w:t> </w:t>
      </w:r>
      <w:r>
        <w:rPr>
          <w:spacing w:val="-83"/>
        </w:rPr>
      </w:r>
      <w:r>
        <w:rPr>
          <w:spacing w:val="-1"/>
        </w:rPr>
        <w:t>这些相关资产组或者资产组组合的账面价值（包括所分摊的商誉的账面价值部分）与其可收回金额，如相</w:t>
      </w:r>
      <w:r>
        <w:rPr>
          <w:spacing w:val="-83"/>
        </w:rPr>
        <w:t> </w:t>
      </w:r>
      <w:r>
        <w:rPr>
          <w:spacing w:val="-83"/>
        </w:rPr>
      </w:r>
      <w:r>
        <w:rPr/>
        <w:t>关资产组或者资产组组合的可收回金额低于其账面价值的，确认商誉的减值损失。</w:t>
      </w:r>
    </w:p>
    <w:p>
      <w:pPr>
        <w:pStyle w:val="Heading4"/>
        <w:spacing w:line="590" w:lineRule="atLeast" w:before="10"/>
        <w:ind w:left="535" w:right="0" w:hanging="422"/>
        <w:jc w:val="left"/>
      </w:pPr>
      <w:bookmarkStart w:name="23、长期待摊费用" w:id="199"/>
      <w:bookmarkEnd w:id="199"/>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t>长期待摊费用，是指公司已经发生但应由本期和以后各期负担的分摊期限在</w:t>
      </w:r>
      <w:r>
        <w:rPr>
          <w:rFonts w:ascii="宋体" w:hAnsi="宋体" w:cs="宋体" w:eastAsia="宋体" w:hint="default"/>
        </w:rPr>
        <w:t>1</w:t>
      </w:r>
      <w:r>
        <w:rPr/>
        <w:t>年以上的各项费用。长</w:t>
      </w:r>
    </w:p>
    <w:p>
      <w:pPr>
        <w:pStyle w:val="Heading4"/>
        <w:spacing w:line="273" w:lineRule="auto" w:before="37"/>
        <w:ind w:right="1131"/>
        <w:jc w:val="both"/>
      </w:pPr>
      <w:r>
        <w:rPr>
          <w:spacing w:val="-1"/>
        </w:rPr>
        <w:t>期待摊费用按发生时的实际成本计价，并在受益期限内平均摊销。如果长期待摊费用项目不能使以后会计</w:t>
      </w:r>
      <w:r>
        <w:rPr>
          <w:spacing w:val="-81"/>
        </w:rPr>
        <w:t> </w:t>
      </w:r>
      <w:r>
        <w:rPr>
          <w:spacing w:val="-81"/>
        </w:rPr>
      </w:r>
      <w:r>
        <w:rPr/>
        <w:t>期间受益的，则将尚未摊销的该项目的摊余价值全部转入当期损益。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4、职工薪酬" w:id="200"/>
      <w:bookmarkEnd w:id="200"/>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34" w:right="0" w:hanging="420"/>
        <w:jc w:val="left"/>
        <w:rPr>
          <w:rFonts w:ascii="宋体" w:hAnsi="宋体" w:cs="宋体" w:eastAsia="宋体" w:hint="default"/>
          <w:sz w:val="21"/>
          <w:szCs w:val="21"/>
        </w:rPr>
      </w:pPr>
      <w:bookmarkStart w:name="（1）短期薪酬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短期薪酬是指公司在职工提供相关服务的年度报告期间结束后十二个月内需要全部予以支付的职工</w:t>
      </w:r>
    </w:p>
    <w:p>
      <w:pPr>
        <w:pStyle w:val="Heading4"/>
        <w:spacing w:line="273" w:lineRule="auto" w:before="37"/>
        <w:ind w:right="1131"/>
        <w:jc w:val="both"/>
      </w:pPr>
      <w:r>
        <w:rPr>
          <w:spacing w:val="-1"/>
        </w:rPr>
        <w:t>薪酬，离职后福利和辞退福利除外。短期薪酬主要包括工资、奖金、津贴和补贴、职工福利费、医疗保险</w:t>
      </w:r>
      <w:r>
        <w:rPr>
          <w:spacing w:val="-83"/>
        </w:rPr>
        <w:t> </w:t>
      </w:r>
      <w:r>
        <w:rPr>
          <w:spacing w:val="-83"/>
        </w:rPr>
      </w:r>
      <w:r>
        <w:rPr>
          <w:spacing w:val="-1"/>
        </w:rPr>
        <w:t>费、生育保险费、工伤保险费、住房公积金、工会经费和职工教育经费、非货币性福利等，其中非货币性</w:t>
      </w:r>
      <w:r>
        <w:rPr>
          <w:spacing w:val="-83"/>
        </w:rPr>
        <w:t> </w:t>
      </w:r>
      <w:r>
        <w:rPr>
          <w:spacing w:val="-83"/>
        </w:rPr>
      </w:r>
      <w:r>
        <w:rPr>
          <w:spacing w:val="-1"/>
        </w:rPr>
        <w:t>福利按公允价值计量。公司在职工提供服务的会计期间，将应付的短期薪酬确认为负债，并根据职工提供</w:t>
      </w:r>
      <w:r>
        <w:rPr>
          <w:spacing w:val="-83"/>
        </w:rPr>
        <w:t> </w:t>
      </w:r>
      <w:r>
        <w:rPr>
          <w:spacing w:val="-83"/>
        </w:rPr>
      </w:r>
      <w:r>
        <w:rPr/>
        <w:t>服务的受益对象计入相关资产成本和费用。</w:t>
      </w:r>
    </w:p>
    <w:p>
      <w:pPr>
        <w:spacing w:line="590" w:lineRule="atLeast" w:before="9"/>
        <w:ind w:left="534" w:right="0" w:hanging="420"/>
        <w:jc w:val="left"/>
        <w:rPr>
          <w:rFonts w:ascii="宋体" w:hAnsi="宋体" w:cs="宋体" w:eastAsia="宋体" w:hint="default"/>
          <w:sz w:val="21"/>
          <w:szCs w:val="21"/>
        </w:rPr>
      </w:pPr>
      <w:bookmarkStart w:name="（2）离职后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离职后福利是指公司为获得职工提供的服务而在职工退休或与公司解除劳动关系后，提供的各种形式</w:t>
      </w:r>
    </w:p>
    <w:p>
      <w:pPr>
        <w:pStyle w:val="Heading4"/>
        <w:spacing w:line="273" w:lineRule="auto" w:before="37"/>
        <w:ind w:left="534" w:right="0" w:hanging="420"/>
        <w:jc w:val="left"/>
      </w:pPr>
      <w:r>
        <w:rPr/>
        <w:t>的报酬和福利，短期薪酬和辞退福利除外。 </w:t>
      </w:r>
      <w:r>
        <w:rPr>
          <w:spacing w:val="-1"/>
        </w:rPr>
        <w:t>公司的离职后福利计划主要包括设定提存计划。利设定提存计划主要为参加由各地劳动及社会保障机</w:t>
      </w:r>
    </w:p>
    <w:p>
      <w:pPr>
        <w:pStyle w:val="Heading4"/>
        <w:spacing w:line="273" w:lineRule="auto"/>
        <w:ind w:right="0"/>
        <w:jc w:val="left"/>
      </w:pPr>
      <w:r>
        <w:rPr>
          <w:spacing w:val="-1"/>
        </w:rPr>
        <w:t>构组织实施的社会基本养老保险、失业保险等。在职工为公司提供服务的会计期间，将根据设定提存计划</w:t>
      </w:r>
      <w:r>
        <w:rPr>
          <w:spacing w:val="-83"/>
        </w:rPr>
        <w:t> </w:t>
      </w:r>
      <w:r>
        <w:rPr>
          <w:spacing w:val="-83"/>
        </w:rPr>
      </w:r>
      <w:r>
        <w:rPr/>
        <w:t>计算的应缴存金额确认为负债，并计入当期损益或相关资产成本。 公司按照国家规定的标准定期缴付上述款项后，不再有其他的支付义务。</w:t>
      </w:r>
    </w:p>
    <w:p>
      <w:pPr>
        <w:spacing w:line="590" w:lineRule="atLeast" w:before="9"/>
        <w:ind w:left="534" w:right="0" w:hanging="420"/>
        <w:jc w:val="left"/>
        <w:rPr>
          <w:rFonts w:ascii="宋体" w:hAnsi="宋体" w:cs="宋体" w:eastAsia="宋体" w:hint="default"/>
          <w:sz w:val="21"/>
          <w:szCs w:val="21"/>
        </w:rPr>
      </w:pPr>
      <w:bookmarkStart w:name="（3）辞退福利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辞退福利是指公司在职工劳动合同到期之前解除与职工的劳动关系，或者为鼓励职工自愿接受裁减而</w:t>
      </w:r>
    </w:p>
    <w:p>
      <w:pPr>
        <w:pStyle w:val="Heading4"/>
        <w:spacing w:line="273" w:lineRule="auto" w:before="37"/>
        <w:ind w:right="1131"/>
        <w:jc w:val="both"/>
      </w:pPr>
      <w:r>
        <w:rPr>
          <w:spacing w:val="-1"/>
        </w:rPr>
        <w:t>给予职工的补偿，在公司不能单方面撤回解除劳动关系计划或裁减建议时和确认与涉及支付辞退福利的重</w:t>
      </w:r>
      <w:r>
        <w:rPr>
          <w:spacing w:val="-81"/>
        </w:rPr>
        <w:t> </w:t>
      </w:r>
      <w:r>
        <w:rPr>
          <w:spacing w:val="-81"/>
        </w:rPr>
      </w:r>
      <w:r>
        <w:rPr>
          <w:spacing w:val="-1"/>
        </w:rPr>
        <w:t>组相关的成本费用时两者孰早日，确认因解除与职工的劳动关系给予补偿而产生的负债，同时计入当期损</w:t>
      </w:r>
      <w:r>
        <w:rPr>
          <w:spacing w:val="-81"/>
        </w:rPr>
        <w:t> </w:t>
      </w:r>
      <w:r>
        <w:rPr>
          <w:spacing w:val="-81"/>
        </w:rPr>
      </w:r>
      <w:r>
        <w:rPr/>
        <w:t>益。</w:t>
      </w:r>
    </w:p>
    <w:p>
      <w:pPr>
        <w:pStyle w:val="Heading4"/>
        <w:spacing w:line="273" w:lineRule="auto"/>
        <w:ind w:right="1131" w:firstLine="420"/>
        <w:jc w:val="both"/>
      </w:pPr>
      <w:r>
        <w:rPr>
          <w:spacing w:val="-1"/>
        </w:rPr>
        <w:t>公司向接受内部退休安排的职工提供内退福利。内退福利是指，向未达到国家规定的退休年龄、经公</w:t>
      </w:r>
      <w:r>
        <w:rPr/>
        <w:t> </w:t>
      </w:r>
      <w:r>
        <w:rPr>
          <w:spacing w:val="-1"/>
        </w:rPr>
        <w:t>司管理层批准自愿退出工作岗位的职工支付的工资及为其缴纳的社会保险费等。公司自内部退休安排开始</w:t>
      </w:r>
      <w:r>
        <w:rPr>
          <w:spacing w:val="-81"/>
        </w:rPr>
        <w:t> </w:t>
      </w:r>
      <w:r>
        <w:rPr>
          <w:spacing w:val="-81"/>
        </w:rPr>
      </w:r>
      <w:r>
        <w:rPr>
          <w:spacing w:val="-1"/>
        </w:rPr>
        <w:t>之日起至职工达到正常退休年龄止，向内退职工支付内部退养福利。对于内退福利，公司比照辞退福利进</w:t>
      </w:r>
      <w:r>
        <w:rPr>
          <w:spacing w:val="-83"/>
        </w:rPr>
        <w:t> </w:t>
      </w:r>
      <w:r>
        <w:rPr>
          <w:spacing w:val="-83"/>
        </w:rPr>
      </w:r>
      <w:r>
        <w:rPr>
          <w:spacing w:val="-1"/>
        </w:rPr>
        <w:t>行会计处理，在符合辞退福利相关确认条件时，将自职工停止提供服务日至正常退休日期间拟支付的内退</w:t>
      </w:r>
      <w:r>
        <w:rPr>
          <w:spacing w:val="-81"/>
        </w:rPr>
        <w:t> </w:t>
      </w:r>
      <w:r>
        <w:rPr>
          <w:spacing w:val="-81"/>
        </w:rPr>
      </w:r>
      <w:r>
        <w:rPr/>
        <w:t>职工工资和缴纳的社会保险费等，确认为负债，一次性计入当期损益。</w:t>
      </w:r>
    </w:p>
    <w:p>
      <w:pPr>
        <w:spacing w:line="240" w:lineRule="auto" w:before="8"/>
        <w:rPr>
          <w:rFonts w:ascii="宋体" w:hAnsi="宋体" w:cs="宋体" w:eastAsia="宋体" w:hint="default"/>
          <w:sz w:val="23"/>
          <w:szCs w:val="23"/>
        </w:rPr>
      </w:pPr>
    </w:p>
    <w:p>
      <w:pPr>
        <w:spacing w:line="506" w:lineRule="auto" w:before="0"/>
        <w:ind w:left="534" w:right="2352" w:hanging="420"/>
        <w:jc w:val="left"/>
        <w:rPr>
          <w:rFonts w:ascii="宋体" w:hAnsi="宋体" w:cs="宋体" w:eastAsia="宋体" w:hint="default"/>
          <w:sz w:val="21"/>
          <w:szCs w:val="21"/>
        </w:rPr>
      </w:pPr>
      <w:bookmarkStart w:name="（4）其他长期职工福利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其他长期职工福利是指除短期薪酬、离职后福利、辞退福利之外的其他所有职工福利。</w:t>
      </w:r>
    </w:p>
    <w:p>
      <w:pPr>
        <w:spacing w:after="0" w:line="506" w:lineRule="auto"/>
        <w:jc w:val="left"/>
        <w:rPr>
          <w:rFonts w:ascii="宋体" w:hAnsi="宋体" w:cs="宋体" w:eastAsia="宋体" w:hint="default"/>
          <w:sz w:val="21"/>
          <w:szCs w:val="21"/>
        </w:rPr>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right="1131" w:firstLine="420"/>
        <w:jc w:val="both"/>
      </w:pPr>
      <w:r>
        <w:rPr>
          <w:spacing w:val="-1"/>
        </w:rPr>
        <w:t>对符合设定提存计划条件的其他长期职工福利，在职工为公司提供服务的会计期间，将应缴存金额确</w:t>
      </w:r>
      <w:r>
        <w:rPr/>
        <w:t> </w:t>
      </w:r>
      <w:r>
        <w:rPr>
          <w:spacing w:val="-1"/>
        </w:rPr>
        <w:t>认为负债，并计入当期损益或相关资产成本；除上述情形外的其他长期职工福利，将设定受益计划产生的</w:t>
      </w:r>
      <w:r>
        <w:rPr>
          <w:spacing w:val="-83"/>
        </w:rPr>
        <w:t> </w:t>
      </w:r>
      <w:r>
        <w:rPr>
          <w:spacing w:val="-83"/>
        </w:rPr>
      </w:r>
      <w:r>
        <w:rPr/>
        <w:t>福利义务归属于职工提供服务的期间，并计入当期损益或相关资产成本。</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5、预计负债" w:id="205"/>
      <w:bookmarkEnd w:id="20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spacing w:line="273" w:lineRule="auto" w:before="0"/>
        <w:ind w:left="534" w:right="4032" w:firstLine="2"/>
        <w:jc w:val="left"/>
        <w:rPr>
          <w:rFonts w:ascii="宋体" w:hAnsi="宋体" w:cs="宋体" w:eastAsia="宋体" w:hint="default"/>
          <w:sz w:val="21"/>
          <w:szCs w:val="21"/>
        </w:rPr>
      </w:pP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与或有事项相关的义务同时满足下列条件时，公司确认为预计负债：</w:t>
      </w:r>
    </w:p>
    <w:p>
      <w:pPr>
        <w:pStyle w:val="Heading4"/>
        <w:spacing w:line="240" w:lineRule="auto"/>
        <w:ind w:left="534" w:right="0"/>
        <w:jc w:val="left"/>
      </w:pPr>
      <w:r>
        <w:rPr/>
        <w:t>（</w:t>
      </w:r>
      <w:r>
        <w:rPr>
          <w:rFonts w:ascii="宋体" w:hAnsi="宋体" w:cs="宋体" w:eastAsia="宋体" w:hint="default"/>
        </w:rPr>
        <w:t>1</w:t>
      </w:r>
      <w:r>
        <w:rPr/>
        <w:t>）该义务是公司承担的现时义务；</w:t>
      </w:r>
    </w:p>
    <w:p>
      <w:pPr>
        <w:pStyle w:val="Heading4"/>
        <w:spacing w:line="240" w:lineRule="auto" w:before="37"/>
        <w:ind w:left="534" w:right="0"/>
        <w:jc w:val="left"/>
      </w:pPr>
      <w:r>
        <w:rPr/>
        <w:t>（</w:t>
      </w:r>
      <w:r>
        <w:rPr>
          <w:rFonts w:ascii="宋体" w:hAnsi="宋体" w:cs="宋体" w:eastAsia="宋体" w:hint="default"/>
        </w:rPr>
        <w:t>2</w:t>
      </w:r>
      <w:r>
        <w:rPr/>
        <w:t>）履行该义务很可能导致经济利益流出公司；</w:t>
      </w:r>
    </w:p>
    <w:p>
      <w:pPr>
        <w:spacing w:line="273" w:lineRule="auto" w:before="37"/>
        <w:ind w:left="536" w:right="6868" w:hanging="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）该义务的金额能够可靠地计量。 </w:t>
      </w:r>
      <w:r>
        <w:rPr>
          <w:rFonts w:ascii="宋体" w:hAnsi="宋体" w:cs="宋体" w:eastAsia="宋体" w:hint="default"/>
          <w:b/>
          <w:bCs/>
          <w:sz w:val="21"/>
          <w:szCs w:val="21"/>
        </w:rPr>
        <w:t>预计负债的计量方法</w:t>
      </w:r>
      <w:r>
        <w:rPr>
          <w:rFonts w:ascii="宋体" w:hAnsi="宋体" w:cs="宋体" w:eastAsia="宋体" w:hint="default"/>
          <w:sz w:val="21"/>
          <w:szCs w:val="21"/>
        </w:rPr>
      </w:r>
    </w:p>
    <w:p>
      <w:pPr>
        <w:pStyle w:val="Heading4"/>
        <w:spacing w:line="273" w:lineRule="auto"/>
        <w:ind w:left="534" w:right="0"/>
        <w:jc w:val="left"/>
      </w:pPr>
      <w:r>
        <w:rPr/>
        <w:t>公司预计负债按履行相关现时义务所需的支出的最佳估计数进行初始计量。 </w:t>
      </w:r>
      <w:r>
        <w:rPr>
          <w:spacing w:val="-1"/>
        </w:rPr>
        <w:t>公司在确定最佳估计数时，综合考虑与或有事项有关的风险、不确定性和货币时间价值等因素。对于</w:t>
      </w:r>
    </w:p>
    <w:p>
      <w:pPr>
        <w:pStyle w:val="Heading4"/>
        <w:spacing w:line="273" w:lineRule="auto"/>
        <w:ind w:left="534" w:right="1136" w:hanging="420"/>
        <w:jc w:val="left"/>
      </w:pPr>
      <w:r>
        <w:rPr/>
        <w:t>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Heading4"/>
        <w:spacing w:line="273" w:lineRule="auto"/>
        <w:ind w:left="534" w:right="1136"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Heading4"/>
        <w:spacing w:line="273" w:lineRule="auto"/>
        <w:ind w:right="1131"/>
        <w:jc w:val="both"/>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Heading4"/>
        <w:spacing w:line="273" w:lineRule="auto"/>
        <w:ind w:right="1131" w:firstLine="420"/>
        <w:jc w:val="both"/>
      </w:pPr>
      <w:r>
        <w:rPr>
          <w:spacing w:val="-1"/>
        </w:rPr>
        <w:t>公司清偿预计负债所需支出全部或部分预期由第三方补偿的，补偿金额在基本确定能够收到时，作为</w:t>
      </w:r>
      <w:r>
        <w:rPr/>
        <w:t> 资产单独确认，确认的补偿金额不超过预计负债的账面价值。</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6、股份支付" w:id="206"/>
      <w:bookmarkEnd w:id="20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spacing w:line="273" w:lineRule="auto" w:before="0"/>
        <w:ind w:left="534" w:right="3822" w:firstLine="2"/>
        <w:jc w:val="left"/>
        <w:rPr>
          <w:rFonts w:ascii="宋体" w:hAnsi="宋体" w:cs="宋体" w:eastAsia="宋体" w:hint="default"/>
          <w:sz w:val="21"/>
          <w:szCs w:val="21"/>
        </w:rPr>
      </w:pP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公司的股份支付分为以权益结算的股份支付和以现金结算的股份支付。 </w:t>
      </w:r>
      <w:r>
        <w:rPr>
          <w:rFonts w:ascii="宋体" w:hAnsi="宋体" w:cs="宋体" w:eastAsia="宋体" w:hint="default"/>
          <w:b/>
          <w:bCs/>
          <w:sz w:val="21"/>
          <w:szCs w:val="21"/>
        </w:rPr>
        <w:t>公允价值的确定方法</w:t>
      </w:r>
      <w:r>
        <w:rPr>
          <w:rFonts w:ascii="宋体" w:hAnsi="宋体" w:cs="宋体" w:eastAsia="宋体" w:hint="default"/>
          <w:sz w:val="21"/>
          <w:szCs w:val="21"/>
        </w:rPr>
      </w:r>
    </w:p>
    <w:p>
      <w:pPr>
        <w:pStyle w:val="Heading4"/>
        <w:spacing w:line="273" w:lineRule="auto"/>
        <w:ind w:right="1131" w:firstLine="420"/>
        <w:jc w:val="both"/>
      </w:pPr>
      <w:r>
        <w:rPr>
          <w:spacing w:val="-1"/>
        </w:rPr>
        <w:t>对于授予的存在活跃市场的期权等权益工具，按照活跃市场中的报价确定其公允价值。对于授予的不</w:t>
      </w:r>
      <w:r>
        <w:rPr/>
        <w:t> </w:t>
      </w:r>
      <w:r>
        <w:rPr>
          <w:spacing w:val="-1"/>
        </w:rPr>
        <w:t>存在活跃市场的期权等权益工具，采用期权定价模型等确定其公允价值，选用的期权定价模型考虑以下因</w:t>
      </w:r>
      <w:r>
        <w:rPr>
          <w:spacing w:val="-81"/>
        </w:rPr>
        <w:t> </w:t>
      </w:r>
      <w:r>
        <w:rPr>
          <w:spacing w:val="-81"/>
        </w:rPr>
      </w:r>
      <w:r>
        <w:rPr>
          <w:spacing w:val="-11"/>
        </w:rPr>
        <w:t>素：（</w:t>
      </w:r>
      <w:r>
        <w:rPr>
          <w:rFonts w:ascii="宋体" w:hAnsi="宋体" w:cs="宋体" w:eastAsia="宋体" w:hint="default"/>
          <w:spacing w:val="-11"/>
        </w:rPr>
        <w:t>1</w:t>
      </w:r>
      <w:r>
        <w:rPr>
          <w:spacing w:val="-11"/>
        </w:rPr>
        <w:t>）期权的行权价格；（</w:t>
      </w:r>
      <w:r>
        <w:rPr>
          <w:rFonts w:ascii="宋体" w:hAnsi="宋体" w:cs="宋体" w:eastAsia="宋体" w:hint="default"/>
          <w:spacing w:val="-11"/>
        </w:rPr>
        <w:t>2</w:t>
      </w:r>
      <w:r>
        <w:rPr>
          <w:spacing w:val="-11"/>
        </w:rPr>
        <w:t>）期权的有效期；（</w:t>
      </w:r>
      <w:r>
        <w:rPr>
          <w:rFonts w:ascii="宋体" w:hAnsi="宋体" w:cs="宋体" w:eastAsia="宋体" w:hint="default"/>
          <w:spacing w:val="-11"/>
        </w:rPr>
        <w:t>3</w:t>
      </w:r>
      <w:r>
        <w:rPr>
          <w:spacing w:val="-11"/>
        </w:rPr>
        <w:t>）标的股份的现行价格；（</w:t>
      </w:r>
      <w:r>
        <w:rPr>
          <w:rFonts w:ascii="宋体" w:hAnsi="宋体" w:cs="宋体" w:eastAsia="宋体" w:hint="default"/>
          <w:spacing w:val="-11"/>
        </w:rPr>
        <w:t>4</w:t>
      </w:r>
      <w:r>
        <w:rPr>
          <w:spacing w:val="-11"/>
        </w:rPr>
        <w:t>）股价预计波动率；（</w:t>
      </w:r>
      <w:r>
        <w:rPr>
          <w:rFonts w:ascii="宋体" w:hAnsi="宋体" w:cs="宋体" w:eastAsia="宋体" w:hint="default"/>
          <w:spacing w:val="-11"/>
        </w:rPr>
        <w:t>5</w:t>
      </w:r>
      <w:r>
        <w:rPr>
          <w:spacing w:val="-11"/>
        </w:rPr>
        <w:t>）股</w:t>
      </w:r>
      <w:r>
        <w:rPr>
          <w:spacing w:val="-102"/>
        </w:rPr>
        <w:t> </w:t>
      </w:r>
      <w:r>
        <w:rPr>
          <w:spacing w:val="-5"/>
        </w:rPr>
        <w:t>份的预计股利；（</w:t>
      </w:r>
      <w:r>
        <w:rPr>
          <w:rFonts w:ascii="宋体" w:hAnsi="宋体" w:cs="宋体" w:eastAsia="宋体" w:hint="default"/>
          <w:spacing w:val="-5"/>
        </w:rPr>
        <w:t>6</w:t>
      </w:r>
      <w:r>
        <w:rPr>
          <w:spacing w:val="-5"/>
        </w:rPr>
        <w:t>）期权有效期内的无风险利率。</w:t>
      </w:r>
    </w:p>
    <w:p>
      <w:pPr>
        <w:pStyle w:val="Heading4"/>
        <w:spacing w:line="273" w:lineRule="auto"/>
        <w:ind w:right="1130" w:firstLine="420"/>
        <w:jc w:val="both"/>
      </w:pPr>
      <w:r>
        <w:rPr>
          <w:spacing w:val="-1"/>
        </w:rPr>
        <w:t>在确定权益工具授予日的公允价值时，考虑股份支付协议规定的可行权条件中的市场条件和非可行权</w:t>
      </w:r>
      <w:r>
        <w:rPr/>
        <w:t> </w:t>
      </w:r>
      <w:r>
        <w:rPr>
          <w:spacing w:val="-5"/>
        </w:rPr>
        <w:t>条件的影响。股份支付存在非可行权条件的，只要职工或其他方满足了所有可行权条件中的非市场条件（如</w:t>
      </w:r>
      <w:r>
        <w:rPr>
          <w:spacing w:val="-101"/>
        </w:rPr>
        <w:t> </w:t>
      </w:r>
      <w:r>
        <w:rPr>
          <w:spacing w:val="-101"/>
        </w:rPr>
      </w:r>
      <w:r>
        <w:rPr>
          <w:spacing w:val="-5"/>
        </w:rPr>
        <w:t>服务期限等），即确认已得到服务相对应的成本费用。</w:t>
      </w:r>
    </w:p>
    <w:p>
      <w:pPr>
        <w:spacing w:line="273" w:lineRule="auto" w:before="7"/>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权权益工具最佳估计的依据</w:t>
      </w:r>
      <w:r>
        <w:rPr>
          <w:rFonts w:ascii="宋体" w:hAnsi="宋体" w:cs="宋体" w:eastAsia="宋体" w:hint="default"/>
          <w:b/>
          <w:bCs/>
          <w:w w:val="99"/>
          <w:sz w:val="21"/>
          <w:szCs w:val="21"/>
        </w:rPr>
        <w:t> </w:t>
      </w:r>
      <w:r>
        <w:rPr>
          <w:rFonts w:ascii="宋体" w:hAnsi="宋体" w:cs="宋体" w:eastAsia="宋体" w:hint="default"/>
          <w:spacing w:val="-1"/>
          <w:sz w:val="21"/>
          <w:szCs w:val="21"/>
        </w:rPr>
        <w:t>等待期内每个资产负债表日，根据最新取得的可行权职工人数变动等后续信息作出最佳估计，修正预</w:t>
      </w:r>
    </w:p>
    <w:p>
      <w:pPr>
        <w:pStyle w:val="Heading4"/>
        <w:spacing w:line="273" w:lineRule="auto"/>
        <w:ind w:left="534" w:right="1118" w:hanging="420"/>
        <w:jc w:val="left"/>
      </w:pPr>
      <w:r>
        <w:rPr/>
        <w:t>计可行权的权益工具数量。在可行权日，最终预计可行权权益工具的数量与实际可行权数量一致。 </w:t>
      </w:r>
      <w:r>
        <w:rPr>
          <w:rFonts w:ascii="宋体" w:hAnsi="宋体" w:cs="宋体" w:eastAsia="宋体" w:hint="default"/>
          <w:b/>
          <w:bCs/>
        </w:rPr>
        <w:t>会计处理方法</w:t>
      </w:r>
      <w:r>
        <w:rPr>
          <w:rFonts w:ascii="宋体" w:hAnsi="宋体" w:cs="宋体" w:eastAsia="宋体" w:hint="default"/>
          <w:b/>
          <w:bCs/>
          <w:w w:val="99"/>
        </w:rPr>
        <w:t> </w:t>
      </w:r>
      <w:r>
        <w:rPr>
          <w:spacing w:val="-1"/>
        </w:rPr>
        <w:t>以权益结算的股份支付，按授予职工权益工具的公允价值计量。授予后立即可行权的，在授予日按照</w:t>
      </w:r>
    </w:p>
    <w:p>
      <w:pPr>
        <w:pStyle w:val="Heading4"/>
        <w:spacing w:line="273" w:lineRule="auto"/>
        <w:ind w:right="1131"/>
        <w:jc w:val="both"/>
      </w:pP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left="534" w:right="0" w:hanging="420"/>
        <w:jc w:val="left"/>
      </w:pPr>
      <w:r>
        <w:rPr/>
        <w:t>认的相关成本或费用和所有者权益总额进行调整。 </w:t>
      </w:r>
      <w:r>
        <w:rPr>
          <w:spacing w:val="-1"/>
        </w:rPr>
        <w:t>以现金结算的股份支付，按照公司承担的以股份或其他权益工具为基础计算确定的负债的公允价值计</w:t>
      </w:r>
    </w:p>
    <w:p>
      <w:pPr>
        <w:pStyle w:val="Heading4"/>
        <w:spacing w:line="273" w:lineRule="auto"/>
        <w:ind w:right="1131"/>
        <w:jc w:val="both"/>
      </w:pPr>
      <w:r>
        <w:rPr>
          <w:spacing w:val="-1"/>
        </w:rPr>
        <w:t>量。授予后立即可行权的，在授予日以公司承担负债的公允价值计入相关成本或费用，相应增加负债。在</w:t>
      </w:r>
      <w:r>
        <w:rPr>
          <w:spacing w:val="-85"/>
        </w:rPr>
        <w:t> </w:t>
      </w:r>
      <w:r>
        <w:rPr>
          <w:spacing w:val="-85"/>
        </w:rPr>
      </w:r>
      <w:r>
        <w:rPr>
          <w:spacing w:val="-1"/>
        </w:rPr>
        <w:t>完成等待期内的服务或达到规定业绩条件以后才可行权的以现金结算的股份支付，在等待期内的每个资产</w:t>
      </w:r>
      <w:r>
        <w:rPr>
          <w:spacing w:val="-81"/>
        </w:rPr>
        <w:t> </w:t>
      </w:r>
      <w:r>
        <w:rPr>
          <w:spacing w:val="-81"/>
        </w:rPr>
      </w:r>
      <w:r>
        <w:rPr>
          <w:spacing w:val="-1"/>
        </w:rPr>
        <w:t>负债表日，以对可行权情况的最佳估计为基础，按照公司承担负债的公允价值金额，将当期取得的服务计</w:t>
      </w:r>
      <w:r>
        <w:rPr>
          <w:spacing w:val="-83"/>
        </w:rPr>
        <w:t> </w:t>
      </w:r>
      <w:r>
        <w:rPr>
          <w:spacing w:val="-83"/>
        </w:rPr>
      </w:r>
      <w:r>
        <w:rPr>
          <w:spacing w:val="-1"/>
        </w:rPr>
        <w:t>入成本或费用和相应的负债。在相关负债结算前的每个资产负债表日以及结算日，对负债的公允价值重新</w:t>
      </w:r>
      <w:r>
        <w:rPr>
          <w:spacing w:val="-81"/>
        </w:rPr>
        <w:t> </w:t>
      </w:r>
      <w:r>
        <w:rPr>
          <w:spacing w:val="-81"/>
        </w:rPr>
      </w:r>
      <w:r>
        <w:rPr/>
        <w:t>计量，其变动计入当期损益。</w:t>
      </w:r>
    </w:p>
    <w:p>
      <w:pPr>
        <w:pStyle w:val="Heading4"/>
        <w:spacing w:line="273" w:lineRule="auto"/>
        <w:ind w:right="1131" w:firstLine="420"/>
        <w:jc w:val="both"/>
      </w:pPr>
      <w:r>
        <w:rPr>
          <w:spacing w:val="-1"/>
        </w:rPr>
        <w:t>若在等待期内取消了授予的权益工具，公司对取消所授予的权益性工具作为加速行权处理，将剩余等</w:t>
      </w:r>
      <w:r>
        <w:rPr/>
        <w:t> </w:t>
      </w:r>
      <w:r>
        <w:rPr>
          <w:spacing w:val="-1"/>
        </w:rPr>
        <w:t>待期内应确认的金额立即计入当期损益，同时确认资本公积。职工或其他方能够选择满足非可行权条件但</w:t>
      </w:r>
      <w:r>
        <w:rPr>
          <w:spacing w:val="-81"/>
        </w:rPr>
        <w:t> </w:t>
      </w:r>
      <w:r>
        <w:rPr>
          <w:spacing w:val="-81"/>
        </w:rPr>
      </w:r>
      <w:r>
        <w:rPr/>
        <w:t>在等待期内未满足的，公司将其作为授予权益工具的取消处理。</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7、优先股、永续债等其他金融工具" w:id="207"/>
      <w:bookmarkEnd w:id="20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8、收入" w:id="208"/>
      <w:bookmarkEnd w:id="208"/>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spacing w:line="273" w:lineRule="auto" w:before="2"/>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Heading4"/>
        <w:spacing w:line="273" w:lineRule="auto"/>
        <w:ind w:right="1023"/>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Heading4"/>
        <w:spacing w:line="273" w:lineRule="auto"/>
        <w:ind w:right="0" w:firstLine="420"/>
        <w:jc w:val="left"/>
      </w:pPr>
      <w:r>
        <w:rPr>
          <w:spacing w:val="-1"/>
        </w:rPr>
        <w:t>合同或协议价款的收取采用递延方式，实质上具有融资性质的，按照应收的合同或协议价款的公允价</w:t>
      </w:r>
      <w:r>
        <w:rPr/>
        <w:t> 值确定销售商品收入金额。</w:t>
      </w:r>
    </w:p>
    <w:p>
      <w:pPr>
        <w:spacing w:line="273" w:lineRule="auto" w:before="7"/>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Heading4"/>
        <w:spacing w:line="240" w:lineRule="auto"/>
        <w:ind w:right="0"/>
        <w:jc w:val="both"/>
      </w:pPr>
      <w:r>
        <w:rPr/>
        <w:t>使用权收入金额：</w:t>
      </w:r>
    </w:p>
    <w:p>
      <w:pPr>
        <w:pStyle w:val="Heading4"/>
        <w:spacing w:line="240" w:lineRule="auto" w:before="37"/>
        <w:ind w:left="534" w:right="0"/>
        <w:jc w:val="left"/>
      </w:pPr>
      <w:r>
        <w:rPr/>
        <w:t>（</w:t>
      </w:r>
      <w:r>
        <w:rPr>
          <w:rFonts w:ascii="宋体" w:hAnsi="宋体" w:cs="宋体" w:eastAsia="宋体" w:hint="default"/>
        </w:rPr>
        <w:t>1</w:t>
      </w:r>
      <w:r>
        <w:rPr/>
        <w:t>）利息收入金额，按照他人使用本企业货币资金的时间和实际利率计算确定。</w:t>
      </w:r>
    </w:p>
    <w:p>
      <w:pPr>
        <w:pStyle w:val="Heading4"/>
        <w:spacing w:line="273" w:lineRule="auto" w:before="37"/>
        <w:ind w:left="534" w:right="1118"/>
        <w:jc w:val="left"/>
      </w:pPr>
      <w:r>
        <w:rPr/>
        <w:t>（</w:t>
      </w:r>
      <w:r>
        <w:rPr>
          <w:rFonts w:ascii="宋体" w:hAnsi="宋体" w:cs="宋体" w:eastAsia="宋体" w:hint="default"/>
        </w:rPr>
        <w:t>2</w:t>
      </w:r>
      <w:r>
        <w:rPr/>
        <w:t>）使用费收入金额，按照有关合同或协议约定的收费时间和方法计算确定。 </w:t>
      </w:r>
      <w:r>
        <w:rPr>
          <w:rFonts w:ascii="宋体" w:hAnsi="宋体" w:cs="宋体" w:eastAsia="宋体" w:hint="default"/>
          <w:b/>
          <w:bCs/>
        </w:rPr>
        <w:t>提供劳务收入的确认依据和方法</w:t>
      </w:r>
      <w:r>
        <w:rPr>
          <w:rFonts w:ascii="宋体" w:hAnsi="宋体" w:cs="宋体" w:eastAsia="宋体" w:hint="default"/>
          <w:b/>
          <w:bCs/>
          <w:w w:val="99"/>
        </w:rPr>
        <w:t> </w:t>
      </w:r>
      <w:r>
        <w:rPr>
          <w:spacing w:val="-1"/>
        </w:rPr>
        <w:t>在资产负债表日提供劳务交易的结果能够可靠估计的，采用完工百分比法确认提供劳务收入。提供劳</w:t>
      </w:r>
    </w:p>
    <w:p>
      <w:pPr>
        <w:pStyle w:val="Heading4"/>
        <w:spacing w:line="273" w:lineRule="auto"/>
        <w:ind w:left="534" w:right="4662" w:hanging="420"/>
        <w:jc w:val="left"/>
      </w:pPr>
      <w:r>
        <w:rPr/>
        <w:t>务交易的完工进度，依据已完工作的测量确定。 提供劳务交易的结果能够可靠估计，是指同时满足下列条件：</w:t>
      </w:r>
    </w:p>
    <w:p>
      <w:pPr>
        <w:pStyle w:val="Heading4"/>
        <w:spacing w:line="240" w:lineRule="auto"/>
        <w:ind w:left="534" w:right="0"/>
        <w:jc w:val="left"/>
      </w:pPr>
      <w:r>
        <w:rPr/>
        <w:t>（</w:t>
      </w:r>
      <w:r>
        <w:rPr>
          <w:rFonts w:ascii="宋体" w:hAnsi="宋体" w:cs="宋体" w:eastAsia="宋体" w:hint="default"/>
        </w:rPr>
        <w:t>1</w:t>
      </w:r>
      <w:r>
        <w:rPr/>
        <w:t>）收入的金额能够可靠地计量；</w:t>
      </w:r>
    </w:p>
    <w:p>
      <w:pPr>
        <w:pStyle w:val="Heading4"/>
        <w:spacing w:line="240" w:lineRule="auto" w:before="37"/>
        <w:ind w:left="534" w:right="0"/>
        <w:jc w:val="left"/>
      </w:pPr>
      <w:r>
        <w:rPr/>
        <w:t>（</w:t>
      </w:r>
      <w:r>
        <w:rPr>
          <w:rFonts w:ascii="宋体" w:hAnsi="宋体" w:cs="宋体" w:eastAsia="宋体" w:hint="default"/>
        </w:rPr>
        <w:t>2</w:t>
      </w:r>
      <w:r>
        <w:rPr/>
        <w:t>）相关的经济利益很可能流入企业；</w:t>
      </w:r>
    </w:p>
    <w:p>
      <w:pPr>
        <w:pStyle w:val="Heading4"/>
        <w:spacing w:line="240" w:lineRule="auto" w:before="37"/>
        <w:ind w:left="534" w:right="0"/>
        <w:jc w:val="left"/>
      </w:pPr>
      <w:r>
        <w:rPr/>
        <w:t>（</w:t>
      </w:r>
      <w:r>
        <w:rPr>
          <w:rFonts w:ascii="宋体" w:hAnsi="宋体" w:cs="宋体" w:eastAsia="宋体" w:hint="default"/>
        </w:rPr>
        <w:t>3</w:t>
      </w:r>
      <w:r>
        <w:rPr/>
        <w:t>）交易的完工进度能够可靠地确定；</w:t>
      </w:r>
    </w:p>
    <w:p>
      <w:pPr>
        <w:pStyle w:val="Heading4"/>
        <w:spacing w:line="273" w:lineRule="auto" w:before="37"/>
        <w:ind w:left="534" w:right="0"/>
        <w:jc w:val="left"/>
      </w:pPr>
      <w:r>
        <w:rPr/>
        <w:t>（</w:t>
      </w:r>
      <w:r>
        <w:rPr>
          <w:rFonts w:ascii="宋体" w:hAnsi="宋体" w:cs="宋体" w:eastAsia="宋体" w:hint="default"/>
        </w:rPr>
        <w:t>4</w:t>
      </w:r>
      <w:r>
        <w:rPr/>
        <w:t>）交易中已发生和将发生的成本能够可靠地计量。 </w:t>
      </w:r>
      <w:r>
        <w:rPr>
          <w:spacing w:val="-1"/>
        </w:rPr>
        <w:t>按照已收或应收的合同或协议价款确定提供劳务收入总额，但已收或应收的合同或协议价款不公允的</w:t>
      </w:r>
    </w:p>
    <w:p>
      <w:pPr>
        <w:pStyle w:val="Heading4"/>
        <w:spacing w:line="273" w:lineRule="auto"/>
        <w:ind w:right="1131"/>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Heading4"/>
        <w:spacing w:line="240" w:lineRule="auto" w:before="8"/>
        <w:ind w:left="534" w:right="0"/>
        <w:jc w:val="left"/>
      </w:pPr>
      <w:r>
        <w:rPr/>
        <w:t>在资产负债表日提供劳务交易结果不能够可靠估计的，分别下列情况处理：</w:t>
      </w:r>
    </w:p>
    <w:p>
      <w:pPr>
        <w:pStyle w:val="Heading4"/>
        <w:spacing w:line="273" w:lineRule="auto" w:before="37"/>
        <w:ind w:right="0" w:firstLine="420"/>
        <w:jc w:val="left"/>
      </w:pPr>
      <w:r>
        <w:rPr/>
        <w:t>（</w:t>
      </w:r>
      <w:r>
        <w:rPr>
          <w:rFonts w:ascii="宋体" w:hAnsi="宋体" w:cs="宋体" w:eastAsia="宋体" w:hint="default"/>
        </w:rPr>
        <w:t>1</w:t>
      </w:r>
      <w:r>
        <w:rPr/>
        <w:t>）已经发生的劳务成本预计能够得到补偿的，按照已经发生的劳务成本金额确认提供劳务收入， 并按相同金额结转劳务成本。</w:t>
      </w:r>
    </w:p>
    <w:p>
      <w:pPr>
        <w:pStyle w:val="Heading4"/>
        <w:spacing w:line="240" w:lineRule="auto"/>
        <w:ind w:left="534" w:right="0"/>
        <w:jc w:val="left"/>
      </w:pPr>
      <w:r>
        <w:rPr/>
        <w:t>（</w:t>
      </w:r>
      <w:r>
        <w:rPr>
          <w:rFonts w:ascii="宋体" w:hAnsi="宋体" w:cs="宋体" w:eastAsia="宋体" w:hint="default"/>
        </w:rPr>
        <w:t>2</w:t>
      </w:r>
      <w:r>
        <w:rPr/>
        <w:t>）已经发生的劳务成本预计不能够得到补偿的，将已经发生的劳务成本计入当期损益，不确认提</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pPr>
      <w:r>
        <w:rPr/>
        <w:t>供劳务收入。</w:t>
      </w:r>
    </w:p>
    <w:p>
      <w:pPr>
        <w:pStyle w:val="Heading4"/>
        <w:spacing w:line="273" w:lineRule="auto" w:before="37"/>
        <w:ind w:right="1131" w:firstLine="420"/>
        <w:jc w:val="both"/>
      </w:pPr>
      <w:r>
        <w:rPr>
          <w:spacing w:val="-1"/>
        </w:rPr>
        <w:t>公司与其他企业签订的合同或协议包括销售商品和提供劳务时，销售商品部分和提供劳务部分能够区</w:t>
      </w:r>
      <w:r>
        <w:rPr/>
        <w:t> </w:t>
      </w:r>
      <w:r>
        <w:rPr>
          <w:spacing w:val="-1"/>
        </w:rPr>
        <w:t>分且能够单独计量的，将销售商品的部分作为销售商品处理，将提供劳务的部分作为提供劳务处理。销售</w:t>
      </w:r>
      <w:r>
        <w:rPr>
          <w:spacing w:val="-83"/>
        </w:rPr>
        <w:t> </w:t>
      </w:r>
      <w:r>
        <w:rPr>
          <w:spacing w:val="-83"/>
        </w:rPr>
      </w:r>
      <w:r>
        <w:rPr>
          <w:spacing w:val="-1"/>
        </w:rPr>
        <w:t>商品部分和提供劳务部分不能够区分，或虽能区分但不能够单独计量的，将销售商品部分和提供劳务部分</w:t>
      </w:r>
      <w:r>
        <w:rPr>
          <w:spacing w:val="-81"/>
        </w:rPr>
        <w:t> </w:t>
      </w:r>
      <w:r>
        <w:rPr>
          <w:spacing w:val="-81"/>
        </w:rPr>
      </w:r>
      <w:r>
        <w:rPr/>
        <w:t>全部作为销售商品处理。</w:t>
      </w:r>
    </w:p>
    <w:p>
      <w:pPr>
        <w:pStyle w:val="Heading3"/>
        <w:spacing w:line="240" w:lineRule="auto" w:before="7"/>
        <w:ind w:left="536" w:right="0"/>
        <w:jc w:val="left"/>
        <w:rPr>
          <w:b w:val="0"/>
          <w:bCs w:val="0"/>
        </w:rPr>
      </w:pPr>
      <w:r>
        <w:rPr/>
        <w:t>具体收入确认政策</w:t>
      </w:r>
      <w:r>
        <w:rPr>
          <w:b w:val="0"/>
          <w:bCs w:val="0"/>
        </w:rPr>
      </w:r>
    </w:p>
    <w:p>
      <w:pPr>
        <w:pStyle w:val="Heading4"/>
        <w:spacing w:line="273" w:lineRule="auto" w:before="37"/>
        <w:ind w:left="534" w:right="1017" w:hanging="105"/>
        <w:jc w:val="left"/>
      </w:pPr>
      <w:r>
        <w:rPr/>
        <w:t>（</w:t>
      </w:r>
      <w:r>
        <w:rPr>
          <w:rFonts w:ascii="宋体" w:hAnsi="宋体" w:cs="宋体" w:eastAsia="宋体" w:hint="default"/>
        </w:rPr>
        <w:t>1</w:t>
      </w:r>
      <w:r>
        <w:rPr/>
        <w:t>）产品销售 </w:t>
      </w:r>
      <w:r>
        <w:rPr>
          <w:spacing w:val="-3"/>
        </w:rPr>
        <w:t>对于国内销售，公司将产品按照协议合同运至约定交货地点，由买方确认接收并验收合格后确认收入。</w:t>
      </w:r>
      <w:r>
        <w:rPr/>
        <w:t> 对于出口销售，公司根据销售合同规定的贸易条款，将出口产品按照合同规定办理出口报关手续并装</w:t>
      </w:r>
    </w:p>
    <w:p>
      <w:pPr>
        <w:pStyle w:val="Heading4"/>
        <w:spacing w:line="273" w:lineRule="auto"/>
        <w:ind w:right="0"/>
        <w:jc w:val="left"/>
      </w:pPr>
      <w:r>
        <w:rPr>
          <w:spacing w:val="-1"/>
        </w:rPr>
        <w:t>船后，或运至指定的交货地点后确认收入。对于上述销售，买方在确认接收后具有自行销售产品的权利并</w:t>
      </w:r>
      <w:r>
        <w:rPr>
          <w:spacing w:val="-83"/>
        </w:rPr>
        <w:t> </w:t>
      </w:r>
      <w:r>
        <w:rPr>
          <w:spacing w:val="-83"/>
        </w:rPr>
      </w:r>
      <w:r>
        <w:rPr/>
        <w:t>承担该产品可能发生价格波动或毁损的风险。</w:t>
      </w:r>
    </w:p>
    <w:p>
      <w:pPr>
        <w:pStyle w:val="Heading4"/>
        <w:spacing w:line="273" w:lineRule="auto"/>
        <w:ind w:left="534" w:right="1136"/>
        <w:jc w:val="left"/>
      </w:pPr>
      <w:r>
        <w:rPr/>
        <w:t>（</w:t>
      </w:r>
      <w:r>
        <w:rPr>
          <w:rFonts w:ascii="宋体" w:hAnsi="宋体" w:cs="宋体" w:eastAsia="宋体" w:hint="default"/>
        </w:rPr>
        <w:t>2</w:t>
      </w:r>
      <w:r>
        <w:rPr/>
        <w:t>）教育信息化服务 </w:t>
      </w:r>
      <w:r>
        <w:rPr>
          <w:spacing w:val="-1"/>
        </w:rPr>
        <w:t>公司主要通过与基础运营商（中国电信各省、市分公司）、社会渠道（区域代理商）合作的方式推广</w:t>
      </w:r>
    </w:p>
    <w:p>
      <w:pPr>
        <w:pStyle w:val="Heading4"/>
        <w:spacing w:line="273" w:lineRule="auto"/>
        <w:ind w:right="1023"/>
        <w:jc w:val="left"/>
      </w:pPr>
      <w:r>
        <w:rPr>
          <w:spacing w:val="-3"/>
        </w:rPr>
        <w:t>教育信息化服务业务。公司负责售前技术支持、软硬件设备投资和售后服务，基础运营商（中国电信各省、</w:t>
      </w:r>
      <w:r>
        <w:rPr>
          <w:spacing w:val="-96"/>
        </w:rPr>
        <w:t> </w:t>
      </w:r>
      <w:r>
        <w:rPr>
          <w:spacing w:val="-96"/>
        </w:rPr>
      </w:r>
      <w:r>
        <w:rPr>
          <w:spacing w:val="-6"/>
        </w:rPr>
        <w:t>市分公司）和社会渠道（区域代理商）负责基础网络、业务管理及开拓、收费结算等支持。基础运营商（中</w:t>
      </w:r>
      <w:r>
        <w:rPr>
          <w:spacing w:val="-59"/>
        </w:rPr>
        <w:t> </w:t>
      </w:r>
      <w:r>
        <w:rPr>
          <w:spacing w:val="-59"/>
        </w:rPr>
      </w:r>
      <w:r>
        <w:rPr>
          <w:spacing w:val="-1"/>
        </w:rPr>
        <w:t>国电信各省、市分公司）、社会渠道（区域代理商）与学生家长签署协议并收取相关服务费后按照其与公</w:t>
      </w:r>
      <w:r>
        <w:rPr>
          <w:spacing w:val="-83"/>
        </w:rPr>
        <w:t> </w:t>
      </w:r>
      <w:r>
        <w:rPr>
          <w:spacing w:val="-83"/>
        </w:rPr>
      </w:r>
      <w:r>
        <w:rPr/>
        <w:t>司合作协议约定的结算方式与分成比例与公司进行结算与分成。</w:t>
      </w:r>
    </w:p>
    <w:p>
      <w:pPr>
        <w:pStyle w:val="Heading4"/>
        <w:spacing w:line="273" w:lineRule="auto"/>
        <w:ind w:right="1027" w:firstLine="420"/>
        <w:jc w:val="both"/>
      </w:pPr>
      <w:r>
        <w:rPr>
          <w:spacing w:val="-1"/>
        </w:rPr>
        <w:t>因此，对教育信息化服务业务，公司根据与基础运营商（中国电信各省、市分公司）、社会渠道（区</w:t>
      </w:r>
      <w:r>
        <w:rPr/>
        <w:t> </w:t>
      </w:r>
      <w:r>
        <w:rPr>
          <w:spacing w:val="-3"/>
        </w:rPr>
        <w:t>域代理商）的合作协议约定完成相应服务并收到运营商结算数据时，公司对结算数据进行核对后确认收入。</w:t>
      </w:r>
    </w:p>
    <w:p>
      <w:pPr>
        <w:pStyle w:val="Heading4"/>
        <w:spacing w:line="273" w:lineRule="auto"/>
        <w:ind w:left="534" w:right="0"/>
        <w:jc w:val="left"/>
      </w:pPr>
      <w:r>
        <w:rPr/>
        <w:t>（</w:t>
      </w:r>
      <w:r>
        <w:rPr>
          <w:rFonts w:ascii="宋体" w:hAnsi="宋体" w:cs="宋体" w:eastAsia="宋体" w:hint="default"/>
        </w:rPr>
        <w:t>3</w:t>
      </w:r>
      <w:r>
        <w:rPr/>
        <w:t>）教育系统集成业务 </w:t>
      </w:r>
      <w:r>
        <w:rPr>
          <w:spacing w:val="-1"/>
        </w:rPr>
        <w:t>对于教育系统集成业务，公司根据合同的约定，在系统集成中的外购软硬件产品和公司软件产品的主</w:t>
      </w:r>
    </w:p>
    <w:p>
      <w:pPr>
        <w:pStyle w:val="Heading4"/>
        <w:spacing w:line="273" w:lineRule="auto"/>
        <w:ind w:right="0"/>
        <w:jc w:val="left"/>
      </w:pPr>
      <w:r>
        <w:rPr>
          <w:spacing w:val="-1"/>
        </w:rPr>
        <w:t>要风险和报酬已转移给买方，公司不再保留与之相联系的继续管理权和控制权，系统已按合同约定的条件</w:t>
      </w:r>
      <w:r>
        <w:rPr>
          <w:spacing w:val="-81"/>
        </w:rPr>
        <w:t> </w:t>
      </w:r>
      <w:r>
        <w:rPr>
          <w:spacing w:val="-81"/>
        </w:rPr>
      </w:r>
      <w:r>
        <w:rPr/>
        <w:t>安装调试、取得了买方的验收，相关成本能够可靠计量时确认收入。</w:t>
      </w:r>
    </w:p>
    <w:p>
      <w:pPr>
        <w:pStyle w:val="Heading4"/>
        <w:spacing w:line="273" w:lineRule="auto"/>
        <w:ind w:left="534" w:right="1092"/>
        <w:jc w:val="left"/>
      </w:pPr>
      <w:r>
        <w:rPr/>
        <w:t>（</w:t>
      </w:r>
      <w:r>
        <w:rPr>
          <w:rFonts w:ascii="宋体" w:hAnsi="宋体" w:cs="宋体" w:eastAsia="宋体" w:hint="default"/>
        </w:rPr>
        <w:t>4</w:t>
      </w:r>
      <w:r>
        <w:rPr/>
        <w:t>）软件开发及技术服务业务 软件开发：公司根据买方的实际需求进行定制、开发的软件产品，按签订的软件开发合同进行核算。</w:t>
      </w:r>
    </w:p>
    <w:p>
      <w:pPr>
        <w:pStyle w:val="Heading4"/>
        <w:spacing w:line="273" w:lineRule="auto"/>
        <w:ind w:right="0"/>
        <w:jc w:val="left"/>
      </w:pPr>
      <w:r>
        <w:rPr>
          <w:spacing w:val="-1"/>
        </w:rPr>
        <w:t>开发项目在同一会计年度开始并完成的，在完成时确认收入；如果开发项目的开始和完成分属不同会计年</w:t>
      </w:r>
      <w:r>
        <w:rPr>
          <w:spacing w:val="-81"/>
        </w:rPr>
        <w:t> </w:t>
      </w:r>
      <w:r>
        <w:rPr>
          <w:spacing w:val="-81"/>
        </w:rPr>
      </w:r>
      <w:r>
        <w:rPr/>
        <w:t>度，在资产负债表日根据开发的完工程度确认收入。</w:t>
      </w:r>
    </w:p>
    <w:p>
      <w:pPr>
        <w:pStyle w:val="Heading4"/>
        <w:spacing w:line="273" w:lineRule="auto"/>
        <w:ind w:right="1109" w:firstLine="420"/>
        <w:jc w:val="both"/>
      </w:pPr>
      <w:r>
        <w:rPr>
          <w:spacing w:val="-1"/>
        </w:rPr>
        <w:t>技术服务：技术服务包括公司向客户提供的与</w:t>
      </w:r>
      <w:r>
        <w:rPr>
          <w:rFonts w:ascii="宋体" w:hAnsi="宋体" w:cs="宋体" w:eastAsia="宋体" w:hint="default"/>
          <w:spacing w:val="-1"/>
        </w:rPr>
        <w:t>IT</w:t>
      </w:r>
      <w:r>
        <w:rPr>
          <w:spacing w:val="-1"/>
        </w:rPr>
        <w:t>运维管理相关的技术支持、技术咨询、技术开发、系</w:t>
      </w:r>
      <w:r>
        <w:rPr/>
        <w:t> </w:t>
      </w:r>
      <w:r>
        <w:rPr>
          <w:spacing w:val="-1"/>
        </w:rPr>
        <w:t>统维护、运营管理等服务内容。公司在已根据合同约定提供了相应服务，取得明确的收款证据，相关成本</w:t>
      </w:r>
      <w:r>
        <w:rPr>
          <w:spacing w:val="-86"/>
        </w:rPr>
        <w:t> </w:t>
      </w:r>
      <w:r>
        <w:rPr>
          <w:spacing w:val="-86"/>
        </w:rPr>
      </w:r>
      <w:r>
        <w:rPr/>
        <w:t>能够可靠地计量时，确认收入。合同明确约定服务期限的，在合同约定的服务期限内，按进度确认收入；</w:t>
      </w:r>
      <w:r>
        <w:rPr/>
        <w:t> 合同明确约定服务成果需经客户验收确认的，根据客户验收情况确认收入。</w:t>
      </w:r>
    </w:p>
    <w:p>
      <w:pPr>
        <w:pStyle w:val="Heading4"/>
        <w:spacing w:line="273" w:lineRule="auto"/>
        <w:ind w:left="534" w:right="1512"/>
        <w:jc w:val="left"/>
      </w:pPr>
      <w:r>
        <w:rPr/>
        <w:t>（</w:t>
      </w:r>
      <w:r>
        <w:rPr>
          <w:rFonts w:ascii="宋体" w:hAnsi="宋体" w:cs="宋体" w:eastAsia="宋体" w:hint="default"/>
        </w:rPr>
        <w:t>5</w:t>
      </w:r>
      <w:r>
        <w:rPr/>
        <w:t>）非学历短期培训收入 培训协议约定由公司负责推荐就业的，在培训期完成后完成学员的推荐工作时一次性确认收入。 培训协议未约定由公司负责推荐就业的，在培训期分期确认收入。</w:t>
      </w:r>
    </w:p>
    <w:p>
      <w:pPr>
        <w:pStyle w:val="Heading3"/>
        <w:spacing w:line="590" w:lineRule="atLeast" w:before="9"/>
        <w:ind w:left="536" w:right="9489" w:hanging="423"/>
        <w:jc w:val="left"/>
        <w:rPr>
          <w:b w:val="0"/>
          <w:bCs w:val="0"/>
        </w:rPr>
      </w:pPr>
      <w:bookmarkStart w:name="29、政府补助" w:id="209"/>
      <w:bookmarkEnd w:id="209"/>
      <w:r>
        <w:rPr>
          <w:b w:val="0"/>
          <w:bCs w:val="0"/>
        </w:rPr>
      </w:r>
      <w:r>
        <w:rPr>
          <w:rFonts w:ascii="Times New Roman" w:hAnsi="Times New Roman" w:cs="Times New Roman" w:eastAsia="Times New Roman" w:hint="default"/>
        </w:rPr>
        <w:t>29</w:t>
      </w:r>
      <w:r>
        <w:rPr/>
        <w:t>、政府补助</w:t>
      </w:r>
      <w:r>
        <w:rPr>
          <w:w w:val="99"/>
        </w:rPr>
        <w:t> </w:t>
      </w:r>
      <w:r>
        <w:rPr/>
        <w:t>类型</w:t>
      </w:r>
      <w:r>
        <w:rPr>
          <w:b w:val="0"/>
          <w:bCs w:val="0"/>
        </w:rPr>
      </w:r>
    </w:p>
    <w:p>
      <w:pPr>
        <w:pStyle w:val="Heading4"/>
        <w:spacing w:line="273" w:lineRule="auto" w:before="37"/>
        <w:ind w:right="1027" w:firstLine="420"/>
        <w:jc w:val="both"/>
      </w:pPr>
      <w:r>
        <w:rPr>
          <w:spacing w:val="-3"/>
        </w:rPr>
        <w:t>政府补助，是公司从政府无偿取得的货币性资产与非货币性资产，不包括政府作为所有者投入的资本。</w:t>
      </w:r>
      <w:r>
        <w:rPr/>
        <w:t> 根据相关政府文件规定的补助对象，将政府补助划分为与资产相关的政府补助和与收益相关的政府补助。</w:t>
      </w:r>
    </w:p>
    <w:p>
      <w:pPr>
        <w:pStyle w:val="Heading4"/>
        <w:spacing w:line="273" w:lineRule="auto" w:before="8"/>
        <w:ind w:right="1131" w:firstLine="420"/>
        <w:jc w:val="both"/>
      </w:pPr>
      <w:r>
        <w:rPr>
          <w:spacing w:val="-1"/>
        </w:rPr>
        <w:t>与资产相关的政府补助，是指公司取得的、用于购建或以其他方式形成长期资产的政府补助。与收益</w:t>
      </w:r>
      <w:r>
        <w:rPr/>
        <w:t> 相关的政府补助，是指除与资产相关的政府补助之外的政府补助。</w:t>
      </w:r>
    </w:p>
    <w:p>
      <w:pPr>
        <w:pStyle w:val="Heading4"/>
        <w:spacing w:line="273" w:lineRule="auto"/>
        <w:ind w:left="534" w:right="0" w:firstLine="2"/>
        <w:jc w:val="left"/>
      </w:pPr>
      <w:r>
        <w:rPr>
          <w:rFonts w:ascii="宋体" w:hAnsi="宋体" w:cs="宋体" w:eastAsia="宋体" w:hint="default"/>
          <w:b/>
          <w:bCs/>
        </w:rPr>
        <w:t>政府补助的确认</w:t>
      </w:r>
      <w:r>
        <w:rPr>
          <w:rFonts w:ascii="宋体" w:hAnsi="宋体" w:cs="宋体" w:eastAsia="宋体" w:hint="default"/>
          <w:b/>
          <w:bCs/>
          <w:w w:val="99"/>
        </w:rPr>
        <w:t> </w:t>
      </w:r>
      <w:r>
        <w:rPr>
          <w:spacing w:val="-1"/>
        </w:rPr>
        <w:t>对期末有证据表明公司能够符合财政扶持政策规定的相关条件且预计能够收到财政扶持资金的，按应</w:t>
      </w:r>
    </w:p>
    <w:p>
      <w:pPr>
        <w:spacing w:after="0" w:line="273"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left="534" w:right="0" w:hanging="420"/>
        <w:jc w:val="left"/>
      </w:pPr>
      <w:r>
        <w:rPr/>
        <w:t>收金额确认政府补助。除此之外，政府补助均在实际收到时确认。 </w:t>
      </w:r>
      <w:r>
        <w:rPr>
          <w:spacing w:val="-1"/>
        </w:rPr>
        <w:t>政府补助为货币性资产的，按照收到或应收的金额计量。政府补助为非货币性资产的，按照公允价值</w:t>
      </w:r>
    </w:p>
    <w:p>
      <w:pPr>
        <w:pStyle w:val="Heading4"/>
        <w:spacing w:line="273" w:lineRule="auto"/>
        <w:ind w:right="1134"/>
        <w:jc w:val="both"/>
      </w:pPr>
      <w:r>
        <w:rPr/>
        <w:t>计量；公允价值不能够可靠取得的，按照名义金额（人民币</w:t>
      </w:r>
      <w:r>
        <w:rPr>
          <w:rFonts w:ascii="宋体" w:hAnsi="宋体" w:cs="宋体" w:eastAsia="宋体" w:hint="default"/>
        </w:rPr>
        <w:t>1</w:t>
      </w:r>
      <w:r>
        <w:rPr/>
        <w:t>元）计量。按照名义金额计量的政府补助，</w:t>
      </w:r>
      <w:r>
        <w:rPr>
          <w:spacing w:val="-28"/>
        </w:rPr>
        <w:t> </w:t>
      </w:r>
      <w:r>
        <w:rPr>
          <w:spacing w:val="-28"/>
        </w:rPr>
      </w:r>
      <w:r>
        <w:rPr/>
        <w:t>直接计入当期损益。</w:t>
      </w:r>
    </w:p>
    <w:p>
      <w:pPr>
        <w:pStyle w:val="Heading4"/>
        <w:spacing w:line="273" w:lineRule="auto" w:before="8"/>
        <w:ind w:left="534" w:right="0" w:firstLine="2"/>
        <w:jc w:val="left"/>
      </w:pPr>
      <w:r>
        <w:rPr>
          <w:rFonts w:ascii="宋体" w:hAnsi="宋体" w:cs="宋体" w:eastAsia="宋体" w:hint="default"/>
          <w:b/>
          <w:bCs/>
        </w:rPr>
        <w:t>会计处理方法</w:t>
      </w:r>
      <w:r>
        <w:rPr>
          <w:rFonts w:ascii="宋体" w:hAnsi="宋体" w:cs="宋体" w:eastAsia="宋体" w:hint="default"/>
          <w:b/>
          <w:bCs/>
          <w:w w:val="99"/>
        </w:rPr>
        <w:t> </w:t>
      </w:r>
      <w:r>
        <w:rPr>
          <w:spacing w:val="-1"/>
        </w:rPr>
        <w:t>与资产相关的政府补助，确认为递延收益，按照所建造或购买的资产使用年限内按照合理、系统的方</w:t>
      </w:r>
    </w:p>
    <w:p>
      <w:pPr>
        <w:pStyle w:val="Heading4"/>
        <w:spacing w:line="273" w:lineRule="auto"/>
        <w:ind w:left="534" w:right="0" w:hanging="420"/>
        <w:jc w:val="left"/>
      </w:pPr>
      <w:r>
        <w:rPr/>
        <w:t>法分期计入当期损益； </w:t>
      </w:r>
      <w:r>
        <w:rPr>
          <w:spacing w:val="-1"/>
        </w:rPr>
        <w:t>与收益相关的政府补助，用于补偿企业以后期间的相关费用或损失的，确认为递延收益，在确认相关</w:t>
      </w:r>
    </w:p>
    <w:p>
      <w:pPr>
        <w:pStyle w:val="Heading4"/>
        <w:spacing w:line="273" w:lineRule="auto"/>
        <w:ind w:right="1131"/>
        <w:jc w:val="both"/>
      </w:pPr>
      <w:r>
        <w:rPr>
          <w:spacing w:val="-1"/>
        </w:rPr>
        <w:t>费用或损失的期间计入当期损益或冲减相关成本；用于补偿企业已发生的相关费用或损失的，取得时直接</w:t>
      </w:r>
      <w:r>
        <w:rPr>
          <w:spacing w:val="-81"/>
        </w:rPr>
        <w:t> </w:t>
      </w:r>
      <w:r>
        <w:rPr>
          <w:spacing w:val="-81"/>
        </w:rPr>
      </w:r>
      <w:r>
        <w:rPr/>
        <w:t>计入当期损益或冲减相关成本。</w:t>
      </w:r>
    </w:p>
    <w:p>
      <w:pPr>
        <w:pStyle w:val="Heading4"/>
        <w:spacing w:line="273" w:lineRule="auto"/>
        <w:ind w:right="1132" w:firstLine="420"/>
        <w:jc w:val="both"/>
      </w:pPr>
      <w:r>
        <w:rPr>
          <w:spacing w:val="-1"/>
        </w:rPr>
        <w:t>与企业日常活动相关的政府补助计入其他收益或冲减相关成本费用；与企业日常活动无关的政府补助</w:t>
      </w:r>
      <w:r>
        <w:rPr/>
        <w:t> 计入营业外收支。</w:t>
      </w:r>
    </w:p>
    <w:p>
      <w:pPr>
        <w:pStyle w:val="Heading4"/>
        <w:spacing w:line="273" w:lineRule="auto"/>
        <w:ind w:right="1131" w:firstLine="420"/>
        <w:jc w:val="both"/>
      </w:pPr>
      <w:r>
        <w:rPr>
          <w:spacing w:val="-1"/>
        </w:rPr>
        <w:t>收到与政策性优惠贷款贴息相关的政府补助冲减相关借款费用；取得贷款银行提供的政策性优惠利率</w:t>
      </w:r>
      <w:r>
        <w:rPr/>
        <w:t> </w:t>
      </w:r>
      <w:r>
        <w:rPr>
          <w:spacing w:val="-1"/>
        </w:rPr>
        <w:t>贷款的，以实际收到的借款金额作为借款的入账价值，按照借款本金和该政策性优惠利率计算相关借款费</w:t>
      </w:r>
      <w:r>
        <w:rPr>
          <w:spacing w:val="-81"/>
        </w:rPr>
        <w:t> </w:t>
      </w:r>
      <w:r>
        <w:rPr>
          <w:spacing w:val="-81"/>
        </w:rPr>
      </w:r>
      <w:r>
        <w:rPr/>
        <w:t>用。</w:t>
      </w:r>
    </w:p>
    <w:p>
      <w:pPr>
        <w:pStyle w:val="Heading4"/>
        <w:spacing w:line="273" w:lineRule="auto"/>
        <w:ind w:right="1131" w:firstLine="420"/>
        <w:jc w:val="both"/>
      </w:pPr>
      <w:r>
        <w:rPr>
          <w:spacing w:val="-1"/>
        </w:rPr>
        <w:t>已确认的政府补助需要返还时，初始确认时冲减相关资产账面价值的，调整资产账面价值；存在相关</w:t>
      </w:r>
      <w:r>
        <w:rPr/>
        <w:t> </w:t>
      </w:r>
      <w:r>
        <w:rPr>
          <w:spacing w:val="-1"/>
        </w:rPr>
        <w:t>递延收益余额的，冲减相关递延收益账面余额，超出部分计入当期损益；不存在相关递延收益的，直接计</w:t>
      </w:r>
      <w:r>
        <w:rPr>
          <w:spacing w:val="-86"/>
        </w:rPr>
        <w:t> </w:t>
      </w:r>
      <w:r>
        <w:rPr>
          <w:spacing w:val="-86"/>
        </w:rPr>
      </w:r>
      <w:r>
        <w:rPr/>
        <w:t>入当期损益。</w:t>
      </w:r>
    </w:p>
    <w:p>
      <w:pPr>
        <w:spacing w:line="612" w:lineRule="exact" w:before="64"/>
        <w:ind w:left="534" w:right="0" w:hanging="420"/>
        <w:jc w:val="left"/>
        <w:rPr>
          <w:rFonts w:ascii="宋体" w:hAnsi="宋体" w:cs="宋体" w:eastAsia="宋体" w:hint="default"/>
          <w:sz w:val="21"/>
          <w:szCs w:val="21"/>
        </w:rPr>
      </w:pPr>
      <w:bookmarkStart w:name="30、递延所得税资产/递延所得税负债" w:id="210"/>
      <w:bookmarkEnd w:id="210"/>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Heading4"/>
        <w:spacing w:line="220" w:lineRule="exact" w:before="0"/>
        <w:ind w:right="0"/>
        <w:jc w:val="left"/>
      </w:pPr>
      <w:r>
        <w:rPr/>
        <w:t>确认。于资产负债表日，递延所得税资产和递延所得税负债，按照预期收回该资产或清偿该负债期间的适</w:t>
      </w:r>
    </w:p>
    <w:p>
      <w:pPr>
        <w:pStyle w:val="Heading4"/>
        <w:spacing w:line="240" w:lineRule="auto" w:before="37"/>
        <w:ind w:right="0"/>
        <w:jc w:val="left"/>
      </w:pPr>
      <w:r>
        <w:rPr/>
        <w:t>用税率计量。</w:t>
      </w:r>
    </w:p>
    <w:p>
      <w:pPr>
        <w:spacing w:line="273" w:lineRule="auto" w:before="37"/>
        <w:ind w:left="534" w:right="0" w:firstLine="2"/>
        <w:jc w:val="left"/>
        <w:rPr>
          <w:rFonts w:ascii="宋体" w:hAnsi="宋体" w:cs="宋体" w:eastAsia="宋体" w:hint="default"/>
          <w:sz w:val="21"/>
          <w:szCs w:val="21"/>
        </w:rPr>
      </w:pP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公司以很可能取得用来抵扣可抵扣暂时性差异、能够结转以后年度的可抵扣亏损和税款抵减的应纳税</w:t>
      </w:r>
    </w:p>
    <w:p>
      <w:pPr>
        <w:pStyle w:val="Heading4"/>
        <w:spacing w:line="273" w:lineRule="auto"/>
        <w:ind w:right="1131"/>
        <w:jc w:val="both"/>
      </w:pPr>
      <w:r>
        <w:rPr>
          <w:spacing w:val="-1"/>
        </w:rPr>
        <w:t>所得额为限，确认由可抵扣暂时性差异产生的递延所得税资产。但是，同时具有下列特征的交易中因资产</w:t>
      </w:r>
      <w:r>
        <w:rPr>
          <w:spacing w:val="-83"/>
        </w:rPr>
        <w:t> </w:t>
      </w:r>
      <w:r>
        <w:rPr>
          <w:spacing w:val="-83"/>
        </w:rPr>
      </w:r>
      <w:r>
        <w:rPr>
          <w:spacing w:val="-5"/>
        </w:rPr>
        <w:t>或负债的初始确认所产生的递延所得税资产不予确认：（</w:t>
      </w:r>
      <w:r>
        <w:rPr>
          <w:rFonts w:ascii="宋体" w:hAnsi="宋体" w:cs="宋体" w:eastAsia="宋体" w:hint="default"/>
          <w:spacing w:val="-5"/>
        </w:rPr>
        <w:t>1</w:t>
      </w:r>
      <w:r>
        <w:rPr>
          <w:spacing w:val="-5"/>
        </w:rPr>
        <w:t>）该交易不是企业合并；（</w:t>
      </w:r>
      <w:r>
        <w:rPr>
          <w:rFonts w:ascii="宋体" w:hAnsi="宋体" w:cs="宋体" w:eastAsia="宋体" w:hint="default"/>
          <w:spacing w:val="-5"/>
        </w:rPr>
        <w:t>2</w:t>
      </w:r>
      <w:r>
        <w:rPr>
          <w:spacing w:val="-5"/>
        </w:rPr>
        <w:t>）交易发生时既不影</w:t>
      </w:r>
      <w:r>
        <w:rPr>
          <w:spacing w:val="-102"/>
        </w:rPr>
        <w:t> </w:t>
      </w:r>
      <w:r>
        <w:rPr>
          <w:spacing w:val="-102"/>
        </w:rPr>
      </w:r>
      <w:r>
        <w:rPr/>
        <w:t>响会计利润也不影响应纳税所得额或可抵扣亏损。</w:t>
      </w:r>
    </w:p>
    <w:p>
      <w:pPr>
        <w:pStyle w:val="Heading4"/>
        <w:spacing w:line="273" w:lineRule="auto"/>
        <w:ind w:right="1109" w:firstLine="420"/>
        <w:jc w:val="both"/>
      </w:pPr>
      <w:r>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spacing w:line="273" w:lineRule="auto" w:before="7"/>
        <w:ind w:left="534" w:right="2142" w:firstLine="2"/>
        <w:jc w:val="left"/>
        <w:rPr>
          <w:rFonts w:ascii="宋体" w:hAnsi="宋体" w:cs="宋体" w:eastAsia="宋体" w:hint="default"/>
          <w:sz w:val="21"/>
          <w:szCs w:val="21"/>
        </w:rPr>
      </w:pP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z w:val="21"/>
          <w:szCs w:val="21"/>
        </w:rPr>
        <w:t>公司将当期与以前期间应交未交的应纳税暂时性差异确认为递延所得税负债。但不包括：</w:t>
      </w:r>
    </w:p>
    <w:p>
      <w:pPr>
        <w:pStyle w:val="Heading4"/>
        <w:spacing w:line="240" w:lineRule="auto"/>
        <w:ind w:left="534" w:right="0"/>
        <w:jc w:val="left"/>
      </w:pPr>
      <w:r>
        <w:rPr/>
        <w:t>（</w:t>
      </w:r>
      <w:r>
        <w:rPr>
          <w:rFonts w:ascii="宋体" w:hAnsi="宋体" w:cs="宋体" w:eastAsia="宋体" w:hint="default"/>
        </w:rPr>
        <w:t>1</w:t>
      </w:r>
      <w:r>
        <w:rPr/>
        <w:t>）商誉的初始确认所形成的暂时性差异；</w:t>
      </w:r>
    </w:p>
    <w:p>
      <w:pPr>
        <w:pStyle w:val="Heading4"/>
        <w:spacing w:line="273" w:lineRule="auto" w:before="37"/>
        <w:ind w:right="1141" w:firstLine="420"/>
        <w:jc w:val="both"/>
      </w:pPr>
      <w:r>
        <w:rPr/>
        <w:t>（</w:t>
      </w:r>
      <w:r>
        <w:rPr>
          <w:rFonts w:ascii="宋体" w:hAnsi="宋体" w:cs="宋体" w:eastAsia="宋体" w:hint="default"/>
        </w:rPr>
        <w:t>2</w:t>
      </w:r>
      <w:r>
        <w:rPr/>
        <w:t>）非企业合并形成的交易或事项，且该交易或事项发生时既不影响会计利润，也不影响应纳税所 得额（或可抵扣亏损）所形成的暂时性差异；</w:t>
      </w:r>
    </w:p>
    <w:p>
      <w:pPr>
        <w:pStyle w:val="Heading4"/>
        <w:spacing w:line="273" w:lineRule="auto"/>
        <w:ind w:right="1141" w:firstLine="420"/>
        <w:jc w:val="both"/>
      </w:pPr>
      <w:r>
        <w:rPr/>
        <w:t>（</w:t>
      </w:r>
      <w:r>
        <w:rPr>
          <w:rFonts w:ascii="宋体" w:hAnsi="宋体" w:cs="宋体" w:eastAsia="宋体" w:hint="default"/>
        </w:rPr>
        <w:t>3</w:t>
      </w:r>
      <w:r>
        <w:rPr/>
        <w:t>）对于与子公司、联营企业投资相关的应纳税暂时性差异，该暂时性差异转回的时间能够控制并 且该暂时性差异在可预见的未来很可能不会转回。</w:t>
      </w:r>
    </w:p>
    <w:p>
      <w:pPr>
        <w:spacing w:after="0" w:line="273"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73" w:lineRule="auto" w:before="0"/>
        <w:ind w:left="534" w:right="1017"/>
        <w:jc w:val="left"/>
      </w:pPr>
      <w:r>
        <w:rPr/>
        <w:t>（</w:t>
      </w:r>
      <w:r>
        <w:rPr>
          <w:rFonts w:ascii="宋体" w:hAnsi="宋体" w:cs="宋体" w:eastAsia="宋体" w:hint="default"/>
        </w:rPr>
        <w:t>1</w:t>
      </w:r>
      <w:r>
        <w:rPr/>
        <w:t>）经营租入资产 </w:t>
      </w:r>
      <w:r>
        <w:rPr>
          <w:spacing w:val="-3"/>
        </w:rPr>
        <w:t>公司租入资产所支付的租赁费，在不扣除免租期的整个租赁期内，按直线法进行分摊，计入当期费用。</w:t>
      </w:r>
    </w:p>
    <w:p>
      <w:pPr>
        <w:pStyle w:val="Heading4"/>
        <w:spacing w:line="273" w:lineRule="auto"/>
        <w:ind w:left="534" w:right="0" w:hanging="420"/>
        <w:jc w:val="left"/>
      </w:pPr>
      <w:r>
        <w:rPr/>
        <w:t>公司支付的与租赁交易相关的初始直接费用，计入当期费用。 </w:t>
      </w:r>
      <w:r>
        <w:rPr>
          <w:spacing w:val="-1"/>
        </w:rPr>
        <w:t>资产出租方承担了应由公司承担的与租赁相关的费用时，公司将该部分费用从租金总额中扣除，按扣</w:t>
      </w:r>
    </w:p>
    <w:p>
      <w:pPr>
        <w:pStyle w:val="Heading4"/>
        <w:spacing w:line="240" w:lineRule="auto"/>
        <w:ind w:right="0"/>
        <w:jc w:val="left"/>
      </w:pPr>
      <w:r>
        <w:rPr/>
        <w:t>除后的租金费用在租赁期内分摊，计入当期费用。</w:t>
      </w:r>
    </w:p>
    <w:p>
      <w:pPr>
        <w:pStyle w:val="Heading4"/>
        <w:spacing w:line="273" w:lineRule="auto" w:before="37"/>
        <w:ind w:left="534" w:right="0"/>
        <w:jc w:val="left"/>
      </w:pPr>
      <w:r>
        <w:rPr/>
        <w:t>（</w:t>
      </w:r>
      <w:r>
        <w:rPr>
          <w:rFonts w:ascii="宋体" w:hAnsi="宋体" w:cs="宋体" w:eastAsia="宋体" w:hint="default"/>
        </w:rPr>
        <w:t>2</w:t>
      </w:r>
      <w:r>
        <w:rPr/>
        <w:t>）经营租出资产 </w:t>
      </w:r>
      <w:r>
        <w:rPr>
          <w:spacing w:val="-1"/>
        </w:rPr>
        <w:t>公司出租资产所收取的租赁费，在不扣除免租期的整个租赁期内，按直线法进行分摊，确认为租赁收</w:t>
      </w:r>
    </w:p>
    <w:p>
      <w:pPr>
        <w:pStyle w:val="Heading4"/>
        <w:spacing w:line="273" w:lineRule="auto"/>
        <w:ind w:right="0"/>
        <w:jc w:val="left"/>
      </w:pPr>
      <w:r>
        <w:rPr>
          <w:spacing w:val="-1"/>
        </w:rPr>
        <w:t>入。公司支付的与租赁交易相关的初始直接费用，计入当期费用；如金额较大的，则予以资本化，在整个</w:t>
      </w:r>
      <w:r>
        <w:rPr>
          <w:spacing w:val="-83"/>
        </w:rPr>
        <w:t> </w:t>
      </w:r>
      <w:r>
        <w:rPr>
          <w:spacing w:val="-83"/>
        </w:rPr>
      </w:r>
      <w:r>
        <w:rPr/>
        <w:t>租赁期间内按照与租赁收入确认相同的基础分期计入当期收益。</w:t>
      </w:r>
    </w:p>
    <w:p>
      <w:pPr>
        <w:pStyle w:val="Heading4"/>
        <w:spacing w:line="273" w:lineRule="auto"/>
        <w:ind w:right="1131" w:firstLine="420"/>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023" w:firstLine="420"/>
        <w:jc w:val="left"/>
      </w:pPr>
      <w:r>
        <w:rPr/>
        <w:t>（</w:t>
      </w:r>
      <w:r>
        <w:rPr>
          <w:rFonts w:ascii="宋体" w:hAnsi="宋体" w:cs="宋体" w:eastAsia="宋体"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p>
    <w:p>
      <w:pPr>
        <w:pStyle w:val="Heading4"/>
        <w:spacing w:line="273" w:lineRule="auto"/>
        <w:ind w:left="534" w:right="2562"/>
        <w:jc w:val="left"/>
      </w:pPr>
      <w:r>
        <w:rPr/>
        <w:t>融资租入资产的认定依据、计价和折旧方法详见本附注四／（十五）固定资产。 公司采用实际利率法对未确认的融资费用，在资产租赁期间内摊销，计入财务费用。</w:t>
      </w:r>
    </w:p>
    <w:p>
      <w:pPr>
        <w:pStyle w:val="Heading4"/>
        <w:spacing w:line="273" w:lineRule="auto" w:before="8"/>
        <w:ind w:right="1131" w:firstLine="420"/>
        <w:jc w:val="both"/>
      </w:pPr>
      <w:r>
        <w:rPr/>
        <w:t>（</w:t>
      </w:r>
      <w:r>
        <w:rPr>
          <w:rFonts w:ascii="宋体" w:hAnsi="宋体" w:cs="宋体" w:eastAsia="宋体"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17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发</w:t>
            </w:r>
            <w:r>
              <w:rPr>
                <w:rFonts w:ascii="宋体" w:hAnsi="宋体" w:cs="宋体" w:eastAsia="宋体" w:hint="default"/>
                <w:sz w:val="18"/>
                <w:szCs w:val="18"/>
              </w:rPr>
              <w:t>布</w:t>
            </w:r>
            <w:r>
              <w:rPr>
                <w:rFonts w:ascii="宋体" w:hAnsi="宋体" w:cs="宋体" w:eastAsia="宋体" w:hint="default"/>
                <w:spacing w:val="-86"/>
                <w:sz w:val="18"/>
                <w:szCs w:val="18"/>
              </w:rPr>
              <w:t>了</w:t>
            </w:r>
            <w:r>
              <w:rPr>
                <w:rFonts w:ascii="宋体" w:hAnsi="宋体" w:cs="宋体" w:eastAsia="宋体" w:hint="default"/>
                <w:sz w:val="18"/>
                <w:szCs w:val="18"/>
              </w:rPr>
              <w:t>《关</w:t>
            </w:r>
          </w:p>
          <w:p>
            <w:pPr>
              <w:pStyle w:val="TableParagraph"/>
              <w:spacing w:line="309" w:lineRule="auto" w:before="61"/>
              <w:ind w:left="103" w:right="11"/>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 </w:t>
            </w:r>
            <w:r>
              <w:rPr>
                <w:rFonts w:ascii="宋体" w:hAnsi="宋体" w:cs="宋体" w:eastAsia="宋体" w:hint="default"/>
                <w:spacing w:val="-8"/>
                <w:sz w:val="18"/>
                <w:szCs w:val="18"/>
              </w:rPr>
              <w:t>表格式的通知》（财会〔</w:t>
            </w: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pacing w:val="-30"/>
                <w:sz w:val="18"/>
                <w:szCs w:val="18"/>
              </w:rPr>
              <w:t>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对一般企业财务报表格式进行了修订， </w:t>
            </w:r>
            <w:r>
              <w:rPr>
                <w:rFonts w:ascii="宋体" w:hAnsi="宋体" w:cs="宋体" w:eastAsia="宋体" w:hint="default"/>
                <w:spacing w:val="-6"/>
                <w:sz w:val="18"/>
                <w:szCs w:val="18"/>
              </w:rPr>
              <w:t>归并部分资产负债表项目，拆分部分利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润表项目；并于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w:t>
            </w:r>
          </w:p>
          <w:p>
            <w:pPr>
              <w:pStyle w:val="TableParagraph"/>
              <w:spacing w:line="312" w:lineRule="auto" w:before="5"/>
              <w:ind w:left="103" w:right="16"/>
              <w:jc w:val="left"/>
              <w:rPr>
                <w:rFonts w:ascii="宋体" w:hAnsi="宋体" w:cs="宋体" w:eastAsia="宋体" w:hint="default"/>
                <w:sz w:val="18"/>
                <w:szCs w:val="18"/>
              </w:rPr>
            </w:pPr>
            <w:r>
              <w:rPr>
                <w:rFonts w:ascii="宋体" w:hAnsi="宋体" w:cs="宋体" w:eastAsia="宋体" w:hint="default"/>
                <w:sz w:val="18"/>
                <w:szCs w:val="18"/>
              </w:rPr>
              <w:t>了《关于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年度一般企业财务报表 </w:t>
            </w:r>
            <w:r>
              <w:rPr>
                <w:rFonts w:ascii="宋体" w:hAnsi="宋体" w:cs="宋体" w:eastAsia="宋体" w:hint="default"/>
                <w:spacing w:val="-6"/>
                <w:sz w:val="18"/>
                <w:szCs w:val="18"/>
              </w:rPr>
              <w:t>格式有关问题的解读》，明确要求代扣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个人所得税手续费返还在“其他收益” </w:t>
            </w:r>
            <w:r>
              <w:rPr>
                <w:rFonts w:ascii="宋体" w:hAnsi="宋体" w:cs="宋体" w:eastAsia="宋体" w:hint="default"/>
                <w:spacing w:val="-5"/>
                <w:sz w:val="18"/>
                <w:szCs w:val="18"/>
              </w:rPr>
              <w:t>列报，实际收到的政府补助，无论是与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9" w:lineRule="auto"/>
              <w:ind w:left="103" w:right="195"/>
              <w:jc w:val="left"/>
              <w:rPr>
                <w:rFonts w:ascii="宋体" w:hAnsi="宋体" w:cs="宋体" w:eastAsia="宋体" w:hint="default"/>
                <w:sz w:val="18"/>
                <w:szCs w:val="18"/>
              </w:rPr>
            </w:pPr>
            <w:r>
              <w:rPr>
                <w:rFonts w:ascii="宋体" w:hAnsi="宋体" w:cs="宋体" w:eastAsia="宋体" w:hint="default"/>
                <w:sz w:val="18"/>
                <w:szCs w:val="18"/>
              </w:rPr>
              <w:t>公司第四届董事会第十五次会议审议 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9"/>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资产相关还是与收益相关，在编制现金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流量表时均作为经营活动产生的现金 流量列报等。</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71" w:lineRule="auto" w:before="35"/>
        <w:ind w:left="537" w:right="0" w:hanging="2"/>
        <w:jc w:val="left"/>
      </w:pPr>
      <w:r>
        <w:rPr>
          <w:rFonts w:ascii="宋体" w:hAnsi="宋体" w:cs="宋体" w:eastAsia="宋体" w:hint="default"/>
          <w:b/>
          <w:bCs/>
        </w:rPr>
        <w:t>财务报表列报项目变更说明</w:t>
      </w:r>
      <w:r>
        <w:rPr>
          <w:rFonts w:ascii="宋体" w:hAnsi="宋体" w:cs="宋体" w:eastAsia="宋体" w:hint="default"/>
          <w:b/>
          <w:bCs/>
          <w:w w:val="99"/>
        </w:rPr>
        <w:t> </w:t>
      </w:r>
      <w:r>
        <w:rPr>
          <w:spacing w:val="-5"/>
        </w:rPr>
        <w:t>财政部于</w:t>
      </w:r>
      <w:r>
        <w:rPr>
          <w:rFonts w:ascii="宋体" w:hAnsi="宋体" w:cs="宋体" w:eastAsia="宋体" w:hint="default"/>
          <w:spacing w:val="-5"/>
        </w:rPr>
        <w:t>2018</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15</w:t>
      </w:r>
      <w:r>
        <w:rPr>
          <w:spacing w:val="-5"/>
        </w:rPr>
        <w:t>日发布了《关于修订印发</w:t>
      </w:r>
      <w:r>
        <w:rPr>
          <w:rFonts w:ascii="宋体" w:hAnsi="宋体" w:cs="宋体" w:eastAsia="宋体" w:hint="default"/>
          <w:spacing w:val="-5"/>
        </w:rPr>
        <w:t>2018</w:t>
      </w:r>
      <w:r>
        <w:rPr>
          <w:spacing w:val="-5"/>
        </w:rPr>
        <w:t>年度一般企业财务报表格式的通知》（财会〔</w:t>
      </w:r>
      <w:r>
        <w:rPr>
          <w:rFonts w:ascii="宋体" w:hAnsi="宋体" w:cs="宋体" w:eastAsia="宋体" w:hint="default"/>
          <w:spacing w:val="-5"/>
        </w:rPr>
        <w:t>2018</w:t>
      </w:r>
      <w:r>
        <w:rPr>
          <w:spacing w:val="-5"/>
        </w:rPr>
        <w:t>〕</w:t>
      </w:r>
    </w:p>
    <w:p>
      <w:pPr>
        <w:pStyle w:val="Heading4"/>
        <w:spacing w:line="273" w:lineRule="auto" w:before="10"/>
        <w:ind w:right="0"/>
        <w:jc w:val="left"/>
      </w:pPr>
      <w:r>
        <w:rPr>
          <w:rFonts w:ascii="宋体" w:hAnsi="宋体" w:cs="宋体" w:eastAsia="宋体" w:hint="default"/>
          <w:spacing w:val="-5"/>
        </w:rPr>
        <w:t>15</w:t>
      </w:r>
      <w:r>
        <w:rPr>
          <w:spacing w:val="-5"/>
        </w:rPr>
        <w:t>号），对一般企业财务报表格式进行了修订，归并部分资产负债表项目，拆分部分利润表项目；并于</w:t>
      </w:r>
      <w:r>
        <w:rPr>
          <w:rFonts w:ascii="宋体" w:hAnsi="宋体" w:cs="宋体" w:eastAsia="宋体" w:hint="default"/>
          <w:spacing w:val="-5"/>
        </w:rPr>
        <w:t>2018</w:t>
      </w:r>
      <w:r>
        <w:rPr>
          <w:rFonts w:ascii="宋体" w:hAnsi="宋体" w:cs="宋体" w:eastAsia="宋体" w:hint="default"/>
          <w:spacing w:val="-93"/>
        </w:rPr>
        <w:t> </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7</w:t>
      </w:r>
      <w:r>
        <w:rPr>
          <w:spacing w:val="-3"/>
        </w:rPr>
        <w:t>日发布了《关于</w:t>
      </w:r>
      <w:r>
        <w:rPr>
          <w:rFonts w:ascii="宋体" w:hAnsi="宋体" w:cs="宋体" w:eastAsia="宋体" w:hint="default"/>
          <w:spacing w:val="-3"/>
        </w:rPr>
        <w:t>2018</w:t>
      </w:r>
      <w:r>
        <w:rPr>
          <w:spacing w:val="-3"/>
        </w:rPr>
        <w:t>年度一般企业财务报表格式有关问题的解读》，明确要求代扣个人所得税手续</w:t>
      </w:r>
      <w:r>
        <w:rPr>
          <w:spacing w:val="-68"/>
        </w:rPr>
        <w:t> </w:t>
      </w:r>
      <w:r>
        <w:rPr>
          <w:spacing w:val="-68"/>
        </w:rPr>
      </w:r>
      <w:r>
        <w:rPr>
          <w:spacing w:val="-1"/>
        </w:rPr>
        <w:t>费返还在“其他收益”列报，实际收到的政府补助，无论是与资产相关还是与收益相关，在编制现金流量</w:t>
      </w:r>
      <w:r>
        <w:rPr>
          <w:spacing w:val="-83"/>
        </w:rPr>
        <w:t> </w:t>
      </w:r>
      <w:r>
        <w:rPr>
          <w:spacing w:val="-83"/>
        </w:rPr>
      </w:r>
      <w:r>
        <w:rPr/>
        <w:t>表时均作为经营活动产生的现金流量列报等。</w:t>
      </w:r>
    </w:p>
    <w:p>
      <w:pPr>
        <w:pStyle w:val="Heading4"/>
        <w:spacing w:line="273" w:lineRule="auto"/>
        <w:ind w:right="0" w:firstLine="423"/>
        <w:jc w:val="left"/>
      </w:pPr>
      <w:r>
        <w:rPr>
          <w:spacing w:val="-1"/>
        </w:rPr>
        <w:t>公司已经根据新的企业财务报表格式的要求编制财务报表，财务报表的列报项目因此发生变更的，已</w:t>
      </w:r>
      <w:r>
        <w:rPr/>
        <w:t> 经按照《企业会计准则第</w:t>
      </w:r>
      <w:r>
        <w:rPr>
          <w:rFonts w:ascii="宋体" w:hAnsi="宋体" w:cs="宋体" w:eastAsia="宋体" w:hint="default"/>
        </w:rPr>
        <w:t>30</w:t>
      </w:r>
      <w:r>
        <w:rPr/>
        <w:t>号——财务报表列报》等的相关规定，对可比期间的比较数据进行调整。</w:t>
      </w:r>
    </w:p>
    <w:p>
      <w:pPr>
        <w:pStyle w:val="Heading4"/>
        <w:spacing w:line="240" w:lineRule="auto"/>
        <w:ind w:left="537" w:right="0"/>
        <w:jc w:val="left"/>
      </w:pPr>
      <w:r>
        <w:rPr/>
        <w:t>对可比期间的财务报表列报项目及金额的影响如下：</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78"/>
        <w:gridCol w:w="1686"/>
        <w:gridCol w:w="1791"/>
        <w:gridCol w:w="1556"/>
        <w:gridCol w:w="1547"/>
      </w:tblGrid>
      <w:tr>
        <w:trPr>
          <w:trHeight w:val="667" w:hRule="exact"/>
        </w:trPr>
        <w:tc>
          <w:tcPr>
            <w:tcW w:w="17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2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75" w:right="24" w:hanging="45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日之前 列报金额</w:t>
            </w:r>
          </w:p>
        </w:tc>
        <w:tc>
          <w:tcPr>
            <w:tcW w:w="1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28"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11" w:right="48" w:hanging="36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日经重 列后金额</w:t>
            </w:r>
          </w:p>
        </w:tc>
        <w:tc>
          <w:tcPr>
            <w:tcW w:w="15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3"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2,421,034.00</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-2,421,034.00</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181,820,430.77</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-181,820,430.77</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184,241,464.77</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184,241,464.77</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r>
      <w:tr>
        <w:trPr>
          <w:trHeight w:val="353"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866,930.21</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-866,930.21</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10,797,484.37</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866,930.21</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11,664,414.58</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p>
        </w:tc>
      </w:tr>
      <w:tr>
        <w:trPr>
          <w:trHeight w:val="353"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224,683,337.46</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224,683,337.46</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3</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3</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1,970,781.39</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1,970,781.39</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4</w:t>
            </w:r>
          </w:p>
        </w:tc>
      </w:tr>
      <w:tr>
        <w:trPr>
          <w:trHeight w:val="353"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4</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5</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37,013,368.69</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-37,013,368.69</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5</w:t>
            </w:r>
          </w:p>
        </w:tc>
      </w:tr>
      <w:tr>
        <w:trPr>
          <w:trHeight w:val="353"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37,013,368.69</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37,013,368.69</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5</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19,229,406.28</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-19,229,406.28</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6</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6</w:t>
            </w:r>
          </w:p>
        </w:tc>
      </w:tr>
      <w:tr>
        <w:trPr>
          <w:trHeight w:val="353"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2,016,886.77</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19,229,406.28</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21,246,293.05</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6</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97,000,000.00</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97,000,000.00</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7</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7</w:t>
            </w:r>
          </w:p>
        </w:tc>
      </w:tr>
      <w:tr>
        <w:trPr>
          <w:trHeight w:val="353"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75,991,246.91</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-21,405,392.57</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54,585,854.34</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8</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21,405,392.57</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21,405,392.57</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8</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4,682,480.62</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4,682,480.62</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9</w:t>
            </w:r>
          </w:p>
        </w:tc>
      </w:tr>
      <w:tr>
        <w:trPr>
          <w:trHeight w:val="353"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146,547.48</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146,547.48</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9</w:t>
            </w:r>
          </w:p>
        </w:tc>
      </w:tr>
      <w:tr>
        <w:trPr>
          <w:trHeight w:val="664"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8"/>
              <w:jc w:val="left"/>
              <w:rPr>
                <w:rFonts w:ascii="宋体" w:hAnsi="宋体" w:cs="宋体" w:eastAsia="宋体" w:hint="default"/>
                <w:sz w:val="18"/>
                <w:szCs w:val="18"/>
              </w:rPr>
            </w:pPr>
            <w:r>
              <w:rPr>
                <w:rFonts w:ascii="宋体" w:hAnsi="宋体" w:cs="宋体" w:eastAsia="宋体" w:hint="default"/>
                <w:sz w:val="18"/>
                <w:szCs w:val="18"/>
              </w:rPr>
              <w:t>收到其他与经营活动 有关的现金</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12,260,385.37</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12,260,385.37</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10</w:t>
            </w:r>
          </w:p>
        </w:tc>
      </w:tr>
      <w:tr>
        <w:trPr>
          <w:trHeight w:val="352" w:hRule="exact"/>
        </w:trPr>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收到其他与投资活动</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10</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12"/>
        <w:rPr>
          <w:rFonts w:ascii="宋体" w:hAnsi="宋体" w:cs="宋体" w:eastAsia="宋体" w:hint="default"/>
          <w:sz w:val="24"/>
          <w:szCs w:val="24"/>
        </w:rPr>
      </w:pPr>
    </w:p>
    <w:p>
      <w:pPr>
        <w:spacing w:line="384" w:lineRule="exact"/>
        <w:ind w:left="11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19.8pt;height:19.2pt;mso-position-horizontal-relative:char;mso-position-vertical-relative:line" coordorigin="0,0" coordsize="8396,384">
            <v:group style="position:absolute;left:29;top:14;width:1764;height:2" coordorigin="29,14" coordsize="1764,2">
              <v:shape style="position:absolute;left:29;top:14;width:1764;height:2" coordorigin="29,14" coordsize="1764,0" path="m29,14l1793,14e" filled="false" stroked="true" strokeweight=".72pt" strokecolor="#000000">
                <v:path arrowok="t"/>
              </v:shape>
            </v:group>
            <v:group style="position:absolute;left:1807;top:14;width:1672;height:2" coordorigin="1807,14" coordsize="1672,2">
              <v:shape style="position:absolute;left:1807;top:14;width:1672;height:2" coordorigin="1807,14" coordsize="1672,0" path="m1807,14l3479,14e" filled="false" stroked="true" strokeweight=".72pt" strokecolor="#000000">
                <v:path arrowok="t"/>
              </v:shape>
            </v:group>
            <v:group style="position:absolute;left:3493;top:14;width:1777;height:2" coordorigin="3493,14" coordsize="1777,2">
              <v:shape style="position:absolute;left:3493;top:14;width:1777;height:2" coordorigin="3493,14" coordsize="1777,0" path="m3493,14l5269,14e" filled="false" stroked="true" strokeweight=".72pt" strokecolor="#000000">
                <v:path arrowok="t"/>
              </v:shape>
            </v:group>
            <v:group style="position:absolute;left:5284;top:14;width:1542;height:2" coordorigin="5284,14" coordsize="1542,2">
              <v:shape style="position:absolute;left:5284;top:14;width:1542;height:2" coordorigin="5284,14" coordsize="1542,0" path="m5284,14l6826,14e" filled="false" stroked="true" strokeweight=".72pt" strokecolor="#000000">
                <v:path arrowok="t"/>
              </v:shape>
            </v:group>
            <v:group style="position:absolute;left:6840;top:14;width:1540;height:2" coordorigin="6840,14" coordsize="1540,2">
              <v:shape style="position:absolute;left:6840;top:14;width:1540;height:2" coordorigin="6840,14" coordsize="1540,0" path="m6840,14l8380,14e" filled="false" stroked="true" strokeweight=".72pt" strokecolor="#000000">
                <v:path arrowok="t"/>
              </v:shape>
            </v:group>
            <v:group style="position:absolute;left:22;top:7;width:2;height:347" coordorigin="22,7" coordsize="2,347">
              <v:shape style="position:absolute;left:22;top:7;width:2;height:347" coordorigin="22,7" coordsize="0,347" path="m22,7l22,354e" filled="false" stroked="true" strokeweight=".72pt" strokecolor="#000000">
                <v:path arrowok="t"/>
              </v:shape>
            </v:group>
            <v:group style="position:absolute;left:15;top:369;width:1778;height:2" coordorigin="15,369" coordsize="1778,2">
              <v:shape style="position:absolute;left:15;top:369;width:1778;height:2" coordorigin="15,369" coordsize="1778,0" path="m15,369l1793,369e" filled="false" stroked="true" strokeweight="1.5pt" strokecolor="#000000">
                <v:path arrowok="t"/>
              </v:shape>
            </v:group>
            <v:group style="position:absolute;left:1800;top:7;width:2;height:347" coordorigin="1800,7" coordsize="2,347">
              <v:shape style="position:absolute;left:1800;top:7;width:2;height:347" coordorigin="1800,7" coordsize="0,347" path="m1800,7l1800,354e" filled="false" stroked="true" strokeweight=".72pt" strokecolor="#000000">
                <v:path arrowok="t"/>
              </v:shape>
            </v:group>
            <v:group style="position:absolute;left:1793;top:369;width:30;height:2" coordorigin="1793,369" coordsize="30,2">
              <v:shape style="position:absolute;left:1793;top:369;width:30;height:2" coordorigin="1793,369" coordsize="30,0" path="m1793,369l1823,369e" filled="false" stroked="true" strokeweight="1.5pt" strokecolor="#000000">
                <v:path arrowok="t"/>
              </v:shape>
            </v:group>
            <v:group style="position:absolute;left:1823;top:369;width:1656;height:2" coordorigin="1823,369" coordsize="1656,2">
              <v:shape style="position:absolute;left:1823;top:369;width:1656;height:2" coordorigin="1823,369" coordsize="1656,0" path="m1823,369l3479,369e" filled="false" stroked="true" strokeweight="1.5pt" strokecolor="#000000">
                <v:path arrowok="t"/>
              </v:shape>
            </v:group>
            <v:group style="position:absolute;left:3486;top:7;width:2;height:347" coordorigin="3486,7" coordsize="2,347">
              <v:shape style="position:absolute;left:3486;top:7;width:2;height:347" coordorigin="3486,7" coordsize="0,347" path="m3486,7l3486,354e" filled="false" stroked="true" strokeweight=".72pt" strokecolor="#000000">
                <v:path arrowok="t"/>
              </v:shape>
            </v:group>
            <v:group style="position:absolute;left:3479;top:369;width:30;height:2" coordorigin="3479,369" coordsize="30,2">
              <v:shape style="position:absolute;left:3479;top:369;width:30;height:2" coordorigin="3479,369" coordsize="30,0" path="m3479,369l3509,369e" filled="false" stroked="true" strokeweight="1.5pt" strokecolor="#000000">
                <v:path arrowok="t"/>
              </v:shape>
            </v:group>
            <v:group style="position:absolute;left:3509;top:369;width:1761;height:2" coordorigin="3509,369" coordsize="1761,2">
              <v:shape style="position:absolute;left:3509;top:369;width:1761;height:2" coordorigin="3509,369" coordsize="1761,0" path="m3509,369l5269,369e" filled="false" stroked="true" strokeweight="1.5pt" strokecolor="#000000">
                <v:path arrowok="t"/>
              </v:shape>
            </v:group>
            <v:group style="position:absolute;left:5277;top:7;width:2;height:347" coordorigin="5277,7" coordsize="2,347">
              <v:shape style="position:absolute;left:5277;top:7;width:2;height:347" coordorigin="5277,7" coordsize="0,347" path="m5277,7l5277,354e" filled="false" stroked="true" strokeweight=".72pt" strokecolor="#000000">
                <v:path arrowok="t"/>
              </v:shape>
            </v:group>
            <v:group style="position:absolute;left:5269;top:369;width:30;height:2" coordorigin="5269,369" coordsize="30,2">
              <v:shape style="position:absolute;left:5269;top:369;width:30;height:2" coordorigin="5269,369" coordsize="30,0" path="m5269,369l5299,369e" filled="false" stroked="true" strokeweight="1.5pt" strokecolor="#000000">
                <v:path arrowok="t"/>
              </v:shape>
            </v:group>
            <v:group style="position:absolute;left:5299;top:369;width:1527;height:2" coordorigin="5299,369" coordsize="1527,2">
              <v:shape style="position:absolute;left:5299;top:369;width:1527;height:2" coordorigin="5299,369" coordsize="1527,0" path="m5299,369l6826,369e" filled="false" stroked="true" strokeweight="1.5pt" strokecolor="#000000">
                <v:path arrowok="t"/>
              </v:shape>
            </v:group>
            <v:group style="position:absolute;left:6833;top:7;width:2;height:347" coordorigin="6833,7" coordsize="2,347">
              <v:shape style="position:absolute;left:6833;top:7;width:2;height:347" coordorigin="6833,7" coordsize="0,347" path="m6833,7l6833,354e" filled="false" stroked="true" strokeweight=".72pt" strokecolor="#000000">
                <v:path arrowok="t"/>
              </v:shape>
            </v:group>
            <v:group style="position:absolute;left:6826;top:369;width:30;height:2" coordorigin="6826,369" coordsize="30,2">
              <v:shape style="position:absolute;left:6826;top:369;width:30;height:2" coordorigin="6826,369" coordsize="30,0" path="m6826,369l6856,369e" filled="false" stroked="true" strokeweight="1.5pt" strokecolor="#000000">
                <v:path arrowok="t"/>
              </v:shape>
            </v:group>
            <v:group style="position:absolute;left:6856;top:369;width:1525;height:2" coordorigin="6856,369" coordsize="1525,2">
              <v:shape style="position:absolute;left:6856;top:369;width:1525;height:2" coordorigin="6856,369" coordsize="1525,0" path="m6856,369l8380,369e" filled="false" stroked="true" strokeweight="1.5pt" strokecolor="#000000">
                <v:path arrowok="t"/>
              </v:shape>
              <v:shape style="position:absolute;left:22;top:14;width:1778;height:355" type="#_x0000_t202" filled="false" stroked="false">
                <v:textbox inset="0,0,0,0">
                  <w:txbxContent>
                    <w:p>
                      <w:pPr>
                        <w:spacing w:before="28"/>
                        <w:ind w:left="9" w:right="0" w:firstLine="0"/>
                        <w:jc w:val="left"/>
                        <w:rPr>
                          <w:rFonts w:ascii="宋体" w:hAnsi="宋体" w:cs="宋体" w:eastAsia="宋体" w:hint="default"/>
                          <w:sz w:val="18"/>
                          <w:szCs w:val="18"/>
                        </w:rPr>
                      </w:pPr>
                      <w:r>
                        <w:rPr>
                          <w:rFonts w:ascii="宋体" w:hAnsi="宋体" w:cs="宋体" w:eastAsia="宋体" w:hint="default"/>
                          <w:sz w:val="18"/>
                          <w:szCs w:val="18"/>
                        </w:rPr>
                        <w:t>有关的现金</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pStyle w:val="Heading4"/>
        <w:spacing w:line="273" w:lineRule="auto" w:before="35"/>
        <w:ind w:left="557" w:right="0"/>
        <w:jc w:val="left"/>
      </w:pPr>
      <w:r>
        <w:rPr>
          <w:spacing w:val="-6"/>
        </w:rPr>
        <w:t>注</w:t>
      </w:r>
      <w:r>
        <w:rPr>
          <w:rFonts w:ascii="宋体" w:hAnsi="宋体" w:cs="宋体" w:eastAsia="宋体" w:hint="default"/>
          <w:spacing w:val="-6"/>
        </w:rPr>
        <w:t>1</w:t>
      </w:r>
      <w:r>
        <w:rPr>
          <w:spacing w:val="-6"/>
        </w:rPr>
        <w:t>：原“应收票据”、“应收账款”项目合并计入“应收票据及应收账款”项目。</w:t>
      </w:r>
      <w:r>
        <w:rPr>
          <w:spacing w:val="-97"/>
        </w:rPr>
        <w:t> </w:t>
      </w:r>
      <w:r>
        <w:rPr>
          <w:spacing w:val="-97"/>
        </w:rPr>
      </w:r>
      <w:r>
        <w:rPr>
          <w:spacing w:val="-6"/>
        </w:rPr>
        <w:t>注</w:t>
      </w:r>
      <w:r>
        <w:rPr>
          <w:rFonts w:ascii="宋体" w:hAnsi="宋体" w:cs="宋体" w:eastAsia="宋体" w:hint="default"/>
          <w:spacing w:val="-6"/>
        </w:rPr>
        <w:t>2</w:t>
      </w:r>
      <w:r>
        <w:rPr>
          <w:spacing w:val="-6"/>
        </w:rPr>
        <w:t>：原“应收利息”、“应收股利”和“其他应收款”项目合并计入“其他应收款”项目。</w:t>
      </w:r>
      <w:r>
        <w:rPr>
          <w:spacing w:val="-73"/>
        </w:rPr>
        <w:t> </w:t>
      </w:r>
      <w:r>
        <w:rPr>
          <w:spacing w:val="-73"/>
        </w:rPr>
      </w:r>
      <w:r>
        <w:rPr/>
        <w:t>注</w:t>
      </w:r>
      <w:r>
        <w:rPr>
          <w:rFonts w:ascii="宋体" w:hAnsi="宋体" w:cs="宋体" w:eastAsia="宋体" w:hint="default"/>
        </w:rPr>
        <w:t>3</w:t>
      </w:r>
      <w:r>
        <w:rPr/>
        <w:t>：原“固定资产”和“固定资产清理”项目合并计入“固定资产”项目。 注</w:t>
      </w:r>
      <w:r>
        <w:rPr>
          <w:rFonts w:ascii="宋体" w:hAnsi="宋体" w:cs="宋体" w:eastAsia="宋体" w:hint="default"/>
        </w:rPr>
        <w:t>4</w:t>
      </w:r>
      <w:r>
        <w:rPr/>
        <w:t>：原“在建工程”和“工程物资”项目合并计入“在建工程”项目。 </w:t>
      </w:r>
      <w:r>
        <w:rPr>
          <w:spacing w:val="-6"/>
        </w:rPr>
        <w:t>注</w:t>
      </w:r>
      <w:r>
        <w:rPr>
          <w:rFonts w:ascii="宋体" w:hAnsi="宋体" w:cs="宋体" w:eastAsia="宋体" w:hint="default"/>
          <w:spacing w:val="-6"/>
        </w:rPr>
        <w:t>5</w:t>
      </w:r>
      <w:r>
        <w:rPr>
          <w:spacing w:val="-6"/>
        </w:rPr>
        <w:t>：原“应付票据”、“应付账款”项目合并计入“应付票据及应付账款”项目</w:t>
      </w:r>
      <w:r>
        <w:rPr>
          <w:spacing w:val="-103"/>
        </w:rPr>
        <w:t> </w:t>
      </w:r>
      <w:r>
        <w:rPr>
          <w:spacing w:val="-103"/>
        </w:rPr>
      </w:r>
      <w:r>
        <w:rPr>
          <w:spacing w:val="-6"/>
        </w:rPr>
        <w:t>注</w:t>
      </w:r>
      <w:r>
        <w:rPr>
          <w:rFonts w:ascii="宋体" w:hAnsi="宋体" w:cs="宋体" w:eastAsia="宋体" w:hint="default"/>
          <w:spacing w:val="-6"/>
        </w:rPr>
        <w:t>6</w:t>
      </w:r>
      <w:r>
        <w:rPr>
          <w:spacing w:val="-6"/>
        </w:rPr>
        <w:t>：原“应付利息”、“应付股利”和“其他应付款”项目合并计入“其他应付款”项目。</w:t>
      </w:r>
      <w:r>
        <w:rPr>
          <w:spacing w:val="-73"/>
        </w:rPr>
        <w:t> </w:t>
      </w:r>
      <w:r>
        <w:rPr>
          <w:spacing w:val="-73"/>
        </w:rPr>
      </w:r>
      <w:r>
        <w:rPr>
          <w:spacing w:val="-7"/>
        </w:rPr>
        <w:t>注</w:t>
      </w:r>
      <w:r>
        <w:rPr>
          <w:rFonts w:ascii="宋体" w:hAnsi="宋体" w:cs="宋体" w:eastAsia="宋体" w:hint="default"/>
          <w:spacing w:val="-7"/>
        </w:rPr>
        <w:t>7</w:t>
      </w:r>
      <w:r>
        <w:rPr>
          <w:spacing w:val="-7"/>
        </w:rPr>
        <w:t>：原“长期应付款”、“专项应付款”项目合并计入“长期应付款”项目。</w:t>
      </w:r>
      <w:r>
        <w:rPr>
          <w:spacing w:val="-73"/>
        </w:rPr>
        <w:t> </w:t>
      </w:r>
      <w:r>
        <w:rPr>
          <w:spacing w:val="-73"/>
        </w:rPr>
      </w:r>
      <w:r>
        <w:rPr/>
        <w:t>注</w:t>
      </w:r>
      <w:r>
        <w:rPr>
          <w:rFonts w:ascii="宋体" w:hAnsi="宋体" w:cs="宋体" w:eastAsia="宋体" w:hint="default"/>
        </w:rPr>
        <w:t>8</w:t>
      </w:r>
      <w:r>
        <w:rPr/>
        <w:t>：原“管理费用”项目分拆为“管理费用”和“研发支出”项目。 注</w:t>
      </w:r>
      <w:r>
        <w:rPr>
          <w:rFonts w:ascii="宋体" w:hAnsi="宋体" w:cs="宋体" w:eastAsia="宋体" w:hint="default"/>
        </w:rPr>
        <w:t>9</w:t>
      </w:r>
      <w:r>
        <w:rPr/>
        <w:t>：原计入“营业外收入”项目的个人所得税手续费返计入“其他收益”项目。 </w:t>
      </w:r>
      <w:r>
        <w:rPr>
          <w:spacing w:val="-1"/>
        </w:rPr>
        <w:t>注</w:t>
      </w:r>
      <w:r>
        <w:rPr>
          <w:rFonts w:ascii="宋体" w:hAnsi="宋体" w:cs="宋体" w:eastAsia="宋体" w:hint="default"/>
          <w:spacing w:val="-1"/>
        </w:rPr>
        <w:t>10</w:t>
      </w:r>
      <w:r>
        <w:rPr>
          <w:spacing w:val="-1"/>
        </w:rPr>
        <w:t>：实际收到的政府补助，无论是与资产相关还是与收益相关，在编制现金流量表时均作为经营活</w:t>
      </w:r>
    </w:p>
    <w:p>
      <w:pPr>
        <w:pStyle w:val="Heading4"/>
        <w:spacing w:line="240" w:lineRule="auto"/>
        <w:ind w:left="134" w:right="0"/>
        <w:jc w:val="left"/>
      </w:pPr>
      <w:r>
        <w:rPr/>
        <w:t>动产生的现金流量列报。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left="134"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34"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6"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变更的内容：合并报表范围 内关联方之间形成的应收款 项原按照账龄组合计提坏账 准备变更为合并报表范围内 关联方之间形成的应收款 项，单独进行减值测试，除 非有确凿证据表明发生减 值，不计提坏账准备。</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03"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日，第四届 董事会第六次会议审议通过</w:t>
            </w:r>
          </w:p>
          <w:p>
            <w:pPr>
              <w:pStyle w:val="TableParagraph"/>
              <w:spacing w:line="319" w:lineRule="auto" w:before="31"/>
              <w:ind w:left="103" w:right="113"/>
              <w:jc w:val="both"/>
              <w:rPr>
                <w:rFonts w:ascii="宋体" w:hAnsi="宋体" w:cs="宋体" w:eastAsia="宋体" w:hint="default"/>
                <w:sz w:val="18"/>
                <w:szCs w:val="18"/>
              </w:rPr>
            </w:pPr>
            <w:r>
              <w:rPr>
                <w:rFonts w:ascii="宋体" w:hAnsi="宋体" w:cs="宋体" w:eastAsia="宋体" w:hint="default"/>
                <w:sz w:val="18"/>
                <w:szCs w:val="18"/>
              </w:rPr>
              <w:t>《关于应收款项合并报表范 围内关联方组合计提坏账准 备的会计估计变更的议案》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16"/>
              <w:jc w:val="left"/>
              <w:rPr>
                <w:rFonts w:ascii="宋体" w:hAnsi="宋体" w:cs="宋体" w:eastAsia="宋体" w:hint="default"/>
                <w:sz w:val="18"/>
                <w:szCs w:val="18"/>
              </w:rPr>
            </w:pPr>
            <w:r>
              <w:rPr>
                <w:rFonts w:ascii="宋体" w:hAnsi="宋体" w:cs="宋体" w:eastAsia="宋体" w:hint="default"/>
                <w:sz w:val="18"/>
                <w:szCs w:val="18"/>
              </w:rPr>
              <w:t>本次会计估计变更采用未来 适用法</w:t>
            </w:r>
          </w:p>
        </w:tc>
      </w:tr>
    </w:tbl>
    <w:p>
      <w:pPr>
        <w:spacing w:line="240" w:lineRule="auto" w:before="2"/>
        <w:rPr>
          <w:rFonts w:ascii="宋体" w:hAnsi="宋体" w:cs="宋体" w:eastAsia="宋体" w:hint="default"/>
          <w:sz w:val="19"/>
          <w:szCs w:val="19"/>
        </w:rPr>
      </w:pPr>
    </w:p>
    <w:p>
      <w:pPr>
        <w:spacing w:line="487" w:lineRule="auto" w:before="35"/>
        <w:ind w:left="134" w:right="8966" w:firstLine="0"/>
        <w:jc w:val="left"/>
        <w:rPr>
          <w:rFonts w:ascii="宋体" w:hAnsi="宋体" w:cs="宋体" w:eastAsia="宋体" w:hint="default"/>
          <w:sz w:val="21"/>
          <w:szCs w:val="21"/>
        </w:rPr>
      </w:pPr>
      <w:bookmarkStart w:name="34、其他" w:id="218"/>
      <w:bookmarkEnd w:id="21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9"/>
      <w:bookmarkEnd w:id="21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0"/>
      <w:bookmarkEnd w:id="220"/>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2"/>
              <w:jc w:val="left"/>
              <w:rPr>
                <w:rFonts w:ascii="宋体" w:hAnsi="宋体" w:cs="宋体" w:eastAsia="宋体" w:hint="default"/>
                <w:sz w:val="18"/>
                <w:szCs w:val="18"/>
              </w:rPr>
            </w:pPr>
            <w:r>
              <w:rPr>
                <w:rFonts w:ascii="宋体" w:hAnsi="宋体" w:cs="宋体" w:eastAsia="宋体" w:hint="default"/>
                <w:spacing w:val="-6"/>
                <w:sz w:val="18"/>
                <w:szCs w:val="18"/>
              </w:rPr>
              <w:t>销售货物、应税劳务收入和应税服务收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 情况</w:t>
            </w:r>
          </w:p>
        </w:tc>
      </w:tr>
    </w:tbl>
    <w:p>
      <w:pPr>
        <w:pStyle w:val="BodyText"/>
        <w:spacing w:line="240" w:lineRule="auto" w:before="51"/>
        <w:ind w:left="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0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潮州市万泉瓷业有限公司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深圳万城投资管理有限公司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河南长城绿色瓷艺科技有限公司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郑州长城世家商贸有限公司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潮州市长城世家瓷业有限公司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广州韵网信息科技有限公司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新疆联汛展望教育科技有限公司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郑州市智游职业培训学校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郑州智游爱峰科技有限公司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郑州智游联动教育咨询有限公司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北京京师智游教育科技有限公司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南京欧米伽网络科技有限公司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霍尔果斯臻龙教育科技有限公司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山西智游臻龙互联网科技有限公司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河北臻龙科技有限公司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厦门爱峰沐川科技有限公司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北京完美空间教育科技有限公司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成都翡翠教育咨询有限公司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北京市朝阳区昭阳软件教育培训学校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北京创思兰德教育科技有限公司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上海志趣动漫设计有限公司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广州市翡翠教育信息咨询有限公司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武汉翡翠空间数字科技有限公司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郑州翡翠计算机科技有限公司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成都卓新思创科技有限公司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安徽省创思兰博信息科技有限公司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西安品优创意文化发展有限公司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西安卓新数码科技有限公司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西安完美空间职业技能培训学校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上海昊育信息技术有限公司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上海安逆杰信息技术有限公司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沈阳磐岳网络科技有限公司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创思兰博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上海翡翠职业技能培训学校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天津卓运天成科技有限公司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上海卓雅网络科技有限公司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天津完美空间数字技术有限责任公司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杭州并轨者网络科技有限公司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安徽省智趣兰德科技有限公司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北京畅晟宏达科技有限公司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常州世宏南骏信息科技有限公司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大连中钰睿泓科技有限公司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福州点积信息科技有限公司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河北翊思卓科技有限公司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无锡市智慧天空信息科技有限公司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南昌卡戎网络科技有限公司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宁波盛逸计算机科技有限公司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盛世光影（深圳）传媒有限公司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沈阳凯宣科技有限公司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天津众云金泰科技有限公司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广州市南跃科技有限公司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南宁易达讯网络科技有限公司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山西钰陆教育科技有限公司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山西智帆教育科技有限公司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重庆阿克提吾科技有限公司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北京创意之星艺术设计有限公司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西安拓客网络科技有限公司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北京优逸睿智科技有限公司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深圳市世纪星联科技有限公司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广州市联核攻源科技有限公司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湖南卓越新腾信息技术有限公司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南京诺博连信息科技有限公司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南昌五芒星科技有限公司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青岛龙果科技技术有限公司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成都智慧创想科技有限公司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上海嗣峰网络科技有限公司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重庆卓思迅杰科技有限公司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上海犇迩网络科技有限公司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西安易创智达科技有限公司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霍尔果斯众妙合一信息技术有限公司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成都龙腾讯飞科技有限公司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贵阳华腾天创科技有限公司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济南凡格信息科技有限公司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柳州墨本科技有限公司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南京小鸡卓米网络科技有限公司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武汉创思兰博科技有限公司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郑州智世睿通软件科技有限公司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杭州果脉科技有限公司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苏州深层纬度教育科技有限公司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上海墨林教育科技有限公司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长沙翡翠网络游戏有限公司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济南迅奇网络科技有限公司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深圳市灵动空间网络科技有限公司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长春市完美空间教育科技有限公司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哈尔滨聚谦电子信息技术有限公司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重庆翊思卓科技有限公司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西安完美创意科技有限公司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广州九点网络有限公司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杭州千程万码软件有限公司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昆明添力网络科技有限公司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米果科技</w:t>
            </w:r>
            <w:r>
              <w:rPr>
                <w:rFonts w:ascii="Times New Roman" w:hAnsi="Times New Roman" w:cs="Times New Roman" w:eastAsia="Times New Roman" w:hint="default"/>
                <w:sz w:val="18"/>
                <w:szCs w:val="18"/>
              </w:rPr>
              <w:t>(</w:t>
            </w:r>
            <w:r>
              <w:rPr>
                <w:rFonts w:ascii="宋体" w:hAnsi="宋体" w:cs="宋体" w:eastAsia="宋体" w:hint="default"/>
                <w:sz w:val="18"/>
                <w:szCs w:val="18"/>
              </w:rPr>
              <w:t>大连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深圳凌点网络科技有限公司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大连创睿网络技术有限公司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常州网之合信息科技有限公司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河北佳岷科技有限公司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烟台丛聚网络技术有限公司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湖南正致教育科技有限公司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贺州市盛东网络科技有限公司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武汉索思艾特科技有限公司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南京睿斯博信息科技有限公司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海南翊思卓网络科技有限公司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海南完美空间网络科技有限公司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潮州市润潮陶瓷有限公司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潮州市长城世家贸易有限公司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湖北智游臻龙教育科技有限公司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南京巅峰数据服务有限公司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苏州云柯数据服务有限公司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534" w:right="1118"/>
        <w:jc w:val="left"/>
      </w:pPr>
      <w:r>
        <w:rPr>
          <w:rFonts w:ascii="宋体" w:hAnsi="宋体" w:cs="宋体" w:eastAsia="宋体" w:hint="default"/>
          <w:b/>
          <w:bCs/>
        </w:rPr>
        <w:t>增值税</w:t>
      </w:r>
      <w:r>
        <w:rPr>
          <w:rFonts w:ascii="宋体" w:hAnsi="宋体" w:cs="宋体" w:eastAsia="宋体" w:hint="default"/>
          <w:b/>
          <w:bCs/>
          <w:spacing w:val="1"/>
          <w:w w:val="99"/>
        </w:rPr>
        <w:t> </w:t>
      </w:r>
      <w:r>
        <w:rPr>
          <w:spacing w:val="-3"/>
        </w:rPr>
        <w:t>根据财政部、国家税务总局《关于软件产品增值税政策的通知》（财税</w:t>
      </w:r>
      <w:r>
        <w:rPr>
          <w:rFonts w:ascii="宋体" w:hAnsi="宋体" w:cs="宋体" w:eastAsia="宋体" w:hint="default"/>
          <w:spacing w:val="-3"/>
        </w:rPr>
        <w:t>[2011]100</w:t>
      </w:r>
      <w:r>
        <w:rPr>
          <w:spacing w:val="-3"/>
        </w:rPr>
        <w:t>号）的规定，增值税</w:t>
      </w:r>
    </w:p>
    <w:p>
      <w:pPr>
        <w:pStyle w:val="Heading4"/>
        <w:spacing w:line="273" w:lineRule="auto"/>
        <w:ind w:right="0"/>
        <w:jc w:val="left"/>
      </w:pPr>
      <w:r>
        <w:rPr/>
        <w:t>一般纳税人销售其自行开发生产的软件产品，按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w:t>
      </w:r>
      <w:r>
        <w:rPr>
          <w:spacing w:val="-24"/>
        </w:rPr>
        <w:t> </w:t>
      </w:r>
      <w:r>
        <w:rPr/>
        <w:t>分实行即征即退政策。</w:t>
      </w:r>
    </w:p>
    <w:p>
      <w:pPr>
        <w:pStyle w:val="Heading3"/>
        <w:spacing w:line="240" w:lineRule="auto" w:before="7"/>
        <w:ind w:left="534" w:right="0"/>
        <w:jc w:val="left"/>
        <w:rPr>
          <w:b w:val="0"/>
          <w:bCs w:val="0"/>
        </w:rPr>
      </w:pPr>
      <w:r>
        <w:rPr/>
        <w:t>企业所得税</w:t>
      </w:r>
      <w:r>
        <w:rPr>
          <w:b w:val="0"/>
          <w:bCs w:val="0"/>
        </w:rPr>
      </w:r>
    </w:p>
    <w:p>
      <w:pPr>
        <w:pStyle w:val="Heading4"/>
        <w:spacing w:line="273" w:lineRule="auto" w:before="37"/>
        <w:ind w:left="534" w:right="0"/>
        <w:jc w:val="left"/>
      </w:pPr>
      <w:r>
        <w:rPr/>
        <w:t>（</w:t>
      </w:r>
      <w:r>
        <w:rPr>
          <w:rFonts w:ascii="宋体" w:hAnsi="宋体" w:cs="宋体" w:eastAsia="宋体" w:hint="default"/>
        </w:rPr>
        <w:t>1</w:t>
      </w:r>
      <w:r>
        <w:rPr/>
        <w:t>）小型微利企业 </w:t>
      </w:r>
      <w:r>
        <w:rPr>
          <w:spacing w:val="-1"/>
        </w:rPr>
        <w:t>根据财税〔</w:t>
      </w:r>
      <w:r>
        <w:rPr>
          <w:rFonts w:ascii="宋体" w:hAnsi="宋体" w:cs="宋体" w:eastAsia="宋体" w:hint="default"/>
          <w:spacing w:val="-1"/>
        </w:rPr>
        <w:t>2018</w:t>
      </w:r>
      <w:r>
        <w:rPr>
          <w:spacing w:val="-1"/>
        </w:rPr>
        <w:t>〕</w:t>
      </w:r>
      <w:r>
        <w:rPr>
          <w:rFonts w:ascii="宋体" w:hAnsi="宋体" w:cs="宋体" w:eastAsia="宋体" w:hint="default"/>
          <w:spacing w:val="-1"/>
        </w:rPr>
        <w:t>77</w:t>
      </w:r>
      <w:r>
        <w:rPr>
          <w:spacing w:val="-1"/>
        </w:rPr>
        <w:t>号文件，自</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2020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日，符合条件的小型微利企业，无论采</w:t>
      </w:r>
    </w:p>
    <w:p>
      <w:pPr>
        <w:pStyle w:val="Heading4"/>
        <w:spacing w:line="273" w:lineRule="auto"/>
        <w:ind w:right="0"/>
        <w:jc w:val="left"/>
      </w:pPr>
      <w:r>
        <w:rPr>
          <w:spacing w:val="-1"/>
        </w:rPr>
        <w:t>取查账征收方式还是核定征收方式，其年应纳税所得额低于</w:t>
      </w:r>
      <w:r>
        <w:rPr>
          <w:rFonts w:ascii="宋体" w:hAnsi="宋体" w:cs="宋体" w:eastAsia="宋体" w:hint="default"/>
          <w:spacing w:val="-1"/>
        </w:rPr>
        <w:t>100</w:t>
      </w:r>
      <w:r>
        <w:rPr>
          <w:spacing w:val="-1"/>
        </w:rPr>
        <w:t>万元（含</w:t>
      </w:r>
      <w:r>
        <w:rPr>
          <w:rFonts w:ascii="宋体" w:hAnsi="宋体" w:cs="宋体" w:eastAsia="宋体" w:hint="default"/>
          <w:spacing w:val="-1"/>
        </w:rPr>
        <w:t>100</w:t>
      </w:r>
      <w:r>
        <w:rPr>
          <w:spacing w:val="-1"/>
        </w:rPr>
        <w:t>万元）的，均可以享受所得减</w:t>
      </w:r>
      <w:r>
        <w:rPr>
          <w:spacing w:val="-84"/>
        </w:rPr>
        <w:t> </w:t>
      </w:r>
      <w:r>
        <w:rPr>
          <w:spacing w:val="-84"/>
        </w:rPr>
      </w:r>
      <w:r>
        <w:rPr/>
        <w:t>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的税率缴纳企业所得税的优惠政策。</w:t>
      </w:r>
    </w:p>
    <w:p>
      <w:pPr>
        <w:pStyle w:val="Heading4"/>
        <w:spacing w:line="273" w:lineRule="auto"/>
        <w:ind w:left="534" w:right="0"/>
        <w:jc w:val="left"/>
      </w:pPr>
      <w:r>
        <w:rPr/>
        <w:t>（</w:t>
      </w:r>
      <w:r>
        <w:rPr>
          <w:rFonts w:ascii="宋体" w:hAnsi="宋体" w:cs="宋体" w:eastAsia="宋体" w:hint="default"/>
        </w:rPr>
        <w:t>2</w:t>
      </w:r>
      <w:r>
        <w:rPr/>
        <w:t>）高新技术企业 据企业所得税法及实施条例的规定，自获得高新技术企业认定资格当年起，企业所得税减按</w:t>
      </w:r>
      <w:r>
        <w:rPr>
          <w:rFonts w:ascii="宋体" w:hAnsi="宋体" w:cs="宋体" w:eastAsia="宋体" w:hint="default"/>
        </w:rPr>
        <w:t>15%</w:t>
      </w:r>
      <w:r>
        <w:rPr/>
        <w:t>的优</w:t>
      </w:r>
    </w:p>
    <w:p>
      <w:pPr>
        <w:pStyle w:val="Heading4"/>
        <w:spacing w:line="240" w:lineRule="auto"/>
        <w:ind w:right="0"/>
        <w:jc w:val="left"/>
      </w:pPr>
      <w:r>
        <w:rPr/>
        <w:t>惠税率征收。</w:t>
      </w:r>
    </w:p>
    <w:p>
      <w:pPr>
        <w:pStyle w:val="Heading4"/>
        <w:spacing w:line="240" w:lineRule="auto" w:before="37"/>
        <w:ind w:left="534" w:right="0"/>
        <w:jc w:val="left"/>
      </w:pPr>
      <w:r>
        <w:rPr/>
        <w:t>本期符合高新技术企业税收优惠政策的公司包括：</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227"/>
        <w:gridCol w:w="1702"/>
        <w:gridCol w:w="1700"/>
        <w:gridCol w:w="1900"/>
      </w:tblGrid>
      <w:tr>
        <w:trPr>
          <w:trHeight w:val="668" w:hRule="exact"/>
        </w:trPr>
        <w:tc>
          <w:tcPr>
            <w:tcW w:w="32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066"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03" w:right="123" w:hanging="180"/>
              <w:jc w:val="left"/>
              <w:rPr>
                <w:rFonts w:ascii="宋体" w:hAnsi="宋体" w:cs="宋体" w:eastAsia="宋体" w:hint="default"/>
                <w:sz w:val="18"/>
                <w:szCs w:val="18"/>
              </w:rPr>
            </w:pPr>
            <w:r>
              <w:rPr>
                <w:rFonts w:ascii="宋体" w:hAnsi="宋体" w:cs="宋体" w:eastAsia="宋体" w:hint="default"/>
                <w:sz w:val="18"/>
                <w:szCs w:val="18"/>
              </w:rPr>
              <w:t>《高新技术企业证 书》证书编号</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颁发日期</w:t>
            </w:r>
          </w:p>
        </w:tc>
        <w:tc>
          <w:tcPr>
            <w:tcW w:w="19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减免期限</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GR201844004266</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9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年度至</w:t>
            </w:r>
            <w:r>
              <w:rPr>
                <w:rFonts w:ascii="宋体" w:hAnsi="宋体" w:cs="宋体" w:eastAsia="宋体" w:hint="default"/>
                <w:sz w:val="18"/>
                <w:szCs w:val="18"/>
              </w:rPr>
              <w:t>2020</w:t>
            </w:r>
            <w:r>
              <w:rPr>
                <w:rFonts w:ascii="宋体" w:hAnsi="宋体" w:cs="宋体" w:eastAsia="宋体" w:hint="default"/>
                <w:sz w:val="18"/>
                <w:szCs w:val="18"/>
              </w:rPr>
              <w:t>年度</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GR201644002270</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9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年度至</w:t>
            </w:r>
            <w:r>
              <w:rPr>
                <w:rFonts w:ascii="宋体" w:hAnsi="宋体" w:cs="宋体" w:eastAsia="宋体" w:hint="default"/>
                <w:sz w:val="18"/>
                <w:szCs w:val="18"/>
              </w:rPr>
              <w:t>2018</w:t>
            </w:r>
            <w:r>
              <w:rPr>
                <w:rFonts w:ascii="宋体" w:hAnsi="宋体" w:cs="宋体" w:eastAsia="宋体" w:hint="default"/>
                <w:sz w:val="18"/>
                <w:szCs w:val="18"/>
              </w:rPr>
              <w:t>年度</w:t>
            </w:r>
          </w:p>
        </w:tc>
      </w:tr>
      <w:tr>
        <w:trPr>
          <w:trHeight w:val="353"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GR201641000058</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9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年度至</w:t>
            </w:r>
            <w:r>
              <w:rPr>
                <w:rFonts w:ascii="宋体" w:hAnsi="宋体" w:cs="宋体" w:eastAsia="宋体" w:hint="default"/>
                <w:sz w:val="18"/>
                <w:szCs w:val="18"/>
              </w:rPr>
              <w:t>2018</w:t>
            </w:r>
            <w:r>
              <w:rPr>
                <w:rFonts w:ascii="宋体" w:hAnsi="宋体" w:cs="宋体" w:eastAsia="宋体" w:hint="default"/>
                <w:sz w:val="18"/>
                <w:szCs w:val="18"/>
              </w:rPr>
              <w:t>年度</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郑州智游爱峰科技有限公司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GR201641000319</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9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年度至</w:t>
            </w:r>
            <w:r>
              <w:rPr>
                <w:rFonts w:ascii="宋体" w:hAnsi="宋体" w:cs="宋体" w:eastAsia="宋体" w:hint="default"/>
                <w:sz w:val="18"/>
                <w:szCs w:val="18"/>
              </w:rPr>
              <w:t>2018</w:t>
            </w:r>
            <w:r>
              <w:rPr>
                <w:rFonts w:ascii="宋体" w:hAnsi="宋体" w:cs="宋体" w:eastAsia="宋体" w:hint="default"/>
                <w:sz w:val="18"/>
                <w:szCs w:val="18"/>
              </w:rPr>
              <w:t>年度</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北京完美空间教育科技有限公司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GR201611001169</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9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年度至</w:t>
            </w:r>
            <w:r>
              <w:rPr>
                <w:rFonts w:ascii="宋体" w:hAnsi="宋体" w:cs="宋体" w:eastAsia="宋体" w:hint="default"/>
                <w:sz w:val="18"/>
                <w:szCs w:val="18"/>
              </w:rPr>
              <w:t>2018</w:t>
            </w:r>
            <w:r>
              <w:rPr>
                <w:rFonts w:ascii="宋体" w:hAnsi="宋体" w:cs="宋体" w:eastAsia="宋体" w:hint="default"/>
                <w:sz w:val="18"/>
                <w:szCs w:val="18"/>
              </w:rPr>
              <w:t>年度</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上海昊育信息技术有限公司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GR201631000847</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19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年度至</w:t>
            </w:r>
            <w:r>
              <w:rPr>
                <w:rFonts w:ascii="宋体" w:hAnsi="宋体" w:cs="宋体" w:eastAsia="宋体" w:hint="default"/>
                <w:sz w:val="18"/>
                <w:szCs w:val="18"/>
              </w:rPr>
              <w:t>2018</w:t>
            </w:r>
            <w:r>
              <w:rPr>
                <w:rFonts w:ascii="宋体" w:hAnsi="宋体" w:cs="宋体" w:eastAsia="宋体" w:hint="default"/>
                <w:sz w:val="18"/>
                <w:szCs w:val="18"/>
              </w:rPr>
              <w:t>年度</w:t>
            </w:r>
          </w:p>
        </w:tc>
      </w:tr>
    </w:tbl>
    <w:p>
      <w:pPr>
        <w:spacing w:line="240" w:lineRule="auto" w:before="2"/>
        <w:rPr>
          <w:rFonts w:ascii="宋体" w:hAnsi="宋体" w:cs="宋体" w:eastAsia="宋体" w:hint="default"/>
          <w:sz w:val="8"/>
          <w:szCs w:val="8"/>
        </w:rPr>
      </w:pPr>
    </w:p>
    <w:p>
      <w:pPr>
        <w:pStyle w:val="Heading4"/>
        <w:spacing w:line="240" w:lineRule="auto" w:before="35"/>
        <w:ind w:left="534" w:right="0"/>
        <w:jc w:val="left"/>
      </w:pPr>
      <w:r>
        <w:rPr/>
        <w:t>注：根据</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w:t>
      </w:r>
      <w:r>
        <w:rPr/>
        <w:t>日科学技术部火炬高技术产业开发中心《关于广东省</w:t>
      </w:r>
      <w:r>
        <w:rPr>
          <w:rFonts w:ascii="宋体" w:hAnsi="宋体" w:cs="宋体" w:eastAsia="宋体" w:hint="default"/>
        </w:rPr>
        <w:t>2018</w:t>
      </w:r>
      <w:r>
        <w:rPr/>
        <w:t>年第一批高新技术企业</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pPr>
      <w:r>
        <w:rPr/>
        <w:t>备案的复函</w:t>
      </w:r>
      <w:r>
        <w:rPr>
          <w:spacing w:val="-106"/>
        </w:rPr>
        <w:t>》</w:t>
      </w:r>
      <w:r>
        <w:rPr/>
        <w:t>（国科火字</w:t>
      </w:r>
      <w:r>
        <w:rPr>
          <w:rFonts w:ascii="宋体" w:hAnsi="宋体" w:cs="宋体" w:eastAsia="宋体" w:hint="default"/>
        </w:rPr>
        <w:t>[2019]85</w:t>
      </w:r>
      <w:r>
        <w:rPr/>
        <w:t>号</w:t>
      </w:r>
      <w:r>
        <w:rPr>
          <w:spacing w:val="-106"/>
        </w:rPr>
        <w:t>）</w:t>
      </w:r>
      <w:r>
        <w:rPr/>
        <w:t>，公司通过了高新技术企业的复审，资格有效期</w:t>
      </w:r>
      <w:r>
        <w:rPr>
          <w:rFonts w:ascii="宋体" w:hAnsi="宋体" w:cs="宋体" w:eastAsia="宋体" w:hint="default"/>
        </w:rPr>
        <w:t>3</w:t>
      </w:r>
      <w:r>
        <w:rPr/>
        <w:t>年。</w:t>
      </w:r>
    </w:p>
    <w:p>
      <w:pPr>
        <w:pStyle w:val="Heading4"/>
        <w:spacing w:line="273" w:lineRule="auto" w:before="37"/>
        <w:ind w:left="534" w:right="0"/>
        <w:jc w:val="left"/>
      </w:pPr>
      <w:r>
        <w:rPr/>
        <w:t>（</w:t>
      </w:r>
      <w:r>
        <w:rPr>
          <w:rFonts w:ascii="宋体" w:hAnsi="宋体" w:cs="宋体" w:eastAsia="宋体" w:hint="default"/>
        </w:rPr>
        <w:t>3</w:t>
      </w:r>
      <w:r>
        <w:rPr/>
        <w:t>）新疆喀什、霍尔果斯两个特殊经济开发区企业所得税优惠政策 根据财政部国家税务总局《关于新疆喀什霍尔果斯两个特殊经济开发区企业所得税优惠政策的通知》</w:t>
      </w:r>
    </w:p>
    <w:p>
      <w:pPr>
        <w:pStyle w:val="Heading4"/>
        <w:spacing w:line="273" w:lineRule="auto"/>
        <w:ind w:right="0"/>
        <w:jc w:val="left"/>
      </w:pPr>
      <w:r>
        <w:rPr>
          <w:spacing w:val="-3"/>
        </w:rPr>
        <w:t>（财税</w:t>
      </w:r>
      <w:r>
        <w:rPr>
          <w:rFonts w:ascii="宋体" w:hAnsi="宋体" w:cs="宋体" w:eastAsia="宋体" w:hint="default"/>
          <w:spacing w:val="-3"/>
        </w:rPr>
        <w:t>[2011]112</w:t>
      </w:r>
      <w:r>
        <w:rPr>
          <w:spacing w:val="-3"/>
        </w:rPr>
        <w:t>号），自</w:t>
      </w:r>
      <w:r>
        <w:rPr>
          <w:rFonts w:ascii="宋体" w:hAnsi="宋体" w:cs="宋体" w:eastAsia="宋体" w:hint="default"/>
          <w:spacing w:val="-3"/>
        </w:rPr>
        <w:t>2010</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日，对在新疆喀什、霍尔果斯两个特殊经济开发区</w:t>
      </w:r>
      <w:r>
        <w:rPr>
          <w:spacing w:val="-70"/>
        </w:rPr>
        <w:t> </w:t>
      </w:r>
      <w:r>
        <w:rPr>
          <w:spacing w:val="-70"/>
        </w:rPr>
      </w:r>
      <w:r>
        <w:rPr>
          <w:spacing w:val="-8"/>
        </w:rPr>
        <w:t>内新办的属于《新疆困难地区重点鼓励发展产业企业所得税优惠目录》（以下简称《目录》）范围内的企业，</w:t>
      </w:r>
      <w:r>
        <w:rPr>
          <w:spacing w:val="-64"/>
        </w:rPr>
        <w:t> </w:t>
      </w:r>
      <w:r>
        <w:rPr>
          <w:spacing w:val="-64"/>
        </w:rPr>
      </w:r>
      <w:r>
        <w:rPr/>
        <w:t>自取得第一笔生产经营收入所属纳税年度起，五年内免征企业所得税。</w:t>
      </w:r>
    </w:p>
    <w:p>
      <w:pPr>
        <w:pStyle w:val="Heading4"/>
        <w:spacing w:line="273" w:lineRule="auto"/>
        <w:ind w:right="0" w:firstLine="420"/>
        <w:jc w:val="left"/>
      </w:pPr>
      <w:r>
        <w:rPr>
          <w:spacing w:val="-1"/>
        </w:rPr>
        <w:t>霍尔果斯臻龙教育科技有限公司、霍尔果斯众妙合一信息技术有限公司、新疆联汛展望教育科技有限</w:t>
      </w:r>
      <w:r>
        <w:rPr/>
        <w:t> 公司自</w:t>
      </w:r>
      <w:r>
        <w:rPr>
          <w:rFonts w:ascii="宋体" w:hAnsi="宋体" w:cs="宋体" w:eastAsia="宋体" w:hint="default"/>
        </w:rPr>
        <w:t>2017</w:t>
      </w:r>
      <w:r>
        <w:rPr/>
        <w:t>年取得第一笔生产经营收入，</w:t>
      </w:r>
      <w:r>
        <w:rPr>
          <w:rFonts w:ascii="宋体" w:hAnsi="宋体" w:cs="宋体" w:eastAsia="宋体" w:hint="default"/>
        </w:rPr>
        <w:t>2017</w:t>
      </w:r>
      <w:r>
        <w:rPr/>
        <w:t>年度至</w:t>
      </w:r>
      <w:r>
        <w:rPr>
          <w:rFonts w:ascii="宋体" w:hAnsi="宋体" w:cs="宋体" w:eastAsia="宋体" w:hint="default"/>
        </w:rPr>
        <w:t>2020</w:t>
      </w:r>
      <w:r>
        <w:rPr/>
        <w:t>年度期间享受</w:t>
      </w:r>
      <w:r>
        <w:rPr>
          <w:rFonts w:ascii="宋体" w:hAnsi="宋体" w:cs="宋体" w:eastAsia="宋体" w:hint="default"/>
        </w:rPr>
        <w:t>0%</w:t>
      </w:r>
      <w:r>
        <w:rPr/>
        <w:t>的企业所得税优惠税率。</w:t>
      </w:r>
    </w:p>
    <w:p>
      <w:pPr>
        <w:spacing w:line="240" w:lineRule="auto" w:before="8"/>
        <w:rPr>
          <w:rFonts w:ascii="宋体" w:hAnsi="宋体" w:cs="宋体" w:eastAsia="宋体" w:hint="default"/>
          <w:sz w:val="23"/>
          <w:szCs w:val="23"/>
        </w:rPr>
      </w:pPr>
    </w:p>
    <w:p>
      <w:pPr>
        <w:spacing w:line="487" w:lineRule="auto" w:before="0"/>
        <w:ind w:left="114" w:right="7692" w:firstLine="0"/>
        <w:jc w:val="left"/>
        <w:rPr>
          <w:rFonts w:ascii="宋体" w:hAnsi="宋体" w:cs="宋体" w:eastAsia="宋体" w:hint="default"/>
          <w:sz w:val="21"/>
          <w:szCs w:val="21"/>
        </w:rPr>
      </w:pPr>
      <w:bookmarkStart w:name="3、其他" w:id="222"/>
      <w:bookmarkEnd w:id="2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3"/>
      <w:bookmarkEnd w:id="2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4"/>
      <w:bookmarkEnd w:id="22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690,924.49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1,146,556.41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428,729,209.53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546,647,743.87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7,160,729.05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5,040,755.80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436,580,863.07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552,835,056.08</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5"/>
          <w:szCs w:val="15"/>
        </w:rPr>
      </w:pPr>
    </w:p>
    <w:p>
      <w:pPr>
        <w:pStyle w:val="Heading4"/>
        <w:spacing w:line="240" w:lineRule="auto" w:before="0"/>
        <w:ind w:right="0"/>
        <w:jc w:val="left"/>
      </w:pPr>
      <w:r>
        <w:rPr/>
        <w:t>受限制的货币资金明细如下：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578"/>
        <w:gridCol w:w="2391"/>
        <w:gridCol w:w="2390"/>
      </w:tblGrid>
      <w:tr>
        <w:trPr>
          <w:trHeight w:val="355" w:hRule="exact"/>
        </w:trPr>
        <w:tc>
          <w:tcPr>
            <w:tcW w:w="3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3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1,980,729.05</w:t>
            </w:r>
          </w:p>
        </w:tc>
        <w:tc>
          <w:tcPr>
            <w:tcW w:w="23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4,901,838.25</w:t>
            </w: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3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5,180,000.00</w:t>
            </w:r>
          </w:p>
        </w:tc>
        <w:tc>
          <w:tcPr>
            <w:tcW w:w="23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7,160,729.05</w:t>
            </w:r>
          </w:p>
        </w:tc>
        <w:tc>
          <w:tcPr>
            <w:tcW w:w="23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4,901,838.25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4、应收票据及应收账款" w:id="227"/>
      <w:bookmarkEnd w:id="227"/>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2,421,034.00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360,894,910.32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181,820,430.77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360,894,910.32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184,241,464.77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28"/>
      <w:bookmarkEnd w:id="22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2,421,034.00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2,421,034.00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账款" w:id="229"/>
      <w:bookmarkEnd w:id="22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24,541,</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508.57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6.21%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10,195,</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923.07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41.55</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14,345,</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585.50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5" w:right="0"/>
              <w:jc w:val="left"/>
              <w:rPr>
                <w:rFonts w:ascii="Times New Roman" w:hAnsi="Times New Roman" w:cs="Times New Roman" w:eastAsia="Times New Roman" w:hint="default"/>
                <w:sz w:val="18"/>
                <w:szCs w:val="18"/>
              </w:rPr>
            </w:pPr>
            <w:r>
              <w:rPr>
                <w:rFonts w:ascii="Times New Roman"/>
                <w:sz w:val="18"/>
              </w:rPr>
              <w:t>370,57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3" w:right="0"/>
              <w:jc w:val="left"/>
              <w:rPr>
                <w:rFonts w:ascii="Times New Roman" w:hAnsi="Times New Roman" w:cs="Times New Roman" w:eastAsia="Times New Roman" w:hint="default"/>
                <w:sz w:val="18"/>
                <w:szCs w:val="18"/>
              </w:rPr>
            </w:pPr>
            <w:r>
              <w:rPr>
                <w:rFonts w:ascii="Times New Roman"/>
                <w:sz w:val="18"/>
              </w:rPr>
              <w:t>93.79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24,020,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6.48%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1" w:right="0"/>
              <w:jc w:val="left"/>
              <w:rPr>
                <w:rFonts w:ascii="Times New Roman" w:hAnsi="Times New Roman" w:cs="Times New Roman" w:eastAsia="Times New Roman" w:hint="default"/>
                <w:sz w:val="18"/>
                <w:szCs w:val="18"/>
              </w:rPr>
            </w:pPr>
            <w:r>
              <w:rPr>
                <w:rFonts w:ascii="Times New Roman"/>
                <w:sz w:val="18"/>
              </w:rPr>
              <w:t>346,54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6" w:right="0"/>
              <w:jc w:val="left"/>
              <w:rPr>
                <w:rFonts w:ascii="Times New Roman" w:hAnsi="Times New Roman" w:cs="Times New Roman" w:eastAsia="Times New Roman" w:hint="default"/>
                <w:sz w:val="18"/>
                <w:szCs w:val="18"/>
              </w:rPr>
            </w:pPr>
            <w:r>
              <w:rPr>
                <w:rFonts w:ascii="Times New Roman"/>
                <w:sz w:val="18"/>
              </w:rPr>
              <w:t>196,4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4"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center"/>
              <w:rPr>
                <w:rFonts w:ascii="Times New Roman" w:hAnsi="Times New Roman" w:cs="Times New Roman" w:eastAsia="Times New Roman" w:hint="default"/>
                <w:sz w:val="18"/>
                <w:szCs w:val="18"/>
              </w:rPr>
            </w:pPr>
            <w:r>
              <w:rPr>
                <w:rFonts w:ascii="Times New Roman"/>
                <w:sz w:val="18"/>
              </w:rPr>
              <w:t>14,610,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7.44%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181,820,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59"/>
              <w:jc w:val="left"/>
              <w:rPr>
                <w:rFonts w:ascii="宋体" w:hAnsi="宋体" w:cs="宋体" w:eastAsia="宋体" w:hint="default"/>
                <w:sz w:val="18"/>
                <w:szCs w:val="18"/>
              </w:rPr>
            </w:pPr>
            <w:r>
              <w:rPr>
                <w:rFonts w:ascii="宋体" w:hAnsi="宋体" w:cs="宋体" w:eastAsia="宋体" w:hint="default"/>
                <w:sz w:val="18"/>
                <w:szCs w:val="18"/>
              </w:rPr>
              <w:t>组合计提坏账准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0,157.6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Times New Roman" w:hAnsi="Times New Roman" w:cs="Times New Roman" w:eastAsia="Times New Roman" w:hint="default"/>
                <w:sz w:val="18"/>
                <w:szCs w:val="18"/>
              </w:rPr>
            </w:pPr>
            <w:r>
              <w:rPr>
                <w:rFonts w:ascii="Times New Roman"/>
                <w:sz w:val="18"/>
              </w:rPr>
              <w:t>832.78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9,324.8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30,99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Times New Roman" w:hAnsi="Times New Roman" w:cs="Times New Roman" w:eastAsia="Times New Roman" w:hint="default"/>
                <w:sz w:val="18"/>
                <w:szCs w:val="18"/>
              </w:rPr>
            </w:pPr>
            <w:r>
              <w:rPr>
                <w:rFonts w:ascii="Times New Roman"/>
                <w:sz w:val="18"/>
              </w:rPr>
              <w:t>569.00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430.77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2"/>
                <w:sz w:val="18"/>
              </w:rPr>
              <w:t>395,11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1,666.1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34,216,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755.85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8.66%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360,89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4,910.3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196,4</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30,99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14,610,</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569.00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7.44%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181,820,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430.77</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北京平大境界酒业有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4,047,815.00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4,047,815.00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9"/>
              <w:jc w:val="left"/>
              <w:rPr>
                <w:rFonts w:ascii="宋体" w:hAnsi="宋体" w:cs="宋体" w:eastAsia="宋体" w:hint="default"/>
                <w:sz w:val="18"/>
                <w:szCs w:val="18"/>
              </w:rPr>
            </w:pPr>
            <w:r>
              <w:rPr>
                <w:rFonts w:ascii="宋体" w:hAnsi="宋体" w:cs="宋体" w:eastAsia="宋体" w:hint="default"/>
                <w:sz w:val="18"/>
                <w:szCs w:val="18"/>
              </w:rPr>
              <w:t>收回货款的可能性很 小</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20,493,693.57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6,148,108.07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9"/>
              <w:jc w:val="left"/>
              <w:rPr>
                <w:rFonts w:ascii="宋体" w:hAnsi="宋体" w:cs="宋体" w:eastAsia="宋体" w:hint="default"/>
                <w:sz w:val="18"/>
                <w:szCs w:val="18"/>
              </w:rPr>
            </w:pPr>
            <w:r>
              <w:rPr>
                <w:rFonts w:ascii="宋体" w:hAnsi="宋体" w:cs="宋体" w:eastAsia="宋体" w:hint="default"/>
                <w:sz w:val="18"/>
                <w:szCs w:val="18"/>
              </w:rPr>
              <w:t>按预计可收回金额计 提坏账准备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24,541,508.57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10,195,923.07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075" w:space="475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303,625,627.85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15,181,281.38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61,963,675.79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6,196,367.58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1,672,477.86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501,743.37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1,078,913.45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539,456.73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2,091,596.40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1,464,117.47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137,866.25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137,866.25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370,570,157.60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24,020,832.78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360" w:lineRule="auto" w:before="51"/>
        <w:ind w:right="1644"/>
        <w:jc w:val="left"/>
      </w:pPr>
      <w:r>
        <w:rPr/>
        <w:t>确定该组合依据的说明： 组合中，采用余额百分比法计提坏账准备的应收账款：</w:t>
      </w:r>
    </w:p>
    <w:p>
      <w:pPr>
        <w:pStyle w:val="BodyText"/>
        <w:spacing w:line="360" w:lineRule="auto" w:before="26"/>
        <w:ind w:right="2004"/>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3"/>
        <w:ind w:right="-18"/>
        <w:jc w:val="left"/>
      </w:pPr>
      <w:r>
        <w:rPr/>
        <w:t>本期计提坏账准备金额</w:t>
      </w:r>
      <w:r>
        <w:rPr>
          <w:spacing w:val="-47"/>
        </w:rPr>
        <w:t> </w:t>
      </w:r>
      <w:r>
        <w:rPr>
          <w:rFonts w:ascii="Times New Roman" w:hAnsi="Times New Roman" w:cs="Times New Roman" w:eastAsia="Times New Roman" w:hint="default"/>
        </w:rPr>
        <w:t>13,330,528.25</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13" w:right="0"/>
        <w:jc w:val="left"/>
      </w:pPr>
      <w:r>
        <w:rPr/>
        <w:t>单位： 元</w:t>
      </w:r>
    </w:p>
    <w:p>
      <w:pPr>
        <w:spacing w:after="0" w:line="240" w:lineRule="auto"/>
        <w:jc w:val="left"/>
        <w:sectPr>
          <w:type w:val="continuous"/>
          <w:pgSz w:w="11910" w:h="16840"/>
          <w:pgMar w:top="1100" w:bottom="1200" w:left="1020" w:right="0"/>
          <w:cols w:num="2" w:equalWidth="0">
            <w:col w:w="6099" w:space="2730"/>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6,275,658.60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6,275,658.60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48" w:lineRule="auto" w:before="51"/>
        <w:ind w:right="6822"/>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35"/>
        <w:ind w:right="0"/>
        <w:jc w:val="left"/>
      </w:pPr>
      <w:r>
        <w:rPr/>
        <w:t>否</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902"/>
        <w:gridCol w:w="1959"/>
        <w:gridCol w:w="1540"/>
        <w:gridCol w:w="1958"/>
      </w:tblGrid>
      <w:tr>
        <w:trPr>
          <w:trHeight w:val="667" w:hRule="exact"/>
        </w:trPr>
        <w:tc>
          <w:tcPr>
            <w:tcW w:w="29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4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266" w:right="41" w:hanging="225"/>
              <w:jc w:val="left"/>
              <w:rPr>
                <w:rFonts w:ascii="宋体" w:hAnsi="宋体" w:cs="宋体" w:eastAsia="宋体" w:hint="default"/>
                <w:sz w:val="18"/>
                <w:szCs w:val="18"/>
              </w:rPr>
            </w:pPr>
            <w:r>
              <w:rPr>
                <w:rFonts w:ascii="宋体" w:hAnsi="宋体" w:cs="宋体" w:eastAsia="宋体" w:hint="default"/>
                <w:sz w:val="18"/>
                <w:szCs w:val="18"/>
              </w:rPr>
              <w:t>占应收账款期末余 额的比例</w:t>
            </w:r>
            <w:r>
              <w:rPr>
                <w:rFonts w:ascii="宋体" w:hAnsi="宋体" w:cs="宋体" w:eastAsia="宋体" w:hint="default"/>
                <w:sz w:val="18"/>
                <w:szCs w:val="18"/>
              </w:rPr>
              <w:t>(%)</w:t>
            </w:r>
          </w:p>
        </w:tc>
        <w:tc>
          <w:tcPr>
            <w:tcW w:w="19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2" w:hRule="exact"/>
        </w:trPr>
        <w:tc>
          <w:tcPr>
            <w:tcW w:w="29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茂名市电白区教育局</w:t>
            </w:r>
          </w:p>
        </w:tc>
        <w:tc>
          <w:tcPr>
            <w:tcW w:w="1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22,114,301.00</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5.60</w:t>
            </w:r>
          </w:p>
        </w:tc>
        <w:tc>
          <w:tcPr>
            <w:tcW w:w="19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1,105,715.05</w:t>
            </w:r>
          </w:p>
        </w:tc>
      </w:tr>
      <w:tr>
        <w:trPr>
          <w:trHeight w:val="352" w:hRule="exact"/>
        </w:trPr>
        <w:tc>
          <w:tcPr>
            <w:tcW w:w="29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信宜市教育局</w:t>
            </w:r>
          </w:p>
        </w:tc>
        <w:tc>
          <w:tcPr>
            <w:tcW w:w="1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20,406,100.00</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5.16</w:t>
            </w:r>
          </w:p>
        </w:tc>
        <w:tc>
          <w:tcPr>
            <w:tcW w:w="19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1,020,305.00</w:t>
            </w:r>
          </w:p>
        </w:tc>
      </w:tr>
      <w:tr>
        <w:trPr>
          <w:trHeight w:val="353" w:hRule="exact"/>
        </w:trPr>
        <w:tc>
          <w:tcPr>
            <w:tcW w:w="29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上海众达信息产业有限公司</w:t>
            </w:r>
          </w:p>
        </w:tc>
        <w:tc>
          <w:tcPr>
            <w:tcW w:w="1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19,880,749.49</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5.03</w:t>
            </w:r>
          </w:p>
        </w:tc>
        <w:tc>
          <w:tcPr>
            <w:tcW w:w="19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1,351,230.39</w:t>
            </w:r>
          </w:p>
        </w:tc>
      </w:tr>
      <w:tr>
        <w:trPr>
          <w:trHeight w:val="352" w:hRule="exact"/>
        </w:trPr>
        <w:tc>
          <w:tcPr>
            <w:tcW w:w="29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18,718,515.00</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4.74</w:t>
            </w:r>
          </w:p>
        </w:tc>
        <w:tc>
          <w:tcPr>
            <w:tcW w:w="19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935,925.75</w:t>
            </w:r>
          </w:p>
        </w:tc>
      </w:tr>
      <w:tr>
        <w:trPr>
          <w:trHeight w:val="352" w:hRule="exact"/>
        </w:trPr>
        <w:tc>
          <w:tcPr>
            <w:tcW w:w="29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潮州市银河陶瓷有限公司</w:t>
            </w:r>
          </w:p>
        </w:tc>
        <w:tc>
          <w:tcPr>
            <w:tcW w:w="1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7,983,736.40</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2.02</w:t>
            </w:r>
          </w:p>
        </w:tc>
        <w:tc>
          <w:tcPr>
            <w:tcW w:w="19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798,373.64</w:t>
            </w:r>
          </w:p>
        </w:tc>
      </w:tr>
      <w:tr>
        <w:trPr>
          <w:trHeight w:val="353" w:hRule="exact"/>
        </w:trPr>
        <w:tc>
          <w:tcPr>
            <w:tcW w:w="29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89,103,401.89</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22.55</w:t>
            </w:r>
          </w:p>
        </w:tc>
        <w:tc>
          <w:tcPr>
            <w:tcW w:w="19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5,211,549.83</w:t>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预付款项" w:id="230"/>
      <w:bookmarkEnd w:id="23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238,377,145.50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84,635,030.51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2,169,750.40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609,715.00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632,889.32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6,376.00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73,182.00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241,252,967.22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85,251,121.51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714"/>
        <w:gridCol w:w="1419"/>
        <w:gridCol w:w="1282"/>
        <w:gridCol w:w="1050"/>
        <w:gridCol w:w="1894"/>
      </w:tblGrid>
      <w:tr>
        <w:trPr>
          <w:trHeight w:val="667" w:hRule="exact"/>
        </w:trPr>
        <w:tc>
          <w:tcPr>
            <w:tcW w:w="2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29" w:right="1" w:hanging="226"/>
              <w:jc w:val="left"/>
              <w:rPr>
                <w:rFonts w:ascii="宋体" w:hAnsi="宋体" w:cs="宋体" w:eastAsia="宋体" w:hint="default"/>
                <w:sz w:val="18"/>
                <w:szCs w:val="18"/>
              </w:rPr>
            </w:pPr>
            <w:r>
              <w:rPr>
                <w:rFonts w:ascii="宋体" w:hAnsi="宋体" w:cs="宋体" w:eastAsia="宋体" w:hint="default"/>
                <w:sz w:val="18"/>
                <w:szCs w:val="18"/>
              </w:rPr>
              <w:t>占预付账款总额 的比例</w:t>
            </w:r>
            <w:r>
              <w:rPr>
                <w:rFonts w:ascii="宋体" w:hAnsi="宋体" w:cs="宋体" w:eastAsia="宋体" w:hint="default"/>
                <w:sz w:val="18"/>
                <w:szCs w:val="18"/>
              </w:rPr>
              <w:t>(%)</w:t>
            </w:r>
          </w:p>
        </w:tc>
        <w:tc>
          <w:tcPr>
            <w:tcW w:w="10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8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8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3" w:hRule="exact"/>
        </w:trPr>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潮州市枫溪区锦汇陶瓷原料厂</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91,351,198.28</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37.87</w:t>
            </w:r>
          </w:p>
        </w:tc>
        <w:tc>
          <w:tcPr>
            <w:tcW w:w="105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年以内</w:t>
            </w:r>
          </w:p>
        </w:tc>
        <w:tc>
          <w:tcPr>
            <w:tcW w:w="18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352" w:hRule="exact"/>
        </w:trPr>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潮州市名源陶瓷有限公司</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56,184,459.73</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23.29</w:t>
            </w:r>
          </w:p>
        </w:tc>
        <w:tc>
          <w:tcPr>
            <w:tcW w:w="105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年以内</w:t>
            </w:r>
          </w:p>
        </w:tc>
        <w:tc>
          <w:tcPr>
            <w:tcW w:w="18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352" w:hRule="exact"/>
        </w:trPr>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潮州市源发陶瓷有限公司</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42,587,933.66</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17.65</w:t>
            </w:r>
          </w:p>
        </w:tc>
        <w:tc>
          <w:tcPr>
            <w:tcW w:w="105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年以内</w:t>
            </w:r>
          </w:p>
        </w:tc>
        <w:tc>
          <w:tcPr>
            <w:tcW w:w="18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665" w:hRule="exact"/>
        </w:trPr>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74"/>
              <w:jc w:val="left"/>
              <w:rPr>
                <w:rFonts w:ascii="宋体" w:hAnsi="宋体" w:cs="宋体" w:eastAsia="宋体" w:hint="default"/>
                <w:sz w:val="18"/>
                <w:szCs w:val="18"/>
              </w:rPr>
            </w:pPr>
            <w:r>
              <w:rPr>
                <w:rFonts w:ascii="宋体" w:hAnsi="宋体" w:cs="宋体" w:eastAsia="宋体" w:hint="default"/>
                <w:sz w:val="18"/>
                <w:szCs w:val="18"/>
              </w:rPr>
              <w:t>喀什汉格尚华网络科技发展有限 公司</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5,195,388.00</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2.15</w:t>
            </w:r>
          </w:p>
        </w:tc>
        <w:tc>
          <w:tcPr>
            <w:tcW w:w="105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年以内</w:t>
            </w:r>
          </w:p>
        </w:tc>
        <w:tc>
          <w:tcPr>
            <w:tcW w:w="18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未到票税金</w:t>
            </w:r>
          </w:p>
        </w:tc>
      </w:tr>
      <w:tr>
        <w:trPr>
          <w:trHeight w:val="352" w:hRule="exact"/>
        </w:trPr>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广州邦讯信息系统有限公司</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4,411,999.91</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1.83</w:t>
            </w:r>
          </w:p>
        </w:tc>
        <w:tc>
          <w:tcPr>
            <w:tcW w:w="105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年以内</w:t>
            </w:r>
          </w:p>
        </w:tc>
        <w:tc>
          <w:tcPr>
            <w:tcW w:w="18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未到票税金及未到货</w:t>
            </w:r>
          </w:p>
        </w:tc>
      </w:tr>
      <w:tr>
        <w:trPr>
          <w:trHeight w:val="352" w:hRule="exact"/>
        </w:trPr>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199,730,979.58</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82.79</w:t>
            </w:r>
          </w:p>
        </w:tc>
        <w:tc>
          <w:tcPr>
            <w:tcW w:w="1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8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5"/>
        <w:rPr>
          <w:rFonts w:ascii="宋体" w:hAnsi="宋体" w:cs="宋体" w:eastAsia="宋体" w:hint="default"/>
          <w:b/>
          <w:bCs/>
          <w:sz w:val="24"/>
          <w:szCs w:val="24"/>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1,094,799.61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866,930.21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355,821,874.15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10,797,484.37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356,916,673.76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11,664,414.58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4"/>
      <w:bookmarkEnd w:id="23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1,094,799.61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866,930.21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1,094,799.61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866,930.21</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股利" w:id="235"/>
      <w:bookmarkEnd w:id="23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1)</w:t>
      </w:r>
      <w:r>
        <w:rPr/>
        <w:t>应收股利</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236"/>
      <w:bookmarkEnd w:id="23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375,65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6,841.7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19,834,</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967.60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355,82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1,874.1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11,39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9,679</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602,194</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10,797,4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84.37</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375,65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6,841.7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19,834,</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967.60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355,82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1,874.1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11,39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9,679</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602,194</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10,797,4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84.37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435" w:space="439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365,233,904.31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18,261,695.25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6,198,540.71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619,854.08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2,542,062.61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762,618.78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28,470.00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14,235.00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87,325.00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61,127.50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115,437.00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115,436.99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374,205,739.63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19,834,967.60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5.30%</w:t>
            </w:r>
          </w:p>
        </w:tc>
      </w:tr>
    </w:tbl>
    <w:p>
      <w:pPr>
        <w:pStyle w:val="BodyText"/>
        <w:spacing w:line="240" w:lineRule="auto" w:before="51"/>
        <w:ind w:right="0"/>
        <w:jc w:val="left"/>
      </w:pPr>
      <w:r>
        <w:rPr/>
        <w:t>确定该组合依据的说明：</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组合中，采用余额百分比法计提坏账准备的其他应收款：</w:t>
      </w:r>
    </w:p>
    <w:p>
      <w:pPr>
        <w:pStyle w:val="BodyText"/>
        <w:spacing w:line="360" w:lineRule="auto" w:before="116"/>
        <w:ind w:right="6612"/>
        <w:jc w:val="left"/>
      </w:pPr>
      <w:r>
        <w:rPr/>
        <w:t>□ 适用 √ 不适用 组合中，采用其他方法计提坏账准备的其他应收款：</w:t>
      </w:r>
    </w:p>
    <w:p>
      <w:pPr>
        <w:pStyle w:val="BodyText"/>
        <w:spacing w:line="240" w:lineRule="auto" w:before="26"/>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951"/>
        <w:gridCol w:w="1990"/>
        <w:gridCol w:w="1990"/>
        <w:gridCol w:w="1427"/>
      </w:tblGrid>
      <w:tr>
        <w:trPr>
          <w:trHeight w:val="435" w:hRule="exact"/>
        </w:trPr>
        <w:tc>
          <w:tcPr>
            <w:tcW w:w="2951"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40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2" w:hRule="exact"/>
        </w:trPr>
        <w:tc>
          <w:tcPr>
            <w:tcW w:w="2951"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32" w:hRule="exact"/>
        </w:trPr>
        <w:tc>
          <w:tcPr>
            <w:tcW w:w="2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应收退税款组合</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1,451,102.12</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c>
          <w:tcPr>
            <w:tcW w:w="1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w:t>
            </w:r>
          </w:p>
        </w:tc>
      </w:tr>
      <w:tr>
        <w:trPr>
          <w:trHeight w:val="432" w:hRule="exact"/>
        </w:trPr>
        <w:tc>
          <w:tcPr>
            <w:tcW w:w="2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1,451,102.12</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c>
          <w:tcPr>
            <w:tcW w:w="1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07" w:footer="1019" w:top="1100" w:bottom="1200" w:left="1020" w:right="0"/>
        </w:sectPr>
      </w:pPr>
    </w:p>
    <w:p>
      <w:pPr>
        <w:pStyle w:val="BodyText"/>
        <w:spacing w:line="240" w:lineRule="auto"/>
        <w:ind w:right="164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8"/>
        <w:jc w:val="left"/>
      </w:pPr>
      <w:r>
        <w:rPr/>
        <w:t>本期计提坏账准备金额</w:t>
      </w:r>
      <w:r>
        <w:rPr>
          <w:spacing w:val="-47"/>
        </w:rPr>
        <w:t> </w:t>
      </w:r>
      <w:r>
        <w:rPr>
          <w:rFonts w:ascii="Times New Roman" w:hAnsi="Times New Roman" w:cs="Times New Roman" w:eastAsia="Times New Roman" w:hint="default"/>
        </w:rPr>
        <w:t>19,072,164.62</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3" w:right="0"/>
        <w:jc w:val="left"/>
      </w:pPr>
      <w:r>
        <w:rPr/>
        <w:t>单位： 元</w:t>
      </w:r>
    </w:p>
    <w:p>
      <w:pPr>
        <w:spacing w:after="0" w:line="240" w:lineRule="auto"/>
        <w:jc w:val="left"/>
        <w:sectPr>
          <w:type w:val="continuous"/>
          <w:pgSz w:w="11910" w:h="16840"/>
          <w:pgMar w:top="1100" w:bottom="1200" w:left="1020" w:right="0"/>
          <w:cols w:num="2" w:equalWidth="0">
            <w:col w:w="6099" w:space="2730"/>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1,490,869.39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1,490,869.39</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1,330,261.32</w:t>
            </w:r>
          </w:p>
        </w:tc>
      </w:tr>
    </w:tbl>
    <w:p>
      <w:pPr>
        <w:pStyle w:val="BodyText"/>
        <w:spacing w:line="240" w:lineRule="auto" w:before="51"/>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162"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2785" w:space="604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360,583,252.71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443,092.57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1,008,993.81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10,719,739.68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3,516,137.25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1,442,383.77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5,165,769.85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软件企业即征即退税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8,718.35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662,307.70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2,459,654.67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546,470.67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375,656,841.75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11,399,679.28</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2" w:right="162" w:hanging="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潮州市名源陶瓷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290,893,363.60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14,544,668.18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潮州市源发陶瓷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1,428,500.00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潮州市枫溪区锦 汇陶瓷原料厂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1,283,500.00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王银涛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225,000.00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上海舟桥实业有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353,133,363.60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17,656,668.18</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2" w:right="143" w:hanging="450"/>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4"/>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4,606,633.21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4,606,633.21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1,993,593.33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1,993,593.33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16,253,658.98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16,253,658.98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9,758,032.48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9,758,032.48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91,436,016.82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11,257,571.79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80,178,445.03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86,985,251.51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9,197,188.08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77,788,063.43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241,520.04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241,520.04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98,934,114.70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1,005,029.12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97,929,085.58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5,651,923.11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5,651,923.11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211,471,943.75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12,262,600.91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199,209,342.84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104,388,800.43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9,197,188.08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95,191,612.35</w:t>
            </w:r>
          </w:p>
        </w:tc>
      </w:tr>
    </w:tbl>
    <w:p>
      <w:pPr>
        <w:pStyle w:val="BodyText"/>
        <w:spacing w:line="240" w:lineRule="auto" w:before="51"/>
        <w:ind w:right="0"/>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否</w:t>
      </w:r>
    </w:p>
    <w:p>
      <w:pPr>
        <w:pStyle w:val="BodyText"/>
        <w:spacing w:line="340" w:lineRule="auto" w:before="116"/>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38" w:lineRule="auto" w:before="4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9,197,188.08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2,354,088.04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293,704.33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11,257,571.79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1,005,029.12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1,005,029.12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9,197,188.08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3,359,117.16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293,704.33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12,262,600.91</w:t>
            </w:r>
          </w:p>
        </w:tc>
      </w:tr>
    </w:tbl>
    <w:p>
      <w:pPr>
        <w:spacing w:line="240" w:lineRule="auto" w:before="1"/>
        <w:rPr>
          <w:rFonts w:ascii="宋体" w:hAnsi="宋体" w:cs="宋体" w:eastAsia="宋体" w:hint="default"/>
          <w:sz w:val="8"/>
          <w:szCs w:val="8"/>
        </w:rPr>
      </w:pPr>
    </w:p>
    <w:p>
      <w:pPr>
        <w:pStyle w:val="Heading4"/>
        <w:spacing w:line="273" w:lineRule="auto" w:before="35"/>
        <w:ind w:left="534" w:right="1092"/>
        <w:jc w:val="left"/>
      </w:pPr>
      <w:r>
        <w:rPr/>
        <w:t>存货跌价准备说明： 本期存货跌价准备减少金额中的转销额为公司本期将前期已计提存货跌价准备的存货对外销售所致。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3）存货期末余额含有借款费用资本化金额的说明" w:id="240"/>
      <w:bookmarkEnd w:id="24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1"/>
      <w:bookmarkEnd w:id="24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持有待售资产" w:id="242"/>
      <w:bookmarkEnd w:id="242"/>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43"/>
      <w:bookmarkEnd w:id="24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10、其他流动资产" w:id="244"/>
      <w:bookmarkEnd w:id="24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12,597,894.67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2,756,705.87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17,144.11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5,887.67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61,378.09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35,676,416.87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3,062,593.54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可供出售金融资产" w:id="245"/>
      <w:bookmarkEnd w:id="24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41,960,000.0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41,960,000.0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13,000,000.00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41,960,000.0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41,960,000.0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13,000,000.00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41,960,000.0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41,960,000.0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13,000,000.00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47"/>
      <w:bookmarkEnd w:id="24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2" w:right="140"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48"/>
      <w:bookmarkEnd w:id="24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08"/>
              <w:jc w:val="left"/>
              <w:rPr>
                <w:rFonts w:ascii="宋体" w:hAnsi="宋体" w:cs="宋体" w:eastAsia="宋体" w:hint="default"/>
                <w:sz w:val="18"/>
                <w:szCs w:val="18"/>
              </w:rPr>
            </w:pPr>
            <w:r>
              <w:rPr>
                <w:rFonts w:ascii="宋体" w:hAnsi="宋体" w:cs="宋体" w:eastAsia="宋体" w:hint="default"/>
                <w:sz w:val="18"/>
                <w:szCs w:val="18"/>
              </w:rPr>
              <w:t>广州民 营投资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08"/>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深圳市 英盛网 络教育 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四川格 智网络 科技有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天津麻 辣智趣 教育科 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海南翡 翠教育 科技有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天津凌 波微距 教育科 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成都凌 波微距 信息科 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6,870,00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6,870,00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left"/>
              <w:rPr>
                <w:rFonts w:ascii="宋体" w:hAnsi="宋体" w:cs="宋体" w:eastAsia="宋体" w:hint="default"/>
                <w:sz w:val="18"/>
                <w:szCs w:val="18"/>
              </w:rPr>
            </w:pPr>
            <w:r>
              <w:rPr>
                <w:rFonts w:ascii="宋体" w:hAnsi="宋体" w:cs="宋体" w:eastAsia="宋体" w:hint="default"/>
                <w:sz w:val="18"/>
                <w:szCs w:val="18"/>
              </w:rPr>
              <w:t>森润教 育咨询</w:t>
            </w:r>
          </w:p>
          <w:p>
            <w:pPr>
              <w:pStyle w:val="TableParagraph"/>
              <w:spacing w:line="316" w:lineRule="auto" w:before="19"/>
              <w:ind w:left="103" w:right="28"/>
              <w:jc w:val="left"/>
              <w:rPr>
                <w:rFonts w:ascii="宋体" w:hAnsi="宋体" w:cs="宋体" w:eastAsia="宋体" w:hint="default"/>
                <w:sz w:val="18"/>
                <w:szCs w:val="18"/>
              </w:rPr>
            </w:pPr>
            <w:r>
              <w:rPr>
                <w:rFonts w:ascii="宋体" w:hAnsi="宋体" w:cs="宋体" w:eastAsia="宋体" w:hint="default"/>
                <w:sz w:val="18"/>
                <w:szCs w:val="18"/>
              </w:rPr>
              <w:t>（北京） 有限公</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28,960,0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41,960,0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49"/>
      <w:bookmarkEnd w:id="24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0"/>
      <w:bookmarkEnd w:id="25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9" w:right="137"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7" w:right="138" w:hanging="451"/>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7" w:right="137" w:hanging="450"/>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持有至到期投资" w:id="251"/>
      <w:bookmarkEnd w:id="251"/>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52"/>
      <w:bookmarkEnd w:id="252"/>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53"/>
      <w:bookmarkEnd w:id="253"/>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54"/>
      <w:bookmarkEnd w:id="254"/>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长期应收款" w:id="255"/>
      <w:bookmarkEnd w:id="255"/>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56"/>
      <w:bookmarkEnd w:id="25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8"/>
              <w:jc w:val="left"/>
              <w:rPr>
                <w:rFonts w:ascii="宋体" w:hAnsi="宋体" w:cs="宋体" w:eastAsia="宋体" w:hint="default"/>
                <w:sz w:val="18"/>
                <w:szCs w:val="18"/>
              </w:rPr>
            </w:pPr>
            <w:r>
              <w:rPr>
                <w:rFonts w:ascii="宋体" w:hAnsi="宋体" w:cs="宋体" w:eastAsia="宋体" w:hint="default"/>
                <w:sz w:val="18"/>
                <w:szCs w:val="18"/>
              </w:rPr>
              <w:t>分期收款提供 劳务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9,951,816.73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934,710.27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9,017,106.46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10,742,264.7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612,828.00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10,129,436.7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4.75%</w:t>
            </w: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9,951,816.73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934,710.27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9,017,106.46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10,742,264.7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612,828.00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10,129,436.7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因金融资产转移而终止确认的长期应收款" w:id="257"/>
      <w:bookmarkEnd w:id="25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58"/>
      <w:bookmarkEnd w:id="25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259"/>
      <w:bookmarkEnd w:id="25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宜兴市 金鱼陶 瓷有限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53,690,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622.83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2,212,4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21.32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55,903,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044.15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新余智 趣资产 管理合 伙企业</w:t>
            </w:r>
          </w:p>
          <w:p>
            <w:pPr>
              <w:pStyle w:val="TableParagraph"/>
              <w:spacing w:line="319" w:lineRule="auto" w:before="19"/>
              <w:ind w:left="103" w:right="14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95,562,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778.06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95,562,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778.06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潮州民 营投资 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60,865,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080.34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1,669,1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08.25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62,534,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188.59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210,118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,481.23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3,881,5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29.57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214,00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0,010.8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210,118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,481.23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3,881,5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29.57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214,00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0,010.8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15、投资性房地产" w:id="260"/>
      <w:bookmarkEnd w:id="26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1"/>
      <w:bookmarkEnd w:id="26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投资性房地产" w:id="262"/>
      <w:bookmarkEnd w:id="26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263"/>
      <w:bookmarkEnd w:id="26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固定资产" w:id="264"/>
      <w:bookmarkEnd w:id="26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5"/>
        <w:gridCol w:w="3188"/>
        <w:gridCol w:w="318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319,503,000.27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224,683,337.46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319,503,000.27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224,683,337.46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65"/>
      <w:bookmarkEnd w:id="26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182,409,628.68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129,503,743.32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12,392,027.96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17,956,626.15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342,262,026.11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79,386,182.23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47,188,162.35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1,362,271.35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6,279,723.48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134,216,339.41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79,386,182.23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5,724,683.41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1,362,271.35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2,752,536.60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89,225,673.59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27,277,967.41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27,277,967.41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14,185,511.53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3,527,186.88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17,712,698.41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1,760,054.07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819,997.12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2,998,051.19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1,760,054.07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819,997.12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2,998,051.19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261,795,810.91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174,931,851.60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13,336,299.31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23,416,352.51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473,480,314.33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52,266,226.46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42,680,346.32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9,620,335.39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13,011,780.48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117,578,688.65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4,235,577.23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30,447,708.60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656,028.48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3,354,766.39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38,694,080.70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4,235,577.23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21,596,181.06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656,028.48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2,125,018.68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28,612,805.45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）企业</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8,851,527.54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1,229,747.71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10,081,275.25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1,360,623.04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397,100.00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537,732.25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2,295,455.29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1,360,623.04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397,100.00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537,732.25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2,295,455.29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56,501,803.69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71,767,431.88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9,879,263.87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15,828,814.62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153,977,314.06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205,294,007.22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103,164,419.72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3,457,035.44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7,587,537.89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319,503,000.27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130,143,402.22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86,823,397.00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2,771,692.57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4,944,845.67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224,683,337.46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66"/>
      <w:bookmarkEnd w:id="26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67"/>
      <w:bookmarkEnd w:id="26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68"/>
      <w:bookmarkEnd w:id="26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69"/>
      <w:bookmarkEnd w:id="26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6" w:right="0"/>
              <w:jc w:val="left"/>
              <w:rPr>
                <w:rFonts w:ascii="Times New Roman" w:hAnsi="Times New Roman" w:cs="Times New Roman" w:eastAsia="Times New Roman" w:hint="default"/>
                <w:sz w:val="18"/>
                <w:szCs w:val="18"/>
              </w:rPr>
            </w:pPr>
            <w:r>
              <w:rPr>
                <w:rFonts w:ascii="Times New Roman"/>
                <w:sz w:val="18"/>
              </w:rPr>
              <w:t>79,386,182.23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尚未达到办理产权证的时间</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270"/>
      <w:bookmarkEnd w:id="27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在建工程" w:id="271"/>
      <w:bookmarkEnd w:id="27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5"/>
        <w:gridCol w:w="3858"/>
      </w:tblGrid>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1,619,692.28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1,970,781.39</w:t>
            </w:r>
          </w:p>
        </w:tc>
      </w:tr>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1,619,692.28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1,970,781.39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72"/>
      <w:bookmarkEnd w:id="27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校园一卡通项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927,647.99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927,647.99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1,970,781.39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1,970,781.39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平安校园项目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692,044.29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692,044.29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1,619,692.28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1,619,692.28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1,970,781.39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1,970,781.39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3"/>
      <w:bookmarkEnd w:id="27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校园 一卡 通项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1,970,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781.39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12,747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,362.2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,495.6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927,64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98.06</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98.06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平安 校园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1,450.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14,179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,516.0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13,487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,471.7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692,04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97.79</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97.79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2,750.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1,970,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781.39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26,926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,878.3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27,277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,967.4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692.28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4"/>
      <w:bookmarkEnd w:id="27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工程物资" w:id="275"/>
      <w:bookmarkEnd w:id="275"/>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生产性生物资产" w:id="276"/>
      <w:bookmarkEnd w:id="276"/>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77"/>
      <w:bookmarkEnd w:id="27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采用公允价值计量模式的生产性生物资产" w:id="278"/>
      <w:bookmarkEnd w:id="27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油气资产" w:id="279"/>
      <w:bookmarkEnd w:id="279"/>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无形资产" w:id="280"/>
      <w:bookmarkEnd w:id="280"/>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1"/>
      <w:bookmarkEnd w:id="28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240" w:lineRule="auto" w:before="4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应用软件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306,649,655.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43,865,791.7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779,300.00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147,350.00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351,472,097.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237,568,287.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237,568,287.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198,968,923.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198,968,923.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9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3" w:right="9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38,599,363.9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38,599,363.9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306,649,655.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281,434,079.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779,300.00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147,350.00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589,040,384.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center"/>
              <w:rPr>
                <w:rFonts w:ascii="Times New Roman" w:hAnsi="Times New Roman" w:cs="Times New Roman" w:eastAsia="Times New Roman" w:hint="default"/>
                <w:sz w:val="18"/>
                <w:szCs w:val="18"/>
              </w:rPr>
            </w:pPr>
            <w:r>
              <w:rPr>
                <w:rFonts w:ascii="Times New Roman"/>
                <w:sz w:val="18"/>
              </w:rPr>
              <w:t>27,148,812.5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3" w:right="0"/>
              <w:jc w:val="lef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7,864,742.01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722,059.29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120,335.67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center"/>
              <w:rPr>
                <w:rFonts w:ascii="Times New Roman" w:hAnsi="Times New Roman" w:cs="Times New Roman" w:eastAsia="Times New Roman" w:hint="default"/>
                <w:sz w:val="18"/>
                <w:szCs w:val="18"/>
              </w:rPr>
            </w:pPr>
            <w:r>
              <w:rPr>
                <w:rFonts w:ascii="Times New Roman"/>
                <w:sz w:val="18"/>
              </w:rPr>
              <w:t>35,885,949.4</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6,017,293.80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30,168,825.0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54,596.99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27,014.33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36,267,730.1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6,017,293.80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24,074,259.8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54,596.99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27,014.33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30,173,164.9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6"/>
              <w:ind w:left="103" w:right="10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）企业合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6,094,565.24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6,094,565.24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33,166,106.3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38,033,567.0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776,656.28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147,350.00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72,153,679.6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273,483,549.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243,400,512.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2,643.72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516,886,705.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279,500,842.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36,001,049.7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57,240.71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27,014.33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315,586,147.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72</w:t>
            </w:r>
          </w:p>
        </w:tc>
      </w:tr>
    </w:tbl>
    <w:p>
      <w:pPr>
        <w:pStyle w:val="BodyText"/>
        <w:spacing w:line="240" w:lineRule="auto" w:before="51"/>
        <w:ind w:right="0"/>
        <w:jc w:val="left"/>
      </w:pPr>
      <w:r>
        <w:rPr/>
        <w:t>本期末通过公司内部研发形成的无形资产占无形资产余额的比例。</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未办妥产权证书的土地使用权情况" w:id="282"/>
      <w:bookmarkEnd w:id="28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1、开发支出" w:id="283"/>
      <w:bookmarkEnd w:id="283"/>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商誉" w:id="284"/>
      <w:bookmarkEnd w:id="284"/>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5"/>
      <w:bookmarkEnd w:id="28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97"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9"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87" w:right="138" w:hanging="450"/>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广东联汛教育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603,497,089.26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603,497,089.26</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河南智游臻龙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263,920,062.99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263,920,062.99</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北京翡翠教育 科技集团有限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761,166,405.12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761,166,405.12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867,417,152.25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761,166,405.12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1,628,583,557.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长期待摊费用" w:id="286"/>
      <w:bookmarkEnd w:id="28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骨质瓷工程装修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199,333.21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104,000.04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95,333.17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01"/>
              <w:jc w:val="left"/>
              <w:rPr>
                <w:rFonts w:ascii="宋体" w:hAnsi="宋体" w:cs="宋体" w:eastAsia="宋体" w:hint="default"/>
                <w:sz w:val="18"/>
                <w:szCs w:val="18"/>
              </w:rPr>
            </w:pPr>
            <w:r>
              <w:rPr>
                <w:rFonts w:ascii="宋体" w:hAnsi="宋体" w:cs="宋体" w:eastAsia="宋体" w:hint="default"/>
                <w:spacing w:val="-8"/>
                <w:sz w:val="18"/>
                <w:szCs w:val="18"/>
              </w:rPr>
              <w:t>广州长城直营、联</w:t>
            </w:r>
            <w:r>
              <w:rPr>
                <w:rFonts w:ascii="宋体" w:hAnsi="宋体" w:cs="宋体" w:eastAsia="宋体" w:hint="default"/>
                <w:sz w:val="18"/>
                <w:szCs w:val="18"/>
              </w:rPr>
              <w:t> 营店装修费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11,962.30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11,962.30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用友维护费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19,811.30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8,490.60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11,320.70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32,043.67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1" w:right="0"/>
              <w:jc w:val="left"/>
              <w:rPr>
                <w:rFonts w:ascii="Times New Roman" w:hAnsi="Times New Roman" w:cs="Times New Roman" w:eastAsia="Times New Roman" w:hint="default"/>
                <w:sz w:val="18"/>
                <w:szCs w:val="18"/>
              </w:rPr>
            </w:pPr>
            <w:r>
              <w:rPr>
                <w:rFonts w:ascii="Times New Roman"/>
                <w:sz w:val="18"/>
              </w:rPr>
              <w:t>23,932.04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22,057.23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33,918.48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阳江展示厅装修 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545,513.01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19,141.03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125,052.94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439,601.10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智游课室装修费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3,614,109.66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3,611,236.17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1,493,529.91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5,731,815.92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翡翠课室装修费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12,849,646.23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5,180,847.83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7,668,798.40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4,422,773.15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16,503,955.47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6,945,940.85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13,980,787.77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递延所得税资产/递延所得税负债" w:id="287"/>
      <w:bookmarkEnd w:id="287"/>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88"/>
      <w:bookmarkEnd w:id="28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56,418,329.05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9,018,046.19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20,533,269.48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3,106,724.84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5,849,762.60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877,464.39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4,925,580.54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738,837.08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63,932,951.88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9,589,942.78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32,810,191.45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4,950,891.92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126,201,043.53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19,485,453.36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58,269,041.47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8,796,453.84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89"/>
      <w:bookmarkEnd w:id="28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6,705,773.53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39,181,106.87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5,877,166.03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9,301,556.80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6,705,773.53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39,181,106.87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5,877,166.03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9,301,556.80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0"/>
      <w:bookmarkEnd w:id="29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19,485,453.36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8,796,453.84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5,877,166.03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1,395,233.52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1"/>
      <w:bookmarkEnd w:id="29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113,756,098.27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116,780,715.20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10,830,705.58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4,489,510.51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124,586,803.85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121,270,225.71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2"/>
      <w:bookmarkEnd w:id="29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34,283,730.18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18,463,430.17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18,746,849.36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21,571,737.91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21,682,474.13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32,669,541.81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32,891,195.90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9,045,862.09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9,437,412.51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32,005,526.29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113,756,098.27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117,041,662.08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其他非流动资产" w:id="293"/>
      <w:bookmarkEnd w:id="293"/>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晨星计划收益权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预付长期资产采购款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129,747,169.81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1,147,052.80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27,047,052.80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131,877,169.81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短期借款" w:id="294"/>
      <w:bookmarkEnd w:id="294"/>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5"/>
      <w:bookmarkEnd w:id="29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15,965,000.00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84,000,000.00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389,965,000.00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234,000,000.00</w:t>
            </w:r>
          </w:p>
        </w:tc>
      </w:tr>
    </w:tbl>
    <w:p>
      <w:pPr>
        <w:pStyle w:val="BodyText"/>
        <w:spacing w:line="240" w:lineRule="auto" w:before="51"/>
        <w:ind w:right="0"/>
        <w:jc w:val="left"/>
      </w:pPr>
      <w:r>
        <w:rPr/>
        <w:t>短期借款分类的说明：</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14"/>
        <w:gridCol w:w="990"/>
        <w:gridCol w:w="1260"/>
        <w:gridCol w:w="750"/>
        <w:gridCol w:w="1004"/>
        <w:gridCol w:w="960"/>
        <w:gridCol w:w="2361"/>
      </w:tblGrid>
      <w:tr>
        <w:trPr>
          <w:trHeight w:val="435" w:hRule="exact"/>
        </w:trPr>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9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27" w:right="0"/>
              <w:jc w:val="left"/>
              <w:rPr>
                <w:rFonts w:ascii="宋体" w:hAnsi="宋体" w:cs="宋体" w:eastAsia="宋体" w:hint="default"/>
                <w:sz w:val="18"/>
                <w:szCs w:val="18"/>
              </w:rPr>
            </w:pPr>
            <w:r>
              <w:rPr>
                <w:rFonts w:ascii="宋体" w:hAnsi="宋体" w:cs="宋体" w:eastAsia="宋体" w:hint="default"/>
                <w:sz w:val="18"/>
                <w:szCs w:val="18"/>
              </w:rPr>
              <w:t>借款类型</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6"/>
              <w:jc w:val="right"/>
              <w:rPr>
                <w:rFonts w:ascii="宋体" w:hAnsi="宋体" w:cs="宋体" w:eastAsia="宋体" w:hint="default"/>
                <w:sz w:val="18"/>
                <w:szCs w:val="18"/>
              </w:rPr>
            </w:pPr>
            <w:r>
              <w:rPr>
                <w:rFonts w:ascii="宋体" w:hAnsi="宋体" w:cs="宋体" w:eastAsia="宋体" w:hint="default"/>
                <w:sz w:val="18"/>
                <w:szCs w:val="18"/>
              </w:rPr>
              <w:t>借款利率</w:t>
            </w:r>
          </w:p>
        </w:tc>
        <w:tc>
          <w:tcPr>
            <w:tcW w:w="1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24"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0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23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587" w:right="0"/>
              <w:jc w:val="left"/>
              <w:rPr>
                <w:rFonts w:ascii="宋体" w:hAnsi="宋体" w:cs="宋体" w:eastAsia="宋体" w:hint="default"/>
                <w:sz w:val="18"/>
                <w:szCs w:val="18"/>
              </w:rPr>
            </w:pPr>
            <w:r>
              <w:rPr>
                <w:rFonts w:ascii="宋体" w:hAnsi="宋体" w:cs="宋体" w:eastAsia="宋体" w:hint="default"/>
                <w:sz w:val="18"/>
                <w:szCs w:val="18"/>
              </w:rPr>
              <w:t>保证人</w:t>
            </w:r>
            <w:r>
              <w:rPr>
                <w:rFonts w:ascii="宋体" w:hAnsi="宋体" w:cs="宋体" w:eastAsia="宋体" w:hint="default"/>
                <w:sz w:val="18"/>
                <w:szCs w:val="18"/>
              </w:rPr>
              <w:t>/</w:t>
            </w:r>
            <w:r>
              <w:rPr>
                <w:rFonts w:ascii="宋体" w:hAnsi="宋体" w:cs="宋体" w:eastAsia="宋体" w:hint="default"/>
                <w:sz w:val="18"/>
                <w:szCs w:val="18"/>
              </w:rPr>
              <w:t>质押物</w:t>
            </w:r>
          </w:p>
        </w:tc>
      </w:tr>
      <w:tr>
        <w:trPr>
          <w:trHeight w:val="1056"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智汇商业保理</w:t>
            </w:r>
          </w:p>
          <w:p>
            <w:pPr>
              <w:pStyle w:val="TableParagraph"/>
              <w:spacing w:line="319" w:lineRule="auto" w:before="75"/>
              <w:ind w:left="2" w:right="1"/>
              <w:jc w:val="left"/>
              <w:rPr>
                <w:rFonts w:ascii="宋体" w:hAnsi="宋体" w:cs="宋体" w:eastAsia="宋体" w:hint="default"/>
                <w:sz w:val="18"/>
                <w:szCs w:val="18"/>
              </w:rPr>
            </w:pPr>
            <w:r>
              <w:rPr>
                <w:rFonts w:ascii="宋体" w:hAnsi="宋体" w:cs="宋体" w:eastAsia="宋体" w:hint="default"/>
                <w:spacing w:val="-10"/>
                <w:sz w:val="18"/>
                <w:szCs w:val="18"/>
              </w:rPr>
              <w:t>（深圳）有限公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Arial Narrow" w:hAnsi="Arial Narrow" w:cs="Arial Narrow" w:eastAsia="Arial Narrow" w:hint="default"/>
                <w:sz w:val="18"/>
                <w:szCs w:val="18"/>
              </w:rPr>
            </w:pPr>
            <w:r>
              <w:rPr>
                <w:rFonts w:ascii="Arial Narrow"/>
                <w:spacing w:val="-1"/>
                <w:sz w:val="18"/>
              </w:rPr>
              <w:t>4,965,000.00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12.00%</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2"/>
                <w:sz w:val="18"/>
              </w:rPr>
              <w:t>2018/11/27</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2"/>
                <w:sz w:val="18"/>
              </w:rPr>
              <w:t>2019/11/27</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质押物：应收培训费和服务费</w:t>
            </w:r>
          </w:p>
        </w:tc>
      </w:tr>
      <w:tr>
        <w:trPr>
          <w:trHeight w:val="230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14"/>
              <w:jc w:val="both"/>
              <w:rPr>
                <w:rFonts w:ascii="宋体" w:hAnsi="宋体" w:cs="宋体" w:eastAsia="宋体" w:hint="default"/>
                <w:sz w:val="18"/>
                <w:szCs w:val="18"/>
              </w:rPr>
            </w:pPr>
            <w:r>
              <w:rPr>
                <w:rFonts w:ascii="宋体" w:hAnsi="宋体" w:cs="宋体" w:eastAsia="宋体" w:hint="default"/>
                <w:sz w:val="18"/>
                <w:szCs w:val="18"/>
              </w:rPr>
              <w:t>交通银行股份 有限公司徐汇 支行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Arial Narrow" w:hAnsi="Arial Narrow" w:cs="Arial Narrow" w:eastAsia="Arial Narrow" w:hint="default"/>
                <w:sz w:val="18"/>
                <w:szCs w:val="18"/>
              </w:rPr>
            </w:pPr>
            <w:r>
              <w:rPr>
                <w:rFonts w:ascii="Arial Narrow"/>
                <w:spacing w:val="-1"/>
                <w:sz w:val="18"/>
              </w:rPr>
              <w:t>5,000,000.00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5.66%</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2018/9/29</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Arial Narrow" w:hAnsi="Arial Narrow" w:cs="Arial Narrow" w:eastAsia="Arial Narrow" w:hint="default"/>
                <w:sz w:val="18"/>
                <w:szCs w:val="18"/>
              </w:rPr>
            </w:pPr>
            <w:r>
              <w:rPr>
                <w:rFonts w:ascii="Arial Narrow"/>
                <w:spacing w:val="-1"/>
                <w:sz w:val="18"/>
              </w:rPr>
              <w:t>2019/3/28</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3" w:right="7"/>
              <w:jc w:val="both"/>
              <w:rPr>
                <w:rFonts w:ascii="宋体" w:hAnsi="宋体" w:cs="宋体" w:eastAsia="宋体" w:hint="default"/>
                <w:sz w:val="18"/>
                <w:szCs w:val="18"/>
              </w:rPr>
            </w:pPr>
            <w:r>
              <w:rPr>
                <w:rFonts w:ascii="宋体" w:hAnsi="宋体" w:cs="宋体" w:eastAsia="宋体" w:hint="default"/>
                <w:sz w:val="18"/>
                <w:szCs w:val="18"/>
              </w:rPr>
              <w:t>保证人：张熙；质押物：与上 </w:t>
            </w:r>
            <w:r>
              <w:rPr>
                <w:rFonts w:ascii="宋体" w:hAnsi="宋体" w:cs="宋体" w:eastAsia="宋体" w:hint="default"/>
                <w:spacing w:val="-4"/>
                <w:sz w:val="18"/>
                <w:szCs w:val="18"/>
              </w:rPr>
              <w:t>海市崇明区教育局《</w:t>
            </w:r>
            <w:r>
              <w:rPr>
                <w:rFonts w:ascii="宋体" w:hAnsi="宋体" w:cs="宋体" w:eastAsia="宋体" w:hint="default"/>
                <w:spacing w:val="-4"/>
                <w:sz w:val="18"/>
                <w:szCs w:val="18"/>
              </w:rPr>
              <w:t>2018</w:t>
            </w:r>
            <w:r>
              <w:rPr>
                <w:rFonts w:ascii="宋体" w:hAnsi="宋体" w:cs="宋体" w:eastAsia="宋体" w:hint="default"/>
                <w:spacing w:val="-41"/>
                <w:sz w:val="18"/>
                <w:szCs w:val="18"/>
              </w:rPr>
              <w:t> </w:t>
            </w:r>
            <w:r>
              <w:rPr>
                <w:rFonts w:ascii="宋体" w:hAnsi="宋体" w:cs="宋体" w:eastAsia="宋体" w:hint="default"/>
                <w:sz w:val="18"/>
                <w:szCs w:val="18"/>
              </w:rPr>
              <w:t>年崇 明区教育局城乡一体化建设项 目》合同共</w:t>
            </w:r>
            <w:r>
              <w:rPr>
                <w:rFonts w:ascii="宋体" w:hAnsi="宋体" w:cs="宋体" w:eastAsia="宋体" w:hint="default"/>
                <w:spacing w:val="-46"/>
                <w:sz w:val="18"/>
                <w:szCs w:val="18"/>
              </w:rPr>
              <w:t> </w:t>
            </w:r>
            <w:r>
              <w:rPr>
                <w:rFonts w:ascii="宋体" w:hAnsi="宋体" w:cs="宋体" w:eastAsia="宋体" w:hint="default"/>
                <w:sz w:val="18"/>
                <w:szCs w:val="18"/>
              </w:rPr>
              <w:t>18,637,483.00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319" w:lineRule="auto" w:before="19"/>
              <w:ind w:left="3" w:right="6"/>
              <w:jc w:val="both"/>
              <w:rPr>
                <w:rFonts w:ascii="宋体" w:hAnsi="宋体" w:cs="宋体" w:eastAsia="宋体" w:hint="default"/>
                <w:sz w:val="18"/>
                <w:szCs w:val="18"/>
              </w:rPr>
            </w:pPr>
            <w:r>
              <w:rPr>
                <w:rFonts w:ascii="宋体" w:hAnsi="宋体" w:cs="宋体" w:eastAsia="宋体" w:hint="default"/>
                <w:spacing w:val="7"/>
                <w:sz w:val="18"/>
                <w:szCs w:val="18"/>
              </w:rPr>
              <w:t>的应收账款及出质人未来</w:t>
            </w:r>
            <w:r>
              <w:rPr>
                <w:rFonts w:ascii="宋体" w:hAnsi="宋体" w:cs="宋体" w:eastAsia="宋体" w:hint="default"/>
                <w:spacing w:val="11"/>
                <w:sz w:val="18"/>
                <w:szCs w:val="18"/>
              </w:rPr>
              <w:t> </w:t>
            </w:r>
            <w:r>
              <w:rPr>
                <w:rFonts w:ascii="宋体" w:hAnsi="宋体" w:cs="宋体" w:eastAsia="宋体" w:hint="default"/>
                <w:sz w:val="18"/>
                <w:szCs w:val="18"/>
              </w:rPr>
              <w:t>12 </w:t>
            </w:r>
            <w:r>
              <w:rPr>
                <w:rFonts w:ascii="宋体" w:hAnsi="宋体" w:cs="宋体" w:eastAsia="宋体" w:hint="default"/>
                <w:sz w:val="18"/>
                <w:szCs w:val="18"/>
              </w:rPr>
              <w:t>个月对上海市崇明区教育局的 所有应收账款</w:t>
            </w:r>
          </w:p>
        </w:tc>
      </w:tr>
      <w:tr>
        <w:trPr>
          <w:trHeight w:val="230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14"/>
              <w:jc w:val="both"/>
              <w:rPr>
                <w:rFonts w:ascii="宋体" w:hAnsi="宋体" w:cs="宋体" w:eastAsia="宋体" w:hint="default"/>
                <w:sz w:val="18"/>
                <w:szCs w:val="18"/>
              </w:rPr>
            </w:pPr>
            <w:r>
              <w:rPr>
                <w:rFonts w:ascii="宋体" w:hAnsi="宋体" w:cs="宋体" w:eastAsia="宋体" w:hint="default"/>
                <w:sz w:val="18"/>
                <w:szCs w:val="18"/>
              </w:rPr>
              <w:t>交通银行股份 有限公司徐汇 支行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Arial Narrow" w:hAnsi="Arial Narrow" w:cs="Arial Narrow" w:eastAsia="Arial Narrow" w:hint="default"/>
                <w:sz w:val="18"/>
                <w:szCs w:val="18"/>
              </w:rPr>
            </w:pPr>
            <w:r>
              <w:rPr>
                <w:rFonts w:ascii="Arial Narrow"/>
                <w:spacing w:val="-1"/>
                <w:sz w:val="18"/>
              </w:rPr>
              <w:t>3,000,000.00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5.66%</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2018/5/18</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2019/5/17</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3" w:right="7"/>
              <w:jc w:val="both"/>
              <w:rPr>
                <w:rFonts w:ascii="宋体" w:hAnsi="宋体" w:cs="宋体" w:eastAsia="宋体" w:hint="default"/>
                <w:sz w:val="18"/>
                <w:szCs w:val="18"/>
              </w:rPr>
            </w:pPr>
            <w:r>
              <w:rPr>
                <w:rFonts w:ascii="宋体" w:hAnsi="宋体" w:cs="宋体" w:eastAsia="宋体" w:hint="default"/>
                <w:sz w:val="18"/>
                <w:szCs w:val="18"/>
              </w:rPr>
              <w:t>保证人：张熙；质押物：与上 海市崇明区教育局《崇明区教 育局城乡一体化建设项目》合 同共 </w:t>
            </w:r>
            <w:r>
              <w:rPr>
                <w:rFonts w:ascii="宋体" w:hAnsi="宋体" w:cs="宋体" w:eastAsia="宋体" w:hint="default"/>
                <w:sz w:val="18"/>
                <w:szCs w:val="18"/>
              </w:rPr>
              <w:t>9,798,000.00 </w:t>
            </w:r>
            <w:r>
              <w:rPr>
                <w:rFonts w:ascii="宋体" w:hAnsi="宋体" w:cs="宋体" w:eastAsia="宋体" w:hint="default"/>
                <w:sz w:val="18"/>
                <w:szCs w:val="18"/>
              </w:rPr>
              <w:t>元的应收</w:t>
            </w:r>
          </w:p>
          <w:p>
            <w:pPr>
              <w:pStyle w:val="TableParagraph"/>
              <w:spacing w:line="319" w:lineRule="auto" w:before="19"/>
              <w:ind w:left="3" w:right="7"/>
              <w:jc w:val="both"/>
              <w:rPr>
                <w:rFonts w:ascii="宋体" w:hAnsi="宋体" w:cs="宋体" w:eastAsia="宋体" w:hint="default"/>
                <w:sz w:val="18"/>
                <w:szCs w:val="18"/>
              </w:rPr>
            </w:pPr>
            <w:r>
              <w:rPr>
                <w:rFonts w:ascii="宋体" w:hAnsi="宋体" w:cs="宋体" w:eastAsia="宋体" w:hint="default"/>
                <w:sz w:val="18"/>
                <w:szCs w:val="18"/>
              </w:rPr>
              <w:t>账款及出质人未来 </w:t>
            </w:r>
            <w:r>
              <w:rPr>
                <w:rFonts w:ascii="宋体" w:hAnsi="宋体" w:cs="宋体" w:eastAsia="宋体" w:hint="default"/>
                <w:sz w:val="18"/>
                <w:szCs w:val="18"/>
              </w:rPr>
              <w:t>12 </w:t>
            </w:r>
            <w:r>
              <w:rPr>
                <w:rFonts w:ascii="宋体" w:hAnsi="宋体" w:cs="宋体" w:eastAsia="宋体" w:hint="default"/>
                <w:sz w:val="18"/>
                <w:szCs w:val="18"/>
              </w:rPr>
              <w:t>个月对 上海市崇明区教育局的所有应 收账款</w:t>
            </w:r>
          </w:p>
        </w:tc>
      </w:tr>
      <w:tr>
        <w:trPr>
          <w:trHeight w:val="2928"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14"/>
              <w:jc w:val="both"/>
              <w:rPr>
                <w:rFonts w:ascii="宋体" w:hAnsi="宋体" w:cs="宋体" w:eastAsia="宋体" w:hint="default"/>
                <w:sz w:val="18"/>
                <w:szCs w:val="18"/>
              </w:rPr>
            </w:pPr>
            <w:r>
              <w:rPr>
                <w:rFonts w:ascii="宋体" w:hAnsi="宋体" w:cs="宋体" w:eastAsia="宋体" w:hint="default"/>
                <w:sz w:val="18"/>
                <w:szCs w:val="18"/>
              </w:rPr>
              <w:t>交通银行股份 有限公司徐汇 支行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Arial Narrow" w:hAnsi="Arial Narrow" w:cs="Arial Narrow" w:eastAsia="Arial Narrow" w:hint="default"/>
                <w:sz w:val="18"/>
                <w:szCs w:val="18"/>
              </w:rPr>
            </w:pPr>
            <w:r>
              <w:rPr>
                <w:rFonts w:ascii="Arial Narrow"/>
                <w:spacing w:val="-1"/>
                <w:sz w:val="18"/>
              </w:rPr>
              <w:t>3,000,000.00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5.66%</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2018/8/10</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2019/8/9</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3" w:right="7"/>
              <w:jc w:val="left"/>
              <w:rPr>
                <w:rFonts w:ascii="宋体" w:hAnsi="宋体" w:cs="宋体" w:eastAsia="宋体" w:hint="default"/>
                <w:sz w:val="18"/>
                <w:szCs w:val="18"/>
              </w:rPr>
            </w:pPr>
            <w:r>
              <w:rPr>
                <w:rFonts w:ascii="宋体" w:hAnsi="宋体" w:cs="宋体" w:eastAsia="宋体" w:hint="default"/>
                <w:sz w:val="18"/>
                <w:szCs w:val="18"/>
              </w:rPr>
              <w:t>保证人：张熙、上海市中小微 企业政策性融资担保基金管理 中心；质押物：与上海市崇明 区教育局《崇明区教育局城乡 一体化建设项目》合同共 </w:t>
            </w:r>
            <w:r>
              <w:rPr>
                <w:rFonts w:ascii="宋体" w:hAnsi="宋体" w:cs="宋体" w:eastAsia="宋体" w:hint="default"/>
                <w:sz w:val="18"/>
                <w:szCs w:val="18"/>
              </w:rPr>
              <w:t>9,798,000.00</w:t>
            </w:r>
            <w:r>
              <w:rPr>
                <w:rFonts w:ascii="宋体" w:hAnsi="宋体" w:cs="宋体" w:eastAsia="宋体" w:hint="default"/>
                <w:spacing w:val="-46"/>
                <w:sz w:val="18"/>
                <w:szCs w:val="18"/>
              </w:rPr>
              <w:t> </w:t>
            </w:r>
            <w:r>
              <w:rPr>
                <w:rFonts w:ascii="宋体" w:hAnsi="宋体" w:cs="宋体" w:eastAsia="宋体" w:hint="default"/>
                <w:sz w:val="18"/>
                <w:szCs w:val="18"/>
              </w:rPr>
              <w:t>元的应收账款</w:t>
            </w:r>
          </w:p>
          <w:p>
            <w:pPr>
              <w:pStyle w:val="TableParagraph"/>
              <w:spacing w:line="319" w:lineRule="auto" w:before="19"/>
              <w:ind w:left="3" w:right="9"/>
              <w:jc w:val="left"/>
              <w:rPr>
                <w:rFonts w:ascii="宋体" w:hAnsi="宋体" w:cs="宋体" w:eastAsia="宋体" w:hint="default"/>
                <w:sz w:val="18"/>
                <w:szCs w:val="18"/>
              </w:rPr>
            </w:pPr>
            <w:r>
              <w:rPr>
                <w:rFonts w:ascii="宋体" w:hAnsi="宋体" w:cs="宋体" w:eastAsia="宋体" w:hint="default"/>
                <w:sz w:val="18"/>
                <w:szCs w:val="18"/>
              </w:rPr>
              <w:t>及出质人未来</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个月对上海 市崇明区教育局的所有应收账 款</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浙商银行深圳 分行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70,000,000.00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5.66%</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2018/1/29</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2019/1/29</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兴业银行广州 海珠支行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10,000,000.00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6.50%</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2018/12/25</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2019/12/24</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3" w:right="9"/>
              <w:jc w:val="left"/>
              <w:rPr>
                <w:rFonts w:ascii="宋体" w:hAnsi="宋体" w:cs="宋体" w:eastAsia="宋体" w:hint="default"/>
                <w:sz w:val="18"/>
                <w:szCs w:val="18"/>
              </w:rPr>
            </w:pPr>
            <w:r>
              <w:rPr>
                <w:rFonts w:ascii="宋体" w:hAnsi="宋体" w:cs="宋体" w:eastAsia="宋体" w:hint="default"/>
                <w:sz w:val="18"/>
                <w:szCs w:val="18"/>
              </w:rPr>
              <w:t>保证人：林俏云、许高云、许 高镭</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广州银行东华 西支行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50,000,000.00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6.09%</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2018/9/13</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2019/9/12</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保证人：许高镭、林俏云</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广州银行东华 西支行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2"/>
              <w:ind w:right="1"/>
              <w:jc w:val="right"/>
              <w:rPr>
                <w:rFonts w:ascii="Arial Narrow" w:hAnsi="Arial Narrow" w:cs="Arial Narrow" w:eastAsia="Arial Narrow" w:hint="default"/>
                <w:sz w:val="18"/>
                <w:szCs w:val="18"/>
              </w:rPr>
            </w:pPr>
            <w:r>
              <w:rPr>
                <w:rFonts w:ascii="Arial Narrow"/>
                <w:spacing w:val="-1"/>
                <w:sz w:val="18"/>
              </w:rPr>
              <w:t>10,000,000.00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2"/>
              <w:ind w:right="1"/>
              <w:jc w:val="right"/>
              <w:rPr>
                <w:rFonts w:ascii="Arial Narrow" w:hAnsi="Arial Narrow" w:cs="Arial Narrow" w:eastAsia="Arial Narrow" w:hint="default"/>
                <w:sz w:val="18"/>
                <w:szCs w:val="18"/>
              </w:rPr>
            </w:pPr>
            <w:r>
              <w:rPr>
                <w:rFonts w:ascii="Arial Narrow"/>
                <w:spacing w:val="-1"/>
                <w:sz w:val="18"/>
              </w:rPr>
              <w:t>6.53%</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2"/>
              <w:ind w:right="1"/>
              <w:jc w:val="right"/>
              <w:rPr>
                <w:rFonts w:ascii="Arial Narrow" w:hAnsi="Arial Narrow" w:cs="Arial Narrow" w:eastAsia="Arial Narrow" w:hint="default"/>
                <w:sz w:val="18"/>
                <w:szCs w:val="18"/>
              </w:rPr>
            </w:pPr>
            <w:r>
              <w:rPr>
                <w:rFonts w:ascii="Arial Narrow"/>
                <w:spacing w:val="-1"/>
                <w:sz w:val="18"/>
              </w:rPr>
              <w:t>2018/12/27</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2"/>
              <w:ind w:right="1"/>
              <w:jc w:val="right"/>
              <w:rPr>
                <w:rFonts w:ascii="Arial Narrow" w:hAnsi="Arial Narrow" w:cs="Arial Narrow" w:eastAsia="Arial Narrow" w:hint="default"/>
                <w:sz w:val="18"/>
                <w:szCs w:val="18"/>
              </w:rPr>
            </w:pPr>
            <w:r>
              <w:rPr>
                <w:rFonts w:ascii="Arial Narrow"/>
                <w:spacing w:val="-1"/>
                <w:sz w:val="18"/>
              </w:rPr>
              <w:t>2019/12/26</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保证人：许高镭、林俏云</w:t>
            </w:r>
          </w:p>
        </w:tc>
      </w:tr>
      <w:tr>
        <w:trPr>
          <w:trHeight w:val="432"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中国银行潮州</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30,000,000.00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5.44%</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2018/5/16</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2019/5/8</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保证人：吴淡珠、蔡廷祥</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214"/>
        <w:gridCol w:w="990"/>
        <w:gridCol w:w="1260"/>
        <w:gridCol w:w="750"/>
        <w:gridCol w:w="1004"/>
        <w:gridCol w:w="960"/>
        <w:gridCol w:w="2361"/>
      </w:tblGrid>
      <w:tr>
        <w:trPr>
          <w:trHeight w:val="394" w:hRule="exact"/>
        </w:trPr>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990"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6" w:space="0" w:color="000000"/>
            </w:tcBorders>
          </w:tcPr>
          <w:p>
            <w:pPr/>
          </w:p>
        </w:tc>
        <w:tc>
          <w:tcPr>
            <w:tcW w:w="750" w:type="dxa"/>
            <w:tcBorders>
              <w:top w:val="single" w:sz="6" w:space="0" w:color="000000"/>
              <w:left w:val="single" w:sz="6" w:space="0" w:color="000000"/>
              <w:bottom w:val="single" w:sz="12" w:space="0" w:color="000000"/>
              <w:right w:val="single" w:sz="6" w:space="0" w:color="000000"/>
            </w:tcBorders>
          </w:tcPr>
          <w:p>
            <w:pPr/>
          </w:p>
        </w:tc>
        <w:tc>
          <w:tcPr>
            <w:tcW w:w="1004" w:type="dxa"/>
            <w:tcBorders>
              <w:top w:val="single" w:sz="6" w:space="0" w:color="000000"/>
              <w:left w:val="single" w:sz="6" w:space="0" w:color="000000"/>
              <w:bottom w:val="single" w:sz="12" w:space="0" w:color="000000"/>
              <w:right w:val="single" w:sz="6" w:space="0" w:color="000000"/>
            </w:tcBorders>
          </w:tcPr>
          <w:p>
            <w:pPr/>
          </w:p>
        </w:tc>
        <w:tc>
          <w:tcPr>
            <w:tcW w:w="960" w:type="dxa"/>
            <w:tcBorders>
              <w:top w:val="single" w:sz="6" w:space="0" w:color="000000"/>
              <w:left w:val="single" w:sz="6" w:space="0" w:color="000000"/>
              <w:bottom w:val="single" w:sz="12" w:space="0" w:color="000000"/>
              <w:right w:val="single" w:sz="6" w:space="0" w:color="000000"/>
            </w:tcBorders>
          </w:tcPr>
          <w:p>
            <w:pPr/>
          </w:p>
        </w:tc>
        <w:tc>
          <w:tcPr>
            <w:tcW w:w="2361" w:type="dxa"/>
            <w:tcBorders>
              <w:top w:val="single" w:sz="6" w:space="0" w:color="000000"/>
              <w:left w:val="single" w:sz="6" w:space="0" w:color="000000"/>
              <w:bottom w:val="single" w:sz="12" w:space="0" w:color="000000"/>
              <w:right w:val="nil" w:sz="6" w:space="0" w:color="auto"/>
            </w:tcBorders>
          </w:tcPr>
          <w:p>
            <w:pP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交通银行潮州 分行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50,000,000.00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5.22%</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2018/6/21</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86" w:right="0"/>
              <w:jc w:val="left"/>
              <w:rPr>
                <w:rFonts w:ascii="Arial Narrow" w:hAnsi="Arial Narrow" w:cs="Arial Narrow" w:eastAsia="Arial Narrow" w:hint="default"/>
                <w:sz w:val="18"/>
                <w:szCs w:val="18"/>
              </w:rPr>
            </w:pPr>
            <w:r>
              <w:rPr>
                <w:rFonts w:ascii="Arial Narrow"/>
                <w:sz w:val="18"/>
              </w:rPr>
              <w:t>2019/3/28</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保证人：吴淡珠、蔡廷祥</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平安银行广州 分行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2"/>
              <w:ind w:right="1"/>
              <w:jc w:val="right"/>
              <w:rPr>
                <w:rFonts w:ascii="Arial Narrow" w:hAnsi="Arial Narrow" w:cs="Arial Narrow" w:eastAsia="Arial Narrow" w:hint="default"/>
                <w:sz w:val="18"/>
                <w:szCs w:val="18"/>
              </w:rPr>
            </w:pPr>
            <w:r>
              <w:rPr>
                <w:rFonts w:ascii="Arial Narrow"/>
                <w:spacing w:val="-1"/>
                <w:sz w:val="18"/>
              </w:rPr>
              <w:t>25,000,000.00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2"/>
              <w:ind w:right="1"/>
              <w:jc w:val="right"/>
              <w:rPr>
                <w:rFonts w:ascii="Arial Narrow" w:hAnsi="Arial Narrow" w:cs="Arial Narrow" w:eastAsia="Arial Narrow" w:hint="default"/>
                <w:sz w:val="18"/>
                <w:szCs w:val="18"/>
              </w:rPr>
            </w:pPr>
            <w:r>
              <w:rPr>
                <w:rFonts w:ascii="Arial Narrow"/>
                <w:sz w:val="18"/>
              </w:rPr>
              <w:t>6.96%</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2"/>
              <w:ind w:right="1"/>
              <w:jc w:val="right"/>
              <w:rPr>
                <w:rFonts w:ascii="Arial Narrow" w:hAnsi="Arial Narrow" w:cs="Arial Narrow" w:eastAsia="Arial Narrow" w:hint="default"/>
                <w:sz w:val="18"/>
                <w:szCs w:val="18"/>
              </w:rPr>
            </w:pPr>
            <w:r>
              <w:rPr>
                <w:rFonts w:ascii="Arial Narrow"/>
                <w:spacing w:val="-2"/>
                <w:sz w:val="18"/>
              </w:rPr>
              <w:t>2018/10/11</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2"/>
              <w:ind w:left="297" w:right="0"/>
              <w:jc w:val="left"/>
              <w:rPr>
                <w:rFonts w:ascii="Arial Narrow" w:hAnsi="Arial Narrow" w:cs="Arial Narrow" w:eastAsia="Arial Narrow" w:hint="default"/>
                <w:sz w:val="18"/>
                <w:szCs w:val="18"/>
              </w:rPr>
            </w:pPr>
            <w:r>
              <w:rPr>
                <w:rFonts w:ascii="Arial Narrow"/>
                <w:spacing w:val="-2"/>
                <w:sz w:val="18"/>
              </w:rPr>
              <w:t>2019/2/11</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保证人：蔡廷祥</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平安银行广州 分行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25,000,000.00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6.96%</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2018/10/12</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86" w:right="0"/>
              <w:jc w:val="left"/>
              <w:rPr>
                <w:rFonts w:ascii="Arial Narrow" w:hAnsi="Arial Narrow" w:cs="Arial Narrow" w:eastAsia="Arial Narrow" w:hint="default"/>
                <w:sz w:val="18"/>
                <w:szCs w:val="18"/>
              </w:rPr>
            </w:pPr>
            <w:r>
              <w:rPr>
                <w:rFonts w:ascii="Arial Narrow"/>
                <w:sz w:val="18"/>
              </w:rPr>
              <w:t>2019/2/12</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保证人：蔡廷祥</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光大银行汕头 分行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50,000,000.00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6.09%</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2018/3/1</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86" w:right="0"/>
              <w:jc w:val="left"/>
              <w:rPr>
                <w:rFonts w:ascii="Arial Narrow" w:hAnsi="Arial Narrow" w:cs="Arial Narrow" w:eastAsia="Arial Narrow" w:hint="default"/>
                <w:sz w:val="18"/>
                <w:szCs w:val="18"/>
              </w:rPr>
            </w:pPr>
            <w:r>
              <w:rPr>
                <w:rFonts w:ascii="Arial Narrow"/>
                <w:sz w:val="18"/>
              </w:rPr>
              <w:t>2019/2/28</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保证人：吴淡珠、蔡廷祥</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广发银行潮州 分行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25,000,000.00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5.22%</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2"/>
                <w:sz w:val="18"/>
              </w:rPr>
              <w:t>2018/11/2</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97" w:right="0"/>
              <w:jc w:val="left"/>
              <w:rPr>
                <w:rFonts w:ascii="Arial Narrow" w:hAnsi="Arial Narrow" w:cs="Arial Narrow" w:eastAsia="Arial Narrow" w:hint="default"/>
                <w:sz w:val="18"/>
                <w:szCs w:val="18"/>
              </w:rPr>
            </w:pPr>
            <w:r>
              <w:rPr>
                <w:rFonts w:ascii="Arial Narrow"/>
                <w:spacing w:val="-2"/>
                <w:sz w:val="18"/>
              </w:rPr>
              <w:t>2019/11/2</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保证人：吴淡珠、蔡廷祥</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114"/>
              <w:jc w:val="left"/>
              <w:rPr>
                <w:rFonts w:ascii="宋体" w:hAnsi="宋体" w:cs="宋体" w:eastAsia="宋体" w:hint="default"/>
                <w:sz w:val="18"/>
                <w:szCs w:val="18"/>
              </w:rPr>
            </w:pPr>
            <w:r>
              <w:rPr>
                <w:rFonts w:ascii="宋体" w:hAnsi="宋体" w:cs="宋体" w:eastAsia="宋体" w:hint="default"/>
                <w:sz w:val="18"/>
                <w:szCs w:val="18"/>
              </w:rPr>
              <w:t>广发银行潮州 分行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24,000,000.00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z w:val="18"/>
              </w:rPr>
              <w:t>5.22%</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2"/>
                <w:sz w:val="18"/>
              </w:rPr>
              <w:t>2018/11/5</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97" w:right="0"/>
              <w:jc w:val="left"/>
              <w:rPr>
                <w:rFonts w:ascii="Arial Narrow" w:hAnsi="Arial Narrow" w:cs="Arial Narrow" w:eastAsia="Arial Narrow" w:hint="default"/>
                <w:sz w:val="18"/>
                <w:szCs w:val="18"/>
              </w:rPr>
            </w:pPr>
            <w:r>
              <w:rPr>
                <w:rFonts w:ascii="Arial Narrow"/>
                <w:spacing w:val="-2"/>
                <w:sz w:val="18"/>
              </w:rPr>
              <w:t>2019/11/5</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保证人：吴淡珠、蔡廷祥</w:t>
            </w:r>
          </w:p>
        </w:tc>
      </w:tr>
      <w:tr>
        <w:trPr>
          <w:trHeight w:val="1368"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114"/>
              <w:jc w:val="both"/>
              <w:rPr>
                <w:rFonts w:ascii="宋体" w:hAnsi="宋体" w:cs="宋体" w:eastAsia="宋体" w:hint="default"/>
                <w:sz w:val="18"/>
                <w:szCs w:val="18"/>
              </w:rPr>
            </w:pPr>
            <w:r>
              <w:rPr>
                <w:rFonts w:ascii="宋体" w:hAnsi="宋体" w:cs="宋体" w:eastAsia="宋体" w:hint="default"/>
                <w:sz w:val="18"/>
                <w:szCs w:val="18"/>
              </w:rPr>
              <w:t>交通银行股份 有限公司徐汇 支行</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Arial Narrow" w:hAnsi="Arial Narrow" w:cs="Arial Narrow" w:eastAsia="Arial Narrow" w:hint="default"/>
                <w:sz w:val="18"/>
                <w:szCs w:val="18"/>
              </w:rPr>
            </w:pPr>
            <w:r>
              <w:rPr>
                <w:rFonts w:ascii="Arial Narrow"/>
                <w:spacing w:val="-1"/>
                <w:sz w:val="18"/>
              </w:rPr>
              <w:t>5,000,000.00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4.79%</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Arial Narrow" w:hAnsi="Arial Narrow" w:cs="Arial Narrow" w:eastAsia="Arial Narrow" w:hint="default"/>
                <w:sz w:val="18"/>
                <w:szCs w:val="18"/>
              </w:rPr>
            </w:pPr>
            <w:r>
              <w:rPr>
                <w:rFonts w:ascii="Arial Narrow"/>
                <w:spacing w:val="-1"/>
                <w:sz w:val="18"/>
              </w:rPr>
              <w:t>2018/8/22</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86" w:right="0"/>
              <w:jc w:val="left"/>
              <w:rPr>
                <w:rFonts w:ascii="Arial Narrow" w:hAnsi="Arial Narrow" w:cs="Arial Narrow" w:eastAsia="Arial Narrow" w:hint="default"/>
                <w:sz w:val="18"/>
                <w:szCs w:val="18"/>
              </w:rPr>
            </w:pPr>
            <w:r>
              <w:rPr>
                <w:rFonts w:ascii="Arial Narrow"/>
                <w:sz w:val="18"/>
              </w:rPr>
              <w:t>2019/8/21</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319" w:lineRule="auto" w:before="51"/>
              <w:ind w:left="3" w:right="9"/>
              <w:jc w:val="both"/>
              <w:rPr>
                <w:rFonts w:ascii="宋体" w:hAnsi="宋体" w:cs="宋体" w:eastAsia="宋体" w:hint="default"/>
                <w:sz w:val="18"/>
                <w:szCs w:val="18"/>
              </w:rPr>
            </w:pPr>
            <w:r>
              <w:rPr>
                <w:rFonts w:ascii="宋体" w:hAnsi="宋体" w:cs="宋体" w:eastAsia="宋体" w:hint="default"/>
                <w:sz w:val="18"/>
                <w:szCs w:val="18"/>
              </w:rPr>
              <w:t>保证人：张熙、中国太平洋财 产保险股份有限公司（科技型 中小企业短期贷款履约保证保 险）</w:t>
            </w:r>
          </w:p>
        </w:tc>
      </w:tr>
      <w:tr>
        <w:trPr>
          <w:trHeight w:val="744" w:hRule="exact"/>
        </w:trPr>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306"/>
              <w:jc w:val="righ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389,965,000.0</w:t>
            </w:r>
          </w:p>
          <w:p>
            <w:pPr>
              <w:pStyle w:val="TableParagraph"/>
              <w:spacing w:line="240" w:lineRule="auto" w:before="77"/>
              <w:ind w:right="1"/>
              <w:jc w:val="right"/>
              <w:rPr>
                <w:rFonts w:ascii="宋体" w:hAnsi="宋体" w:cs="宋体" w:eastAsia="宋体" w:hint="default"/>
                <w:sz w:val="18"/>
                <w:szCs w:val="18"/>
              </w:rPr>
            </w:pPr>
            <w:r>
              <w:rPr>
                <w:rFonts w:ascii="宋体"/>
                <w:sz w:val="18"/>
              </w:rPr>
              <w:t>0</w:t>
            </w:r>
          </w:p>
        </w:tc>
        <w:tc>
          <w:tcPr>
            <w:tcW w:w="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w:t>
            </w:r>
          </w:p>
        </w:tc>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w:t>
            </w:r>
          </w:p>
        </w:tc>
        <w:tc>
          <w:tcPr>
            <w:tcW w:w="2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已逾期未偿还的短期借款情况" w:id="296"/>
      <w:bookmarkEnd w:id="29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以公允价值计量且其变动计入当期损益的金融负债" w:id="297"/>
      <w:bookmarkEnd w:id="297"/>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衍生金融负债" w:id="298"/>
      <w:bookmarkEnd w:id="298"/>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9、应付票据及应付账款" w:id="299"/>
      <w:bookmarkEnd w:id="299"/>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126,488,232.32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37,013,368.69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126,488,232.32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37,013,368.69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300"/>
      <w:bookmarkEnd w:id="300"/>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301"/>
      <w:bookmarkEnd w:id="301"/>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应付采购货款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126,488,232.32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37,013,368.69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126,488,232.32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37,013,368.69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02"/>
      <w:bookmarkEnd w:id="302"/>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上海秀派电子科技股份有限公司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1,189,481.86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未催收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1,189,481.86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预收款项" w:id="303"/>
      <w:bookmarkEnd w:id="303"/>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4"/>
      <w:bookmarkEnd w:id="30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预收货物销售款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122,157,903.50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13,250,629.18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122,157,903.50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13,250,629.18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05"/>
      <w:bookmarkEnd w:id="30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上海全筑建筑装饰集团股份有限公司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1,857,285.34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南通市体育运动学校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1,540,862.07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上海智竺数码科技有限公司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1,314,068.37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上海市电化教育馆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1,150,943.38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5,863,159.16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应付职工薪酬" w:id="306"/>
      <w:bookmarkEnd w:id="306"/>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07"/>
      <w:bookmarkEnd w:id="30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8,886,120.39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184,366,427.48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175,878,667.90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17,373,879.97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11,208,117.54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10,902,121.15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305,996.39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296,123.16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179,160.00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116,963.16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8,886,120.39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195,870,668.18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186,959,949.05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17,796,839.52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08"/>
      <w:bookmarkEnd w:id="30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8,886,120.39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171,015,688.05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162,786,621.74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17,115,186.70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3,229,004.90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3,229,004.90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6,464,410.08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6,281,343.81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183,066.27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256,231.42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251,531.29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4,700.13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590,916.88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576,531.86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14,385.02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79,094.43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79,011.31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83.12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基本保险费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5,538,167.35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5,374,269.35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163,898.00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3,210,726.67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3,135,099.67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75,627.00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446,597.78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446,597.78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8,886,120.39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184,366,427.48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175,878,667.90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17,373,879.97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09"/>
      <w:bookmarkEnd w:id="30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10,826,001.63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10,532,001.15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294,000.48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382,115.91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370,120.00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11,995.91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11,208,117.54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10,902,121.15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305,996.39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应交税费" w:id="310"/>
      <w:bookmarkEnd w:id="310"/>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11,060,076.59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1,891,517.98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30,520,849.44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7,608,482.01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91,531.37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181,485.79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777,733.05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123,520.48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344,822.91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52,937.35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213,065.02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35,291.59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3,542,470.99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3,542,470.99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128,021.49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47,170.73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2,563,708.80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27,456.98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49,269,736.64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13,482,876.92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其他应付款" w:id="311"/>
      <w:bookmarkEnd w:id="311"/>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19,600,375.01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19,229,406.28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695,130,614.64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2,016,886.77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714,730,989.65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21,246,293.05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应付利息" w:id="312"/>
      <w:bookmarkEnd w:id="31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167,127.43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169,812.50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18,747,534.25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18,692,876.71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685,713.33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366,717.07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19,600,375.01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19,229,406.28</w:t>
            </w:r>
          </w:p>
        </w:tc>
      </w:tr>
    </w:tbl>
    <w:p>
      <w:pPr>
        <w:pStyle w:val="BodyText"/>
        <w:spacing w:line="240" w:lineRule="auto" w:before="51"/>
        <w:ind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股利" w:id="313"/>
      <w:bookmarkEnd w:id="31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其他应付款" w:id="314"/>
      <w:bookmarkEnd w:id="31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58,338,920.86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229,882.05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847,704.00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863,115.00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325,666.81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908,117.75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681,412.70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4,197,125.95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630,177,649.54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335,429.73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242,477.02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695,130,614.64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2,016,886.77</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4、持有待售负债" w:id="315"/>
      <w:bookmarkEnd w:id="315"/>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一年内到期的非流动负债" w:id="316"/>
      <w:bookmarkEnd w:id="316"/>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19,858,749.62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132,858,749.62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36,000,000.00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其他流动负债" w:id="317"/>
      <w:bookmarkEnd w:id="317"/>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9,510,192.49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6,206,949.12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9,510,192.49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6,206,949.12</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2"/>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123"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长期借款" w:id="318"/>
      <w:bookmarkEnd w:id="318"/>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19"/>
      <w:bookmarkEnd w:id="31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长期借款分类的说明：</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318"/>
        <w:gridCol w:w="1050"/>
        <w:gridCol w:w="1200"/>
        <w:gridCol w:w="946"/>
        <w:gridCol w:w="1154"/>
        <w:gridCol w:w="1025"/>
        <w:gridCol w:w="1846"/>
      </w:tblGrid>
      <w:tr>
        <w:trPr>
          <w:trHeight w:val="427" w:hRule="exact"/>
        </w:trPr>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8" w:right="0"/>
              <w:jc w:val="left"/>
              <w:rPr>
                <w:rFonts w:ascii="宋体" w:hAnsi="宋体" w:cs="宋体" w:eastAsia="宋体" w:hint="default"/>
                <w:sz w:val="18"/>
                <w:szCs w:val="18"/>
              </w:rPr>
            </w:pPr>
            <w:r>
              <w:rPr>
                <w:rFonts w:ascii="宋体" w:hAnsi="宋体" w:cs="宋体" w:eastAsia="宋体" w:hint="default"/>
                <w:sz w:val="18"/>
                <w:szCs w:val="18"/>
              </w:rPr>
              <w:t>借款类型</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00"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保证人</w:t>
            </w:r>
            <w:r>
              <w:rPr>
                <w:rFonts w:ascii="宋体" w:hAnsi="宋体" w:cs="宋体" w:eastAsia="宋体" w:hint="default"/>
                <w:sz w:val="18"/>
                <w:szCs w:val="18"/>
              </w:rPr>
              <w:t>/</w:t>
            </w:r>
            <w:r>
              <w:rPr>
                <w:rFonts w:ascii="宋体" w:hAnsi="宋体" w:cs="宋体" w:eastAsia="宋体" w:hint="default"/>
                <w:sz w:val="18"/>
                <w:szCs w:val="18"/>
              </w:rPr>
              <w:t>质押物</w:t>
            </w:r>
          </w:p>
        </w:tc>
      </w:tr>
      <w:tr>
        <w:trPr>
          <w:trHeight w:val="740" w:hRule="exact"/>
        </w:trPr>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9"/>
              <w:jc w:val="left"/>
              <w:rPr>
                <w:rFonts w:ascii="宋体" w:hAnsi="宋体" w:cs="宋体" w:eastAsia="宋体" w:hint="default"/>
                <w:sz w:val="18"/>
                <w:szCs w:val="18"/>
              </w:rPr>
            </w:pPr>
            <w:r>
              <w:rPr>
                <w:rFonts w:ascii="宋体" w:hAnsi="宋体" w:cs="宋体" w:eastAsia="宋体" w:hint="default"/>
                <w:sz w:val="18"/>
                <w:szCs w:val="18"/>
              </w:rPr>
              <w:t>浦发银行深圳分 行</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Narrow" w:hAnsi="Arial Narrow" w:cs="Arial Narrow" w:eastAsia="Arial Narrow" w:hint="default"/>
                <w:sz w:val="18"/>
                <w:szCs w:val="18"/>
              </w:rPr>
            </w:pPr>
            <w:r>
              <w:rPr>
                <w:rFonts w:ascii="Arial Narrow"/>
                <w:spacing w:val="-1"/>
                <w:sz w:val="18"/>
              </w:rPr>
              <w:t>80,000,000.00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Narrow" w:hAnsi="Arial Narrow" w:cs="Arial Narrow" w:eastAsia="Arial Narrow" w:hint="default"/>
                <w:sz w:val="18"/>
                <w:szCs w:val="18"/>
              </w:rPr>
            </w:pPr>
            <w:r>
              <w:rPr>
                <w:rFonts w:ascii="Arial Narrow"/>
                <w:sz w:val="18"/>
              </w:rPr>
              <w:t>6.18%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1"/>
              <w:jc w:val="right"/>
              <w:rPr>
                <w:rFonts w:ascii="Arial Narrow" w:hAnsi="Arial Narrow" w:cs="Arial Narrow" w:eastAsia="Arial Narrow" w:hint="default"/>
                <w:sz w:val="18"/>
                <w:szCs w:val="18"/>
              </w:rPr>
            </w:pPr>
            <w:r>
              <w:rPr>
                <w:rFonts w:ascii="Arial Narrow"/>
                <w:spacing w:val="-1"/>
                <w:sz w:val="18"/>
              </w:rPr>
              <w:t>2016/12/1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Arial Narrow" w:hAnsi="Arial Narrow" w:cs="Arial Narrow" w:eastAsia="Arial Narrow" w:hint="default"/>
                <w:sz w:val="18"/>
                <w:szCs w:val="18"/>
              </w:rPr>
            </w:pPr>
            <w:r>
              <w:rPr>
                <w:rFonts w:ascii="Arial Narrow"/>
                <w:sz w:val="18"/>
              </w:rPr>
              <w:t>2019/12/1</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6"/>
              <w:jc w:val="left"/>
              <w:rPr>
                <w:rFonts w:ascii="宋体" w:hAnsi="宋体" w:cs="宋体" w:eastAsia="宋体" w:hint="default"/>
                <w:sz w:val="18"/>
                <w:szCs w:val="18"/>
              </w:rPr>
            </w:pPr>
            <w:r>
              <w:rPr>
                <w:rFonts w:ascii="宋体" w:hAnsi="宋体" w:cs="宋体" w:eastAsia="宋体" w:hint="default"/>
                <w:sz w:val="18"/>
                <w:szCs w:val="18"/>
              </w:rPr>
              <w:t>保证人：吴淡珠、蔡廷 祥</w:t>
            </w:r>
          </w:p>
        </w:tc>
      </w:tr>
      <w:tr>
        <w:trPr>
          <w:trHeight w:val="1051" w:hRule="exact"/>
        </w:trPr>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9"/>
              <w:jc w:val="both"/>
              <w:rPr>
                <w:rFonts w:ascii="宋体" w:hAnsi="宋体" w:cs="宋体" w:eastAsia="宋体" w:hint="default"/>
                <w:sz w:val="18"/>
                <w:szCs w:val="18"/>
              </w:rPr>
            </w:pPr>
            <w:r>
              <w:rPr>
                <w:rFonts w:ascii="宋体" w:hAnsi="宋体" w:cs="宋体" w:eastAsia="宋体" w:hint="default"/>
                <w:sz w:val="18"/>
                <w:szCs w:val="18"/>
              </w:rPr>
              <w:t>华夏银行股份有 限公司北京万柳 支行</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质押借款</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Arial Narrow" w:hAnsi="Arial Narrow" w:cs="Arial Narrow" w:eastAsia="Arial Narrow" w:hint="default"/>
                <w:sz w:val="18"/>
                <w:szCs w:val="18"/>
              </w:rPr>
            </w:pPr>
            <w:r>
              <w:rPr>
                <w:rFonts w:ascii="Arial Narrow"/>
                <w:spacing w:val="-1"/>
                <w:sz w:val="18"/>
              </w:rPr>
              <w:t>5,000,000.00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Narrow" w:hAnsi="Arial Narrow" w:cs="Arial Narrow" w:eastAsia="Arial Narrow" w:hint="default"/>
                <w:sz w:val="18"/>
                <w:szCs w:val="18"/>
              </w:rPr>
            </w:pPr>
            <w:r>
              <w:rPr>
                <w:rFonts w:ascii="Arial Narrow"/>
                <w:sz w:val="18"/>
              </w:rPr>
              <w:t>7.51%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9"/>
              <w:jc w:val="right"/>
              <w:rPr>
                <w:rFonts w:ascii="Arial Narrow" w:hAnsi="Arial Narrow" w:cs="Arial Narrow" w:eastAsia="Arial Narrow" w:hint="default"/>
                <w:sz w:val="18"/>
                <w:szCs w:val="18"/>
              </w:rPr>
            </w:pPr>
            <w:r>
              <w:rPr>
                <w:rFonts w:ascii="Arial Narrow"/>
                <w:spacing w:val="-1"/>
                <w:sz w:val="18"/>
              </w:rPr>
              <w:t>2018/12/21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Arial Narrow" w:hAnsi="Arial Narrow" w:cs="Arial Narrow" w:eastAsia="Arial Narrow" w:hint="default"/>
                <w:sz w:val="18"/>
                <w:szCs w:val="18"/>
              </w:rPr>
            </w:pPr>
            <w:r>
              <w:rPr>
                <w:rFonts w:ascii="Arial Narrow"/>
                <w:sz w:val="18"/>
              </w:rPr>
              <w:t>2020/12/21</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6"/>
              <w:jc w:val="both"/>
              <w:rPr>
                <w:rFonts w:ascii="宋体" w:hAnsi="宋体" w:cs="宋体" w:eastAsia="宋体" w:hint="default"/>
                <w:sz w:val="18"/>
                <w:szCs w:val="18"/>
              </w:rPr>
            </w:pPr>
            <w:r>
              <w:rPr>
                <w:rFonts w:ascii="宋体" w:hAnsi="宋体" w:cs="宋体" w:eastAsia="宋体" w:hint="default"/>
                <w:sz w:val="18"/>
                <w:szCs w:val="18"/>
              </w:rPr>
              <w:t>质押物：嘉兴卓智股权 投资合伙企业（有限合 伙）持有公司的股权</w:t>
            </w:r>
          </w:p>
        </w:tc>
      </w:tr>
      <w:tr>
        <w:trPr>
          <w:trHeight w:val="427" w:hRule="exact"/>
        </w:trPr>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8" w:right="0"/>
              <w:jc w:val="left"/>
              <w:rPr>
                <w:rFonts w:ascii="宋体" w:hAnsi="宋体" w:cs="宋体" w:eastAsia="宋体" w:hint="default"/>
                <w:sz w:val="18"/>
                <w:szCs w:val="18"/>
              </w:rPr>
            </w:pPr>
            <w:r>
              <w:rPr>
                <w:rFonts w:ascii="宋体" w:hAnsi="宋体" w:cs="宋体" w:eastAsia="宋体" w:hint="default"/>
                <w:sz w:val="18"/>
                <w:szCs w:val="18"/>
              </w:rPr>
              <w:t>——</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Narrow" w:hAnsi="Arial Narrow" w:cs="Arial Narrow" w:eastAsia="Arial Narrow" w:hint="default"/>
                <w:sz w:val="18"/>
                <w:szCs w:val="18"/>
              </w:rPr>
            </w:pPr>
            <w:r>
              <w:rPr>
                <w:rFonts w:ascii="Arial Narrow"/>
                <w:spacing w:val="-1"/>
                <w:sz w:val="18"/>
              </w:rPr>
              <w:t>85,000,000.00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5" w:right="0"/>
              <w:jc w:val="left"/>
              <w:rPr>
                <w:rFonts w:ascii="宋体" w:hAnsi="宋体" w:cs="宋体" w:eastAsia="宋体" w:hint="default"/>
                <w:sz w:val="18"/>
                <w:szCs w:val="18"/>
              </w:rPr>
            </w:pPr>
            <w:r>
              <w:rPr>
                <w:rFonts w:ascii="宋体" w:hAnsi="宋体" w:cs="宋体" w:eastAsia="宋体" w:hint="default"/>
                <w:sz w:val="18"/>
                <w:szCs w:val="18"/>
              </w:rPr>
              <w:t>——</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t>其他说明，包括利率区间：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付债券" w:id="320"/>
      <w:bookmarkEnd w:id="320"/>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1"/>
      <w:bookmarkEnd w:id="32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347,528,118.30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345,332,014.46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减：一年到期的应付债券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-19,858,749.62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327,669,368.68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345,332,014.46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22"/>
      <w:bookmarkEnd w:id="32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公司债 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6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345,33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2,014.4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19,950,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2,196,1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03.84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347,52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2"/>
                <w:sz w:val="18"/>
              </w:rPr>
              <w:t>8,118.3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345,33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2,014.4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19,950,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2,196,1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03.84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34,752,</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811.00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长期应付款" w:id="323"/>
      <w:bookmarkEnd w:id="323"/>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97,000,000.00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按款项性质列示长期应付款" w:id="324"/>
      <w:bookmarkEnd w:id="32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92"/>
              <w:jc w:val="left"/>
              <w:rPr>
                <w:rFonts w:ascii="宋体" w:hAnsi="宋体" w:cs="宋体" w:eastAsia="宋体" w:hint="default"/>
                <w:sz w:val="18"/>
                <w:szCs w:val="18"/>
              </w:rPr>
            </w:pPr>
            <w:r>
              <w:rPr>
                <w:rFonts w:ascii="宋体" w:hAnsi="宋体" w:cs="宋体" w:eastAsia="宋体" w:hint="default"/>
                <w:sz w:val="18"/>
                <w:szCs w:val="18"/>
              </w:rPr>
              <w:t>应付河南智游臻龙教育科技有限公司 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26,000,000.00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长期应付职工薪酬" w:id="325"/>
      <w:bookmarkEnd w:id="325"/>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26"/>
      <w:bookmarkEnd w:id="32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5,849,762.63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4,925,580.54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5,849,762.63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4,925,580.54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预计负债" w:id="327"/>
      <w:bookmarkEnd w:id="327"/>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递延收益" w:id="328"/>
      <w:bookmarkEnd w:id="328"/>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其他非流动负债" w:id="329"/>
      <w:bookmarkEnd w:id="329"/>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44、股本" w:id="330"/>
      <w:bookmarkEnd w:id="330"/>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434,800,140.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55,037,126.0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-8,780,396.0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46,256,730.0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481,056,870.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4"/>
        <w:spacing w:line="240" w:lineRule="auto" w:before="0"/>
        <w:ind w:left="534" w:right="0"/>
        <w:jc w:val="left"/>
      </w:pPr>
      <w:r>
        <w:rPr/>
        <w:t>公司的股本变动情况详见“一、公司基本情况（一）公司历史沿革</w:t>
      </w:r>
      <w:r>
        <w:rPr>
          <w:spacing w:val="-105"/>
        </w:rPr>
        <w:t>”</w: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bookmarkStart w:name="45、其他权益工具" w:id="331"/>
      <w:bookmarkEnd w:id="331"/>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32"/>
      <w:bookmarkEnd w:id="33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33"/>
      <w:bookmarkEnd w:id="33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6、资本公积" w:id="334"/>
      <w:bookmarkEnd w:id="334"/>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1,026,574,331.92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387,274,050.86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65,307,797.18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1" w:right="0"/>
              <w:jc w:val="left"/>
              <w:rPr>
                <w:rFonts w:ascii="Times New Roman" w:hAnsi="Times New Roman" w:cs="Times New Roman" w:eastAsia="Times New Roman" w:hint="default"/>
                <w:sz w:val="18"/>
                <w:szCs w:val="18"/>
              </w:rPr>
            </w:pPr>
            <w:r>
              <w:rPr>
                <w:rFonts w:ascii="Times New Roman"/>
                <w:sz w:val="18"/>
              </w:rPr>
              <w:t>1,348,540,585.60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1,026,574,331.92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387,274,050.86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65,307,797.18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1" w:right="0"/>
              <w:jc w:val="left"/>
              <w:rPr>
                <w:rFonts w:ascii="Times New Roman" w:hAnsi="Times New Roman" w:cs="Times New Roman" w:eastAsia="Times New Roman" w:hint="default"/>
                <w:sz w:val="18"/>
                <w:szCs w:val="18"/>
              </w:rPr>
            </w:pPr>
            <w:r>
              <w:rPr>
                <w:rFonts w:ascii="Times New Roman"/>
                <w:sz w:val="18"/>
              </w:rPr>
              <w:t>1,348,540,585.60</w:t>
            </w:r>
          </w:p>
        </w:tc>
      </w:tr>
    </w:tbl>
    <w:p>
      <w:pPr>
        <w:pStyle w:val="BodyText"/>
        <w:spacing w:line="240" w:lineRule="auto" w:before="51"/>
        <w:ind w:right="0"/>
        <w:jc w:val="left"/>
      </w:pPr>
      <w:r>
        <w:rPr/>
        <w:t>其他说明，包括本期增减变动情况、变动原因说明：</w:t>
      </w:r>
    </w:p>
    <w:p>
      <w:pPr>
        <w:spacing w:line="240" w:lineRule="auto" w:before="12"/>
        <w:rPr>
          <w:rFonts w:ascii="宋体" w:hAnsi="宋体" w:cs="宋体" w:eastAsia="宋体" w:hint="default"/>
          <w:sz w:val="15"/>
          <w:szCs w:val="15"/>
        </w:rPr>
      </w:pPr>
    </w:p>
    <w:p>
      <w:pPr>
        <w:pStyle w:val="Heading4"/>
        <w:spacing w:line="240" w:lineRule="auto" w:before="0"/>
        <w:ind w:left="534" w:right="0"/>
        <w:jc w:val="left"/>
      </w:pPr>
      <w:r>
        <w:rPr/>
        <w:t>资本公积</w:t>
      </w:r>
      <w:r>
        <w:rPr>
          <w:rFonts w:ascii="宋体" w:hAnsi="宋体" w:cs="宋体" w:eastAsia="宋体" w:hint="default"/>
        </w:rPr>
        <w:t>-</w:t>
      </w:r>
      <w:r>
        <w:rPr/>
        <w:t>资本溢价的变动由一下事项形成：</w:t>
      </w:r>
    </w:p>
    <w:p>
      <w:pPr>
        <w:pStyle w:val="Heading4"/>
        <w:spacing w:line="273" w:lineRule="auto" w:before="37"/>
        <w:ind w:right="0" w:firstLine="420"/>
        <w:jc w:val="left"/>
      </w:pPr>
      <w:r>
        <w:rPr>
          <w:spacing w:val="-1"/>
        </w:rPr>
        <w:t>（</w:t>
      </w:r>
      <w:r>
        <w:rPr>
          <w:rFonts w:ascii="宋体" w:hAnsi="宋体" w:cs="宋体" w:eastAsia="宋体" w:hint="default"/>
          <w:spacing w:val="-1"/>
        </w:rPr>
        <w:t>1</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27</w:t>
      </w:r>
      <w:r>
        <w:rPr>
          <w:spacing w:val="-1"/>
        </w:rPr>
        <w:t>日完成了对向北京翡翠教育科技集团有限公司的收购，以发行股份及支付现</w:t>
      </w:r>
      <w:r>
        <w:rPr/>
        <w:t> </w:t>
      </w:r>
      <w:r>
        <w:rPr>
          <w:spacing w:val="-1"/>
        </w:rPr>
        <w:t>金方式购买北京翡翠教育科技集团有限公司</w:t>
      </w:r>
      <w:r>
        <w:rPr>
          <w:rFonts w:ascii="宋体" w:hAnsi="宋体" w:cs="宋体" w:eastAsia="宋体" w:hint="default"/>
          <w:spacing w:val="-1"/>
        </w:rPr>
        <w:t>100%</w:t>
      </w:r>
      <w:r>
        <w:rPr>
          <w:spacing w:val="-1"/>
        </w:rPr>
        <w:t>的股权。根据公司</w:t>
      </w:r>
      <w:r>
        <w:rPr>
          <w:rFonts w:ascii="宋体" w:hAnsi="宋体" w:cs="宋体" w:eastAsia="宋体" w:hint="default"/>
          <w:spacing w:val="-1"/>
        </w:rPr>
        <w:t>2017</w:t>
      </w:r>
      <w:r>
        <w:rPr>
          <w:spacing w:val="-1"/>
        </w:rPr>
        <w:t>年第二次临时股东大会审议通过的</w:t>
      </w:r>
    </w:p>
    <w:p>
      <w:pPr>
        <w:pStyle w:val="Heading4"/>
        <w:spacing w:line="273" w:lineRule="auto"/>
        <w:ind w:right="1118"/>
        <w:jc w:val="left"/>
      </w:pPr>
      <w:r>
        <w:rPr>
          <w:spacing w:val="-3"/>
        </w:rPr>
        <w:t>《关于公司符合向特定对象发行股份及支付现金购买资产并募集配套资金条件的议案》，并经中国证券监</w:t>
      </w:r>
      <w:r>
        <w:rPr>
          <w:spacing w:val="-74"/>
        </w:rPr>
        <w:t> </w:t>
      </w:r>
      <w:r>
        <w:rPr>
          <w:spacing w:val="-74"/>
        </w:rPr>
      </w:r>
      <w:r>
        <w:rPr>
          <w:spacing w:val="-1"/>
        </w:rPr>
        <w:t>督管理委员会《关于核准广东文化长城集团股份有限公司向安卓易（北京）科技有限公司等发行股份购买</w:t>
      </w:r>
      <w:r>
        <w:rPr>
          <w:spacing w:val="-83"/>
        </w:rPr>
        <w:t> </w:t>
      </w:r>
      <w:r>
        <w:rPr>
          <w:spacing w:val="-83"/>
        </w:rPr>
      </w:r>
      <w:r>
        <w:rPr>
          <w:spacing w:val="-3"/>
        </w:rPr>
        <w:t>资产并募集配套资金的批复》（证监许可</w:t>
      </w:r>
      <w:r>
        <w:rPr>
          <w:rFonts w:ascii="宋体" w:hAnsi="宋体" w:cs="宋体" w:eastAsia="宋体" w:hint="default"/>
          <w:spacing w:val="-3"/>
        </w:rPr>
        <w:t>[2018]394</w:t>
      </w:r>
      <w:r>
        <w:rPr>
          <w:spacing w:val="-3"/>
        </w:rPr>
        <w:t>号）核准，公司向交易对方安卓易（北京）科技有限公</w:t>
      </w:r>
      <w:r>
        <w:rPr>
          <w:spacing w:val="-82"/>
        </w:rPr>
        <w:t> </w:t>
      </w:r>
      <w:r>
        <w:rPr>
          <w:spacing w:val="-82"/>
        </w:rPr>
      </w:r>
      <w:r>
        <w:rPr>
          <w:spacing w:val="-1"/>
        </w:rPr>
        <w:t>司等非公开发行普通股股票</w:t>
      </w:r>
      <w:r>
        <w:rPr>
          <w:rFonts w:ascii="宋体" w:hAnsi="宋体" w:cs="宋体" w:eastAsia="宋体" w:hint="default"/>
          <w:spacing w:val="-1"/>
        </w:rPr>
        <w:t>55,037,126.00</w:t>
      </w:r>
      <w:r>
        <w:rPr>
          <w:spacing w:val="-1"/>
        </w:rPr>
        <w:t>股，每股面值</w:t>
      </w:r>
      <w:r>
        <w:rPr>
          <w:rFonts w:ascii="宋体" w:hAnsi="宋体" w:cs="宋体" w:eastAsia="宋体" w:hint="default"/>
          <w:spacing w:val="-1"/>
        </w:rPr>
        <w:t>1.00</w:t>
      </w:r>
      <w:r>
        <w:rPr>
          <w:spacing w:val="-1"/>
        </w:rPr>
        <w:t>元，每股发行价人民币</w:t>
      </w:r>
      <w:r>
        <w:rPr>
          <w:rFonts w:ascii="宋体" w:hAnsi="宋体" w:cs="宋体" w:eastAsia="宋体" w:hint="default"/>
          <w:spacing w:val="-1"/>
        </w:rPr>
        <w:t>14.93</w:t>
      </w:r>
      <w:r>
        <w:rPr>
          <w:spacing w:val="-1"/>
        </w:rPr>
        <w:t>元。而实际股权</w:t>
      </w:r>
      <w:r>
        <w:rPr>
          <w:spacing w:val="-75"/>
        </w:rPr>
        <w:t> </w:t>
      </w:r>
      <w:r>
        <w:rPr>
          <w:spacing w:val="-75"/>
        </w:rPr>
      </w:r>
      <w:r>
        <w:rPr>
          <w:spacing w:val="-1"/>
        </w:rPr>
        <w:t>交割日每股公允价格为</w:t>
      </w:r>
      <w:r>
        <w:rPr>
          <w:rFonts w:ascii="宋体" w:hAnsi="宋体" w:cs="宋体" w:eastAsia="宋体" w:hint="default"/>
          <w:spacing w:val="-1"/>
        </w:rPr>
        <w:t>8.28</w:t>
      </w:r>
      <w:r>
        <w:rPr>
          <w:spacing w:val="-1"/>
        </w:rPr>
        <w:t>元，公司以实际股权交割日的每股公允价计算确认初始投资成本，形成资本溢</w:t>
      </w:r>
      <w:r>
        <w:rPr>
          <w:spacing w:val="-81"/>
        </w:rPr>
        <w:t> </w:t>
      </w:r>
      <w:r>
        <w:rPr>
          <w:spacing w:val="-81"/>
        </w:rPr>
      </w:r>
      <w:r>
        <w:rPr/>
        <w:t>价</w:t>
      </w:r>
      <w:r>
        <w:rPr>
          <w:spacing w:val="-1"/>
        </w:rPr>
        <w:t> </w:t>
      </w:r>
      <w:r>
        <w:rPr>
          <w:rFonts w:ascii="宋体" w:hAnsi="宋体" w:cs="宋体" w:eastAsia="宋体" w:hint="default"/>
        </w:rPr>
        <w:t>387,274,050.86</w:t>
      </w:r>
      <w:r>
        <w:rPr/>
        <w:t>元。</w:t>
      </w:r>
    </w:p>
    <w:p>
      <w:pPr>
        <w:spacing w:after="0" w:line="273" w:lineRule="auto"/>
        <w:jc w:val="left"/>
        <w:sectPr>
          <w:footerReference w:type="default" r:id="rId15"/>
          <w:pgSz w:w="11910" w:h="16840"/>
          <w:pgMar w:footer="1019" w:header="907" w:top="1100" w:bottom="1200" w:left="1020" w:right="0"/>
        </w:sectPr>
      </w:pPr>
    </w:p>
    <w:p>
      <w:pPr>
        <w:spacing w:line="240" w:lineRule="auto" w:before="8"/>
        <w:rPr>
          <w:rFonts w:ascii="宋体" w:hAnsi="宋体" w:cs="宋体" w:eastAsia="宋体" w:hint="default"/>
          <w:sz w:val="21"/>
          <w:szCs w:val="21"/>
        </w:rPr>
      </w:pPr>
    </w:p>
    <w:p>
      <w:pPr>
        <w:pStyle w:val="Heading4"/>
        <w:spacing w:line="273" w:lineRule="auto" w:before="35"/>
        <w:ind w:right="0" w:firstLine="421"/>
        <w:jc w:val="left"/>
      </w:pPr>
      <w:r>
        <w:rPr/>
        <w:t>（</w:t>
      </w:r>
      <w:r>
        <w:rPr>
          <w:rFonts w:ascii="宋体" w:hAnsi="宋体" w:cs="宋体" w:eastAsia="宋体" w:hint="default"/>
        </w:rPr>
        <w:t>2</w:t>
      </w:r>
      <w:r>
        <w:rPr/>
        <w:t>）根据</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w:t>
      </w:r>
      <w:r>
        <w:rPr/>
        <w:t>日公司</w:t>
      </w:r>
      <w:r>
        <w:rPr>
          <w:rFonts w:ascii="宋体" w:hAnsi="宋体" w:cs="宋体" w:eastAsia="宋体" w:hint="default"/>
        </w:rPr>
        <w:t>2018</w:t>
      </w:r>
      <w:r>
        <w:rPr/>
        <w:t>年第一次临时股东大会决议，审议通过了《关于以集中竞价交易方 </w:t>
      </w:r>
      <w:r>
        <w:rPr>
          <w:spacing w:val="-3"/>
        </w:rPr>
        <w:t>式回购公司股份的议案》，本次回购股份</w:t>
      </w:r>
      <w:r>
        <w:rPr>
          <w:rFonts w:ascii="宋体" w:hAnsi="宋体" w:cs="宋体" w:eastAsia="宋体" w:hint="default"/>
          <w:spacing w:val="-3"/>
        </w:rPr>
        <w:t>8,780,390.00</w:t>
      </w:r>
      <w:r>
        <w:rPr>
          <w:spacing w:val="-3"/>
        </w:rPr>
        <w:t>股并注销，支付的总金额为</w:t>
      </w:r>
      <w:r>
        <w:rPr>
          <w:rFonts w:ascii="宋体" w:hAnsi="宋体" w:cs="宋体" w:eastAsia="宋体" w:hint="default"/>
          <w:spacing w:val="-3"/>
        </w:rPr>
        <w:t>74,088,193.18</w:t>
      </w:r>
      <w:r>
        <w:rPr>
          <w:spacing w:val="-3"/>
        </w:rPr>
        <w:t>元，对应</w:t>
      </w:r>
      <w:r>
        <w:rPr>
          <w:spacing w:val="-60"/>
        </w:rPr>
        <w:t> </w:t>
      </w:r>
      <w:r>
        <w:rPr>
          <w:spacing w:val="-60"/>
        </w:rPr>
      </w:r>
      <w:r>
        <w:rPr/>
        <w:t>冲减资本公积</w:t>
      </w:r>
      <w:r>
        <w:rPr>
          <w:rFonts w:ascii="宋体" w:hAnsi="宋体" w:cs="宋体" w:eastAsia="宋体" w:hint="default"/>
        </w:rPr>
        <w:t>65,307,797.18</w:t>
      </w:r>
      <w:r>
        <w:rPr/>
        <w:t>元。</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47、库存股" w:id="335"/>
      <w:bookmarkEnd w:id="335"/>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减少注册资本回购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74,088,193.18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74,088,193.18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74,088,193.18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74,088,193.18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其他说明，包括本期增减变动情况、变动原因说明：</w:t>
      </w:r>
    </w:p>
    <w:p>
      <w:pPr>
        <w:pStyle w:val="Heading4"/>
        <w:spacing w:line="273" w:lineRule="auto" w:before="89"/>
        <w:ind w:right="0" w:firstLine="420"/>
        <w:jc w:val="left"/>
      </w:pPr>
      <w:r>
        <w:rPr>
          <w:spacing w:val="-1"/>
        </w:rPr>
        <w:t>根据</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w:t>
      </w:r>
      <w:r>
        <w:rPr>
          <w:spacing w:val="-1"/>
        </w:rPr>
        <w:t>日公司</w:t>
      </w:r>
      <w:r>
        <w:rPr>
          <w:rFonts w:ascii="宋体" w:hAnsi="宋体" w:cs="宋体" w:eastAsia="宋体" w:hint="default"/>
          <w:spacing w:val="-1"/>
        </w:rPr>
        <w:t>2018</w:t>
      </w:r>
      <w:r>
        <w:rPr>
          <w:spacing w:val="-1"/>
        </w:rPr>
        <w:t>年第一次临时股东大会决议，审议通过了《关于以集中竞价交易方式回购</w:t>
      </w:r>
      <w:r>
        <w:rPr/>
        <w:t> </w:t>
      </w:r>
      <w:r>
        <w:rPr>
          <w:spacing w:val="-3"/>
        </w:rPr>
        <w:t>公司股份的议案》，考虑到广大股东的基本利益，公司以自由资金回购公司股份</w:t>
      </w:r>
      <w:r>
        <w:rPr>
          <w:rFonts w:ascii="宋体" w:hAnsi="宋体" w:cs="宋体" w:eastAsia="宋体" w:hint="default"/>
          <w:spacing w:val="-3"/>
        </w:rPr>
        <w:t>8,780,390.00</w:t>
      </w:r>
      <w:r>
        <w:rPr>
          <w:spacing w:val="-3"/>
        </w:rPr>
        <w:t>股并予以注</w:t>
      </w:r>
      <w:r>
        <w:rPr>
          <w:spacing w:val="-57"/>
        </w:rPr>
        <w:t> </w:t>
      </w:r>
      <w:r>
        <w:rPr>
          <w:spacing w:val="-57"/>
        </w:rPr>
      </w:r>
      <w:r>
        <w:rPr/>
        <w:t>销。如附注六、注释</w:t>
      </w:r>
      <w:r>
        <w:rPr>
          <w:rFonts w:ascii="宋体" w:hAnsi="宋体" w:cs="宋体" w:eastAsia="宋体" w:hint="default"/>
        </w:rPr>
        <w:t>30</w:t>
      </w:r>
      <w:r>
        <w:rPr/>
        <w:t>所示，本次注销库存股成本高于对应股本成本的金额，冲减资本公积。</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48、其他综合收益" w:id="336"/>
      <w:bookmarkEnd w:id="336"/>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0"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2"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2"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专项储备" w:id="337"/>
      <w:bookmarkEnd w:id="337"/>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盈余公积" w:id="338"/>
      <w:bookmarkEnd w:id="338"/>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33,481,335.68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33,481,335.68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33,481,335.68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33,481,335.68</w:t>
            </w:r>
          </w:p>
        </w:tc>
      </w:tr>
    </w:tbl>
    <w:p>
      <w:pPr>
        <w:pStyle w:val="BodyText"/>
        <w:spacing w:line="240" w:lineRule="auto" w:before="51"/>
        <w:ind w:right="0"/>
        <w:jc w:val="left"/>
      </w:pPr>
      <w:r>
        <w:rPr/>
        <w:t>盈余公积说明，包括本期增减变动情况、变动原因说明：</w:t>
      </w:r>
    </w:p>
    <w:p>
      <w:pPr>
        <w:spacing w:after="0" w:line="240" w:lineRule="auto"/>
        <w:jc w:val="left"/>
        <w:sectPr>
          <w:footerReference w:type="default" r:id="rId16"/>
          <w:pgSz w:w="11910" w:h="16840"/>
          <w:pgMar w:footer="1019" w:header="907" w:top="1100" w:bottom="1200" w:left="1020" w:right="0"/>
          <w:pgNumType w:start="201"/>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51、未分配利润" w:id="339"/>
      <w:bookmarkEnd w:id="339"/>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326,273,427.87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326,273,427.87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204,851,349.06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531,124,776.93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40"/>
      <w:bookmarkEnd w:id="340"/>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1,164,826,430.11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564,321,849.84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535,614,241.43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269,304,511.03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8,910,363.97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7,960,613.64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4,503,595.36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2,259,252.72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1,173,736,794.08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572,282,463.48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540,117,836.79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271,563,763.75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41"/>
      <w:bookmarkEnd w:id="341"/>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2,842,922.13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1,724,267.10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1,229,248.67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739,259.45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1,119,250.54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816,564.74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474,304.88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3,376,039.52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569,300.22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230,799.80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785,954.89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492,839.70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78,414.86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7,110,196.19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7,391,410.31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4、销售费用" w:id="342"/>
      <w:bookmarkEnd w:id="342"/>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57,968,130.83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13,625,932.52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租赁费和物业管理水电费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15,294,148.54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5,109,886.77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1,240,938.49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214,847.20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3,952,394.01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2,997,448.78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招生服务费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21,225,263.69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12,177,303.87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12,526,194.95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5,258,089.84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4,983,499.48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1,357,989.01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3,215,457.51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1,892,797.12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报关邮寄费用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1,173,469.69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913,037.72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1,662,148.81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115,047.65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2,227,531.81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438,361.46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407,846.98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6,402,522.95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448,095.81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130,082,530.41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46,745,855.08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5、管理费用" w:id="343"/>
      <w:bookmarkEnd w:id="343"/>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40,282,324.46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19,518,326.29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19,840,095.73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13,888,519.29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8,019,781.79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7,606,777.02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6,873,639.07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5,895,452.87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4,973,532.38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3,484,018.78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14,166,538.73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2,483,243.88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1,762,268.85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450,430.61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584,808.99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544,609.35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2,522,887.71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542,300.00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185,849.33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2,934,230.41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172,176.25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102,145,957.45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54,585,854.34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6、研发费用" w:id="344"/>
      <w:bookmarkEnd w:id="344"/>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25,398,807.48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9,004,323.45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6,058,409.46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8,773,112.54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设备折旧费用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2,011,059.15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1,892,550.13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598,290.72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598,290.60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新产品设计费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3,291,819.79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1,010,619.77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1,137,115.85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委外研发费用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4,046,308.85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42,415,315.22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21,405,392.57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财务费用" w:id="345"/>
      <w:bookmarkEnd w:id="345"/>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62,227,400.03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44,005,210.02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4,545,020.45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4,173,563.56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-8,927,240.96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12,520,018.37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1,117,821.96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620,286.18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440,496.42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79,103.74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50,313,457.00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53,051,054.75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资产减值损失" w:id="346"/>
      <w:bookmarkEnd w:id="346"/>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32,724,575.14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-3,665,946.77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3,359,117.16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2,212,053.68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36,083,692.30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-1,453,893.09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9、其他收益" w:id="347"/>
      <w:bookmarkEnd w:id="347"/>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8,282,716.18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4,682,480.62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14,580.84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8,297,297.02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4,682,480.62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48"/>
      <w:bookmarkEnd w:id="348"/>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3,881,529.57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-7,811,584.31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150,928.18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2,212,842.78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4,032,457.75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-5,598,741.53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1、公允价值变动收益" w:id="349"/>
      <w:bookmarkEnd w:id="349"/>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2、资产处置收益" w:id="350"/>
      <w:bookmarkEnd w:id="350"/>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-56,976.32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-8,631.45</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51"/>
      <w:bookmarkEnd w:id="351"/>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8,066.77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8,066.77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与日常活动无关的政府补助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7,829.63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5,721.42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5,721.42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374,386.77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374,386.77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久悬未决收入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845,569.93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845,569.93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120,768.02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28,717.85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120,768.02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1,354,512.91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146,547.48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1,354,512.91</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外经贸发 展专项资 </w:t>
            </w:r>
            <w:r>
              <w:rPr>
                <w:rFonts w:ascii="宋体" w:hAnsi="宋体" w:cs="宋体" w:eastAsia="宋体" w:hint="default"/>
                <w:spacing w:val="-11"/>
                <w:sz w:val="18"/>
                <w:szCs w:val="18"/>
              </w:rPr>
              <w:t>金（外贸中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小企业开 拓市场）</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24,084.00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省科技发 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857,200.00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外经贸发 展专项资 </w:t>
            </w:r>
            <w:r>
              <w:rPr>
                <w:rFonts w:ascii="宋体" w:hAnsi="宋体" w:cs="宋体" w:eastAsia="宋体" w:hint="default"/>
                <w:spacing w:val="-11"/>
                <w:sz w:val="18"/>
                <w:szCs w:val="18"/>
              </w:rPr>
              <w:t>金（服务贸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易发展项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86"/>
              <w:jc w:val="both"/>
              <w:rPr>
                <w:rFonts w:ascii="宋体" w:hAnsi="宋体" w:cs="宋体" w:eastAsia="宋体" w:hint="default"/>
                <w:sz w:val="18"/>
                <w:szCs w:val="18"/>
              </w:rPr>
            </w:pPr>
            <w:r>
              <w:rPr>
                <w:rFonts w:ascii="宋体" w:hAnsi="宋体" w:cs="宋体" w:eastAsia="宋体" w:hint="default"/>
                <w:sz w:val="18"/>
                <w:szCs w:val="18"/>
              </w:rPr>
              <w:t>收到关于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度省企业 研究开发 省级财政 补助项目 计划的资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676,700.00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年强 化知识产 权专项资 金（第一 批）补贴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创税前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强企业补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专利获奖 奖励资金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促进外贸 资助资金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中央财政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外经贸发 展专项资 金补贴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41,424.00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潮州 实施技术 标准战略 资助项目 财政补贴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潮州市政 府质量奖 奖励资金 财政补贴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科技企业 研发费用 财政补助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92,438.92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服务外包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科技计划 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高新技术 </w:t>
            </w:r>
            <w:r>
              <w:rPr>
                <w:rFonts w:ascii="宋体" w:hAnsi="宋体" w:cs="宋体" w:eastAsia="宋体" w:hint="default"/>
                <w:spacing w:val="-11"/>
                <w:sz w:val="18"/>
                <w:szCs w:val="18"/>
              </w:rPr>
              <w:t>企业、工程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技术研究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6" w:right="0"/>
              <w:jc w:val="center"/>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见习基地 补助款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21,400.00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郑州市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一批科技 计划项目 </w:t>
            </w:r>
            <w:r>
              <w:rPr>
                <w:rFonts w:ascii="宋体" w:hAnsi="宋体" w:cs="宋体" w:eastAsia="宋体" w:hint="default"/>
                <w:spacing w:val="-11"/>
                <w:sz w:val="18"/>
                <w:szCs w:val="18"/>
              </w:rPr>
              <w:t>经费（高新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技术企业 奖补）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郑州市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 技型企业 研发经费 后补助专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6"/>
              <w:jc w:val="left"/>
              <w:rPr>
                <w:rFonts w:ascii="Times New Roman" w:hAnsi="Times New Roman" w:cs="Times New Roman" w:eastAsia="Times New Roman" w:hint="default"/>
                <w:sz w:val="18"/>
                <w:szCs w:val="18"/>
              </w:rPr>
            </w:pPr>
            <w:r>
              <w:rPr>
                <w:rFonts w:ascii="宋体" w:hAnsi="宋体" w:cs="宋体" w:eastAsia="宋体" w:hint="default"/>
                <w:sz w:val="18"/>
                <w:szCs w:val="18"/>
              </w:rPr>
              <w:t>商务局专 项奖金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科技局高 新技术奖 励补助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收到科学 技术局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 研究开发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广州市企 业研发经 费投入后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835,900.00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318,200.00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天河区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 明专利申 请补助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激励企业 研究开发 财政补助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广州市科 技创新小 巨人企业 及高新技 术企业培 育专项补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天河区产 业发展专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天河区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 增规模以 上软件补 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高新技术 企业认定 通过奖励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高新技术 企业认定 通过奖励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“四上”企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业经费补 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广东省商 务厅补助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10,365.00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潮州市经 济和信息 化局补助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创新基金 收入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贴息贴费 专项资金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176,300.00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软件和集 成电路产 业发展专 项资金的 </w:t>
            </w:r>
            <w:r>
              <w:rPr>
                <w:rFonts w:ascii="宋体" w:hAnsi="宋体" w:cs="宋体" w:eastAsia="宋体" w:hint="default"/>
                <w:spacing w:val="-11"/>
                <w:sz w:val="18"/>
                <w:szCs w:val="18"/>
              </w:rPr>
              <w:t>补助，昊育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中小学创 新教育实 验信息化 平台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1,575,000.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增值税即 征即退</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1,318,188.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668,296.62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8,282,716.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4,682,480.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营业外支出" w:id="352"/>
      <w:bookmarkEnd w:id="352"/>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8,504.74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8,504.74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221,447.31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221,447.31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滞纳金及罚款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722,770.35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194,926.32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722,770.35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1,323,878.97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1,323,878.97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532,137.38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27,762.18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532,137.38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4,408,738.75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1,922,688.50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4,408,738.75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所得税费用" w:id="353"/>
      <w:bookmarkEnd w:id="353"/>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54"/>
      <w:bookmarkEnd w:id="35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33,543,038.93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16,507,581.99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-9,511,530.24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-5,753,461.37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24,031,508.69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10,754,120.62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55"/>
      <w:bookmarkEnd w:id="35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242,521,734.64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36,378,260.22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-13,095,202.03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-905,755.10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-582,229.44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1,012,226.94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-2,899,198.07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6,842,059.54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-2,672,487.57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税率变动对递延所得税资产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递延所得税费用变动的影响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-46,165.80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24,031,508.69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其他综合收益" w:id="356"/>
      <w:bookmarkEnd w:id="356"/>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7、现金流量表项目" w:id="357"/>
      <w:bookmarkEnd w:id="357"/>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58"/>
      <w:bookmarkEnd w:id="35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6,964,527.92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4,132,013.63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3,100,126.38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4,335,916.24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17,605,484.59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3,449,800.71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39,477,871.17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342,654.79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67,148,010.06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12,260,385.37</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59"/>
      <w:bookmarkEnd w:id="35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销售费用、管理费用等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113,656,921.32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52,024,477.39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1,117,821.96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620,286.18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11,043,902.91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4,839,679.98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股权转让个人所得税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8,607,200.00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28,856,461.12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1,163,282.35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156,275,107.31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68,954,925.90</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收到的其他与投资活动有关的现金" w:id="360"/>
      <w:bookmarkEnd w:id="36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92"/>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 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267,076,671.72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297,964,800.00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非关联方借款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488,640,202.00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1,053,681,673.72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61"/>
      <w:bookmarkEnd w:id="36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290,819,600.00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非关联方借款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833,773,565.60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1,124,593,165.60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62"/>
      <w:bookmarkEnd w:id="36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收回的银行保证金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27,249,095.86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56,280,000.00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56,280,000.00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27,249,095.86</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63"/>
      <w:bookmarkEnd w:id="36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4,587,184.51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支付的并购重组中介费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719,047.08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支付回购股份款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74,088,193.18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子公司清算退回给少数股东投资款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302,855.69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80,290,095.95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18,187,184.51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8、现金流量表补充资料" w:id="364"/>
      <w:bookmarkEnd w:id="364"/>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65"/>
      <w:bookmarkEnd w:id="36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218,490,225.95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73,373,245.08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36,083,692.30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-1,453,893.09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28,612,805.45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17,029,727.99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30,173,164.94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10,070,214.02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6,945,940.85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861,915.05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56,976.32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8,631.45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213,380.54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53,300,159.07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45,171,885.63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-4,032,457.75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5,598,741.53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-8,208,794.00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-5,364,093.88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4,481,932.51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-389,367.49</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-63,677,153.53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8,632,619.96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-638,580,120.82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-6,151,725.63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490,539,126.78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-26,768,326.29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1,202,405.57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154,398,878.61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121,821,979.90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429,420,134.02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547,933,217.83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547,933,217.83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533,051,546.12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-118,513,083.81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14,881,671.71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本期支付的取得子公司的现金净额" w:id="366"/>
      <w:bookmarkEnd w:id="36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136,205,591.00</w:t>
            </w:r>
          </w:p>
        </w:tc>
      </w:tr>
      <w:tr>
        <w:trPr>
          <w:trHeight w:val="396"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136,205,591.00</w:t>
            </w: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429,282,262.72</w:t>
            </w:r>
          </w:p>
        </w:tc>
      </w:tr>
      <w:tr>
        <w:trPr>
          <w:trHeight w:val="396"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429,282,262.72</w:t>
            </w: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8"/>
                <w:sz w:val="18"/>
                <w:szCs w:val="18"/>
              </w:rPr>
              <w:t>：</w:t>
            </w:r>
            <w:r>
              <w:rPr>
                <w:rFonts w:ascii="宋体" w:hAnsi="宋体" w:cs="宋体" w:eastAsia="宋体" w:hint="default"/>
                <w:sz w:val="18"/>
                <w:szCs w:val="18"/>
              </w:rPr>
              <w:t>以前期间发生的企业合并于本期支付的现金或现金等价物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396"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-267,076,671.72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15"/>
          <w:szCs w:val="15"/>
        </w:rPr>
      </w:pPr>
    </w:p>
    <w:p>
      <w:pPr>
        <w:pStyle w:val="Heading4"/>
        <w:spacing w:line="240" w:lineRule="auto" w:before="0"/>
        <w:ind w:left="0" w:right="1110"/>
        <w:jc w:val="right"/>
      </w:pPr>
      <w:r>
        <w:rPr/>
        <w:t>注：因取得子公司支付的现金净额为负数，因此在“收到其他与投资活动有关的现金”项目中反映。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right="0"/>
        <w:jc w:val="left"/>
        <w:rPr>
          <w:b w:val="0"/>
          <w:bCs w:val="0"/>
        </w:rPr>
      </w:pPr>
      <w:bookmarkStart w:name="（3）本期收到的处置子公司的现金净额" w:id="367"/>
      <w:bookmarkEnd w:id="36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68"/>
      <w:bookmarkEnd w:id="36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429,420,134.02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547,933,217.83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509,223.47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1,146,556.41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428,910,910.55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546,647,743.87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138,917.55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429,420,134.02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547,933,217.83</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69、所有者权益变动表项目注释" w:id="369"/>
      <w:bookmarkEnd w:id="369"/>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说明对上年期末余额进行调整的“其他”项目名称及调整金额等事项：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0、所有权或使用权受到限制的资产" w:id="370"/>
      <w:bookmarkEnd w:id="370"/>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7,160,729.05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履约保证金以及用于担保的定期存款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20,493,693.57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应收账款保理借款</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27,654,422.62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1、外币货币性项目" w:id="371"/>
      <w:bookmarkEnd w:id="371"/>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72"/>
      <w:bookmarkEnd w:id="37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1,634,361.16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231,920.59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1,591,050.64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5,517.35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43,296.30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203,887,256.92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29,710,369.63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203,887,256.92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59" w:lineRule="auto" w:before="35"/>
        <w:ind w:right="0"/>
        <w:jc w:val="left"/>
        <w:rPr>
          <w:b w:val="0"/>
          <w:bCs w:val="0"/>
        </w:rPr>
      </w:pPr>
      <w:bookmarkStart w:name="（2）境外经营实体说明，包括对于重要的境外经营实体，应披露其境外主要经营地、记账" w:id="373"/>
      <w:bookmarkEnd w:id="37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2、套期" w:id="374"/>
      <w:bookmarkEnd w:id="374"/>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政府补助" w:id="375"/>
      <w:bookmarkEnd w:id="375"/>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76"/>
      <w:bookmarkEnd w:id="376"/>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77"/>
      <w:bookmarkEnd w:id="377"/>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9222"/>
        <w:jc w:val="left"/>
      </w:pPr>
      <w:r>
        <w:rPr/>
        <w:t>□ 适用 √ 不适用 其他说明：</w:t>
      </w:r>
    </w:p>
    <w:p>
      <w:pPr>
        <w:spacing w:line="240" w:lineRule="auto" w:before="1"/>
        <w:rPr>
          <w:rFonts w:ascii="宋体" w:hAnsi="宋体" w:cs="宋体" w:eastAsia="宋体" w:hint="default"/>
          <w:sz w:val="20"/>
          <w:szCs w:val="20"/>
        </w:rPr>
      </w:pPr>
    </w:p>
    <w:p>
      <w:pPr>
        <w:spacing w:line="487" w:lineRule="auto" w:before="0"/>
        <w:ind w:left="114" w:right="8328" w:firstLine="0"/>
        <w:jc w:val="left"/>
        <w:rPr>
          <w:rFonts w:ascii="宋体" w:hAnsi="宋体" w:cs="宋体" w:eastAsia="宋体" w:hint="default"/>
          <w:sz w:val="21"/>
          <w:szCs w:val="21"/>
        </w:rPr>
      </w:pPr>
      <w:bookmarkStart w:name="74、其他" w:id="378"/>
      <w:bookmarkEnd w:id="378"/>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79"/>
      <w:bookmarkEnd w:id="379"/>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0"/>
      <w:bookmarkEnd w:id="38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81"/>
      <w:bookmarkEnd w:id="38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北京翡翠 教育科技 集团有限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1,209,003,</w:t>
            </w:r>
          </w:p>
          <w:p>
            <w:pPr>
              <w:pStyle w:val="TableParagraph"/>
              <w:spacing w:line="240" w:lineRule="auto" w:before="106"/>
              <w:ind w:left="455" w:right="0"/>
              <w:jc w:val="left"/>
              <w:rPr>
                <w:rFonts w:ascii="Times New Roman" w:hAnsi="Times New Roman" w:cs="Times New Roman" w:eastAsia="Times New Roman" w:hint="default"/>
                <w:sz w:val="18"/>
                <w:szCs w:val="18"/>
              </w:rPr>
            </w:pPr>
            <w:r>
              <w:rPr>
                <w:rFonts w:ascii="Times New Roman"/>
                <w:sz w:val="18"/>
              </w:rPr>
              <w:t>023.28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103" w:right="128"/>
              <w:jc w:val="left"/>
              <w:rPr>
                <w:rFonts w:ascii="宋体" w:hAnsi="宋体" w:cs="宋体" w:eastAsia="宋体" w:hint="default"/>
                <w:sz w:val="18"/>
                <w:szCs w:val="18"/>
              </w:rPr>
            </w:pPr>
            <w:r>
              <w:rPr>
                <w:rFonts w:ascii="宋体" w:hAnsi="宋体" w:cs="宋体" w:eastAsia="宋体" w:hint="default"/>
                <w:sz w:val="18"/>
                <w:szCs w:val="18"/>
              </w:rPr>
              <w:t>发行股份</w:t>
            </w:r>
            <w:r>
              <w:rPr>
                <w:rFonts w:ascii="Times New Roman" w:hAnsi="Times New Roman" w:cs="Times New Roman" w:eastAsia="Times New Roman" w:hint="default"/>
                <w:sz w:val="18"/>
                <w:szCs w:val="18"/>
              </w:rPr>
              <w:t>+ </w:t>
            </w: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7"/>
              <w:jc w:val="both"/>
              <w:rPr>
                <w:rFonts w:ascii="宋体" w:hAnsi="宋体" w:cs="宋体" w:eastAsia="宋体" w:hint="default"/>
                <w:sz w:val="18"/>
                <w:szCs w:val="18"/>
              </w:rPr>
            </w:pPr>
            <w:r>
              <w:rPr>
                <w:rFonts w:ascii="宋体" w:hAnsi="宋体" w:cs="宋体" w:eastAsia="宋体" w:hint="default"/>
                <w:sz w:val="18"/>
                <w:szCs w:val="18"/>
              </w:rPr>
              <w:t>完成股权 转让登记 并取得控 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536,631,18</w:t>
            </w:r>
          </w:p>
          <w:p>
            <w:pPr>
              <w:pStyle w:val="TableParagraph"/>
              <w:spacing w:line="240" w:lineRule="auto" w:before="106"/>
              <w:ind w:left="634" w:right="0"/>
              <w:jc w:val="left"/>
              <w:rPr>
                <w:rFonts w:ascii="Times New Roman" w:hAnsi="Times New Roman" w:cs="Times New Roman" w:eastAsia="Times New Roman" w:hint="default"/>
                <w:sz w:val="18"/>
                <w:szCs w:val="18"/>
              </w:rPr>
            </w:pPr>
            <w:r>
              <w:rPr>
                <w:rFonts w:ascii="Times New Roman"/>
                <w:sz w:val="18"/>
              </w:rPr>
              <w:t>4.48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143,359,29</w:t>
            </w:r>
          </w:p>
          <w:p>
            <w:pPr>
              <w:pStyle w:val="TableParagraph"/>
              <w:spacing w:line="240" w:lineRule="auto" w:before="106"/>
              <w:ind w:left="634" w:right="0"/>
              <w:jc w:val="left"/>
              <w:rPr>
                <w:rFonts w:ascii="Times New Roman" w:hAnsi="Times New Roman" w:cs="Times New Roman" w:eastAsia="Times New Roman" w:hint="default"/>
                <w:sz w:val="18"/>
                <w:szCs w:val="18"/>
              </w:rPr>
            </w:pPr>
            <w:r>
              <w:rPr>
                <w:rFonts w:ascii="Times New Roman"/>
                <w:sz w:val="18"/>
              </w:rPr>
              <w:t>0.61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82"/>
      <w:bookmarkEnd w:id="38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27"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753,295,620.00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455,707,403.28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1,209,003,023.28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447,836,618.16</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761,166,405.12</w:t>
            </w: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83"/>
      <w:bookmarkEnd w:id="38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925"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429,853,941.72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429,853,941.72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70,171,991.77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70,171,991.77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43,405,989.79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43,405,989.79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7,631,423.16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7,631,423.16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38,593,923.74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29,465.41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9,951,985.95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9,951,985.95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10,603,848.96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10,603,848.96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2,480,205.52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2,480,205.52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860,424.52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860,424.52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88,740,586.78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88,740,586.78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5,784,668.75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8,848,934.22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8,848,934.22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6,961,612.54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6,961,612.54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490,217,932.84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457,438,143.26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42,381,314.68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42,381,314.68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447,836,618.16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415,056,828.58</w:t>
            </w:r>
          </w:p>
        </w:tc>
      </w:tr>
    </w:tbl>
    <w:p>
      <w:pPr>
        <w:pStyle w:val="BodyText"/>
        <w:spacing w:line="360" w:lineRule="auto" w:before="51"/>
        <w:ind w:right="7512"/>
        <w:jc w:val="left"/>
      </w:pPr>
      <w:r>
        <w:rPr/>
        <w:t>可辨认资产、负债公允价值的确定方法： 企业合并中承担的被购买方的或有负债：</w:t>
      </w:r>
    </w:p>
    <w:p>
      <w:pPr>
        <w:spacing w:after="0" w:line="36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购买日之前持有的股权按照公允价值重新计量产生的利得或损失" w:id="384"/>
      <w:bookmarkEnd w:id="38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是否存在通过多次交易分步实现企业合并且在报告期内取得控制权的交易</w:t>
      </w:r>
    </w:p>
    <w:p>
      <w:pPr>
        <w:pStyle w:val="BodyText"/>
        <w:spacing w:line="240" w:lineRule="auto" w:before="116"/>
        <w:ind w:right="0"/>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购买日或合并当期期末无法合理确定合并对价或被购买方可辨认资产、负债公允价值" w:id="385"/>
      <w:bookmarkEnd w:id="38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86"/>
      <w:bookmarkEnd w:id="38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87"/>
      <w:bookmarkEnd w:id="38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88"/>
      <w:bookmarkEnd w:id="38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3"/>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6"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6" w:right="167"/>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6"/>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6" w:right="167"/>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89"/>
      <w:bookmarkEnd w:id="38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2d2d2"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2d2d2"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e0ffff"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e0ffff"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90"/>
      <w:bookmarkEnd w:id="39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0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3087;top:14;width:104;height:393" coordorigin="3087,14" coordsize="104,393">
              <v:shape style="position:absolute;left:3087;top:14;width:104;height:393" coordorigin="3087,14" coordsize="104,393" path="m3087,407l3190,407,3190,14,3087,14,3087,407xe" filled="true" fillcolor="#d2d2d2" stroked="false">
                <v:path arrowok="t"/>
                <v:fill type="solid"/>
              </v:shape>
            </v:group>
            <v:group style="position:absolute;left:113;top:14;width:2974;height:393" coordorigin="113,14" coordsize="2974,393">
              <v:shape style="position:absolute;left:113;top:14;width:2974;height:393" coordorigin="113,14" coordsize="2974,393" path="m113,407l3087,407,3087,14,113,14,113,407xe" filled="true" fillcolor="#d2d2d2" stroked="false">
                <v:path arrowok="t"/>
                <v:fill type="solid"/>
              </v:shape>
            </v:group>
            <v:group style="position:absolute;left:3200;top:14;width:104;height:393" coordorigin="3200,14" coordsize="104,393">
              <v:shape style="position:absolute;left:3200;top:14;width:104;height:393" coordorigin="3200,14" coordsize="104,393" path="m3200,407l3303,407,3303,14,3200,14,3200,407xe" filled="true" fillcolor="#e0ffff" stroked="false">
                <v:path arrowok="t"/>
                <v:fill type="solid"/>
              </v:shape>
            </v:group>
            <v:group style="position:absolute;left:9468;top:14;width:104;height:393" coordorigin="9468,14" coordsize="104,393">
              <v:shape style="position:absolute;left:9468;top:14;width:104;height:393" coordorigin="9468,14" coordsize="104,393" path="m9468,407l9571,407,9571,14,9468,14,9468,407xe" filled="true" fillcolor="#e0ffff" stroked="false">
                <v:path arrowok="t"/>
                <v:fill type="solid"/>
              </v:shape>
            </v:group>
            <v:group style="position:absolute;left:3303;top:14;width:6166;height:393" coordorigin="3303,14" coordsize="6166,393">
              <v:shape style="position:absolute;left:3303;top:14;width:6166;height:393" coordorigin="3303,14" coordsize="6166,393" path="m3303,407l9468,407,9468,14,3303,14,3303,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004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004pt" strokecolor="#000000">
                <v:path arrowok="t"/>
              </v:shape>
            </v:group>
            <v:group style="position:absolute;left:10;top:416;width:104;height:393" coordorigin="10,416" coordsize="104,393">
              <v:shape style="position:absolute;left:10;top:416;width:104;height:393" coordorigin="10,416" coordsize="104,393" path="m10,809l113,809,113,416,10,416,10,809xe" filled="true" fillcolor="#d2d2d2" stroked="false">
                <v:path arrowok="t"/>
                <v:fill type="solid"/>
              </v:shape>
            </v:group>
            <v:group style="position:absolute;left:3087;top:416;width:104;height:393" coordorigin="3087,416" coordsize="104,393">
              <v:shape style="position:absolute;left:3087;top:416;width:104;height:393" coordorigin="3087,416" coordsize="104,393" path="m3087,809l3190,809,3190,416,3087,416,3087,809xe" filled="true" fillcolor="#d2d2d2" stroked="false">
                <v:path arrowok="t"/>
                <v:fill type="solid"/>
              </v:shape>
            </v:group>
            <v:group style="position:absolute;left:113;top:416;width:2974;height:393" coordorigin="113,416" coordsize="2974,393">
              <v:shape style="position:absolute;left:113;top:416;width:2974;height:393" coordorigin="113,416" coordsize="2974,393" path="m113,809l3087,809,3087,416,113,416,113,809xe" filled="true" fillcolor="#d2d2d2" stroked="false">
                <v:path arrowok="t"/>
                <v:fill type="solid"/>
              </v:shape>
            </v:group>
            <v:group style="position:absolute;left:3200;top:416;width:104;height:393" coordorigin="3200,416" coordsize="104,393">
              <v:shape style="position:absolute;left:3200;top:416;width:104;height:393" coordorigin="3200,416" coordsize="104,393" path="m3200,809l3303,809,3303,416,3200,416,3200,809xe" filled="true" fillcolor="#d2d2d2" stroked="false">
                <v:path arrowok="t"/>
                <v:fill type="solid"/>
              </v:shape>
            </v:group>
            <v:group style="position:absolute;left:6278;top:416;width:102;height:393" coordorigin="6278,416" coordsize="102,393">
              <v:shape style="position:absolute;left:6278;top:416;width:102;height:393" coordorigin="6278,416" coordsize="102,393" path="m6278,809l6380,809,6380,416,6278,416,6278,809xe" filled="true" fillcolor="#d2d2d2" stroked="false">
                <v:path arrowok="t"/>
                <v:fill type="solid"/>
              </v:shape>
            </v:group>
            <v:group style="position:absolute;left:3303;top:416;width:2976;height:393" coordorigin="3303,416" coordsize="2976,393">
              <v:shape style="position:absolute;left:3303;top:416;width:2976;height:393" coordorigin="3303,416" coordsize="2976,393" path="m3303,809l6278,809,6278,416,3303,416,3303,809xe" filled="true" fillcolor="#d2d2d2" stroked="false">
                <v:path arrowok="t"/>
                <v:fill type="solid"/>
              </v:shape>
            </v:group>
            <v:group style="position:absolute;left:6391;top:416;width:104;height:393" coordorigin="6391,416" coordsize="104,393">
              <v:shape style="position:absolute;left:6391;top:416;width:104;height:393" coordorigin="6391,416" coordsize="104,393" path="m6391,809l6494,809,6494,416,6391,416,6391,809xe" filled="true" fillcolor="#d2d2d2" stroked="false">
                <v:path arrowok="t"/>
                <v:fill type="solid"/>
              </v:shape>
            </v:group>
            <v:group style="position:absolute;left:9468;top:416;width:104;height:393" coordorigin="9468,416" coordsize="104,393">
              <v:shape style="position:absolute;left:9468;top:416;width:104;height:393" coordorigin="9468,416" coordsize="104,393" path="m9468,809l9571,809,9571,416,9468,416,9468,809xe" filled="true" fillcolor="#d2d2d2" stroked="false">
                <v:path arrowok="t"/>
                <v:fill type="solid"/>
              </v:shape>
            </v:group>
            <v:group style="position:absolute;left:6494;top:416;width:2974;height:393" coordorigin="6494,416" coordsize="2974,393">
              <v:shape style="position:absolute;left:6494;top:416;width:2974;height:393" coordorigin="6494,416" coordsize="2974,393" path="m6494,809l9468,809,9468,416,6494,416,649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799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95;top:412;width:3192;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2;width:3190;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反向购买" w:id="391"/>
      <w:bookmarkEnd w:id="39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4、处置子公司" w:id="392"/>
      <w:bookmarkEnd w:id="39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60" w:lineRule="auto" w:before="116"/>
        <w:ind w:right="4992"/>
        <w:jc w:val="left"/>
      </w:pPr>
      <w:r>
        <w:rPr/>
        <w:t>□ 是 √ 否 是否存在通过多次交易分步处置对子公司投资且在本期丧失控制权的情形</w:t>
      </w:r>
    </w:p>
    <w:p>
      <w:pPr>
        <w:pStyle w:val="BodyText"/>
        <w:spacing w:line="240" w:lineRule="auto" w:before="26"/>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393"/>
      <w:bookmarkEnd w:id="39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14" w:right="7692" w:firstLine="0"/>
        <w:jc w:val="left"/>
        <w:rPr>
          <w:rFonts w:ascii="宋体" w:hAnsi="宋体" w:cs="宋体" w:eastAsia="宋体" w:hint="default"/>
          <w:sz w:val="21"/>
          <w:szCs w:val="21"/>
        </w:rPr>
      </w:pPr>
      <w:bookmarkStart w:name="6、其他" w:id="394"/>
      <w:bookmarkEnd w:id="39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95"/>
      <w:bookmarkEnd w:id="39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96"/>
      <w:bookmarkEnd w:id="39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97"/>
      <w:bookmarkEnd w:id="39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7"/>
              <w:jc w:val="left"/>
              <w:rPr>
                <w:rFonts w:ascii="宋体" w:hAnsi="宋体" w:cs="宋体" w:eastAsia="宋体" w:hint="default"/>
                <w:sz w:val="18"/>
                <w:szCs w:val="18"/>
              </w:rPr>
            </w:pPr>
            <w:r>
              <w:rPr>
                <w:rFonts w:ascii="宋体" w:hAnsi="宋体" w:cs="宋体" w:eastAsia="宋体" w:hint="default"/>
                <w:sz w:val="18"/>
                <w:szCs w:val="18"/>
              </w:rPr>
              <w:t>广州长城世家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潮州市万泉瓷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潮州市三江陶 瓷原料有限公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深圳长城世家 商贸有限公司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北京昶城世家 商贸有限公司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深圳市世家会 艺术品投资有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深圳万城投资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7"/>
              <w:jc w:val="both"/>
              <w:rPr>
                <w:rFonts w:ascii="宋体" w:hAnsi="宋体" w:cs="宋体" w:eastAsia="宋体" w:hint="default"/>
                <w:sz w:val="18"/>
                <w:szCs w:val="18"/>
              </w:rPr>
            </w:pPr>
            <w:r>
              <w:rPr>
                <w:rFonts w:ascii="宋体" w:hAnsi="宋体" w:cs="宋体" w:eastAsia="宋体" w:hint="default"/>
                <w:sz w:val="18"/>
                <w:szCs w:val="18"/>
              </w:rPr>
              <w:t>河南长城绿色 瓷艺科技有限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安阳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安阳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郑州长城世家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商贸有限公司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潮州市长城世 家瓷业有限公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广东联汛教育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广州韵网信息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新疆联汛展望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河南智游臻龙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郑州市智游职 业培训学校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非学历短期培 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郑州智游爱峰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郑州智游联动 教育咨询有限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北京京师智游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科学研究和技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南京欧米伽网 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霍尔果斯臻龙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山西智游臻龙 互联网科技有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河北臻龙科技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厦门爱峰沐川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科学研究和技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北京翡翠教育 科技集团有限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科学研究和技 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北京完美空间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成都翡翠教育 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北京市朝阳区 昭阳软件教育 培训学校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北京创思兰德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上海志趣动漫 设计有限公司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广州市翡翠教 育信息咨询有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武汉翡翠空间 数字科技有限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郑州翡翠计算 机科技有限公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成都卓新思创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安徽省创思兰 博信息科技有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西安品优创意 文化发展有限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西安卓新数码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西安完美空间 职业技能培训 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上海昊育信息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系统集成、软 硬件销售、技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7"/>
              <w:jc w:val="left"/>
              <w:rPr>
                <w:rFonts w:ascii="宋体" w:hAnsi="宋体" w:cs="宋体" w:eastAsia="宋体" w:hint="default"/>
                <w:sz w:val="18"/>
                <w:szCs w:val="18"/>
              </w:rPr>
            </w:pPr>
            <w:r>
              <w:rPr>
                <w:rFonts w:ascii="宋体" w:hAnsi="宋体" w:cs="宋体" w:eastAsia="宋体" w:hint="default"/>
                <w:sz w:val="18"/>
                <w:szCs w:val="18"/>
              </w:rPr>
              <w:t>上海安逆杰信 息技术有限公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3"/>
              <w:jc w:val="left"/>
              <w:rPr>
                <w:rFonts w:ascii="宋体" w:hAnsi="宋体" w:cs="宋体" w:eastAsia="宋体" w:hint="default"/>
                <w:sz w:val="18"/>
                <w:szCs w:val="18"/>
              </w:rPr>
            </w:pPr>
            <w:r>
              <w:rPr>
                <w:rFonts w:ascii="宋体" w:hAnsi="宋体" w:cs="宋体" w:eastAsia="宋体" w:hint="default"/>
                <w:sz w:val="18"/>
                <w:szCs w:val="18"/>
              </w:rPr>
              <w:t>系统集成、软 硬件销售、技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沈阳磐岳网络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创思兰博</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上海翡翠职业 技能培训学校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天津卓运天成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上海卓雅网络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天津完美空间 数字技术有限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杭州并轨者网 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安徽省智趣兰 德科技有限公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北京畅晟宏达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常州世宏南骏 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大连中钰睿泓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福州点积信息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河北翊思卓科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无锡市智慧天 空信息科技有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南昌卡戎网络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宁波盛逸计算 机科技有限公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盛世光影（深 圳）传媒有限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沈阳凯宣科技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天津众云金泰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广州市南跃科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南宁易达讯网 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山西钰陆教育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山西智帆教育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重庆阿克提吾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北京创意之星 艺术设计有限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西安拓客网络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北京优逸睿智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深圳市世纪星 联科技有限公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广州市联核攻 源科技有限公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湖南卓越新腾 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南京诺博连信 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南昌五芒星科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青岛龙果科技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成都智慧创想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上海嗣峰网络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重庆卓思迅杰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上海犇迩网络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西安易创智达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霍尔果斯众妙 合一信息技术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成都龙腾讯飞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贵阳华腾天创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济南凡格信息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柳州墨本科技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南京小鸡卓米 网络科技有限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武汉创思兰博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郑州智世睿通 软件科技有限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杭州果脉科技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苏州深层纬度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上海墨林教育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长沙翡翠网络 游戏有限公司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济南迅奇网络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深圳市灵动空 间网络科技有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长春市完美空 间教育科技有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哈尔滨聚谦电 子信息技术有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重庆翊思卓科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西安完美创意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职业培训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广州九点网络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文化、体育和 娱乐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杭州千程万码 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昆明添力网络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96"/>
              <w:jc w:val="left"/>
              <w:rPr>
                <w:rFonts w:ascii="宋体" w:hAnsi="宋体" w:cs="宋体" w:eastAsia="宋体" w:hint="default"/>
                <w:sz w:val="18"/>
                <w:szCs w:val="18"/>
              </w:rPr>
            </w:pPr>
            <w:r>
              <w:rPr>
                <w:rFonts w:ascii="宋体" w:hAnsi="宋体" w:cs="宋体" w:eastAsia="宋体" w:hint="default"/>
                <w:sz w:val="18"/>
                <w:szCs w:val="18"/>
              </w:rPr>
              <w:t>米果科技</w:t>
            </w:r>
            <w:r>
              <w:rPr>
                <w:rFonts w:ascii="Times New Roman" w:hAnsi="Times New Roman" w:cs="Times New Roman" w:eastAsia="Times New Roman" w:hint="default"/>
                <w:sz w:val="18"/>
                <w:szCs w:val="18"/>
              </w:rPr>
              <w:t>(</w:t>
            </w:r>
            <w:r>
              <w:rPr>
                <w:rFonts w:ascii="宋体" w:hAnsi="宋体" w:cs="宋体" w:eastAsia="宋体" w:hint="default"/>
                <w:sz w:val="18"/>
                <w:szCs w:val="18"/>
              </w:rPr>
              <w:t>大 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批发和零售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深圳凌点网络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大连创睿网络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常州网之合信 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河北佳岷科技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批发和零售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烟台丛聚网络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3"/>
              <w:jc w:val="left"/>
              <w:rPr>
                <w:rFonts w:ascii="宋体" w:hAnsi="宋体" w:cs="宋体" w:eastAsia="宋体" w:hint="default"/>
                <w:sz w:val="18"/>
                <w:szCs w:val="18"/>
              </w:rPr>
            </w:pPr>
            <w:r>
              <w:rPr>
                <w:rFonts w:ascii="宋体" w:hAnsi="宋体" w:cs="宋体" w:eastAsia="宋体" w:hint="default"/>
                <w:sz w:val="18"/>
                <w:szCs w:val="18"/>
              </w:rPr>
              <w:t>信息传输、软 件和信息技术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湖南正致教育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贺州市盛东网 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贺州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贺州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武汉索思艾特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批发和零售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南京睿斯博信 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海南翊思卓网 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海南完美空间 网络科技有限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潮州市润潮陶 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潮州市长城世 家贸易有限公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批发和零售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湖北智游臻龙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南京巅峰数据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苏州云柯数据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信息传输、软 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after="0" w:line="36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在合营安排或联营企业中的权益" w:id="398"/>
      <w:bookmarkEnd w:id="398"/>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99"/>
      <w:bookmarkEnd w:id="39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宜兴市金鱼陶 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江苏宜兴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江苏宜兴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新余智趣资产 管理合伙企业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租赁和商务服 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潮州民营投资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广东潮州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广东潮州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租赁和商务服 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spacing w:line="292" w:lineRule="auto" w:before="117"/>
        <w:ind w:left="114" w:right="0" w:firstLine="0"/>
        <w:jc w:val="left"/>
        <w:rPr>
          <w:rFonts w:ascii="宋体" w:hAnsi="宋体" w:cs="宋体" w:eastAsia="宋体" w:hint="default"/>
          <w:sz w:val="21"/>
          <w:szCs w:val="21"/>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w:t>
      </w:r>
      <w:r>
        <w:rPr>
          <w:rFonts w:ascii="宋体" w:hAnsi="宋体" w:cs="宋体" w:eastAsia="宋体" w:hint="default"/>
          <w:spacing w:val="-1"/>
          <w:sz w:val="21"/>
          <w:szCs w:val="21"/>
        </w:rPr>
        <w:t>公司系潮州民营投资股份有限公司的第二大股东，公司董事长蔡廷祥担任潮州民营投资股份有限公司的董</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事，能够对该公司施加重大影响，故采用权益法核算。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重要合营企业的主要财务信息" w:id="400"/>
      <w:bookmarkEnd w:id="40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01"/>
      <w:bookmarkEnd w:id="40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7" w:right="137" w:hanging="90"/>
              <w:jc w:val="left"/>
              <w:rPr>
                <w:rFonts w:ascii="宋体" w:hAnsi="宋体" w:cs="宋体" w:eastAsia="宋体" w:hint="default"/>
                <w:sz w:val="18"/>
                <w:szCs w:val="18"/>
              </w:rPr>
            </w:pPr>
            <w:r>
              <w:rPr>
                <w:rFonts w:ascii="宋体" w:hAnsi="宋体" w:cs="宋体" w:eastAsia="宋体" w:hint="default"/>
                <w:sz w:val="18"/>
                <w:szCs w:val="18"/>
              </w:rPr>
              <w:t>宜兴市金鱼陶 瓷有限公司</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37" w:right="138"/>
              <w:jc w:val="left"/>
              <w:rPr>
                <w:rFonts w:ascii="宋体" w:hAnsi="宋体" w:cs="宋体" w:eastAsia="宋体" w:hint="default"/>
                <w:sz w:val="18"/>
                <w:szCs w:val="18"/>
              </w:rPr>
            </w:pPr>
            <w:r>
              <w:rPr>
                <w:rFonts w:ascii="宋体" w:hAnsi="宋体" w:cs="宋体" w:eastAsia="宋体" w:hint="default"/>
                <w:sz w:val="18"/>
                <w:szCs w:val="18"/>
              </w:rPr>
              <w:t>新余智趣资产 管理合伙企业</w:t>
            </w:r>
          </w:p>
          <w:p>
            <w:pPr>
              <w:pStyle w:val="TableParagraph"/>
              <w:spacing w:line="240" w:lineRule="auto" w:before="20"/>
              <w:ind w:left="137"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6" w:right="138"/>
              <w:jc w:val="left"/>
              <w:rPr>
                <w:rFonts w:ascii="宋体" w:hAnsi="宋体" w:cs="宋体" w:eastAsia="宋体" w:hint="default"/>
                <w:sz w:val="18"/>
                <w:szCs w:val="18"/>
              </w:rPr>
            </w:pPr>
            <w:r>
              <w:rPr>
                <w:rFonts w:ascii="宋体" w:hAnsi="宋体" w:cs="宋体" w:eastAsia="宋体" w:hint="default"/>
                <w:sz w:val="18"/>
                <w:szCs w:val="18"/>
              </w:rPr>
              <w:t>潮州民营投资 股份有限公司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7" w:right="137" w:hanging="90"/>
              <w:jc w:val="left"/>
              <w:rPr>
                <w:rFonts w:ascii="宋体" w:hAnsi="宋体" w:cs="宋体" w:eastAsia="宋体" w:hint="default"/>
                <w:sz w:val="18"/>
                <w:szCs w:val="18"/>
              </w:rPr>
            </w:pPr>
            <w:r>
              <w:rPr>
                <w:rFonts w:ascii="宋体" w:hAnsi="宋体" w:cs="宋体" w:eastAsia="宋体" w:hint="default"/>
                <w:sz w:val="18"/>
                <w:szCs w:val="18"/>
              </w:rPr>
              <w:t>宜兴市金鱼陶 瓷有限公司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新余智趣资产 管理合伙企业</w:t>
            </w:r>
          </w:p>
          <w:p>
            <w:pPr>
              <w:pStyle w:val="TableParagraph"/>
              <w:spacing w:line="240" w:lineRule="auto" w:before="20"/>
              <w:ind w:left="137"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8" w:right="137"/>
              <w:jc w:val="left"/>
              <w:rPr>
                <w:rFonts w:ascii="宋体" w:hAnsi="宋体" w:cs="宋体" w:eastAsia="宋体" w:hint="default"/>
                <w:sz w:val="18"/>
                <w:szCs w:val="18"/>
              </w:rPr>
            </w:pPr>
            <w:r>
              <w:rPr>
                <w:rFonts w:ascii="宋体" w:hAnsi="宋体" w:cs="宋体" w:eastAsia="宋体" w:hint="default"/>
                <w:sz w:val="18"/>
                <w:szCs w:val="18"/>
              </w:rPr>
              <w:t>潮州民营投资 股份有限公司</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217,597,144.70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29,594,683.78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504,795,182.03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217,611,933.92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52,307,128.92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1,047,925,931.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93,260,103.15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272,800,000.00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8,659,975.78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93,245,313.93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9,154,788.68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310,857,247.85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302,394,683.78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513,455,157.81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310,857,247.85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325,107,128.92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1,057,080,720.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255,953,995.07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4,433,084.41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255,953,995.07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5,937,149.59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6,941,852.25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255,953,995.07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4,433,084.41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255,953,995.07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5,937,149.59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6,941,852.25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54,903,252.78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302,394,683.78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509,022,073.40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54,903,252.78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319,169,979.33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1,050,138,868.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55,903,044.15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95,562,778.06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62,534,188.59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53,690,622.83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95,562,778.06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60,865,080.34</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55,903,044.15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95,562,778.06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62,534,188.59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53,690,622.83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95,562,778.06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60,865,080.34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128,360,860.50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128,248,287.41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11,062,106.59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-22,748,323.21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13,909,235.43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-25,679,131.17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-14,163,353.67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15,138,868.14</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本年度收到的 来自联营企业 的股利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11,062,106.59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-22,748,323.21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13,909,235.43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-25,679,131.17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-14,163,353.67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15,138,868.14</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关联方及关联交易" w:id="402"/>
      <w:bookmarkEnd w:id="402"/>
      <w:r>
        <w:rPr>
          <w:b w:val="0"/>
          <w:bCs w:val="0"/>
        </w:rPr>
      </w: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403"/>
      <w:bookmarkEnd w:id="40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pStyle w:val="BodyText"/>
        <w:spacing w:line="360" w:lineRule="auto" w:before="51"/>
        <w:ind w:right="8322"/>
        <w:jc w:val="left"/>
      </w:pPr>
      <w:r>
        <w:rPr/>
        <w:t>本企业的母公司情况的说明 本企业最终控制方是。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本企业的子公司情况" w:id="404"/>
      <w:bookmarkEnd w:id="40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本企业子公司的情况详见附注八（一</w:t>
      </w:r>
      <w:r>
        <w:rPr>
          <w:spacing w:val="-90"/>
        </w:rPr>
        <w:t>）</w:t>
      </w:r>
      <w:r>
        <w:rPr/>
        <w:t>。</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405"/>
      <w:bookmarkEnd w:id="40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2292"/>
        <w:jc w:val="left"/>
      </w:pPr>
      <w:r>
        <w:rPr>
          <w:spacing w:val="-5"/>
        </w:rPr>
        <w:t>本企业重要的合营或联营企业详见附注八（二）。</w:t>
      </w:r>
      <w:r>
        <w:rPr>
          <w:spacing w:val="-70"/>
        </w:rPr>
        <w:t> </w:t>
      </w:r>
      <w:r>
        <w:rPr>
          <w:spacing w:val="-70"/>
        </w:rPr>
      </w:r>
      <w:r>
        <w:rPr/>
        <w:t>本期与本公司发生关联方交易，或前期与本公司发生关联方交易形成余额的其他合营或联营企业情况如下：</w:t>
      </w: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5"/>
        <w:ind w:right="0"/>
        <w:jc w:val="left"/>
      </w:pPr>
      <w:r>
        <w:rPr/>
        <w:t>其他说明</w:t>
      </w:r>
    </w:p>
    <w:p>
      <w:pPr>
        <w:pStyle w:val="Heading4"/>
        <w:spacing w:line="240" w:lineRule="auto" w:before="90"/>
        <w:ind w:left="534" w:right="0"/>
        <w:jc w:val="left"/>
      </w:pPr>
      <w:r>
        <w:rPr/>
        <w:t>公司重要的合营或联营企业详见附注八（二）在合营安排或联营企业中的权益。</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其他关联方情况" w:id="406"/>
      <w:bookmarkEnd w:id="40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w:t>
            </w:r>
            <w:r>
              <w:rPr>
                <w:rFonts w:ascii="宋体" w:hAnsi="宋体" w:cs="宋体" w:eastAsia="宋体" w:hint="default"/>
                <w:sz w:val="18"/>
                <w:szCs w:val="18"/>
              </w:rPr>
              <w:t>的股东，董事兼董事会秘书，副总经理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4.94%</w:t>
            </w:r>
            <w:r>
              <w:rPr>
                <w:rFonts w:ascii="宋体" w:hAnsi="宋体" w:cs="宋体" w:eastAsia="宋体" w:hint="default"/>
                <w:sz w:val="18"/>
                <w:szCs w:val="18"/>
              </w:rPr>
              <w:t>的股东，董事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陈虞深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陈钦龙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林俏云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许高云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潮州民营投资股份有限公司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公司对其具有重大影响的联营企业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天津麻辣智趣教育科技有限公司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重要子公司参股的公司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海南翡翠教育科技有限公司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重要子公司参股的公司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天津凌波微距离教育科技有限公司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重要子公司参股的公司</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安卓易（北京）科技有限公司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原持有公司之重要子公司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18.44%</w:t>
            </w:r>
            <w:r>
              <w:rPr>
                <w:rFonts w:ascii="宋体" w:hAnsi="宋体" w:cs="宋体" w:eastAsia="宋体" w:hint="default"/>
                <w:sz w:val="18"/>
                <w:szCs w:val="18"/>
              </w:rPr>
              <w:t>股权，已于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日转让给公司</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宁波梅山保港区御泓投资合伙企业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原持有公司之重要子公司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18.20%</w:t>
            </w:r>
            <w:r>
              <w:rPr>
                <w:rFonts w:ascii="宋体" w:hAnsi="宋体" w:cs="宋体" w:eastAsia="宋体" w:hint="default"/>
                <w:sz w:val="18"/>
                <w:szCs w:val="18"/>
              </w:rPr>
              <w:t>股权，已于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日转让给公司</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新余信公成长新兴资产管理合伙企业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原持有公司之重要子公司</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6.49%</w:t>
            </w:r>
            <w:r>
              <w:rPr>
                <w:rFonts w:ascii="宋体" w:hAnsi="宋体" w:cs="宋体" w:eastAsia="宋体" w:hint="default"/>
                <w:spacing w:val="-4"/>
                <w:sz w:val="18"/>
                <w:szCs w:val="18"/>
              </w:rPr>
              <w:t>股权，已于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日转让给公司</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新余卓趣资本管理合伙企业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原持有公司之重要子公司</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6.14%</w:t>
            </w:r>
            <w:r>
              <w:rPr>
                <w:rFonts w:ascii="宋体" w:hAnsi="宋体" w:cs="宋体" w:eastAsia="宋体" w:hint="default"/>
                <w:spacing w:val="-4"/>
                <w:sz w:val="18"/>
                <w:szCs w:val="18"/>
              </w:rPr>
              <w:t>股权，已于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日转让给公司</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新余智趣资产管理合伙企业（有限合伙）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原持有公司之重要子公司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24.12%</w:t>
            </w:r>
            <w:r>
              <w:rPr>
                <w:rFonts w:ascii="宋体" w:hAnsi="宋体" w:cs="宋体" w:eastAsia="宋体" w:hint="default"/>
                <w:sz w:val="18"/>
                <w:szCs w:val="18"/>
              </w:rPr>
              <w:t>股权，已于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日转让给公司</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07"/>
      <w:bookmarkEnd w:id="40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08"/>
      <w:bookmarkEnd w:id="40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购销商品、提供和接受劳务的关联交易说明</w:t>
      </w:r>
    </w:p>
    <w:p>
      <w:pPr>
        <w:pStyle w:val="Heading3"/>
        <w:spacing w:line="273" w:lineRule="auto" w:before="90"/>
        <w:ind w:right="0"/>
        <w:jc w:val="left"/>
        <w:rPr>
          <w:b w:val="0"/>
          <w:bCs w:val="0"/>
        </w:rPr>
      </w:pPr>
      <w:r>
        <w:rPr>
          <w:w w:val="95"/>
        </w:rPr>
        <w:t>存在控制关系且已纳入公司合并财务报表范围的子公司，其相互间交易及母子公司交易已作抵销。</w:t>
      </w:r>
      <w:r>
        <w:rPr>
          <w:spacing w:val="41"/>
          <w:w w:val="95"/>
        </w:rPr>
        <w:t> </w:t>
      </w:r>
      <w:r>
        <w:rPr>
          <w:spacing w:val="41"/>
          <w:w w:val="95"/>
        </w:rPr>
      </w:r>
      <w:r>
        <w:rPr/>
        <w:t>本期未发生购买商品、接受劳务的关联交易。</w:t>
      </w:r>
      <w:r>
        <w:rPr>
          <w:b w:val="0"/>
          <w:bCs w:val="0"/>
        </w:rPr>
      </w:r>
    </w:p>
    <w:p>
      <w:pPr>
        <w:pStyle w:val="Heading3"/>
        <w:spacing w:line="240" w:lineRule="auto" w:before="163"/>
        <w:ind w:right="0"/>
        <w:jc w:val="left"/>
        <w:rPr>
          <w:b w:val="0"/>
          <w:bCs w:val="0"/>
        </w:rPr>
      </w:pPr>
      <w:r>
        <w:rPr/>
        <w:t>本期未发生销售商品、提供劳务的关联交易。</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2）关联受托管理/承包及委托管理/出包情况" w:id="409"/>
      <w:bookmarkEnd w:id="40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9" w:right="112" w:hanging="38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36" w:right="113" w:hanging="2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pgSz w:w="11910" w:h="16840"/>
          <w:pgMar w:header="907" w:footer="1019" w:top="1100" w:bottom="1200" w:left="102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2505" w:space="6324"/>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9" w:right="112" w:hanging="38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7" w:right="113" w:hanging="20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2" w:right="137"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10"/>
      <w:bookmarkEnd w:id="41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right="0"/>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11"/>
      <w:bookmarkEnd w:id="41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after="0" w:line="240" w:lineRule="auto"/>
        <w:jc w:val="right"/>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许高镭、林俏云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许高镭、林俏云、许 高云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许高镭、林俏云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12"/>
      <w:bookmarkEnd w:id="41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天津麻辣智趣教育科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46,420,000.00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海南翡翠教育科技有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1,995,200.00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安卓易（北京）科技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122,299,600.00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天津凌波微距离教育 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127,250,000.00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潮州民营投资股份有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56,280,000.00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天津麻辣智趣教育科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46,410,000.00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海南翡翠教育科技有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安卓易（北京）科技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115,149,600.00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天津凌波微距离教育 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127,250,000.00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13"/>
      <w:bookmarkEnd w:id="41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14"/>
      <w:bookmarkEnd w:id="41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2,850,300.00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2,272,700.00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15"/>
      <w:bookmarkEnd w:id="41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16"/>
      <w:bookmarkEnd w:id="41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17"/>
      <w:bookmarkEnd w:id="41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1"/>
              <w:jc w:val="left"/>
              <w:rPr>
                <w:rFonts w:ascii="宋体" w:hAnsi="宋体" w:cs="宋体" w:eastAsia="宋体" w:hint="default"/>
                <w:sz w:val="18"/>
                <w:szCs w:val="18"/>
              </w:rPr>
            </w:pPr>
            <w:r>
              <w:rPr>
                <w:rFonts w:ascii="宋体" w:hAnsi="宋体" w:cs="宋体" w:eastAsia="宋体" w:hint="default"/>
                <w:sz w:val="18"/>
                <w:szCs w:val="18"/>
              </w:rPr>
              <w:t>海南翡翠教育科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1" w:right="0"/>
              <w:jc w:val="left"/>
              <w:rPr>
                <w:rFonts w:ascii="Times New Roman" w:hAnsi="Times New Roman" w:cs="Times New Roman" w:eastAsia="Times New Roman" w:hint="default"/>
                <w:sz w:val="18"/>
                <w:szCs w:val="18"/>
              </w:rPr>
            </w:pPr>
            <w:r>
              <w:rPr>
                <w:rFonts w:ascii="Times New Roman"/>
                <w:sz w:val="18"/>
              </w:rPr>
              <w:t>14,800.00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6" w:right="0"/>
              <w:jc w:val="left"/>
              <w:rPr>
                <w:rFonts w:ascii="Times New Roman" w:hAnsi="Times New Roman" w:cs="Times New Roman" w:eastAsia="Times New Roman" w:hint="default"/>
                <w:sz w:val="18"/>
                <w:szCs w:val="18"/>
              </w:rPr>
            </w:pPr>
            <w:r>
              <w:rPr>
                <w:rFonts w:ascii="Times New Roman"/>
                <w:sz w:val="18"/>
              </w:rPr>
              <w:t>740.00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18"/>
      <w:bookmarkEnd w:id="41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潮州民营投资股份有限公司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56,280,000.00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安卓易（北京）科技有限公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26,657,927.44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center"/>
              <w:rPr>
                <w:rFonts w:ascii="宋体" w:hAnsi="宋体" w:cs="宋体" w:eastAsia="宋体" w:hint="default"/>
                <w:sz w:val="18"/>
                <w:szCs w:val="18"/>
              </w:rPr>
            </w:pPr>
            <w:r>
              <w:rPr>
                <w:rFonts w:ascii="宋体" w:hAnsi="宋体" w:cs="宋体" w:eastAsia="宋体" w:hint="default"/>
                <w:sz w:val="18"/>
                <w:szCs w:val="18"/>
              </w:rPr>
              <w:t>宁波梅山保港区御泓投资合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92,407,289.66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新余信公成长新兴资产管理 合伙企业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32,976,051.64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新余卓趣资本管理合伙企业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31,182,445.53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新余智趣资产管理合伙企业</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334,973,828.38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19"/>
      <w:bookmarkEnd w:id="41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8750" w:firstLine="0"/>
        <w:jc w:val="left"/>
        <w:rPr>
          <w:rFonts w:ascii="宋体" w:hAnsi="宋体" w:cs="宋体" w:eastAsia="宋体" w:hint="default"/>
          <w:sz w:val="21"/>
          <w:szCs w:val="21"/>
        </w:rPr>
      </w:pPr>
      <w:bookmarkStart w:name="8、其他" w:id="420"/>
      <w:bookmarkEnd w:id="42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一、股份支付" w:id="421"/>
      <w:bookmarkEnd w:id="421"/>
      <w:r>
        <w:rPr>
          <w:rFonts w:ascii="宋体" w:hAnsi="宋体" w:cs="宋体" w:eastAsia="宋体" w:hint="default"/>
          <w:b/>
          <w:bCs/>
          <w:spacing w:val="1"/>
          <w:w w:val="99"/>
          <w:sz w:val="21"/>
          <w:szCs w:val="21"/>
        </w:rPr>
      </w:r>
      <w:r>
        <w:rPr>
          <w:rFonts w:ascii="宋体" w:hAnsi="宋体" w:cs="宋体" w:eastAsia="宋体" w:hint="default"/>
          <w:b/>
          <w:bCs/>
          <w:sz w:val="24"/>
          <w:szCs w:val="24"/>
        </w:rPr>
        <w:t>十一、股份支付</w:t>
      </w:r>
      <w:r>
        <w:rPr>
          <w:rFonts w:ascii="宋体" w:hAnsi="宋体" w:cs="宋体" w:eastAsia="宋体" w:hint="default"/>
          <w:b/>
          <w:bCs/>
          <w:w w:val="99"/>
          <w:sz w:val="24"/>
          <w:szCs w:val="24"/>
        </w:rPr>
        <w:t> </w:t>
      </w:r>
      <w:bookmarkStart w:name="1、股份支付总体情况" w:id="422"/>
      <w:bookmarkEnd w:id="42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23"/>
      <w:bookmarkEnd w:id="42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24"/>
      <w:bookmarkEnd w:id="42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spacing w:line="506" w:lineRule="auto" w:before="0"/>
        <w:ind w:left="534" w:right="6762" w:hanging="420"/>
        <w:jc w:val="left"/>
        <w:rPr>
          <w:rFonts w:ascii="宋体" w:hAnsi="宋体" w:cs="宋体" w:eastAsia="宋体" w:hint="default"/>
          <w:sz w:val="21"/>
          <w:szCs w:val="21"/>
        </w:rPr>
      </w:pPr>
      <w:bookmarkStart w:name="4、股份支付的修改、终止情况" w:id="425"/>
      <w:bookmarkEnd w:id="42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公司不存在需要披露的重要承诺事项。</w:t>
      </w:r>
    </w:p>
    <w:p>
      <w:pPr>
        <w:spacing w:line="487" w:lineRule="auto" w:before="105"/>
        <w:ind w:left="114" w:right="8322" w:firstLine="0"/>
        <w:jc w:val="left"/>
        <w:rPr>
          <w:rFonts w:ascii="宋体" w:hAnsi="宋体" w:cs="宋体" w:eastAsia="宋体" w:hint="default"/>
          <w:sz w:val="21"/>
          <w:szCs w:val="21"/>
        </w:rPr>
      </w:pPr>
      <w:bookmarkStart w:name="5、其他" w:id="426"/>
      <w:bookmarkEnd w:id="42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承诺及或有事项" w:id="427"/>
      <w:bookmarkEnd w:id="42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28"/>
      <w:bookmarkEnd w:id="428"/>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pStyle w:val="Heading4"/>
        <w:spacing w:line="240" w:lineRule="auto" w:before="89"/>
        <w:ind w:left="534" w:right="0"/>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日，公司无应披露未披露的重大承诺事项。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或有事项" w:id="429"/>
      <w:bookmarkEnd w:id="42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spacing w:line="506" w:lineRule="auto" w:before="0"/>
        <w:ind w:left="534" w:right="4662" w:hanging="420"/>
        <w:jc w:val="left"/>
        <w:rPr>
          <w:rFonts w:ascii="宋体" w:hAnsi="宋体" w:cs="宋体" w:eastAsia="宋体" w:hint="default"/>
          <w:sz w:val="21"/>
          <w:szCs w:val="21"/>
        </w:rPr>
      </w:pPr>
      <w:bookmarkStart w:name="（1）资产负债表日存在的重要或有事项"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日，公司无应披露未披露的重要或有事项。</w:t>
      </w:r>
    </w:p>
    <w:p>
      <w:pPr>
        <w:spacing w:after="0" w:line="506" w:lineRule="auto"/>
        <w:jc w:val="left"/>
        <w:rPr>
          <w:rFonts w:ascii="宋体" w:hAnsi="宋体" w:cs="宋体" w:eastAsia="宋体" w:hint="default"/>
          <w:sz w:val="21"/>
          <w:szCs w:val="21"/>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5"/>
        <w:ind w:right="0"/>
        <w:jc w:val="left"/>
        <w:rPr>
          <w:b w:val="0"/>
          <w:bCs w:val="0"/>
        </w:rPr>
      </w:pPr>
      <w:bookmarkStart w:name="（2）公司没有需要披露的重要或有事项，也应予以说明" w:id="431"/>
      <w:bookmarkEnd w:id="43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4" w:right="7692" w:firstLine="0"/>
        <w:jc w:val="left"/>
        <w:rPr>
          <w:rFonts w:ascii="宋体" w:hAnsi="宋体" w:cs="宋体" w:eastAsia="宋体" w:hint="default"/>
          <w:sz w:val="21"/>
          <w:szCs w:val="21"/>
        </w:rPr>
      </w:pPr>
      <w:bookmarkStart w:name="3、其他" w:id="432"/>
      <w:bookmarkEnd w:id="4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资产负债表日后事项" w:id="433"/>
      <w:bookmarkEnd w:id="43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34"/>
      <w:bookmarkEnd w:id="43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35"/>
      <w:bookmarkEnd w:id="43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36"/>
      <w:bookmarkEnd w:id="43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37"/>
      <w:bookmarkEnd w:id="43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131" w:firstLine="420"/>
        <w:jc w:val="both"/>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7</w:t>
      </w:r>
      <w:r>
        <w:rPr>
          <w:spacing w:val="-1"/>
        </w:rPr>
        <w:t>日，新余信公成长新兴资产管理合伙企业（有限合伙）向法院提起诉讼，诉讼公司</w:t>
      </w:r>
      <w:r>
        <w:rPr/>
        <w:t> </w:t>
      </w:r>
      <w:r>
        <w:rPr>
          <w:spacing w:val="-1"/>
        </w:rPr>
        <w:t>收购北京翡翠教育科技集团有限公司</w:t>
      </w:r>
      <w:r>
        <w:rPr>
          <w:rFonts w:ascii="宋体" w:hAnsi="宋体" w:cs="宋体" w:eastAsia="宋体" w:hint="default"/>
          <w:spacing w:val="-1"/>
        </w:rPr>
        <w:t>100%</w:t>
      </w:r>
      <w:r>
        <w:rPr>
          <w:spacing w:val="-1"/>
        </w:rPr>
        <w:t>股权后未按照协议约定向其支付现金部分股权对价，诉讼请求公</w:t>
      </w:r>
      <w:r>
        <w:rPr>
          <w:spacing w:val="-80"/>
        </w:rPr>
        <w:t> </w:t>
      </w:r>
      <w:r>
        <w:rPr>
          <w:spacing w:val="-80"/>
        </w:rPr>
      </w:r>
      <w:r>
        <w:rPr/>
        <w:t>司支付股权转让款</w:t>
      </w:r>
      <w:r>
        <w:rPr>
          <w:rFonts w:ascii="宋体" w:hAnsi="宋体" w:cs="宋体" w:eastAsia="宋体" w:hint="default"/>
        </w:rPr>
        <w:t>32,393,978.00</w:t>
      </w:r>
      <w:r>
        <w:rPr/>
        <w:t>元、支付违约期限违约金</w:t>
      </w:r>
      <w:r>
        <w:rPr>
          <w:spacing w:val="-23"/>
        </w:rPr>
        <w:t> </w:t>
      </w:r>
      <w:r>
        <w:rPr>
          <w:rFonts w:ascii="宋体" w:hAnsi="宋体" w:cs="宋体" w:eastAsia="宋体" w:hint="default"/>
        </w:rPr>
        <w:t>285,422.00</w:t>
      </w:r>
      <w:r>
        <w:rPr/>
        <w:t>元以及承担本案件全部诉讼费（案 </w:t>
      </w:r>
      <w:r>
        <w:rPr>
          <w:spacing w:val="-3"/>
        </w:rPr>
        <w:t>号（</w:t>
      </w:r>
      <w:r>
        <w:rPr>
          <w:rFonts w:ascii="宋体" w:hAnsi="宋体" w:cs="宋体" w:eastAsia="宋体" w:hint="default"/>
          <w:spacing w:val="-3"/>
        </w:rPr>
        <w:t>2019</w:t>
      </w:r>
      <w:r>
        <w:rPr>
          <w:spacing w:val="-3"/>
        </w:rPr>
        <w:t>）粤</w:t>
      </w:r>
      <w:r>
        <w:rPr>
          <w:rFonts w:ascii="宋体" w:hAnsi="宋体" w:cs="宋体" w:eastAsia="宋体" w:hint="default"/>
          <w:spacing w:val="-3"/>
        </w:rPr>
        <w:t>0304</w:t>
      </w:r>
      <w:r>
        <w:rPr>
          <w:spacing w:val="-3"/>
        </w:rPr>
        <w:t>民初</w:t>
      </w:r>
      <w:r>
        <w:rPr>
          <w:rFonts w:ascii="宋体" w:hAnsi="宋体" w:cs="宋体" w:eastAsia="宋体" w:hint="default"/>
          <w:spacing w:val="-3"/>
        </w:rPr>
        <w:t>13926</w:t>
      </w:r>
      <w:r>
        <w:rPr>
          <w:spacing w:val="-3"/>
        </w:rPr>
        <w:t>号）。</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w:t>
      </w:r>
      <w:r>
        <w:rPr>
          <w:spacing w:val="-3"/>
        </w:rPr>
        <w:t>日，新余信公成长新兴资产管理合伙企业（有限合伙）变更</w:t>
      </w:r>
      <w:r>
        <w:rPr>
          <w:spacing w:val="-73"/>
        </w:rPr>
        <w:t> </w:t>
      </w:r>
      <w:r>
        <w:rPr>
          <w:spacing w:val="-73"/>
        </w:rPr>
      </w:r>
      <w:r>
        <w:rPr>
          <w:spacing w:val="13"/>
        </w:rPr>
        <w:t>诉讼请求，</w:t>
      </w:r>
      <w:r>
        <w:rPr>
          <w:spacing w:val="-86"/>
        </w:rPr>
        <w:t> </w:t>
      </w:r>
      <w:r>
        <w:rPr>
          <w:spacing w:val="15"/>
        </w:rPr>
        <w:t>要求支付股权转让款</w:t>
      </w:r>
      <w:r>
        <w:rPr>
          <w:spacing w:val="-84"/>
        </w:rPr>
        <w:t> </w:t>
      </w:r>
      <w:r>
        <w:rPr>
          <w:rFonts w:ascii="宋体" w:hAnsi="宋体" w:cs="宋体" w:eastAsia="宋体" w:hint="default"/>
          <w:spacing w:val="4"/>
        </w:rPr>
        <w:t>32,393,978.00</w:t>
      </w:r>
      <w:r>
        <w:rPr>
          <w:spacing w:val="4"/>
        </w:rPr>
        <w:t>元、支付</w:t>
      </w:r>
      <w:r>
        <w:rPr>
          <w:spacing w:val="-86"/>
        </w:rPr>
        <w:t> </w:t>
      </w:r>
      <w:r>
        <w:rPr>
          <w:spacing w:val="11"/>
        </w:rPr>
        <w:t>违约金</w:t>
      </w:r>
      <w:r>
        <w:rPr>
          <w:spacing w:val="47"/>
        </w:rPr>
        <w:t> </w:t>
      </w:r>
      <w:r>
        <w:rPr>
          <w:rFonts w:ascii="宋体" w:hAnsi="宋体" w:cs="宋体" w:eastAsia="宋体" w:hint="default"/>
        </w:rPr>
        <w:t>564,898.00</w:t>
      </w:r>
      <w:r>
        <w:rPr>
          <w:rFonts w:ascii="宋体" w:hAnsi="宋体" w:cs="宋体" w:eastAsia="宋体" w:hint="default"/>
          <w:spacing w:val="-85"/>
        </w:rPr>
        <w:t> </w:t>
      </w:r>
      <w:r>
        <w:rPr>
          <w:spacing w:val="15"/>
        </w:rPr>
        <w:t>元以及承担相关诉讼费</w:t>
      </w:r>
      <w:r>
        <w:rPr>
          <w:spacing w:val="-103"/>
        </w:rPr>
        <w:t> </w:t>
      </w:r>
      <w:r>
        <w:rPr>
          <w:spacing w:val="-103"/>
        </w:rPr>
      </w:r>
      <w:r>
        <w:rPr>
          <w:rFonts w:ascii="宋体" w:hAnsi="宋体" w:cs="宋体" w:eastAsia="宋体" w:hint="default"/>
        </w:rPr>
        <w:t>937,600.00</w:t>
      </w:r>
      <w:r>
        <w:rPr/>
        <w:t>元，包括律师费、保全担保保费、诉讼费、保全费等。目前案件尚处于受理状态。</w:t>
      </w:r>
    </w:p>
    <w:p>
      <w:pPr>
        <w:pStyle w:val="Heading4"/>
        <w:spacing w:line="273" w:lineRule="auto"/>
        <w:ind w:right="1123" w:firstLine="420"/>
        <w:jc w:val="both"/>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2019</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22</w:t>
      </w:r>
      <w:r>
        <w:rPr>
          <w:spacing w:val="-1"/>
        </w:rPr>
        <w:t>日，共青城纳隆德投资管理合伙企业（有限合伙）向法院提起诉讼，诉讼公司收购</w:t>
      </w:r>
      <w:r>
        <w:rPr/>
        <w:t> </w:t>
      </w:r>
      <w:r>
        <w:rPr>
          <w:spacing w:val="-1"/>
        </w:rPr>
        <w:t>北京翡翠教育科技集团有限公司</w:t>
      </w:r>
      <w:r>
        <w:rPr>
          <w:rFonts w:ascii="宋体" w:hAnsi="宋体" w:cs="宋体" w:eastAsia="宋体" w:hint="default"/>
          <w:spacing w:val="-1"/>
        </w:rPr>
        <w:t>100%</w:t>
      </w:r>
      <w:r>
        <w:rPr>
          <w:spacing w:val="-1"/>
        </w:rPr>
        <w:t>股权后未按照协议约定向其支付现金部分股权对价，诉讼请求公司支</w:t>
      </w:r>
      <w:r>
        <w:rPr>
          <w:spacing w:val="-81"/>
        </w:rPr>
        <w:t> </w:t>
      </w:r>
      <w:r>
        <w:rPr>
          <w:spacing w:val="-81"/>
        </w:rPr>
      </w:r>
      <w:r>
        <w:rPr>
          <w:spacing w:val="2"/>
        </w:rPr>
        <w:t>付股权转让款</w:t>
      </w:r>
      <w:r>
        <w:rPr>
          <w:rFonts w:ascii="宋体" w:hAnsi="宋体" w:cs="宋体" w:eastAsia="宋体" w:hint="default"/>
          <w:spacing w:val="2"/>
        </w:rPr>
        <w:t>12,405,578.00</w:t>
      </w:r>
      <w:r>
        <w:rPr>
          <w:spacing w:val="2"/>
        </w:rPr>
        <w:t>元、支付违约金</w:t>
      </w:r>
      <w:r>
        <w:rPr>
          <w:spacing w:val="44"/>
        </w:rPr>
        <w:t> </w:t>
      </w:r>
      <w:r>
        <w:rPr>
          <w:rFonts w:ascii="宋体" w:hAnsi="宋体" w:cs="宋体" w:eastAsia="宋体" w:hint="default"/>
          <w:spacing w:val="2"/>
        </w:rPr>
        <w:t>199,316.00</w:t>
      </w:r>
      <w:r>
        <w:rPr>
          <w:spacing w:val="2"/>
        </w:rPr>
        <w:t>元及承担相关诉讼费（案号</w:t>
      </w:r>
      <w:r>
        <w:rPr>
          <w:rFonts w:ascii="宋体" w:hAnsi="宋体" w:cs="宋体" w:eastAsia="宋体" w:hint="default"/>
          <w:spacing w:val="2"/>
        </w:rPr>
        <w:t>(2019)</w:t>
      </w:r>
      <w:r>
        <w:rPr>
          <w:spacing w:val="2"/>
        </w:rPr>
        <w:t>粤</w:t>
      </w:r>
      <w:r>
        <w:rPr>
          <w:rFonts w:ascii="宋体" w:hAnsi="宋体" w:cs="宋体" w:eastAsia="宋体" w:hint="default"/>
          <w:spacing w:val="2"/>
        </w:rPr>
        <w:t>0304</w:t>
      </w:r>
      <w:r>
        <w:rPr>
          <w:spacing w:val="2"/>
        </w:rPr>
        <w:t>执保</w:t>
      </w:r>
      <w:r>
        <w:rPr>
          <w:spacing w:val="-98"/>
        </w:rPr>
        <w:t> </w:t>
      </w:r>
      <w:r>
        <w:rPr>
          <w:rFonts w:ascii="宋体" w:hAnsi="宋体" w:cs="宋体" w:eastAsia="宋体" w:hint="default"/>
          <w:spacing w:val="-3"/>
        </w:rPr>
        <w:t>1539</w:t>
      </w:r>
      <w:r>
        <w:rPr>
          <w:spacing w:val="-3"/>
        </w:rPr>
        <w:t>号、</w:t>
      </w:r>
      <w:r>
        <w:rPr>
          <w:rFonts w:ascii="宋体" w:hAnsi="宋体" w:cs="宋体" w:eastAsia="宋体" w:hint="default"/>
          <w:spacing w:val="-3"/>
        </w:rPr>
        <w:t>(2019)</w:t>
      </w:r>
      <w:r>
        <w:rPr>
          <w:spacing w:val="-3"/>
        </w:rPr>
        <w:t>粤</w:t>
      </w:r>
      <w:r>
        <w:rPr>
          <w:rFonts w:ascii="宋体" w:hAnsi="宋体" w:cs="宋体" w:eastAsia="宋体" w:hint="default"/>
          <w:spacing w:val="-3"/>
        </w:rPr>
        <w:t>0304</w:t>
      </w:r>
      <w:r>
        <w:rPr>
          <w:spacing w:val="-3"/>
        </w:rPr>
        <w:t>民初</w:t>
      </w:r>
      <w:r>
        <w:rPr>
          <w:rFonts w:ascii="宋体" w:hAnsi="宋体" w:cs="宋体" w:eastAsia="宋体" w:hint="default"/>
          <w:spacing w:val="-3"/>
        </w:rPr>
        <w:t>12206</w:t>
      </w:r>
      <w:r>
        <w:rPr>
          <w:spacing w:val="-3"/>
        </w:rPr>
        <w:t>号）。目前案件尚处于受理状态。</w:t>
      </w:r>
    </w:p>
    <w:p>
      <w:pPr>
        <w:pStyle w:val="Heading4"/>
        <w:spacing w:line="273" w:lineRule="auto"/>
        <w:ind w:right="1131" w:firstLine="420"/>
        <w:jc w:val="both"/>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2019</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13</w:t>
      </w:r>
      <w:r>
        <w:rPr>
          <w:spacing w:val="-1"/>
        </w:rPr>
        <w:t>日，新余卓趣资本管理合伙企业（有限合伙）向法院提起诉讼，诉讼公司收购北京</w:t>
      </w:r>
      <w:r>
        <w:rPr/>
        <w:t> </w:t>
      </w:r>
      <w:r>
        <w:rPr>
          <w:spacing w:val="-1"/>
        </w:rPr>
        <w:t>翡翠教育科技集团有限公司</w:t>
      </w:r>
      <w:r>
        <w:rPr>
          <w:rFonts w:ascii="宋体" w:hAnsi="宋体" w:cs="宋体" w:eastAsia="宋体" w:hint="default"/>
          <w:spacing w:val="-1"/>
        </w:rPr>
        <w:t>100%</w:t>
      </w:r>
      <w:r>
        <w:rPr>
          <w:spacing w:val="-1"/>
        </w:rPr>
        <w:t>股权后未按照协议约定向其支付现金部分股权对价，诉讼请求公司支付股</w:t>
      </w:r>
      <w:r>
        <w:rPr>
          <w:spacing w:val="-80"/>
        </w:rPr>
        <w:t> </w:t>
      </w:r>
      <w:r>
        <w:rPr>
          <w:spacing w:val="-80"/>
        </w:rPr>
      </w:r>
      <w:r>
        <w:rPr/>
        <w:t>权转让款</w:t>
      </w:r>
      <w:r>
        <w:rPr>
          <w:rFonts w:ascii="宋体" w:hAnsi="宋体" w:cs="宋体" w:eastAsia="宋体" w:hint="default"/>
        </w:rPr>
        <w:t>30,631,086.00</w:t>
      </w:r>
      <w:r>
        <w:rPr/>
        <w:t>元、支付违约金</w:t>
      </w:r>
      <w:r>
        <w:rPr>
          <w:spacing w:val="60"/>
        </w:rPr>
        <w:t> </w:t>
      </w:r>
      <w:r>
        <w:rPr>
          <w:rFonts w:ascii="宋体" w:hAnsi="宋体" w:cs="宋体" w:eastAsia="宋体" w:hint="default"/>
        </w:rPr>
        <w:t>245,048.69</w:t>
      </w:r>
      <w:r>
        <w:rPr/>
        <w:t>元及承担相关诉讼费（案号</w:t>
      </w:r>
      <w:r>
        <w:rPr>
          <w:rFonts w:ascii="宋体" w:hAnsi="宋体" w:cs="宋体" w:eastAsia="宋体" w:hint="default"/>
        </w:rPr>
        <w:t>(2019)</w:t>
      </w:r>
      <w:r>
        <w:rPr/>
        <w:t>粤</w:t>
      </w:r>
      <w:r>
        <w:rPr>
          <w:rFonts w:ascii="宋体" w:hAnsi="宋体" w:cs="宋体" w:eastAsia="宋体" w:hint="default"/>
        </w:rPr>
        <w:t>0304</w:t>
      </w:r>
      <w:r>
        <w:rPr/>
        <w:t>民初</w:t>
      </w:r>
      <w:r>
        <w:rPr>
          <w:rFonts w:ascii="宋体" w:hAnsi="宋体" w:cs="宋体" w:eastAsia="宋体" w:hint="default"/>
        </w:rPr>
        <w:t>10936</w:t>
      </w:r>
      <w:r>
        <w:rPr>
          <w:rFonts w:ascii="宋体" w:hAnsi="宋体" w:cs="宋体" w:eastAsia="宋体" w:hint="default"/>
          <w:spacing w:val="-96"/>
        </w:rPr>
        <w:t> </w:t>
      </w:r>
      <w:r>
        <w:rPr>
          <w:rFonts w:ascii="宋体" w:hAnsi="宋体" w:cs="宋体" w:eastAsia="宋体" w:hint="default"/>
          <w:spacing w:val="-96"/>
        </w:rPr>
      </w:r>
      <w:r>
        <w:rPr>
          <w:spacing w:val="-8"/>
        </w:rPr>
        <w:t>号）。目前案件尚处于受理状态。</w:t>
      </w:r>
    </w:p>
    <w:p>
      <w:pPr>
        <w:pStyle w:val="Heading4"/>
        <w:spacing w:line="273" w:lineRule="auto"/>
        <w:ind w:right="0" w:firstLine="420"/>
        <w:jc w:val="left"/>
      </w:pPr>
      <w:r>
        <w:rPr/>
        <w:t>（</w:t>
      </w:r>
      <w:r>
        <w:rPr>
          <w:rFonts w:ascii="宋体" w:hAnsi="宋体" w:cs="宋体" w:eastAsia="宋体" w:hint="default"/>
        </w:rPr>
        <w:t>4</w:t>
      </w:r>
      <w:r>
        <w:rPr/>
        <w:t>）上海联升创业投资有限公司因股权纠纷起诉公司之子公司北京翡翠教育科技集团有限公司（以 </w:t>
      </w:r>
      <w:r>
        <w:rPr>
          <w:spacing w:val="-6"/>
        </w:rPr>
        <w:t>下简称“翡翠教育”）（案号</w:t>
      </w:r>
      <w:r>
        <w:rPr>
          <w:rFonts w:ascii="宋体" w:hAnsi="宋体" w:cs="宋体" w:eastAsia="宋体" w:hint="default"/>
          <w:spacing w:val="-6"/>
        </w:rPr>
        <w:t>(2018)</w:t>
      </w:r>
      <w:r>
        <w:rPr>
          <w:spacing w:val="-6"/>
        </w:rPr>
        <w:t>沪</w:t>
      </w:r>
      <w:r>
        <w:rPr>
          <w:rFonts w:ascii="宋体" w:hAnsi="宋体" w:cs="宋体" w:eastAsia="宋体" w:hint="default"/>
          <w:spacing w:val="-6"/>
        </w:rPr>
        <w:t>0104</w:t>
      </w:r>
      <w:r>
        <w:rPr>
          <w:spacing w:val="-6"/>
        </w:rPr>
        <w:t>民初</w:t>
      </w:r>
      <w:r>
        <w:rPr>
          <w:rFonts w:ascii="宋体" w:hAnsi="宋体" w:cs="宋体" w:eastAsia="宋体" w:hint="default"/>
          <w:spacing w:val="-6"/>
        </w:rPr>
        <w:t>21063</w:t>
      </w:r>
      <w:r>
        <w:rPr>
          <w:spacing w:val="-6"/>
        </w:rPr>
        <w:t>号），该案件于</w:t>
      </w:r>
      <w:r>
        <w:rPr>
          <w:rFonts w:ascii="宋体" w:hAnsi="宋体" w:cs="宋体" w:eastAsia="宋体" w:hint="default"/>
          <w:spacing w:val="-6"/>
        </w:rPr>
        <w:t>2018</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14</w:t>
      </w:r>
      <w:r>
        <w:rPr>
          <w:spacing w:val="-6"/>
        </w:rPr>
        <w:t>日和</w:t>
      </w:r>
      <w:r>
        <w:rPr>
          <w:rFonts w:ascii="宋体" w:hAnsi="宋体" w:cs="宋体" w:eastAsia="宋体" w:hint="default"/>
          <w:spacing w:val="-6"/>
        </w:rPr>
        <w:t>2018</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5</w:t>
      </w:r>
      <w:r>
        <w:rPr>
          <w:spacing w:val="-6"/>
        </w:rPr>
        <w:t>日开庭，</w:t>
      </w:r>
      <w:r>
        <w:rPr>
          <w:spacing w:val="-77"/>
        </w:rPr>
        <w:t> </w:t>
      </w:r>
      <w:r>
        <w:rPr/>
        <w:t>均因原告撤诉而未开庭，最新的开庭时间为</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29</w:t>
      </w:r>
      <w:r>
        <w:rPr/>
        <w:t>日。目前案件尚在审理阶段。</w:t>
      </w:r>
    </w:p>
    <w:p>
      <w:pPr>
        <w:pStyle w:val="Heading4"/>
        <w:spacing w:line="240" w:lineRule="auto"/>
        <w:ind w:left="534" w:right="0"/>
        <w:jc w:val="left"/>
      </w:pPr>
      <w:r>
        <w:rPr/>
        <w:t>（</w:t>
      </w:r>
      <w:r>
        <w:rPr>
          <w:rFonts w:ascii="宋体" w:hAnsi="宋体" w:cs="宋体" w:eastAsia="宋体" w:hint="default"/>
        </w:rPr>
        <w:t>5</w:t>
      </w:r>
      <w:r>
        <w:rPr/>
        <w:t>）</w:t>
      </w:r>
      <w:r>
        <w:rPr>
          <w:rFonts w:ascii="宋体" w:hAnsi="宋体" w:cs="宋体" w:eastAsia="宋体" w:hint="default"/>
        </w:rPr>
        <w:t>2019</w:t>
      </w:r>
      <w:r>
        <w:rPr>
          <w:spacing w:val="-2"/>
        </w:rPr>
        <w:t>年</w:t>
      </w:r>
      <w:r>
        <w:rPr>
          <w:rFonts w:ascii="宋体" w:hAnsi="宋体" w:cs="宋体" w:eastAsia="宋体" w:hint="default"/>
        </w:rPr>
        <w:t>2</w:t>
      </w:r>
      <w:r>
        <w:rPr/>
        <w:t>月，子公</w:t>
      </w:r>
      <w:r>
        <w:rPr>
          <w:spacing w:val="-2"/>
        </w:rPr>
        <w:t>司</w:t>
      </w:r>
      <w:r>
        <w:rPr/>
        <w:t>北京翡翠教育科技集团有限公司（以下简称“翡翠教育</w:t>
      </w:r>
      <w:r>
        <w:rPr>
          <w:spacing w:val="-105"/>
        </w:rPr>
        <w:t>”</w:t>
      </w:r>
      <w:r>
        <w:rPr>
          <w:spacing w:val="-2"/>
        </w:rPr>
        <w:t>）</w:t>
      </w:r>
      <w:r>
        <w:rPr/>
        <w:t>与天津言必信嘉</w:t>
      </w:r>
    </w:p>
    <w:p>
      <w:pPr>
        <w:spacing w:after="0" w:line="240" w:lineRule="auto"/>
        <w:jc w:val="left"/>
        <w:sectPr>
          <w:footerReference w:type="default" r:id="rId17"/>
          <w:pgSz w:w="11910" w:h="16840"/>
          <w:pgMar w:footer="1019" w:header="907" w:top="1100" w:bottom="1200" w:left="1020" w:right="0"/>
          <w:pgNumType w:start="234"/>
        </w:sectPr>
      </w:pPr>
    </w:p>
    <w:p>
      <w:pPr>
        <w:spacing w:line="240" w:lineRule="auto" w:before="8"/>
        <w:rPr>
          <w:rFonts w:ascii="宋体" w:hAnsi="宋体" w:cs="宋体" w:eastAsia="宋体" w:hint="default"/>
          <w:sz w:val="21"/>
          <w:szCs w:val="21"/>
        </w:rPr>
      </w:pPr>
    </w:p>
    <w:p>
      <w:pPr>
        <w:pStyle w:val="Heading4"/>
        <w:spacing w:line="273" w:lineRule="auto" w:before="35"/>
        <w:ind w:right="0"/>
        <w:jc w:val="left"/>
      </w:pPr>
      <w:r>
        <w:rPr>
          <w:spacing w:val="-7"/>
        </w:rPr>
        <w:t>科技中心（有限合伙）（以下简称“言必信嘉”）和天津欧朋兰博科技中心（有限合伙）（以下简称“欧朋</w:t>
      </w:r>
      <w:r>
        <w:rPr>
          <w:spacing w:val="-97"/>
        </w:rPr>
        <w:t> </w:t>
      </w:r>
      <w:r>
        <w:rPr>
          <w:spacing w:val="-97"/>
        </w:rPr>
      </w:r>
      <w:r>
        <w:rPr>
          <w:spacing w:val="-3"/>
        </w:rPr>
        <w:t>兰博”）签署了《关于北京浩特互联网科技有限公司的股权转让协议》及其补充协议，翡翠教育以人民币</w:t>
      </w:r>
      <w:r>
        <w:rPr>
          <w:spacing w:val="-74"/>
        </w:rPr>
        <w:t> </w:t>
      </w:r>
      <w:r>
        <w:rPr>
          <w:spacing w:val="-74"/>
        </w:rPr>
      </w:r>
      <w:r>
        <w:rPr>
          <w:rFonts w:ascii="宋体" w:hAnsi="宋体" w:cs="宋体" w:eastAsia="宋体" w:hint="default"/>
          <w:spacing w:val="-5"/>
        </w:rPr>
        <w:t>8,040.00</w:t>
      </w:r>
      <w:r>
        <w:rPr>
          <w:spacing w:val="-5"/>
        </w:rPr>
        <w:t>万元收购言必信嘉持有北京浩特互联网科技有限公司（以下简称：“北京浩特”）</w:t>
      </w:r>
      <w:r>
        <w:rPr>
          <w:rFonts w:ascii="宋体" w:hAnsi="宋体" w:cs="宋体" w:eastAsia="宋体" w:hint="default"/>
          <w:spacing w:val="-5"/>
        </w:rPr>
        <w:t>27.00%</w:t>
      </w:r>
      <w:r>
        <w:rPr>
          <w:spacing w:val="-5"/>
        </w:rPr>
        <w:t>的股权及</w:t>
      </w:r>
      <w:r>
        <w:rPr>
          <w:spacing w:val="-71"/>
        </w:rPr>
        <w:t> </w:t>
      </w:r>
      <w:r>
        <w:rPr>
          <w:spacing w:val="-1"/>
        </w:rPr>
        <w:t>欧朋兰博持有北京浩特</w:t>
      </w:r>
      <w:r>
        <w:rPr>
          <w:rFonts w:ascii="宋体" w:hAnsi="宋体" w:cs="宋体" w:eastAsia="宋体" w:hint="default"/>
          <w:spacing w:val="-1"/>
        </w:rPr>
        <w:t>40.00%</w:t>
      </w:r>
      <w:r>
        <w:rPr>
          <w:spacing w:val="-1"/>
        </w:rPr>
        <w:t>的股权。北京翡翠已于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月分别预付言必信嘉、欧朋兰博</w:t>
      </w:r>
      <w:r>
        <w:rPr>
          <w:rFonts w:ascii="宋体" w:hAnsi="宋体" w:cs="宋体" w:eastAsia="宋体" w:hint="default"/>
          <w:spacing w:val="-1"/>
        </w:rPr>
        <w:t>200.00</w:t>
      </w:r>
      <w:r>
        <w:rPr>
          <w:spacing w:val="-1"/>
        </w:rPr>
        <w:t>万元</w:t>
      </w:r>
      <w:r>
        <w:rPr>
          <w:spacing w:val="-75"/>
        </w:rPr>
        <w:t> </w:t>
      </w:r>
      <w:r>
        <w:rPr/>
        <w:t>和</w:t>
      </w:r>
      <w:r>
        <w:rPr>
          <w:rFonts w:ascii="宋体" w:hAnsi="宋体" w:cs="宋体" w:eastAsia="宋体" w:hint="default"/>
        </w:rPr>
        <w:t>1,800.00</w:t>
      </w:r>
      <w:r>
        <w:rPr/>
        <w:t>万元的股权转让款。截至财务报告日止，以上股权转让事宜尚未完成。</w:t>
      </w:r>
    </w:p>
    <w:p>
      <w:pPr>
        <w:pStyle w:val="Heading4"/>
        <w:spacing w:line="273" w:lineRule="auto"/>
        <w:ind w:right="1118" w:firstLine="420"/>
        <w:jc w:val="left"/>
      </w:pPr>
      <w:r>
        <w:rPr>
          <w:spacing w:val="-1"/>
        </w:rPr>
        <w:t>除存在上述资产负债表日后事项外，截至财务报告日止，公司无其他应披露未披露的重要资产负债表</w:t>
      </w:r>
      <w:r>
        <w:rPr/>
        <w:t> 日后事项。</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四、母公司财务报表主要项目注释" w:id="438"/>
      <w:bookmarkEnd w:id="438"/>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439"/>
      <w:bookmarkEnd w:id="439"/>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138,948,119.45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128,394,321.72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138,948,119.45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128,394,321.72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40"/>
      <w:bookmarkEnd w:id="44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441"/>
      <w:bookmarkEnd w:id="441"/>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442"/>
      <w:bookmarkEnd w:id="44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3839"/>
        <w:gridCol w:w="4093"/>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4,047,8</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15.00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4,047,8</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15.00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145,98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1,141.3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97.30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7,033,0</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21.88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2"/>
                <w:sz w:val="18"/>
              </w:rPr>
              <w:t>8,119.4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51,24</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10,956,</w:t>
            </w:r>
          </w:p>
          <w:p>
            <w:pPr>
              <w:pStyle w:val="TableParagraph"/>
              <w:spacing w:line="240" w:lineRule="auto" w:before="106"/>
              <w:ind w:left="206" w:right="0"/>
              <w:jc w:val="left"/>
              <w:rPr>
                <w:rFonts w:ascii="Times New Roman" w:hAnsi="Times New Roman" w:cs="Times New Roman" w:eastAsia="Times New Roman" w:hint="default"/>
                <w:sz w:val="18"/>
                <w:szCs w:val="18"/>
              </w:rPr>
            </w:pPr>
            <w:r>
              <w:rPr>
                <w:rFonts w:ascii="Times New Roman"/>
                <w:sz w:val="18"/>
              </w:rPr>
              <w:t>924.54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128,394,</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321.72</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8,956.3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11,080,</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836.88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2"/>
                <w:sz w:val="18"/>
              </w:rPr>
              <w:t>8,119.4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51,24</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10,956,</w:t>
            </w:r>
          </w:p>
          <w:p>
            <w:pPr>
              <w:pStyle w:val="TableParagraph"/>
              <w:spacing w:line="240" w:lineRule="auto" w:before="106"/>
              <w:ind w:left="206" w:right="0"/>
              <w:jc w:val="left"/>
              <w:rPr>
                <w:rFonts w:ascii="Times New Roman" w:hAnsi="Times New Roman" w:cs="Times New Roman" w:eastAsia="Times New Roman" w:hint="default"/>
                <w:sz w:val="18"/>
                <w:szCs w:val="18"/>
              </w:rPr>
            </w:pPr>
            <w:r>
              <w:rPr>
                <w:rFonts w:ascii="Times New Roman"/>
                <w:sz w:val="18"/>
              </w:rPr>
              <w:t>924.54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128,394,</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321.72</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北京平大境界酒业有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4,047,815.00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4,047,815.00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5"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收回货款的可能性很 小</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4,047,815.00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4,047,815.00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075" w:space="475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121,162,317.82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6,058,115.89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8,376,233.33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837,623.33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88,492.19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26,547.66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221,470.00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110,735.00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129,848,513.34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7,033,021.88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5.42%</w:t>
            </w: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57" w:lineRule="auto" w:before="29"/>
        <w:ind w:right="6792"/>
        <w:jc w:val="left"/>
      </w:pPr>
      <w:r>
        <w:rPr/>
        <w:t>□ 适用 √ 不适用 组合中，采用其他方法计提坏账准备的应收账款：</w:t>
      </w:r>
    </w:p>
    <w:tbl>
      <w:tblPr>
        <w:tblW w:w="0" w:type="auto"/>
        <w:jc w:val="left"/>
        <w:tblInd w:w="106" w:type="dxa"/>
        <w:tblLayout w:type="fixed"/>
        <w:tblCellMar>
          <w:top w:w="0" w:type="dxa"/>
          <w:left w:w="0" w:type="dxa"/>
          <w:bottom w:w="0" w:type="dxa"/>
          <w:right w:w="0" w:type="dxa"/>
        </w:tblCellMar>
        <w:tblLook w:val="01E0"/>
      </w:tblPr>
      <w:tblGrid>
        <w:gridCol w:w="2951"/>
        <w:gridCol w:w="1990"/>
        <w:gridCol w:w="1990"/>
        <w:gridCol w:w="1427"/>
      </w:tblGrid>
      <w:tr>
        <w:trPr>
          <w:trHeight w:val="355" w:hRule="exact"/>
        </w:trPr>
        <w:tc>
          <w:tcPr>
            <w:tcW w:w="2951"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40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951"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951"/>
        <w:gridCol w:w="1990"/>
        <w:gridCol w:w="1990"/>
        <w:gridCol w:w="1427"/>
      </w:tblGrid>
      <w:tr>
        <w:trPr>
          <w:trHeight w:val="355" w:hRule="exact"/>
        </w:trPr>
        <w:tc>
          <w:tcPr>
            <w:tcW w:w="29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9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803" w:right="0"/>
              <w:jc w:val="left"/>
              <w:rPr>
                <w:rFonts w:ascii="宋体" w:hAnsi="宋体" w:cs="宋体" w:eastAsia="宋体" w:hint="default"/>
                <w:sz w:val="18"/>
                <w:szCs w:val="18"/>
              </w:rPr>
            </w:pPr>
            <w:r>
              <w:rPr>
                <w:rFonts w:ascii="宋体"/>
                <w:sz w:val="18"/>
              </w:rPr>
              <w:t>16,132,627.99</w:t>
            </w:r>
          </w:p>
        </w:tc>
        <w:tc>
          <w:tcPr>
            <w:tcW w:w="19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c>
          <w:tcPr>
            <w:tcW w:w="14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07" w:footer="1019" w:top="1100" w:bottom="1200" w:left="1020" w:right="0"/>
        </w:sectPr>
      </w:pPr>
    </w:p>
    <w:p>
      <w:pPr>
        <w:pStyle w:val="BodyText"/>
        <w:spacing w:line="240" w:lineRule="auto"/>
        <w:ind w:right="-18"/>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8"/>
        <w:jc w:val="left"/>
      </w:pPr>
      <w:r>
        <w:rPr/>
        <w:t>本期计提坏账准备金额</w:t>
      </w:r>
      <w:r>
        <w:rPr>
          <w:spacing w:val="-46"/>
        </w:rPr>
        <w:t> </w:t>
      </w:r>
      <w:r>
        <w:rPr>
          <w:rFonts w:ascii="Times New Roman" w:hAnsi="Times New Roman" w:cs="Times New Roman" w:eastAsia="Times New Roman" w:hint="default"/>
        </w:rPr>
        <w:t>123,912.34</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3" w:right="0"/>
        <w:jc w:val="left"/>
      </w:pPr>
      <w:r>
        <w:rPr/>
        <w:t>单位： 元</w:t>
      </w:r>
    </w:p>
    <w:p>
      <w:pPr>
        <w:spacing w:after="0" w:line="240" w:lineRule="auto"/>
        <w:jc w:val="left"/>
        <w:sectPr>
          <w:type w:val="continuous"/>
          <w:pgSz w:w="11910" w:h="16840"/>
          <w:pgMar w:top="1100" w:bottom="1200" w:left="1020" w:right="0"/>
          <w:cols w:num="2" w:equalWidth="0">
            <w:col w:w="5875" w:space="295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2"/>
        <w:ind w:right="0"/>
        <w:jc w:val="left"/>
      </w:pPr>
      <w:r>
        <w:rPr/>
        <w:t>应收账款核销说明：</w:t>
      </w:r>
    </w:p>
    <w:p>
      <w:pPr>
        <w:pStyle w:val="BodyText"/>
        <w:spacing w:line="240" w:lineRule="auto" w:before="116"/>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164"/>
        <w:gridCol w:w="1697"/>
        <w:gridCol w:w="1723"/>
        <w:gridCol w:w="1774"/>
      </w:tblGrid>
      <w:tr>
        <w:trPr>
          <w:trHeight w:val="667" w:hRule="exact"/>
        </w:trPr>
        <w:tc>
          <w:tcPr>
            <w:tcW w:w="3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48" w:right="43" w:hanging="406"/>
              <w:jc w:val="left"/>
              <w:rPr>
                <w:rFonts w:ascii="宋体" w:hAnsi="宋体" w:cs="宋体" w:eastAsia="宋体" w:hint="default"/>
                <w:sz w:val="18"/>
                <w:szCs w:val="18"/>
              </w:rPr>
            </w:pPr>
            <w:r>
              <w:rPr>
                <w:rFonts w:ascii="宋体" w:hAnsi="宋体" w:cs="宋体" w:eastAsia="宋体" w:hint="default"/>
                <w:sz w:val="18"/>
                <w:szCs w:val="18"/>
              </w:rPr>
              <w:t>占应收账款期末余额 的比例</w:t>
            </w:r>
            <w:r>
              <w:rPr>
                <w:rFonts w:ascii="宋体" w:hAnsi="宋体" w:cs="宋体" w:eastAsia="宋体" w:hint="default"/>
                <w:sz w:val="18"/>
                <w:szCs w:val="18"/>
              </w:rPr>
              <w:t>(%)</w:t>
            </w:r>
          </w:p>
        </w:tc>
        <w:tc>
          <w:tcPr>
            <w:tcW w:w="17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2" w:hRule="exact"/>
        </w:trPr>
        <w:tc>
          <w:tcPr>
            <w:tcW w:w="3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10,270,310.06</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6.85</w:t>
            </w:r>
          </w:p>
        </w:tc>
        <w:tc>
          <w:tcPr>
            <w:tcW w:w="17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r>
      <w:tr>
        <w:trPr>
          <w:trHeight w:val="353" w:hRule="exact"/>
        </w:trPr>
        <w:tc>
          <w:tcPr>
            <w:tcW w:w="3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潮州市银河陶瓷有限公司</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7,983,736.40</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5.32</w:t>
            </w:r>
          </w:p>
        </w:tc>
        <w:tc>
          <w:tcPr>
            <w:tcW w:w="17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7"/>
              <w:jc w:val="right"/>
              <w:rPr>
                <w:rFonts w:ascii="宋体" w:hAnsi="宋体" w:cs="宋体" w:eastAsia="宋体" w:hint="default"/>
                <w:sz w:val="18"/>
                <w:szCs w:val="18"/>
              </w:rPr>
            </w:pPr>
            <w:r>
              <w:rPr>
                <w:rFonts w:ascii="宋体"/>
                <w:sz w:val="18"/>
              </w:rPr>
              <w:t>798,373.64</w:t>
            </w:r>
          </w:p>
        </w:tc>
      </w:tr>
      <w:tr>
        <w:trPr>
          <w:trHeight w:val="352" w:hRule="exact"/>
        </w:trPr>
        <w:tc>
          <w:tcPr>
            <w:tcW w:w="3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荷兰 </w:t>
            </w:r>
            <w:r>
              <w:rPr>
                <w:rFonts w:ascii="宋体" w:hAnsi="宋体" w:cs="宋体" w:eastAsia="宋体" w:hint="default"/>
                <w:sz w:val="18"/>
                <w:szCs w:val="18"/>
              </w:rPr>
              <w:t>Regina</w:t>
            </w:r>
            <w:r>
              <w:rPr>
                <w:rFonts w:ascii="宋体" w:hAnsi="宋体" w:cs="宋体" w:eastAsia="宋体" w:hint="default"/>
                <w:spacing w:val="-33"/>
                <w:sz w:val="18"/>
                <w:szCs w:val="18"/>
              </w:rPr>
              <w:t> </w:t>
            </w:r>
            <w:r>
              <w:rPr>
                <w:rFonts w:ascii="宋体" w:hAnsi="宋体" w:cs="宋体" w:eastAsia="宋体" w:hint="default"/>
                <w:sz w:val="18"/>
                <w:szCs w:val="18"/>
              </w:rPr>
              <w:t>Modeshows</w:t>
            </w:r>
            <w:r>
              <w:rPr>
                <w:rFonts w:ascii="宋体" w:hAnsi="宋体" w:cs="宋体" w:eastAsia="宋体" w:hint="default"/>
                <w:spacing w:val="-33"/>
                <w:sz w:val="18"/>
                <w:szCs w:val="18"/>
              </w:rPr>
              <w:t> </w:t>
            </w:r>
            <w:r>
              <w:rPr>
                <w:rFonts w:ascii="宋体" w:hAnsi="宋体" w:cs="宋体" w:eastAsia="宋体" w:hint="default"/>
                <w:sz w:val="18"/>
                <w:szCs w:val="18"/>
              </w:rPr>
              <w:t>Nederland</w:t>
            </w:r>
            <w:r>
              <w:rPr>
                <w:rFonts w:ascii="宋体" w:hAnsi="宋体" w:cs="宋体" w:eastAsia="宋体" w:hint="default"/>
                <w:spacing w:val="-33"/>
                <w:sz w:val="18"/>
                <w:szCs w:val="18"/>
              </w:rPr>
              <w:t> </w:t>
            </w:r>
            <w:r>
              <w:rPr>
                <w:rFonts w:ascii="宋体" w:hAnsi="宋体" w:cs="宋体" w:eastAsia="宋体" w:hint="default"/>
                <w:sz w:val="18"/>
                <w:szCs w:val="18"/>
              </w:rPr>
              <w:t>B.V.</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6,809,002.56</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4.54</w:t>
            </w:r>
          </w:p>
        </w:tc>
        <w:tc>
          <w:tcPr>
            <w:tcW w:w="17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340,450.13</w:t>
            </w:r>
          </w:p>
        </w:tc>
      </w:tr>
      <w:tr>
        <w:trPr>
          <w:trHeight w:val="352" w:hRule="exact"/>
        </w:trPr>
        <w:tc>
          <w:tcPr>
            <w:tcW w:w="3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5,705,354.25</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3.80</w:t>
            </w:r>
          </w:p>
        </w:tc>
        <w:tc>
          <w:tcPr>
            <w:tcW w:w="17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r>
      <w:tr>
        <w:trPr>
          <w:trHeight w:val="353" w:hRule="exact"/>
        </w:trPr>
        <w:tc>
          <w:tcPr>
            <w:tcW w:w="3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法国</w:t>
            </w:r>
            <w:r>
              <w:rPr>
                <w:rFonts w:ascii="宋体" w:hAnsi="宋体" w:cs="宋体" w:eastAsia="宋体" w:hint="default"/>
                <w:sz w:val="18"/>
                <w:szCs w:val="18"/>
              </w:rPr>
              <w:t>CERIMPORT INDUSTRIES</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4,350,504.44</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2.90</w:t>
            </w:r>
          </w:p>
        </w:tc>
        <w:tc>
          <w:tcPr>
            <w:tcW w:w="17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217,525.22</w:t>
            </w:r>
          </w:p>
        </w:tc>
      </w:tr>
      <w:tr>
        <w:trPr>
          <w:trHeight w:val="352" w:hRule="exact"/>
        </w:trPr>
        <w:tc>
          <w:tcPr>
            <w:tcW w:w="3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35,118,907.71</w:t>
            </w:r>
          </w:p>
        </w:tc>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23.41</w:t>
            </w:r>
          </w:p>
        </w:tc>
        <w:tc>
          <w:tcPr>
            <w:tcW w:w="17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1,356,348.99</w:t>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其他应收款" w:id="443"/>
      <w:bookmarkEnd w:id="44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771,787.74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375,146,339.29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43,989,996.23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433,146,339.29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102,761,783.97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应收利息" w:id="444"/>
      <w:bookmarkEnd w:id="44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771,787.74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771,787.74</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股利" w:id="445"/>
      <w:bookmarkEnd w:id="44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58,000,000.00</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79"/>
              <w:jc w:val="left"/>
              <w:rPr>
                <w:rFonts w:ascii="宋体" w:hAnsi="宋体" w:cs="宋体" w:eastAsia="宋体" w:hint="default"/>
                <w:sz w:val="18"/>
                <w:szCs w:val="18"/>
              </w:rPr>
            </w:pPr>
            <w:r>
              <w:rPr>
                <w:rFonts w:ascii="宋体" w:hAnsi="宋体" w:cs="宋体" w:eastAsia="宋体" w:hint="default"/>
                <w:sz w:val="18"/>
                <w:szCs w:val="18"/>
              </w:rPr>
              <w:t>广东联汛教育科技有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9"/>
              <w:jc w:val="both"/>
              <w:rPr>
                <w:rFonts w:ascii="宋体" w:hAnsi="宋体" w:cs="宋体" w:eastAsia="宋体" w:hint="default"/>
                <w:sz w:val="18"/>
                <w:szCs w:val="18"/>
              </w:rPr>
            </w:pPr>
            <w:r>
              <w:rPr>
                <w:rFonts w:ascii="宋体" w:hAnsi="宋体" w:cs="宋体" w:eastAsia="宋体" w:hint="default"/>
                <w:sz w:val="18"/>
                <w:szCs w:val="18"/>
              </w:rPr>
              <w:t>为了支持子公司经营 发展，资金暂留子公 司使用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79"/>
              <w:jc w:val="left"/>
              <w:rPr>
                <w:rFonts w:ascii="宋体" w:hAnsi="宋体" w:cs="宋体" w:eastAsia="宋体" w:hint="default"/>
                <w:sz w:val="18"/>
                <w:szCs w:val="18"/>
              </w:rPr>
            </w:pPr>
            <w:r>
              <w:rPr>
                <w:rFonts w:ascii="宋体" w:hAnsi="宋体" w:cs="宋体" w:eastAsia="宋体" w:hint="default"/>
                <w:sz w:val="18"/>
                <w:szCs w:val="18"/>
              </w:rPr>
              <w:t>河南智游臻龙教育科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9"/>
              <w:jc w:val="both"/>
              <w:rPr>
                <w:rFonts w:ascii="宋体" w:hAnsi="宋体" w:cs="宋体" w:eastAsia="宋体" w:hint="default"/>
                <w:sz w:val="18"/>
                <w:szCs w:val="18"/>
              </w:rPr>
            </w:pPr>
            <w:r>
              <w:rPr>
                <w:rFonts w:ascii="宋体" w:hAnsi="宋体" w:cs="宋体" w:eastAsia="宋体" w:hint="default"/>
                <w:sz w:val="18"/>
                <w:szCs w:val="18"/>
              </w:rPr>
              <w:t>为了支持子公司经营 发展，资金暂留子公 司使用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446"/>
      <w:bookmarkEnd w:id="44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3839"/>
        <w:gridCol w:w="4093"/>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387,39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0,737.6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12,244,</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398.31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375,14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6,339.2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51,78</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1,775</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7,791,7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79.76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43,989,9</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96.23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387,39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0,737.6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12,244,</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398.31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375,14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6,339.2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51,78</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1,775</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7,791,7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79.76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43,989,9</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96.23</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435" w:space="439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244,607,220.61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12,230,361.03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8,372.80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837.28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13,200.00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244,659,593.41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12,244,398.31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57" w:lineRule="auto" w:before="29"/>
        <w:ind w:right="6612"/>
        <w:jc w:val="left"/>
      </w:pPr>
      <w:r>
        <w:rPr/>
        <w:t>□ 适用 √ 不适用 组合中，采用其他方法计提坏账准备的其他应收款：</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951"/>
        <w:gridCol w:w="1990"/>
        <w:gridCol w:w="1990"/>
        <w:gridCol w:w="1427"/>
      </w:tblGrid>
      <w:tr>
        <w:trPr>
          <w:trHeight w:val="355" w:hRule="exact"/>
        </w:trPr>
        <w:tc>
          <w:tcPr>
            <w:tcW w:w="2951"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40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2951"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52" w:hRule="exact"/>
        </w:trPr>
        <w:tc>
          <w:tcPr>
            <w:tcW w:w="2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142,231,475.77</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r>
      <w:tr>
        <w:trPr>
          <w:trHeight w:val="353" w:hRule="exact"/>
        </w:trPr>
        <w:tc>
          <w:tcPr>
            <w:tcW w:w="2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应收退税款组合</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499,668.42</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r>
      <w:tr>
        <w:trPr>
          <w:trHeight w:val="352" w:hRule="exact"/>
        </w:trPr>
        <w:tc>
          <w:tcPr>
            <w:tcW w:w="2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142,731,144.19</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00" w:bottom="1200" w:left="1020" w:right="0"/>
        </w:sectPr>
      </w:pPr>
    </w:p>
    <w:p>
      <w:pPr>
        <w:pStyle w:val="BodyText"/>
        <w:spacing w:line="240" w:lineRule="auto"/>
        <w:ind w:right="-17"/>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7"/>
        <w:jc w:val="left"/>
      </w:pPr>
      <w:r>
        <w:rPr/>
        <w:t>本期计提坏账准备金额</w:t>
      </w:r>
      <w:r>
        <w:rPr>
          <w:spacing w:val="-47"/>
        </w:rPr>
        <w:t> </w:t>
      </w:r>
      <w:r>
        <w:rPr>
          <w:rFonts w:ascii="Times New Roman" w:hAnsi="Times New Roman" w:cs="Times New Roman" w:eastAsia="Times New Roman" w:hint="default"/>
        </w:rPr>
        <w:t>4,452,618.55</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3" w:right="0"/>
        <w:jc w:val="left"/>
      </w:pPr>
      <w:r>
        <w:rPr/>
        <w:t>单位： 元</w:t>
      </w:r>
    </w:p>
    <w:p>
      <w:pPr>
        <w:spacing w:after="0" w:line="240" w:lineRule="auto"/>
        <w:jc w:val="left"/>
        <w:sectPr>
          <w:type w:val="continuous"/>
          <w:pgSz w:w="11910" w:h="16840"/>
          <w:pgMar w:top="1100" w:bottom="1200" w:left="1020" w:right="0"/>
          <w:cols w:num="2" w:equalWidth="0">
            <w:col w:w="6009" w:space="2820"/>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2785" w:space="604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386,389,283.81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51,173,390.67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6,963.59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214,254.00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499,668.42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387,167.73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451,785.37</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387,390,737.60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51,781,775.99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潮州市名源陶瓷有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189,917,808.04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9,495,890.40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潮州市万泉瓷业有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76,098,163.02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潮州市源发陶瓷有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28,570,000.00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1,428,500.00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潮州市枫溪区锦汇 陶瓷原料厂</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25,670,000.00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1,283,500.00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潮州市三江陶瓷原 料有限公司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24,656,596.50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344,912,567.56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12,207,890.40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7" w:right="101" w:hanging="594"/>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338" w:lineRule="auto"/>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长期股权投资" w:id="447"/>
      <w:bookmarkEnd w:id="44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2,650,742,554.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2,650,742,554.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1,436,739,530.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1,436,739,530.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214,000,010.80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214,000,010.80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210,118,481.23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210,118,481.23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2,864,742,565.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2,864,742,565.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1,646,858,012.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1,646,858,012.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48"/>
      <w:bookmarkEnd w:id="44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52"/>
              <w:jc w:val="left"/>
              <w:rPr>
                <w:rFonts w:ascii="宋体" w:hAnsi="宋体" w:cs="宋体" w:eastAsia="宋体" w:hint="default"/>
                <w:sz w:val="18"/>
                <w:szCs w:val="18"/>
              </w:rPr>
            </w:pPr>
            <w:r>
              <w:rPr>
                <w:rFonts w:ascii="宋体" w:hAnsi="宋体" w:cs="宋体" w:eastAsia="宋体" w:hint="default"/>
                <w:sz w:val="18"/>
                <w:szCs w:val="18"/>
              </w:rPr>
              <w:t>广州长城世家 投资有限公司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39,998,014.40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39,998,014.40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潮州市万泉陶 瓷花纸有限公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潮州市三江陶 瓷原料有限公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深圳长城世家 陶瓷商贸有限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北京昶城世家 商贸有限公司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深圳市世家会 艺术品投资有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52"/>
              <w:jc w:val="both"/>
              <w:rPr>
                <w:rFonts w:ascii="宋体" w:hAnsi="宋体" w:cs="宋体" w:eastAsia="宋体" w:hint="default"/>
                <w:sz w:val="18"/>
                <w:szCs w:val="18"/>
              </w:rPr>
            </w:pPr>
            <w:r>
              <w:rPr>
                <w:rFonts w:ascii="宋体" w:hAnsi="宋体" w:cs="宋体" w:eastAsia="宋体" w:hint="default"/>
                <w:sz w:val="18"/>
                <w:szCs w:val="18"/>
              </w:rPr>
              <w:t>河南长城绿色 瓷艺科技有限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52"/>
              <w:jc w:val="right"/>
              <w:rPr>
                <w:rFonts w:ascii="宋体" w:hAnsi="宋体" w:cs="宋体" w:eastAsia="宋体" w:hint="default"/>
                <w:sz w:val="18"/>
                <w:szCs w:val="18"/>
              </w:rPr>
            </w:pPr>
            <w:r>
              <w:rPr>
                <w:rFonts w:ascii="宋体" w:hAnsi="宋体" w:cs="宋体" w:eastAsia="宋体" w:hint="default"/>
                <w:sz w:val="18"/>
                <w:szCs w:val="18"/>
              </w:rPr>
              <w:t>潮州市长城世</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180,000,000.0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2"/>
              <w:jc w:val="left"/>
              <w:rPr>
                <w:rFonts w:ascii="宋体" w:hAnsi="宋体" w:cs="宋体" w:eastAsia="宋体" w:hint="default"/>
                <w:sz w:val="18"/>
                <w:szCs w:val="18"/>
              </w:rPr>
            </w:pPr>
            <w:r>
              <w:rPr>
                <w:rFonts w:ascii="宋体" w:hAnsi="宋体" w:cs="宋体" w:eastAsia="宋体" w:hint="default"/>
                <w:sz w:val="18"/>
                <w:szCs w:val="18"/>
              </w:rPr>
              <w:t>家瓷业有限公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深圳万城投资 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广东联讯教育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625,971,516.5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625,971,516.5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河南智游臻龙 教育科技有限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北京翡翠教育 科技集团有限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1,209,003,023.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1,209,003,023.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潮州市润潮陶 瓷有限公司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1,436,739,530.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1,214,003,023.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2,650,742,554.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49"/>
      <w:bookmarkEnd w:id="44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宜兴市 金鱼陶 瓷有限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53,690,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622.83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2,212,4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21.32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55,903,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044.15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新余智 趣资产 管理合 伙企业</w:t>
            </w:r>
          </w:p>
          <w:p>
            <w:pPr>
              <w:pStyle w:val="TableParagraph"/>
              <w:spacing w:line="319" w:lineRule="auto" w:before="19"/>
              <w:ind w:left="103" w:right="14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95,562,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778.06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95,562,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778.06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潮州民 营投资 股份有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60,865,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080.34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1,669,1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08.25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62,534,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188.59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210,118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,481.23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3,881,5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29.57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214,00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0,010.8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210,118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,481.23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214,00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0,010.8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50"/>
      <w:bookmarkEnd w:id="45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51"/>
      <w:bookmarkEnd w:id="45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168,464,642.83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123,955,383.59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244,990,231.15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176,845,463.26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3,578,497.60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309,046.77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3,741,739.48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2,375,350.34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172,043,140.43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124,264,430.36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248,731,970.63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179,220,813.60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452"/>
      <w:bookmarkEnd w:id="45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3,881,529.57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-7,811,584.31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1,048,734.24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3,881,529.57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51,237,149.93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53"/>
      <w:bookmarkEnd w:id="45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五、补充资料" w:id="454"/>
      <w:bookmarkEnd w:id="454"/>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55"/>
      <w:bookmarkEnd w:id="45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-270,356.86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6,964,527.92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-2,840,845.30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165,509.02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825,299.16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1,137,117.11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2,056,418.51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456"/>
      <w:bookmarkEnd w:id="45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57"/>
      <w:bookmarkEnd w:id="45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58"/>
      <w:bookmarkEnd w:id="45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459"/>
      <w:bookmarkEnd w:id="45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460"/>
      <w:bookmarkEnd w:id="46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461"/>
      <w:bookmarkEnd w:id="46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6" w:right="0"/>
        <w:jc w:val="left"/>
        <w:rPr>
          <w:b w:val="0"/>
          <w:bCs w:val="0"/>
        </w:rPr>
      </w:pPr>
      <w:bookmarkStart w:name="第十二节 备查文件目录" w:id="462"/>
      <w:bookmarkEnd w:id="462"/>
      <w:r>
        <w:rPr>
          <w:b w:val="0"/>
          <w:bCs w:val="0"/>
        </w:rPr>
      </w:r>
      <w:bookmarkStart w:name="_bookmark11" w:id="463"/>
      <w:bookmarkEnd w:id="463"/>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before="0"/>
        <w:ind w:right="0"/>
        <w:jc w:val="left"/>
      </w:pPr>
      <w:r>
        <w:rPr/>
        <w:t>（一）载有公司负责人、主管会计工作负责人、会计机构负责人（会计主管人员）签名并盖章的财务报表。</w:t>
      </w:r>
    </w:p>
    <w:p>
      <w:pPr>
        <w:spacing w:line="240" w:lineRule="auto" w:before="1"/>
        <w:rPr>
          <w:rFonts w:ascii="宋体" w:hAnsi="宋体" w:cs="宋体" w:eastAsia="宋体" w:hint="default"/>
          <w:sz w:val="15"/>
          <w:szCs w:val="15"/>
        </w:rPr>
      </w:pPr>
    </w:p>
    <w:p>
      <w:pPr>
        <w:pStyle w:val="BodyText"/>
        <w:spacing w:line="240" w:lineRule="auto" w:before="0"/>
        <w:ind w:right="0"/>
        <w:jc w:val="left"/>
      </w:pPr>
      <w:r>
        <w:rPr/>
        <w:t>（二）载有会计师事务所盖章、注册会计师签名并盖章的审计报告原件。</w:t>
      </w:r>
    </w:p>
    <w:p>
      <w:pPr>
        <w:spacing w:line="240" w:lineRule="auto" w:before="0"/>
        <w:rPr>
          <w:rFonts w:ascii="宋体" w:hAnsi="宋体" w:cs="宋体" w:eastAsia="宋体" w:hint="default"/>
          <w:sz w:val="15"/>
          <w:szCs w:val="15"/>
        </w:rPr>
      </w:pPr>
    </w:p>
    <w:p>
      <w:pPr>
        <w:pStyle w:val="BodyText"/>
        <w:spacing w:line="240" w:lineRule="auto" w:before="0"/>
        <w:ind w:right="0"/>
        <w:jc w:val="left"/>
      </w:pPr>
      <w:r>
        <w:rPr/>
        <w:t>（三）报告期内在中国证监会指定网站上公开披露过的所有公司文件的正本及公告的原稿。</w:t>
      </w:r>
    </w:p>
    <w:p>
      <w:pPr>
        <w:spacing w:line="240" w:lineRule="auto" w:before="0"/>
        <w:rPr>
          <w:rFonts w:ascii="宋体" w:hAnsi="宋体" w:cs="宋体" w:eastAsia="宋体" w:hint="default"/>
          <w:sz w:val="15"/>
          <w:szCs w:val="15"/>
        </w:rPr>
      </w:pPr>
    </w:p>
    <w:p>
      <w:pPr>
        <w:pStyle w:val="BodyText"/>
        <w:spacing w:line="415" w:lineRule="auto" w:before="0"/>
        <w:ind w:left="187" w:right="6613" w:hanging="74"/>
        <w:jc w:val="left"/>
      </w:pPr>
      <w:r>
        <w:rPr/>
        <w:t>（四）载有董事长签名的</w:t>
      </w:r>
      <w:r>
        <w:rPr>
          <w:rFonts w:ascii="Times New Roman" w:hAnsi="Times New Roman" w:cs="Times New Roman" w:eastAsia="Times New Roman" w:hint="default"/>
        </w:rPr>
        <w:t>2018</w:t>
      </w:r>
      <w:r>
        <w:rPr/>
        <w:t>年年度报告文本原件。 以上备查文件的备置地点：文化长城证券事务部</w:t>
      </w:r>
    </w:p>
    <w:sectPr>
      <w:pgSz w:w="11910" w:h="16840"/>
      <w:pgMar w:header="907" w:footer="1019"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UI Gothic">
    <w:altName w:val="MS UI Gothic"/>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0040" type="#_x0000_t75" stroked="false">
          <v:imagedata r:id="rId1" o:title=""/>
        </v:shape>
      </w:pict>
    </w:r>
    <w:r>
      <w:rPr/>
      <w:pict>
        <v:shape style="position:absolute;margin-left:55.700001pt;margin-top:793.5979pt;width:6.5pt;height:11pt;mso-position-horizontal-relative:page;mso-position-vertical-relative:page;z-index:-138001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9992" type="#_x0000_t75" stroked="false">
          <v:imagedata r:id="rId1" o:title=""/>
        </v:shape>
      </w:pict>
    </w:r>
    <w:r>
      <w:rPr/>
      <w:pict>
        <v:shape style="position:absolute;margin-left:54.700001pt;margin-top:779.977905pt;width:13pt;height:11pt;mso-position-horizontal-relative:page;mso-position-vertical-relative:page;z-index:-13799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9920" type="#_x0000_t75" stroked="false">
          <v:imagedata r:id="rId1" o:title=""/>
        </v:shape>
      </w:pict>
    </w:r>
    <w:r>
      <w:rPr/>
      <w:pict>
        <v:shape style="position:absolute;margin-left:55.700001pt;margin-top:779.977905pt;width:15.5pt;height:11pt;mso-position-horizontal-relative:page;mso-position-vertical-relative:page;z-index:-137989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9872" type="#_x0000_t75" stroked="false">
          <v:imagedata r:id="rId1" o:title=""/>
        </v:shape>
      </w:pict>
    </w:r>
    <w:r>
      <w:rPr/>
      <w:pict>
        <v:shape style="position:absolute;margin-left:54.700001pt;margin-top:779.977905pt;width:17.5pt;height:11pt;mso-position-horizontal-relative:page;mso-position-vertical-relative:page;z-index:-13798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9824" type="#_x0000_t75" stroked="false">
          <v:imagedata r:id="rId1" o:title=""/>
        </v:shape>
      </w:pict>
    </w:r>
    <w:r>
      <w:rPr/>
      <w:pict>
        <v:shape style="position:absolute;margin-left:55.700001pt;margin-top:779.977905pt;width:15.5pt;height:11pt;mso-position-horizontal-relative:page;mso-position-vertical-relative:page;z-index:-137980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9776" type="#_x0000_t75" stroked="false">
          <v:imagedata r:id="rId1" o:title=""/>
        </v:shape>
      </w:pict>
    </w:r>
    <w:r>
      <w:rPr/>
      <w:pict>
        <v:shape style="position:absolute;margin-left:54.700001pt;margin-top:779.977905pt;width:17.5pt;height:11pt;mso-position-horizontal-relative:page;mso-position-vertical-relative:page;z-index:-13797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79728" type="#_x0000_t75" stroked="false">
          <v:imagedata r:id="rId1" o:title=""/>
        </v:shape>
      </w:pict>
    </w:r>
    <w:r>
      <w:rPr/>
      <w:pict>
        <v:shape style="position:absolute;margin-left:54.700001pt;margin-top:779.977905pt;width:17.5pt;height:11pt;mso-position-horizontal-relative:page;mso-position-vertical-relative:page;z-index:-13797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213.55pt;height:11.5pt;mso-position-horizontal-relative:page;mso-position-vertical-relative:page;z-index:-1380064" type="#_x0000_t202" filled="false" stroked="false">
          <v:textbox inset="0,0,0,0">
            <w:txbxContent>
              <w:p>
                <w:pPr>
                  <w:pStyle w:val="BodyText"/>
                  <w:spacing w:line="214" w:lineRule="exact" w:before="0"/>
                  <w:ind w:left="20" w:right="0"/>
                  <w:jc w:val="left"/>
                </w:pPr>
                <w:r>
                  <w:rPr/>
                  <w:t>广东文化长城集团股份有限公司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1379944" type="#_x0000_t202" filled="false" stroked="false">
          <v:textbox inset="0,0,0,0">
            <w:txbxContent>
              <w:p>
                <w:pPr>
                  <w:pStyle w:val="BodyText"/>
                  <w:spacing w:line="214" w:lineRule="exact" w:before="0"/>
                  <w:ind w:left="20" w:right="0"/>
                  <w:jc w:val="left"/>
                </w:pPr>
                <w:r>
                  <w:rPr/>
                  <w:t>广东文化长城集团股份有限公司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14"/>
    </w:pPr>
    <w:rPr>
      <w:rFonts w:ascii="宋体" w:hAnsi="宋体" w:eastAsia="宋体"/>
      <w:sz w:val="18"/>
      <w:szCs w:val="18"/>
    </w:rPr>
  </w:style>
  <w:style w:styleId="BodyText" w:type="paragraph">
    <w:name w:val="Body Text"/>
    <w:basedOn w:val="Normal"/>
    <w:uiPriority w:val="1"/>
    <w:qFormat/>
    <w:pPr>
      <w:spacing w:before="44"/>
      <w:ind w:left="114"/>
    </w:pPr>
    <w:rPr>
      <w:rFonts w:ascii="宋体" w:hAnsi="宋体" w:eastAsia="宋体"/>
      <w:sz w:val="18"/>
      <w:szCs w:val="18"/>
    </w:rPr>
  </w:style>
  <w:style w:styleId="Heading1" w:type="paragraph">
    <w:name w:val="Heading 1"/>
    <w:basedOn w:val="Normal"/>
    <w:uiPriority w:val="1"/>
    <w:qFormat/>
    <w:pPr>
      <w:spacing w:before="1"/>
      <w:ind w:left="2382"/>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b/>
      <w:bCs/>
      <w:sz w:val="21"/>
      <w:szCs w:val="21"/>
    </w:rPr>
  </w:style>
  <w:style w:styleId="Heading4" w:type="paragraph">
    <w:name w:val="Heading 4"/>
    <w:basedOn w:val="Normal"/>
    <w:uiPriority w:val="1"/>
    <w:qFormat/>
    <w:pPr>
      <w:spacing w:before="7"/>
      <w:ind w:left="114"/>
      <w:outlineLvl w:val="4"/>
    </w:pPr>
    <w:rPr>
      <w:rFonts w:ascii="宋体" w:hAnsi="宋体" w:eastAsia="宋体"/>
      <w:sz w:val="21"/>
      <w:szCs w:val="21"/>
    </w:rPr>
  </w:style>
  <w:style w:styleId="Heading5" w:type="paragraph">
    <w:name w:val="Heading 5"/>
    <w:basedOn w:val="Normal"/>
    <w:uiPriority w:val="1"/>
    <w:qFormat/>
    <w:pPr>
      <w:ind w:left="11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thegreatwall-china.com/" TargetMode="External"/><Relationship Id="rId10" Type="http://schemas.openxmlformats.org/officeDocument/2006/relationships/hyperlink" Target="mailto:zqb@thegreatwall-china.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2020-05-05T05:34:06Z</dcterms:created>
  <dcterms:modified xsi:type="dcterms:W3CDTF">2020-05-05T05:34:06Z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Creator">
    <vt:lpwstr>Microsoft® Office Word 2007</vt:lpwstr>
  </property>
  <property fmtid="{D5CDD505-2E9C-101B-9397-08002B2CF9AE}" pid="4" name="LastSaved">
    <vt:filetime>2020-05-04T00:00:00Z</vt:filetime>
  </property>
</Properties>
</file>