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广东文化长城集团股份有限公司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2022-085</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59" w:right="963" w:bottom="2859" w:left="109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68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34" w:lineRule="exact"/>
        <w:ind w:left="0" w:right="0" w:firstLine="58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line="638" w:lineRule="exact"/>
        <w:ind w:left="0" w:right="0" w:firstLine="580"/>
        <w:jc w:val="both"/>
      </w:pPr>
      <w:r>
        <w:rPr>
          <w:color w:val="000000"/>
          <w:spacing w:val="0"/>
          <w:w w:val="100"/>
          <w:position w:val="0"/>
        </w:rPr>
        <w:t>公司负责人徐阳、主管会计工作负责人裴瑞欣及会计机构负责人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杨榕声明：保证本年度报告中财务报告的真实、准确、完整。</w:t>
      </w:r>
    </w:p>
    <w:p>
      <w:pPr>
        <w:pStyle w:val="Style10"/>
        <w:keepNext w:val="0"/>
        <w:keepLines w:val="0"/>
        <w:widowControl w:val="0"/>
        <w:shd w:val="clear" w:color="auto" w:fill="auto"/>
        <w:bidi w:val="0"/>
        <w:spacing w:before="0" w:line="634" w:lineRule="exact"/>
        <w:ind w:left="0" w:right="0" w:firstLine="58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4" w:lineRule="exact"/>
        <w:ind w:left="0" w:right="0" w:firstLine="580"/>
        <w:jc w:val="both"/>
      </w:pPr>
      <w:r>
        <w:rPr>
          <w:color w:val="000000"/>
          <w:spacing w:val="0"/>
          <w:w w:val="100"/>
          <w:position w:val="0"/>
        </w:rPr>
        <w:t>希格玛会计师事务所为本公司出具了无法表示意见的审计报告，本公司董 事会、监事会对相关事项已有详细说明，请投资者注意阅读。</w:t>
      </w:r>
    </w:p>
    <w:p>
      <w:pPr>
        <w:pStyle w:val="Style10"/>
        <w:keepNext w:val="0"/>
        <w:keepLines w:val="0"/>
        <w:widowControl w:val="0"/>
        <w:shd w:val="clear" w:color="auto" w:fill="auto"/>
        <w:bidi w:val="0"/>
        <w:spacing w:before="0" w:line="634" w:lineRule="exact"/>
        <w:ind w:left="0" w:right="0" w:firstLine="580"/>
        <w:jc w:val="both"/>
      </w:pPr>
      <w:r>
        <w:rPr>
          <w:color w:val="000000"/>
          <w:spacing w:val="0"/>
          <w:w w:val="100"/>
          <w:position w:val="0"/>
        </w:rPr>
        <w:t>于内部控制评价报告基准日，公司存在财务报告内部控制重大缺陷。</w:t>
      </w:r>
    </w:p>
    <w:p>
      <w:pPr>
        <w:pStyle w:val="Style10"/>
        <w:keepNext w:val="0"/>
        <w:keepLines w:val="0"/>
        <w:widowControl w:val="0"/>
        <w:shd w:val="clear" w:color="auto" w:fill="auto"/>
        <w:bidi w:val="0"/>
        <w:spacing w:before="0" w:line="634" w:lineRule="exact"/>
        <w:ind w:left="0" w:right="0" w:firstLine="580"/>
        <w:jc w:val="both"/>
      </w:pPr>
      <w:r>
        <w:rPr>
          <w:color w:val="000000"/>
          <w:spacing w:val="0"/>
          <w:w w:val="100"/>
          <w:position w:val="0"/>
        </w:rPr>
        <w:t>本报告期内，公司净利润为负且被出具持续经营存在不确定性的无法表示 意见的审计报告，公司董事会高度重视，积极采取有效措施，不断提高公司持 续经营能力，切实维护公司及全体股东的利益。公司在发展现有业务的同时， 不断推进新业务的开展，维护公司经营运转正常。</w:t>
      </w:r>
    </w:p>
    <w:p>
      <w:pPr>
        <w:pStyle w:val="Style10"/>
        <w:keepNext w:val="0"/>
        <w:keepLines w:val="0"/>
        <w:widowControl w:val="0"/>
        <w:shd w:val="clear" w:color="auto" w:fill="auto"/>
        <w:bidi w:val="0"/>
        <w:spacing w:before="0" w:line="626" w:lineRule="exact"/>
        <w:ind w:left="0" w:right="0" w:firstLine="580"/>
        <w:jc w:val="both"/>
      </w:pPr>
      <w:r>
        <w:rPr>
          <w:color w:val="000000"/>
          <w:spacing w:val="0"/>
          <w:w w:val="100"/>
          <w:position w:val="0"/>
        </w:rPr>
        <w:t>本报告中涉及未来计划等前瞻性陈述，不构成公司对投资者的实质性承诺， 请投资者注意投资风险。有关主要风险因素已在本报告第三节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 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部分进行阐述，敬请广大投资者注意查阅。</w:t>
      </w:r>
    </w:p>
    <w:p>
      <w:pPr>
        <w:pStyle w:val="Style10"/>
        <w:keepNext w:val="0"/>
        <w:keepLines w:val="0"/>
        <w:widowControl w:val="0"/>
        <w:shd w:val="clear" w:color="auto" w:fill="auto"/>
        <w:tabs>
          <w:tab w:pos="3710" w:val="left"/>
        </w:tabs>
        <w:bidi w:val="0"/>
        <w:spacing w:before="0" w:after="0" w:line="619" w:lineRule="exact"/>
        <w:ind w:left="0" w:right="0" w:firstLine="580"/>
        <w:jc w:val="both"/>
      </w:pPr>
      <w:r>
        <w:rPr>
          <w:rFonts w:ascii="Times New Roman" w:eastAsia="Times New Roman" w:hAnsi="Times New Roman" w:cs="Times New Roman"/>
          <w:color w:val="000000"/>
          <w:spacing w:val="0"/>
          <w:w w:val="100"/>
          <w:position w:val="0"/>
        </w:rPr>
        <w:t>1</w:t>
      </w:r>
      <w:r>
        <w:rPr>
          <w:color w:val="000000"/>
          <w:spacing w:val="0"/>
          <w:w w:val="100"/>
          <w:position w:val="0"/>
        </w:rPr>
        <w:t>、并购重组整合风险</w:t>
        <w:tab/>
        <w:t>公司对于教育信息化及职业教育标的公司的收购</w:t>
      </w:r>
    </w:p>
    <w:p>
      <w:pPr>
        <w:pStyle w:val="Style10"/>
        <w:keepNext w:val="0"/>
        <w:keepLines w:val="0"/>
        <w:widowControl w:val="0"/>
        <w:shd w:val="clear" w:color="auto" w:fill="auto"/>
        <w:bidi w:val="0"/>
        <w:spacing w:before="0" w:after="0" w:line="619" w:lineRule="exact"/>
        <w:ind w:left="0" w:right="0" w:firstLine="0"/>
        <w:jc w:val="both"/>
      </w:pPr>
      <w:r>
        <w:rPr>
          <w:color w:val="000000"/>
          <w:spacing w:val="0"/>
          <w:w w:val="100"/>
          <w:position w:val="0"/>
        </w:rPr>
        <w:t xml:space="preserve">整合风险主要集中于两个方面。首先，收购整合能否顺利实施以及整合效果能 否达到并购预期仍存在一定的不确定性，甚至可能会对标的公司乃至上市公司 </w:t>
      </w:r>
      <w:r>
        <w:rPr>
          <w:color w:val="000000"/>
          <w:spacing w:val="0"/>
          <w:w w:val="100"/>
          <w:position w:val="0"/>
        </w:rPr>
        <w:t>原有业务的正常运营产生不利影响。其次，从上市公司整体角度来看，收购整 合后，公司的资产规模和业务范围都将扩大，盈利能力得到增强，上市公司与 教育信息化及职业教育标的公司需在企业文化、经营管理、业务拓展等方面进 行融合。目前，翡翠教育与联汛教育已失去控制，具体情况详见公司披露的《关 于全资子公司北京翡翠教育失控、核心管理团队人员违反公司法及章程暨公司 下一步措施的公告》、《对广东联汛教育科技有限公司失去控制的情况说明》。</w:t>
      </w:r>
    </w:p>
    <w:p>
      <w:pPr>
        <w:pStyle w:val="Style10"/>
        <w:keepNext w:val="0"/>
        <w:keepLines w:val="0"/>
        <w:widowControl w:val="0"/>
        <w:shd w:val="clear" w:color="auto" w:fill="auto"/>
        <w:tabs>
          <w:tab w:pos="1589" w:val="left"/>
        </w:tabs>
        <w:bidi w:val="0"/>
        <w:spacing w:before="0" w:after="0" w:line="624" w:lineRule="exact"/>
        <w:ind w:left="0" w:right="0"/>
        <w:jc w:val="both"/>
      </w:pPr>
      <w:r>
        <w:rPr>
          <w:color w:val="000000"/>
          <w:spacing w:val="0"/>
          <w:w w:val="100"/>
          <w:position w:val="0"/>
        </w:rPr>
        <w:t>为应对整合风险，上市公司建立了公司治理机制，加强公司在业务经营、财务 运作、对外投资、抵押担保、资产处置等方面对标的公司的管理与控制，使上 市公司与标的公司形成有机整体，提高整体决策水平和风险管控能力，提升整 体经营管理水平和运营效率，以适应上市公司资产和业务规模的增长。此外， 上市公司将把标的公司的财务管理纳入统一的管理系统中，加强审计监督和管 理监督，保证上市公司对标的公司日常经营的知情权，提高经营管理水平，防 范财务风险。公司收购翡翠教育被诈骗一案现已收到《立案告知书》，该案件 尚处于立案侦查阶段，公司将积极配合公安机关的调查工作，并严格按照监管 要求履行信息披露义务。根据会计准则的相关规定，将翡翠教育和联汛教育从 公司</w:t>
      </w:r>
      <w:r>
        <w:rPr>
          <w:rFonts w:ascii="Times New Roman" w:eastAsia="Times New Roman" w:hAnsi="Times New Roman" w:cs="Times New Roman"/>
          <w:color w:val="000000"/>
          <w:spacing w:val="0"/>
          <w:w w:val="100"/>
          <w:position w:val="0"/>
        </w:rPr>
        <w:t>2018</w:t>
      </w:r>
      <w:r>
        <w:rPr>
          <w:color w:val="000000"/>
          <w:spacing w:val="0"/>
          <w:w w:val="100"/>
          <w:position w:val="0"/>
        </w:rPr>
        <w:t>年合并会计报表中剥离，公司目前已进行了会计差错更正。</w:t>
      </w:r>
      <w:r>
        <w:rPr>
          <w:rFonts w:ascii="Times New Roman" w:eastAsia="Times New Roman" w:hAnsi="Times New Roman" w:cs="Times New Roman"/>
          <w:color w:val="000000"/>
          <w:spacing w:val="0"/>
          <w:w w:val="100"/>
          <w:position w:val="0"/>
        </w:rPr>
        <w:t>2</w:t>
      </w:r>
      <w:r>
        <w:rPr>
          <w:color w:val="000000"/>
          <w:spacing w:val="0"/>
          <w:w w:val="100"/>
          <w:position w:val="0"/>
        </w:rPr>
        <w:t>、国内 市场竞争加剧的风险 当前，陶瓷行业面临着洗牌的阶段，原从事陶瓷出口的 企业不断转向国内市场，这无疑将加大国内市场的竞争。供应链的上下游优质 资源的争夺，将会是竞争的重点。这对于公司建设国内分销网络将构成一定的 压力。</w:t>
        <w:tab/>
        <w:t>公司将立足陶瓷行业，积极开发适销对路的产品，并加大市场品牌</w:t>
      </w:r>
    </w:p>
    <w:p>
      <w:pPr>
        <w:pStyle w:val="Style10"/>
        <w:keepNext w:val="0"/>
        <w:keepLines w:val="0"/>
        <w:widowControl w:val="0"/>
        <w:shd w:val="clear" w:color="auto" w:fill="auto"/>
        <w:bidi w:val="0"/>
        <w:spacing w:before="0" w:line="624" w:lineRule="exact"/>
        <w:ind w:left="0" w:right="0" w:firstLine="0"/>
        <w:jc w:val="both"/>
      </w:pPr>
      <w:r>
        <w:rPr>
          <w:color w:val="000000"/>
          <w:spacing w:val="0"/>
          <w:w w:val="100"/>
          <w:position w:val="0"/>
        </w:rPr>
        <w:t xml:space="preserve">推广的力度，抢占优质的渠道资源，并不断的强化理顺供应链体系，利用资本 优势，整合行业优势上下游资源，加强品牌的提升塑造，在激烈的竞争中脱颖 </w:t>
      </w:r>
      <w:r>
        <w:rPr>
          <w:color w:val="000000"/>
          <w:spacing w:val="0"/>
          <w:w w:val="100"/>
          <w:position w:val="0"/>
        </w:rPr>
        <w:t>而出，实现品牌业绩新突破。</w:t>
      </w:r>
      <w:r>
        <w:rPr>
          <w:rFonts w:ascii="Times New Roman" w:eastAsia="Times New Roman" w:hAnsi="Times New Roman" w:cs="Times New Roman"/>
          <w:color w:val="000000"/>
          <w:spacing w:val="0"/>
          <w:w w:val="100"/>
          <w:position w:val="0"/>
        </w:rPr>
        <w:t>3</w:t>
      </w:r>
      <w:r>
        <w:rPr>
          <w:color w:val="000000"/>
          <w:spacing w:val="0"/>
          <w:w w:val="100"/>
          <w:position w:val="0"/>
        </w:rPr>
        <w:t>、原材料价格波动风险公司产品的主要原材 料包括瓷泥、高岭土和化工材料等，原材料是构成公司成本的最主要部分之一， 因此原材料价格的波动会直接影响公司产品的成本状况，若未来出现原材料价 格持续上涨而公司产品价格无法同比上涨的情况，则可能导致产品的生产成本 增加，虽然公司已经采取节能减排等措施加强成本的控制力度，但公司仍面临 着原材料波动而带来的成本变动的风险。</w:t>
      </w:r>
      <w:r>
        <w:rPr>
          <w:rFonts w:ascii="Times New Roman" w:eastAsia="Times New Roman" w:hAnsi="Times New Roman" w:cs="Times New Roman"/>
          <w:color w:val="000000"/>
          <w:spacing w:val="0"/>
          <w:w w:val="100"/>
          <w:position w:val="0"/>
        </w:rPr>
        <w:t>4</w:t>
      </w:r>
      <w:r>
        <w:rPr>
          <w:color w:val="000000"/>
          <w:spacing w:val="0"/>
          <w:w w:val="100"/>
          <w:position w:val="0"/>
        </w:rPr>
        <w:t>、应收账款回收风险 随着公司业 务规模的不断扩大，公司应收账款金额不断增加。若国际、国内经济环境发生 重大变化导致公司主要客户经营发生困难，公司将面临应收账款无法收回进而 导致公司利益受损的风险。</w:t>
      </w:r>
      <w:r>
        <w:rPr>
          <w:rFonts w:ascii="Times New Roman" w:eastAsia="Times New Roman" w:hAnsi="Times New Roman" w:cs="Times New Roman"/>
          <w:color w:val="000000"/>
          <w:spacing w:val="0"/>
          <w:w w:val="100"/>
          <w:position w:val="0"/>
        </w:rPr>
        <w:t>5</w:t>
      </w:r>
      <w:r>
        <w:rPr>
          <w:color w:val="000000"/>
          <w:spacing w:val="0"/>
          <w:w w:val="100"/>
          <w:position w:val="0"/>
        </w:rPr>
        <w:t>、商誉减值风险由于公司的对外投资并购，在 合并资产负债表中形成一定金额的商誉，如子公司业绩达不到预期，则可能出 现计提商誉减值的风险。公司将加强子公司管理，实时跟踪并购子公司的经营 状况及所在行业变化趋势，给予并购子公司必要的资源共享，保障并购子公司 稳健发展。</w:t>
      </w:r>
      <w:r>
        <w:rPr>
          <w:rFonts w:ascii="Times New Roman" w:eastAsia="Times New Roman" w:hAnsi="Times New Roman" w:cs="Times New Roman"/>
          <w:color w:val="000000"/>
          <w:spacing w:val="0"/>
          <w:w w:val="100"/>
          <w:position w:val="0"/>
        </w:rPr>
        <w:t>6</w:t>
      </w:r>
      <w:r>
        <w:rPr>
          <w:color w:val="000000"/>
          <w:spacing w:val="0"/>
          <w:w w:val="100"/>
          <w:position w:val="0"/>
        </w:rPr>
        <w:t>、重大诉讼风险公司当前面临众多影响重大的诉讼，诉讼部分 已审结或被执行中，部分正在审理中；公司的银行账户及部分资产也因此被冻 结。具体情况详见公司披露的诉讼相关公告。针对上述案件，公司已聘请专业 的律师团队积极应诉。</w:t>
      </w:r>
    </w:p>
    <w:p>
      <w:pPr>
        <w:pStyle w:val="Style10"/>
        <w:keepNext w:val="0"/>
        <w:keepLines w:val="0"/>
        <w:widowControl w:val="0"/>
        <w:shd w:val="clear" w:color="auto" w:fill="auto"/>
        <w:bidi w:val="0"/>
        <w:spacing w:before="0" w:after="0"/>
        <w:ind w:left="0" w:right="0" w:firstLine="580"/>
        <w:jc w:val="both"/>
        <w:sectPr>
          <w:footnotePr>
            <w:pos w:val="pageBottom"/>
            <w:numFmt w:val="decimal"/>
            <w:numRestart w:val="continuous"/>
          </w:footnotePr>
          <w:pgSz w:w="11900" w:h="16840"/>
          <w:pgMar w:top="1285" w:right="983" w:bottom="1549" w:left="1076"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第一节重要提示、目录和释义</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第二节公司简介和主要财务指标</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第三节管理层讨论与分析</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第四节公司治理</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第五节环境和社会责任</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第六节重要事项</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第七节股份变动及股东情况</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第八节优先股相关情况</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pPr>
      <w:r>
        <w:rPr>
          <w:b/>
          <w:bCs/>
          <w:color w:val="000000"/>
          <w:spacing w:val="0"/>
          <w:w w:val="100"/>
          <w:position w:val="0"/>
        </w:rPr>
        <w:t>第九节债券相关情况</w:t>
      </w:r>
      <w:r>
        <w:rPr>
          <w:b/>
          <w:bCs/>
          <w:color w:val="000000"/>
          <w:spacing w:val="0"/>
          <w:w w:val="100"/>
          <w:position w:val="0"/>
        </w:rPr>
        <w:tab/>
      </w:r>
      <w:r>
        <w:rPr>
          <w:color w:val="000000"/>
          <w:spacing w:val="0"/>
          <w:w w:val="100"/>
          <w:position w:val="0"/>
        </w:rPr>
        <w:t>错误！未定义书签。</w:t>
      </w:r>
    </w:p>
    <w:p>
      <w:pPr>
        <w:pStyle w:val="Style13"/>
        <w:keepNext w:val="0"/>
        <w:keepLines w:val="0"/>
        <w:widowControl w:val="0"/>
        <w:shd w:val="clear" w:color="auto" w:fill="auto"/>
        <w:tabs>
          <w:tab w:leader="dot" w:pos="7440" w:val="left"/>
        </w:tabs>
        <w:bidi w:val="0"/>
        <w:spacing w:before="0" w:after="240" w:line="240" w:lineRule="auto"/>
        <w:ind w:left="0" w:right="0" w:firstLine="0"/>
        <w:jc w:val="left"/>
        <w:sectPr>
          <w:footnotePr>
            <w:pos w:val="pageBottom"/>
            <w:numFmt w:val="decimal"/>
            <w:numRestart w:val="continuous"/>
          </w:footnotePr>
          <w:pgSz w:w="11900" w:h="16840"/>
          <w:pgMar w:top="2864" w:right="1237" w:bottom="2864" w:left="1107" w:header="0" w:footer="3" w:gutter="0"/>
          <w:cols w:space="720"/>
          <w:noEndnote/>
          <w:rtlGutter w:val="0"/>
          <w:docGrid w:linePitch="360"/>
        </w:sectPr>
      </w:pPr>
      <w:r>
        <w:rPr>
          <w:b/>
          <w:bCs/>
          <w:color w:val="000000"/>
          <w:spacing w:val="0"/>
          <w:w w:val="100"/>
          <w:position w:val="0"/>
        </w:rPr>
        <w:t>第十节财务报告</w:t>
      </w:r>
      <w:r>
        <w:rPr>
          <w:b/>
          <w:bCs/>
          <w:color w:val="000000"/>
          <w:spacing w:val="0"/>
          <w:w w:val="100"/>
          <w:position w:val="0"/>
        </w:rPr>
        <w:tab/>
      </w:r>
      <w:r>
        <w:rPr>
          <w:color w:val="000000"/>
          <w:spacing w:val="0"/>
          <w:w w:val="100"/>
          <w:position w:val="0"/>
        </w:rPr>
        <w:t>错误！未定义书签。</w:t>
      </w:r>
    </w:p>
    <w:p>
      <w:pPr>
        <w:pStyle w:val="Style2"/>
        <w:keepNext w:val="0"/>
        <w:keepLines w:val="0"/>
        <w:widowControl w:val="0"/>
        <w:shd w:val="clear" w:color="auto" w:fill="auto"/>
        <w:bidi w:val="0"/>
        <w:spacing w:before="0" w:after="90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435" w:val="left"/>
        </w:tabs>
        <w:bidi w:val="0"/>
        <w:spacing w:before="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载有法定代表人、主管会计工作负责人、会计机构负责人签名并盖章的会计报表。</w:t>
      </w:r>
    </w:p>
    <w:p>
      <w:pPr>
        <w:pStyle w:val="Style16"/>
        <w:keepNext w:val="0"/>
        <w:keepLines w:val="0"/>
        <w:widowControl w:val="0"/>
        <w:shd w:val="clear" w:color="auto" w:fill="auto"/>
        <w:tabs>
          <w:tab w:pos="435" w:val="left"/>
        </w:tabs>
        <w:bidi w:val="0"/>
        <w:spacing w:before="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35" w:val="left"/>
        </w:tabs>
        <w:bidi w:val="0"/>
        <w:spacing w:before="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报告期内在中国证监会指定报纸上公开披露过的所有公司文件的正本及公告的原稿。</w:t>
      </w:r>
    </w:p>
    <w:p>
      <w:pPr>
        <w:pStyle w:val="Style16"/>
        <w:keepNext w:val="0"/>
        <w:keepLines w:val="0"/>
        <w:widowControl w:val="0"/>
        <w:shd w:val="clear" w:color="auto" w:fill="auto"/>
        <w:tabs>
          <w:tab w:pos="435" w:val="left"/>
        </w:tabs>
        <w:bidi w:val="0"/>
        <w:spacing w:before="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其他相关资料。</w:t>
      </w:r>
    </w:p>
    <w:p>
      <w:pPr>
        <w:pStyle w:val="Style1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2091" w:right="1237" w:bottom="2091" w:left="1107" w:header="0" w:footer="3" w:gutter="0"/>
          <w:cols w:space="720"/>
          <w:noEndnote/>
          <w:rtlGutter w:val="0"/>
          <w:docGrid w:linePitch="360"/>
        </w:sectPr>
      </w:pPr>
      <w:r>
        <w:rPr>
          <w:color w:val="000000"/>
          <w:spacing w:val="0"/>
          <w:w w:val="100"/>
          <w:position w:val="0"/>
        </w:rPr>
        <w:t>以上备查文件的备置地点：公司证券部。</w:t>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公司、本公司或文化长城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联汛教育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翡翠教育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智游臻龙、智游、智游集团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r>
    </w:tbl>
    <w:p>
      <w:pPr>
        <w:sectPr>
          <w:footnotePr>
            <w:pos w:val="pageBottom"/>
            <w:numFmt w:val="decimal"/>
            <w:numRestart w:val="continuous"/>
          </w:footnotePr>
          <w:pgSz w:w="11900" w:h="16840"/>
          <w:pgMar w:top="2235" w:right="1198" w:bottom="2235" w:left="1112" w:header="0" w:footer="3" w:gutter="0"/>
          <w:cols w:space="720"/>
          <w:noEndnote/>
          <w:rtlGutter w:val="0"/>
          <w:docGrid w:linePitch="360"/>
        </w:sectPr>
      </w:pPr>
    </w:p>
    <w:p>
      <w:pPr>
        <w:pStyle w:val="Style8"/>
        <w:keepNext/>
        <w:keepLines/>
        <w:widowControl w:val="0"/>
        <w:shd w:val="clear" w:color="auto" w:fill="auto"/>
        <w:bidi w:val="0"/>
        <w:spacing w:before="48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19"/>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7"/>
                <w:szCs w:val="17"/>
              </w:rPr>
              <w:t>文化</w:t>
              <w:tab/>
              <w:t>股票代码</w:t>
              <w:tab/>
            </w:r>
            <w:r>
              <w:rPr>
                <w:rFonts w:ascii="Times New Roman" w:eastAsia="Times New Roman" w:hAnsi="Times New Roman" w:cs="Times New Roman"/>
                <w:color w:val="000000"/>
                <w:spacing w:val="0"/>
                <w:w w:val="100"/>
                <w:position w:val="0"/>
                <w:sz w:val="18"/>
                <w:szCs w:val="18"/>
              </w:rPr>
              <w:t>300089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Great Wall Of Culture Group Holding Co.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 Guangdong</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GREAT WALL CULTURE</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徐阳</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thegreatwall-c hina. c om</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文化长城证券部</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、其他有关资料</w:t>
      </w:r>
      <w:bookmarkEnd w:id="21"/>
      <w:bookmarkEnd w:id="22"/>
      <w:bookmarkEnd w:id="24"/>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陕西省西安市浐灞生态区浐灞大道一号外事大厦六层</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徐伟、朱琳</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、主要会计数据和财务指标</w:t>
      </w:r>
      <w:bookmarkEnd w:id="25"/>
      <w:bookmarkEnd w:id="26"/>
      <w:bookmarkEnd w:id="28"/>
    </w:p>
    <w:p>
      <w:pPr>
        <w:pStyle w:val="Style16"/>
        <w:keepNext w:val="0"/>
        <w:keepLines w:val="0"/>
        <w:widowControl w:val="0"/>
        <w:shd w:val="clear" w:color="auto" w:fill="auto"/>
        <w:bidi w:val="0"/>
        <w:spacing w:before="0" w:line="350" w:lineRule="exact"/>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追溯调整或重述原因</w:t>
      </w:r>
    </w:p>
    <w:p>
      <w:pPr>
        <w:pStyle w:val="Style16"/>
        <w:keepNext w:val="0"/>
        <w:keepLines w:val="0"/>
        <w:widowControl w:val="0"/>
        <w:shd w:val="clear" w:color="auto" w:fill="auto"/>
        <w:bidi w:val="0"/>
        <w:spacing w:before="0" w:after="60" w:line="350" w:lineRule="exact"/>
        <w:ind w:left="0" w:right="0" w:firstLine="0"/>
        <w:jc w:val="left"/>
      </w:pPr>
      <w:r>
        <w:rPr>
          <w:color w:val="000000"/>
          <w:spacing w:val="0"/>
          <w:w w:val="100"/>
          <w:position w:val="0"/>
        </w:rPr>
        <w:t>会计政策变更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会计差错更正</w:t>
      </w:r>
    </w:p>
    <w:tbl>
      <w:tblPr>
        <w:tblOverlap w:val="never"/>
        <w:jc w:val="center"/>
        <w:tblLayout w:type="fixed"/>
      </w:tblPr>
      <w:tblGrid>
        <w:gridCol w:w="2381"/>
        <w:gridCol w:w="1200"/>
        <w:gridCol w:w="1195"/>
        <w:gridCol w:w="1200"/>
        <w:gridCol w:w="1210"/>
        <w:gridCol w:w="1195"/>
        <w:gridCol w:w="1210"/>
      </w:tblGrid>
      <w:tr>
        <w:trPr>
          <w:trHeight w:val="73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271,336,353.20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-400,624,992.7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-232,677,529.0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-216,626,904.4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-172,461,018.8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-172,461,018.8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-401,623,720.0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-308,983,196.1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-236,494,794.5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-279,926,746.6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-279,926,746.6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14,322,335.87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-15,151,947.33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-15,151,947.33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-13,431,530.92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r>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1,512,966,498.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1,848,352,576.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1,896,274222.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2,048,174,124.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2,048,174,124.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-285,988,304.9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101,536,197.14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114,695,107.20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334,911,790.16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334,911,790.16</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会计政策变更的原因及会计差错更正的情况</w:t>
      </w:r>
    </w:p>
    <w:p>
      <w:pPr>
        <w:pStyle w:val="Style16"/>
        <w:keepNext w:val="0"/>
        <w:keepLines w:val="0"/>
        <w:widowControl w:val="0"/>
        <w:shd w:val="clear" w:color="auto" w:fill="auto"/>
        <w:bidi w:val="0"/>
        <w:spacing w:before="0" w:line="326"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100" w:line="379"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695,162.19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75,075,997.18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262,646,264.98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19"/>
        <w:keepNext/>
        <w:keepLines/>
        <w:widowControl w:val="0"/>
        <w:shd w:val="clear" w:color="auto" w:fill="auto"/>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、分季度主要财务指标</w:t>
      </w:r>
      <w:bookmarkEnd w:id="29"/>
      <w:bookmarkEnd w:id="30"/>
      <w:bookmarkEnd w:id="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19,130,194.76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19,549250.23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22,749,115.24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14,342,599.</w:t>
            </w:r>
            <w:r>
              <w:rPr>
                <w:rFonts w:ascii="Times New Roman" w:eastAsia="Times New Roman" w:hAnsi="Times New Roman" w:cs="Times New Roman"/>
                <w:color w:val="000000"/>
                <w:spacing w:val="0"/>
                <w:w w:val="100"/>
                <w:position w:val="0"/>
                <w:sz w:val="18"/>
                <w:szCs w:val="18"/>
              </w:rPr>
              <w:t>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-21,920,603.77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-28,176,362.22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-25,453,154.03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-325,074,872.77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-22,334,096.79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-28,352,863.52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-24,850295.52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-325,657,970.18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-12,369,752.83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-2,959,964.39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-4,583,162.78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30,570,945.20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tabs>
          <w:tab w:pos="522" w:val="left"/>
        </w:tabs>
        <w:bidi w:val="0"/>
        <w:spacing w:before="0" w:after="38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3"/>
        <w:keepNext/>
        <w:keepLines/>
        <w:widowControl w:val="0"/>
        <w:shd w:val="clear" w:color="auto" w:fill="auto"/>
        <w:tabs>
          <w:tab w:pos="404"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3"/>
        <w:keepNext/>
        <w:keepLines/>
        <w:widowControl w:val="0"/>
        <w:shd w:val="clear" w:color="auto" w:fill="auto"/>
        <w:tabs>
          <w:tab w:pos="404"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非经常性损益项目及金额</w:t>
      </w:r>
      <w:bookmarkEnd w:id="45"/>
      <w:bookmarkEnd w:id="46"/>
      <w:bookmarkEnd w:id="48"/>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7"/>
        <w:gridCol w:w="1526"/>
        <w:gridCol w:w="1522"/>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6,631,548.29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1,689,206.17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2,795,439.83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4,358,131.00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1512"/>
        <w:gridCol w:w="1526"/>
        <w:gridCol w:w="1526"/>
        <w:gridCol w:w="171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-1,488,030.19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-7,507,943.71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28,904,144.53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106,719,797.32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-6,603,930.24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-3,665,103.24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-3,586,726.37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998,727.25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19,867,890.07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107,465,727.76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29"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29"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29"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29"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9" w:lineRule="exact"/>
        <w:ind w:left="0" w:right="0" w:firstLine="0"/>
        <w:jc w:val="both"/>
        <w:sectPr>
          <w:footnotePr>
            <w:pos w:val="pageBottom"/>
            <w:numFmt w:val="decimal"/>
            <w:numRestart w:val="continuous"/>
          </w:footnotePr>
          <w:pgSz w:w="11900" w:h="16840"/>
          <w:pgMar w:top="1443" w:right="1128" w:bottom="1491" w:left="108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 为经常性损益的项目的情形。</w:t>
      </w:r>
    </w:p>
    <w:p>
      <w:pPr>
        <w:pStyle w:val="Style8"/>
        <w:keepNext/>
        <w:keepLines/>
        <w:widowControl w:val="0"/>
        <w:shd w:val="clear" w:color="auto" w:fill="auto"/>
        <w:bidi w:val="0"/>
        <w:spacing w:before="500" w:after="56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19"/>
        <w:keepNext/>
        <w:keepLines/>
        <w:widowControl w:val="0"/>
        <w:shd w:val="clear" w:color="auto" w:fill="auto"/>
        <w:tabs>
          <w:tab w:pos="506" w:val="left"/>
        </w:tabs>
        <w:bidi w:val="0"/>
        <w:spacing w:before="0" w:after="30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报告期内公司所处行业情况</w:t>
      </w:r>
      <w:bookmarkEnd w:id="52"/>
      <w:bookmarkEnd w:id="53"/>
      <w:bookmarkEnd w:id="55"/>
    </w:p>
    <w:p>
      <w:pPr>
        <w:pStyle w:val="Style1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公司所属行业为陶瓷行业，根据《</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季度上市公司行业分类结果》，公司属于</w:t>
      </w:r>
      <w:r>
        <w:rPr>
          <w:rFonts w:ascii="Times New Roman" w:eastAsia="Times New Roman" w:hAnsi="Times New Roman" w:cs="Times New Roman"/>
          <w:color w:val="000000"/>
          <w:spacing w:val="0"/>
          <w:w w:val="100"/>
          <w:position w:val="0"/>
          <w:sz w:val="20"/>
          <w:szCs w:val="20"/>
        </w:rPr>
        <w:t>“C30</w:t>
      </w:r>
      <w:r>
        <w:rPr>
          <w:color w:val="000000"/>
          <w:spacing w:val="0"/>
          <w:w w:val="100"/>
          <w:position w:val="0"/>
          <w:sz w:val="20"/>
          <w:szCs w:val="20"/>
        </w:rPr>
        <w:t>非金属矿物制品 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陶瓷行业：</w:t>
      </w:r>
    </w:p>
    <w:p>
      <w:pPr>
        <w:pStyle w:val="Style1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我国陶瓷制作历史悠久，日用陶瓷行业现处于现代化生产阶段，从产业链来看，日用陶瓷行业上游包括高 岭土、石英、长石、硅酸错等原辅料行业以及烧制陶瓷制品所消耗的天然气与液化石油气，下游涵盖居民 的日常消费、酒店、餐饮等行业。</w:t>
      </w:r>
    </w:p>
    <w:p>
      <w:pPr>
        <w:pStyle w:val="Style13"/>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未来，消费者对于日用陶瓷产品的需求也将发生一定变化，主要体现在以下几个方面：首先，随着人民的 收入水平和消费能力的不断提高，消费者更加偏向于选择高端、健康和环保升级的陶瓷产品。其次，质量 高、功能全、花色多、造型新颖的产品更受消费者青睐。而对于陶瓷企业而言，随着消费者对于陶瓷产品 要求的不断提升，自身的升级也尤为重要；随着近年来我国陶瓷企业的国际化步伐继续加快、产品的工艺 技术水平不断提高，陶瓷企业的品牌化建设也日趋紧迫。通过品牌化建设，陶瓷企业逐渐由产品输出向品 牌输出转变，从而不断提高产品的附加值和市场竞争力。企业生产向智能化、自动化发展也成为提高效率 和降低成本的关键。</w:t>
      </w:r>
    </w:p>
    <w:p>
      <w:pPr>
        <w:pStyle w:val="Style13"/>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教育行业：</w:t>
      </w:r>
    </w:p>
    <w:p>
      <w:pPr>
        <w:pStyle w:val="Style13"/>
        <w:keepNext w:val="0"/>
        <w:keepLines w:val="0"/>
        <w:widowControl w:val="0"/>
        <w:shd w:val="clear" w:color="auto" w:fill="auto"/>
        <w:bidi w:val="0"/>
        <w:spacing w:before="0" w:after="340" w:line="314" w:lineRule="exact"/>
        <w:ind w:left="0" w:right="0" w:firstLine="0"/>
        <w:jc w:val="both"/>
        <w:rPr>
          <w:sz w:val="20"/>
          <w:szCs w:val="20"/>
        </w:rPr>
      </w:pPr>
      <w:r>
        <w:rPr>
          <w:color w:val="000000"/>
          <w:spacing w:val="0"/>
          <w:w w:val="100"/>
          <w:position w:val="0"/>
          <w:sz w:val="20"/>
          <w:szCs w:val="20"/>
        </w:rPr>
        <w:t>公司所属行业为职业教育，职业教育行业近几年在国家政策的大力支持下，发展迅猛，目前行业仍处在高 速发展期，</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年在公司管理层的带领下，在疫情的影响下仍然取得了较好的成效。职业教育周期性特点 明显，每年寒暑假为高峰期，且教育行业受市场波动影响较小，每年周期性特点变化不明显。智游公司凭 借优秀的口碑和良好的就业服务，在职业教育领域一直处于头部地位，行业经过前几年的市场洗牌，头部 效应愈加明显。</w:t>
      </w:r>
    </w:p>
    <w:p>
      <w:pPr>
        <w:pStyle w:val="Style19"/>
        <w:keepNext/>
        <w:keepLines/>
        <w:widowControl w:val="0"/>
        <w:shd w:val="clear" w:color="auto" w:fill="auto"/>
        <w:tabs>
          <w:tab w:pos="506" w:val="left"/>
        </w:tabs>
        <w:bidi w:val="0"/>
        <w:spacing w:before="0" w:after="30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二</w:t>
      </w:r>
      <w:bookmarkEnd w:id="58"/>
      <w:r>
        <w:rPr>
          <w:color w:val="000000"/>
          <w:spacing w:val="0"/>
          <w:w w:val="100"/>
          <w:position w:val="0"/>
        </w:rPr>
        <w:t>、</w:t>
        <w:tab/>
        <w:t>报告期内公司从事的主要业务</w:t>
      </w:r>
      <w:bookmarkEnd w:id="56"/>
      <w:bookmarkEnd w:id="57"/>
      <w:bookmarkEnd w:id="59"/>
    </w:p>
    <w:p>
      <w:pPr>
        <w:pStyle w:val="Style13"/>
        <w:keepNext w:val="0"/>
        <w:keepLines w:val="0"/>
        <w:widowControl w:val="0"/>
        <w:shd w:val="clear" w:color="auto" w:fill="auto"/>
        <w:tabs>
          <w:tab w:pos="578" w:val="left"/>
        </w:tabs>
        <w:bidi w:val="0"/>
        <w:spacing w:before="0" w:after="0" w:line="317" w:lineRule="exact"/>
        <w:ind w:left="0" w:right="0" w:firstLine="0"/>
        <w:jc w:val="both"/>
        <w:rPr>
          <w:sz w:val="20"/>
          <w:szCs w:val="20"/>
        </w:rPr>
      </w:pPr>
      <w:bookmarkStart w:id="60" w:name="bookmark60"/>
      <w:r>
        <w:rPr>
          <w:color w:val="000000"/>
          <w:spacing w:val="0"/>
          <w:w w:val="100"/>
          <w:position w:val="0"/>
          <w:sz w:val="20"/>
          <w:szCs w:val="20"/>
        </w:rPr>
        <w:t>（</w:t>
      </w:r>
      <w:bookmarkEnd w:id="60"/>
      <w:r>
        <w:rPr>
          <w:color w:val="000000"/>
          <w:spacing w:val="0"/>
          <w:w w:val="100"/>
          <w:position w:val="0"/>
          <w:sz w:val="20"/>
          <w:szCs w:val="20"/>
        </w:rPr>
        <w:t>一）</w:t>
        <w:tab/>
        <w:t>公司的从事的主要业务</w:t>
      </w:r>
    </w:p>
    <w:p>
      <w:pPr>
        <w:pStyle w:val="Style1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广东文化长城集团股份有限公司位于素有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中国瓷都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之称的历史文化名城一广东潮州。公司成立于</w:t>
      </w:r>
      <w:r>
        <w:rPr>
          <w:rFonts w:ascii="Times New Roman" w:eastAsia="Times New Roman" w:hAnsi="Times New Roman" w:cs="Times New Roman"/>
          <w:color w:val="000000"/>
          <w:spacing w:val="0"/>
          <w:w w:val="100"/>
          <w:position w:val="0"/>
          <w:sz w:val="20"/>
          <w:szCs w:val="20"/>
        </w:rPr>
        <w:t xml:space="preserve">1996 </w:t>
      </w:r>
      <w:r>
        <w:rPr>
          <w:color w:val="000000"/>
          <w:spacing w:val="0"/>
          <w:w w:val="100"/>
          <w:position w:val="0"/>
          <w:sz w:val="20"/>
          <w:szCs w:val="20"/>
        </w:rPr>
        <w:t xml:space="preserve">年，创业之初主要从事各式中高档创意工艺、日用陶瓷的研发、制造和销售，公司是国内首家在创业板上 市的创意艺术陶瓷企业。近年来，公司在保持陶瓷主业持续稳定发展的基础上，大力拓展教育领域，形成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陶瓷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教育</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双主业的战略发展模式，公司更提出了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长城教育</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改变命运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的理念，力求打造教育界的知名 品牌，大力发展职业教育，以改革人才培养机制和模式。报告期内，公司主营业务未发生变化。</w:t>
      </w:r>
    </w:p>
    <w:p>
      <w:pPr>
        <w:pStyle w:val="Style13"/>
        <w:keepNext w:val="0"/>
        <w:keepLines w:val="0"/>
        <w:widowControl w:val="0"/>
        <w:shd w:val="clear" w:color="auto" w:fill="auto"/>
        <w:tabs>
          <w:tab w:pos="578" w:val="left"/>
        </w:tabs>
        <w:bidi w:val="0"/>
        <w:spacing w:before="0" w:after="0" w:line="317" w:lineRule="exact"/>
        <w:ind w:left="0" w:right="0" w:firstLine="0"/>
        <w:jc w:val="both"/>
        <w:rPr>
          <w:sz w:val="20"/>
          <w:szCs w:val="20"/>
        </w:rPr>
      </w:pPr>
      <w:bookmarkStart w:id="61" w:name="bookmark61"/>
      <w:r>
        <w:rPr>
          <w:color w:val="000000"/>
          <w:spacing w:val="0"/>
          <w:w w:val="100"/>
          <w:position w:val="0"/>
          <w:sz w:val="20"/>
          <w:szCs w:val="20"/>
        </w:rPr>
        <w:t>（</w:t>
      </w:r>
      <w:bookmarkEnd w:id="61"/>
      <w:r>
        <w:rPr>
          <w:color w:val="000000"/>
          <w:spacing w:val="0"/>
          <w:w w:val="100"/>
          <w:position w:val="0"/>
          <w:sz w:val="20"/>
          <w:szCs w:val="20"/>
        </w:rPr>
        <w:t>二）</w:t>
        <w:tab/>
        <w:t>经营模式</w:t>
      </w:r>
    </w:p>
    <w:p>
      <w:pPr>
        <w:pStyle w:val="Style1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公司的经营模式按运营环节可分为采购模式、生产模式和销售模式。</w:t>
      </w:r>
    </w:p>
    <w:p>
      <w:pPr>
        <w:pStyle w:val="Style1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在采购方面，公司一直与原材料供应商保持长期稳定的合作关系，保证原材料供应，降低原材料成本。</w:t>
      </w:r>
    </w:p>
    <w:p>
      <w:pPr>
        <w:pStyle w:val="Style13"/>
        <w:keepNext w:val="0"/>
        <w:keepLines w:val="0"/>
        <w:widowControl w:val="0"/>
        <w:shd w:val="clear" w:color="auto" w:fill="auto"/>
        <w:bidi w:val="0"/>
        <w:spacing w:before="0" w:after="0" w:line="324" w:lineRule="exact"/>
        <w:ind w:left="0" w:right="0" w:firstLine="0"/>
        <w:jc w:val="both"/>
        <w:rPr>
          <w:sz w:val="20"/>
          <w:szCs w:val="20"/>
        </w:rPr>
      </w:pPr>
      <w:r>
        <w:rPr>
          <w:color w:val="000000"/>
          <w:spacing w:val="0"/>
          <w:w w:val="100"/>
          <w:position w:val="0"/>
          <w:sz w:val="20"/>
          <w:szCs w:val="20"/>
        </w:rPr>
        <w:t>在生产方面，公司注重对产品的质量以及产品功能、款式的创新，以满足国内外客户的差异化需求，同时 公司一直在不断改进生产技术，降低生产成本。</w:t>
      </w:r>
    </w:p>
    <w:p>
      <w:pPr>
        <w:pStyle w:val="Style13"/>
        <w:keepNext w:val="0"/>
        <w:keepLines w:val="0"/>
        <w:widowControl w:val="0"/>
        <w:shd w:val="clear" w:color="auto" w:fill="auto"/>
        <w:bidi w:val="0"/>
        <w:spacing w:before="0" w:after="0" w:line="324" w:lineRule="exact"/>
        <w:ind w:left="0" w:right="0" w:firstLine="0"/>
        <w:jc w:val="both"/>
        <w:rPr>
          <w:sz w:val="20"/>
          <w:szCs w:val="20"/>
        </w:rPr>
      </w:pPr>
      <w:r>
        <w:rPr>
          <w:color w:val="000000"/>
          <w:spacing w:val="0"/>
          <w:w w:val="100"/>
          <w:position w:val="0"/>
          <w:sz w:val="20"/>
          <w:szCs w:val="20"/>
        </w:rPr>
        <w:t>在销售方面，目前，公司除了与国外多个知名经销商建立了长期稳定的供销合作关系外，公司还在积极拓 展多种电商渠道，结合线上线下渠道共同推进公司在国内外的战略布局。</w:t>
      </w:r>
    </w:p>
    <w:p>
      <w:pPr>
        <w:pStyle w:val="Style19"/>
        <w:keepNext/>
        <w:keepLines/>
        <w:widowControl w:val="0"/>
        <w:shd w:val="clear" w:color="auto" w:fill="auto"/>
        <w:bidi w:val="0"/>
        <w:spacing w:before="0" w:after="28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、核心竞争力分析</w:t>
      </w:r>
      <w:bookmarkEnd w:id="62"/>
      <w:bookmarkEnd w:id="63"/>
      <w:bookmarkEnd w:id="65"/>
    </w:p>
    <w:p>
      <w:pPr>
        <w:pStyle w:val="Style13"/>
        <w:keepNext w:val="0"/>
        <w:keepLines w:val="0"/>
        <w:widowControl w:val="0"/>
        <w:shd w:val="clear" w:color="auto" w:fill="auto"/>
        <w:bidi w:val="0"/>
        <w:spacing w:before="0" w:after="0" w:line="316" w:lineRule="exact"/>
        <w:ind w:left="0" w:right="0" w:firstLine="440"/>
        <w:jc w:val="left"/>
        <w:rPr>
          <w:sz w:val="20"/>
          <w:szCs w:val="20"/>
        </w:rPr>
      </w:pPr>
      <w:bookmarkStart w:id="66" w:name="bookmark66"/>
      <w:r>
        <w:rPr>
          <w:color w:val="000000"/>
          <w:spacing w:val="0"/>
          <w:w w:val="100"/>
          <w:position w:val="0"/>
          <w:sz w:val="20"/>
          <w:szCs w:val="20"/>
        </w:rPr>
        <w:t>一</w:t>
      </w:r>
      <w:bookmarkEnd w:id="66"/>
      <w:r>
        <w:rPr>
          <w:color w:val="000000"/>
          <w:spacing w:val="0"/>
          <w:w w:val="100"/>
          <w:position w:val="0"/>
          <w:sz w:val="20"/>
          <w:szCs w:val="20"/>
        </w:rPr>
        <w:t>、公司在传承陶瓷文化的基础上，以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绿色环保，科技创新，文化创意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为理念，通过文化创意提高 产品附加值，通过科技创新提高产品品质、降低生产成本，在创意设计、自主品牌、营销渠道、资源整合 等方面逐步形成了强有力的竞争优势，具体如下所述：</w:t>
      </w:r>
    </w:p>
    <w:p>
      <w:pPr>
        <w:pStyle w:val="Style13"/>
        <w:keepNext w:val="0"/>
        <w:keepLines w:val="0"/>
        <w:widowControl w:val="0"/>
        <w:shd w:val="clear" w:color="auto" w:fill="auto"/>
        <w:tabs>
          <w:tab w:pos="1000" w:val="left"/>
        </w:tabs>
        <w:bidi w:val="0"/>
        <w:spacing w:before="0" w:after="0" w:line="316" w:lineRule="exact"/>
        <w:ind w:left="0" w:right="0" w:firstLine="440"/>
        <w:jc w:val="left"/>
        <w:rPr>
          <w:sz w:val="20"/>
          <w:szCs w:val="20"/>
        </w:rPr>
      </w:pPr>
      <w:bookmarkStart w:id="67" w:name="bookmark67"/>
      <w:r>
        <w:rPr>
          <w:color w:val="000000"/>
          <w:spacing w:val="0"/>
          <w:w w:val="100"/>
          <w:position w:val="0"/>
          <w:sz w:val="20"/>
          <w:szCs w:val="20"/>
        </w:rPr>
        <w:t>（</w:t>
      </w:r>
      <w:bookmarkEnd w:id="67"/>
      <w:r>
        <w:rPr>
          <w:color w:val="000000"/>
          <w:spacing w:val="0"/>
          <w:w w:val="100"/>
          <w:position w:val="0"/>
          <w:sz w:val="20"/>
          <w:szCs w:val="20"/>
        </w:rPr>
        <w:t>一）</w:t>
        <w:tab/>
        <w:t>创意设计优势</w:t>
      </w:r>
    </w:p>
    <w:p>
      <w:pPr>
        <w:pStyle w:val="Style13"/>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公司在传承陶瓷文化的基础上，以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绿色环保，科技创新，文化创意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为理念，在艺术陶瓷创意设计方 面逐步形成了独特的竞争优势，具体表现如下：</w:t>
      </w:r>
    </w:p>
    <w:p>
      <w:pPr>
        <w:pStyle w:val="Style13"/>
        <w:keepNext w:val="0"/>
        <w:keepLines w:val="0"/>
        <w:widowControl w:val="0"/>
        <w:shd w:val="clear" w:color="auto" w:fill="auto"/>
        <w:tabs>
          <w:tab w:pos="771" w:val="left"/>
        </w:tabs>
        <w:bidi w:val="0"/>
        <w:spacing w:before="0" w:after="0" w:line="316" w:lineRule="exact"/>
        <w:ind w:left="0" w:right="0" w:firstLine="440"/>
        <w:jc w:val="left"/>
        <w:rPr>
          <w:sz w:val="20"/>
          <w:szCs w:val="20"/>
        </w:rPr>
      </w:pPr>
      <w:bookmarkStart w:id="68" w:name="bookmark68"/>
      <w:r>
        <w:rPr>
          <w:rFonts w:ascii="Times New Roman" w:eastAsia="Times New Roman" w:hAnsi="Times New Roman" w:cs="Times New Roman"/>
          <w:color w:val="000000"/>
          <w:spacing w:val="0"/>
          <w:w w:val="100"/>
          <w:position w:val="0"/>
          <w:sz w:val="20"/>
          <w:szCs w:val="20"/>
        </w:rPr>
        <w:t>1</w:t>
      </w:r>
      <w:bookmarkEnd w:id="68"/>
      <w:r>
        <w:rPr>
          <w:color w:val="000000"/>
          <w:spacing w:val="0"/>
          <w:w w:val="100"/>
          <w:position w:val="0"/>
          <w:sz w:val="20"/>
          <w:szCs w:val="20"/>
        </w:rPr>
        <w:t>、</w:t>
        <w:tab/>
        <w:t>公司拥有面积约</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多平方米的艺术陶瓷展厅和</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多平方米的创意产品设计中心，艺术陶瓷 种类已累积超过</w:t>
      </w:r>
      <w:r>
        <w:rPr>
          <w:rFonts w:ascii="Times New Roman" w:eastAsia="Times New Roman" w:hAnsi="Times New Roman" w:cs="Times New Roman"/>
          <w:color w:val="000000"/>
          <w:spacing w:val="0"/>
          <w:w w:val="100"/>
          <w:position w:val="0"/>
          <w:sz w:val="20"/>
          <w:szCs w:val="20"/>
        </w:rPr>
        <w:t>80,000</w:t>
      </w:r>
      <w:r>
        <w:rPr>
          <w:color w:val="000000"/>
          <w:spacing w:val="0"/>
          <w:w w:val="100"/>
          <w:position w:val="0"/>
          <w:sz w:val="20"/>
          <w:szCs w:val="20"/>
        </w:rPr>
        <w:t>件，其中包含了</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多个国家和地区的设计风格与文化理念，公司将其按属性和地区 分类后加以信息化管理，形成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创意研发数据库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，通过该数据库可以极大提升公司快速设计能力、大幅缩 短公司产品的设计周期。</w:t>
      </w:r>
    </w:p>
    <w:p>
      <w:pPr>
        <w:pStyle w:val="Style13"/>
        <w:keepNext w:val="0"/>
        <w:keepLines w:val="0"/>
        <w:widowControl w:val="0"/>
        <w:shd w:val="clear" w:color="auto" w:fill="auto"/>
        <w:tabs>
          <w:tab w:pos="771" w:val="left"/>
        </w:tabs>
        <w:bidi w:val="0"/>
        <w:spacing w:before="0" w:after="0" w:line="316" w:lineRule="exact"/>
        <w:ind w:left="0" w:right="0" w:firstLine="440"/>
        <w:jc w:val="left"/>
        <w:rPr>
          <w:sz w:val="20"/>
          <w:szCs w:val="20"/>
        </w:rPr>
      </w:pPr>
      <w:bookmarkStart w:id="69" w:name="bookmark69"/>
      <w:r>
        <w:rPr>
          <w:rFonts w:ascii="Times New Roman" w:eastAsia="Times New Roman" w:hAnsi="Times New Roman" w:cs="Times New Roman"/>
          <w:color w:val="000000"/>
          <w:spacing w:val="0"/>
          <w:w w:val="100"/>
          <w:position w:val="0"/>
          <w:sz w:val="20"/>
          <w:szCs w:val="20"/>
        </w:rPr>
        <w:t>2</w:t>
      </w:r>
      <w:bookmarkEnd w:id="69"/>
      <w:r>
        <w:rPr>
          <w:color w:val="000000"/>
          <w:spacing w:val="0"/>
          <w:w w:val="100"/>
          <w:position w:val="0"/>
          <w:sz w:val="20"/>
          <w:szCs w:val="20"/>
        </w:rPr>
        <w:t>、</w:t>
        <w:tab/>
        <w:t>公司十分重视自主研究开发，部分研发项目获得省级和市级的科技进步奖和广东省高新技术产品 称号。</w:t>
      </w:r>
    </w:p>
    <w:p>
      <w:pPr>
        <w:pStyle w:val="Style13"/>
        <w:keepNext w:val="0"/>
        <w:keepLines w:val="0"/>
        <w:widowControl w:val="0"/>
        <w:shd w:val="clear" w:color="auto" w:fill="auto"/>
        <w:tabs>
          <w:tab w:pos="1000" w:val="left"/>
        </w:tabs>
        <w:bidi w:val="0"/>
        <w:spacing w:before="0" w:after="0" w:line="316" w:lineRule="exact"/>
        <w:ind w:left="0" w:right="0" w:firstLine="440"/>
        <w:jc w:val="left"/>
        <w:rPr>
          <w:sz w:val="20"/>
          <w:szCs w:val="20"/>
        </w:rPr>
      </w:pPr>
      <w:bookmarkStart w:id="70" w:name="bookmark70"/>
      <w:r>
        <w:rPr>
          <w:color w:val="000000"/>
          <w:spacing w:val="0"/>
          <w:w w:val="100"/>
          <w:position w:val="0"/>
          <w:sz w:val="20"/>
          <w:szCs w:val="20"/>
        </w:rPr>
        <w:t>（</w:t>
      </w:r>
      <w:bookmarkEnd w:id="70"/>
      <w:r>
        <w:rPr>
          <w:color w:val="000000"/>
          <w:spacing w:val="0"/>
          <w:w w:val="100"/>
          <w:position w:val="0"/>
          <w:sz w:val="20"/>
          <w:szCs w:val="20"/>
        </w:rPr>
        <w:t>二）</w:t>
        <w:tab/>
        <w:t>营销渠道和自主品牌优势</w:t>
      </w:r>
    </w:p>
    <w:p>
      <w:pPr>
        <w:pStyle w:val="Style13"/>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公司致力于创建民族艺术陶瓷领军品牌，并不断加强营销渠道的建设，在自主品牌和营销渠道方面具 备明显优势，其具体表现如下：</w:t>
      </w:r>
    </w:p>
    <w:p>
      <w:pPr>
        <w:pStyle w:val="Style13"/>
        <w:keepNext w:val="0"/>
        <w:keepLines w:val="0"/>
        <w:widowControl w:val="0"/>
        <w:shd w:val="clear" w:color="auto" w:fill="auto"/>
        <w:tabs>
          <w:tab w:pos="757" w:val="left"/>
        </w:tabs>
        <w:bidi w:val="0"/>
        <w:spacing w:before="0" w:after="0" w:line="316" w:lineRule="exact"/>
        <w:ind w:left="0" w:right="0" w:firstLine="440"/>
        <w:jc w:val="left"/>
        <w:rPr>
          <w:sz w:val="20"/>
          <w:szCs w:val="20"/>
        </w:rPr>
      </w:pPr>
      <w:bookmarkStart w:id="71" w:name="bookmark71"/>
      <w:r>
        <w:rPr>
          <w:rFonts w:ascii="Times New Roman" w:eastAsia="Times New Roman" w:hAnsi="Times New Roman" w:cs="Times New Roman"/>
          <w:color w:val="000000"/>
          <w:spacing w:val="0"/>
          <w:w w:val="100"/>
          <w:position w:val="0"/>
          <w:sz w:val="20"/>
          <w:szCs w:val="20"/>
        </w:rPr>
        <w:t>1</w:t>
      </w:r>
      <w:bookmarkEnd w:id="71"/>
      <w:r>
        <w:rPr>
          <w:color w:val="000000"/>
          <w:spacing w:val="0"/>
          <w:w w:val="100"/>
          <w:position w:val="0"/>
          <w:sz w:val="20"/>
          <w:szCs w:val="20"/>
        </w:rPr>
        <w:t>、</w:t>
        <w:tab/>
        <w:t>客户遍及全球</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个国家和地区，文化长城是沃尔玛、</w:t>
      </w:r>
      <w:r>
        <w:rPr>
          <w:rFonts w:ascii="Times New Roman" w:eastAsia="Times New Roman" w:hAnsi="Times New Roman" w:cs="Times New Roman"/>
          <w:color w:val="000000"/>
          <w:spacing w:val="0"/>
          <w:w w:val="100"/>
          <w:position w:val="0"/>
          <w:sz w:val="20"/>
          <w:szCs w:val="20"/>
        </w:rPr>
        <w:t>Target</w:t>
      </w:r>
      <w:r>
        <w:rPr>
          <w:color w:val="000000"/>
          <w:spacing w:val="0"/>
          <w:w w:val="100"/>
          <w:position w:val="0"/>
          <w:sz w:val="20"/>
          <w:szCs w:val="20"/>
        </w:rPr>
        <w:t>、得耐等大型商超及国际大品牌客户 的陶瓷供应商。</w:t>
      </w:r>
    </w:p>
    <w:p>
      <w:pPr>
        <w:pStyle w:val="Style13"/>
        <w:keepNext w:val="0"/>
        <w:keepLines w:val="0"/>
        <w:widowControl w:val="0"/>
        <w:shd w:val="clear" w:color="auto" w:fill="auto"/>
        <w:tabs>
          <w:tab w:pos="762" w:val="left"/>
        </w:tabs>
        <w:bidi w:val="0"/>
        <w:spacing w:before="0" w:after="0" w:line="316" w:lineRule="exact"/>
        <w:ind w:left="0" w:right="0" w:firstLine="440"/>
        <w:jc w:val="left"/>
        <w:rPr>
          <w:sz w:val="20"/>
          <w:szCs w:val="20"/>
        </w:rPr>
      </w:pPr>
      <w:bookmarkStart w:id="72" w:name="bookmark72"/>
      <w:r>
        <w:rPr>
          <w:rFonts w:ascii="Times New Roman" w:eastAsia="Times New Roman" w:hAnsi="Times New Roman" w:cs="Times New Roman"/>
          <w:color w:val="000000"/>
          <w:spacing w:val="0"/>
          <w:w w:val="100"/>
          <w:position w:val="0"/>
          <w:sz w:val="20"/>
          <w:szCs w:val="20"/>
        </w:rPr>
        <w:t>2</w:t>
      </w:r>
      <w:bookmarkEnd w:id="72"/>
      <w:r>
        <w:rPr>
          <w:color w:val="000000"/>
          <w:spacing w:val="0"/>
          <w:w w:val="100"/>
          <w:position w:val="0"/>
          <w:sz w:val="20"/>
          <w:szCs w:val="20"/>
        </w:rPr>
        <w:t>、</w:t>
        <w:tab/>
        <w:t>公司产品在国内外市场具有较高的市场知名度和良好口碑。公司合作的客户包括星巴克、伊利旗 下金典品牌、</w:t>
      </w:r>
      <w:r>
        <w:rPr>
          <w:rFonts w:ascii="Times New Roman" w:eastAsia="Times New Roman" w:hAnsi="Times New Roman" w:cs="Times New Roman"/>
          <w:color w:val="000000"/>
          <w:spacing w:val="0"/>
          <w:w w:val="100"/>
          <w:position w:val="0"/>
          <w:sz w:val="20"/>
          <w:szCs w:val="20"/>
        </w:rPr>
        <w:t>IDO</w:t>
      </w:r>
      <w:r>
        <w:rPr>
          <w:color w:val="000000"/>
          <w:spacing w:val="0"/>
          <w:w w:val="100"/>
          <w:position w:val="0"/>
          <w:sz w:val="20"/>
          <w:szCs w:val="20"/>
        </w:rPr>
        <w:t>、</w:t>
      </w:r>
      <w:r>
        <w:rPr>
          <w:color w:val="000000"/>
          <w:spacing w:val="0"/>
          <w:w w:val="100"/>
          <w:position w:val="0"/>
          <w:sz w:val="20"/>
          <w:szCs w:val="20"/>
        </w:rPr>
        <w:t>奔驰等国内外知名品牌。</w:t>
      </w:r>
    </w:p>
    <w:p>
      <w:pPr>
        <w:pStyle w:val="Style13"/>
        <w:keepNext w:val="0"/>
        <w:keepLines w:val="0"/>
        <w:widowControl w:val="0"/>
        <w:shd w:val="clear" w:color="auto" w:fill="auto"/>
        <w:bidi w:val="0"/>
        <w:spacing w:before="0" w:after="0" w:line="316" w:lineRule="exact"/>
        <w:ind w:left="0" w:right="0" w:firstLine="540"/>
        <w:jc w:val="both"/>
        <w:rPr>
          <w:sz w:val="20"/>
          <w:szCs w:val="20"/>
        </w:rPr>
      </w:pPr>
      <w:bookmarkStart w:id="73" w:name="bookmark73"/>
      <w:r>
        <w:rPr>
          <w:rFonts w:ascii="Times New Roman" w:eastAsia="Times New Roman" w:hAnsi="Times New Roman" w:cs="Times New Roman"/>
          <w:color w:val="000000"/>
          <w:spacing w:val="0"/>
          <w:w w:val="100"/>
          <w:position w:val="0"/>
          <w:sz w:val="20"/>
          <w:szCs w:val="20"/>
        </w:rPr>
        <w:t>3</w:t>
      </w:r>
      <w:bookmarkEnd w:id="73"/>
      <w:r>
        <w:rPr>
          <w:color w:val="000000"/>
          <w:spacing w:val="0"/>
          <w:w w:val="100"/>
          <w:position w:val="0"/>
          <w:sz w:val="20"/>
          <w:szCs w:val="20"/>
        </w:rPr>
        <w:t>、公司先后被评为国家文化出口重点企业、国家文化产业示范基地、国家知识产权优势企业、中国 优秀民营科技企业、中国质量诚信企业、国家高新技术企业、</w:t>
      </w:r>
      <w:r>
        <w:rPr>
          <w:rFonts w:ascii="Times New Roman" w:eastAsia="Times New Roman" w:hAnsi="Times New Roman" w:cs="Times New Roman"/>
          <w:color w:val="000000"/>
          <w:spacing w:val="0"/>
          <w:w w:val="100"/>
          <w:position w:val="0"/>
          <w:sz w:val="20"/>
          <w:szCs w:val="20"/>
        </w:rPr>
        <w:t>AAA</w:t>
      </w:r>
      <w:r>
        <w:rPr>
          <w:color w:val="000000"/>
          <w:spacing w:val="0"/>
          <w:w w:val="100"/>
          <w:position w:val="0"/>
          <w:sz w:val="20"/>
          <w:szCs w:val="20"/>
        </w:rPr>
        <w:t>级商务信用企业、广东省清洁生产企业、 广东省出口名牌企业、广东省著名商标等荣誉；先后通过了国家海关高级认证、国际质量、环境、职业健 康安全等管理体系认证、信息化体系认证。企业目前是中国陶瓷工业协会副理事长单位、中国轻工工艺品 进出口商会副理事长单位、广东省陶瓷协会副会长单位。</w:t>
      </w:r>
    </w:p>
    <w:p>
      <w:pPr>
        <w:pStyle w:val="Style13"/>
        <w:keepNext w:val="0"/>
        <w:keepLines w:val="0"/>
        <w:widowControl w:val="0"/>
        <w:shd w:val="clear" w:color="auto" w:fill="auto"/>
        <w:tabs>
          <w:tab w:pos="1000" w:val="left"/>
        </w:tabs>
        <w:bidi w:val="0"/>
        <w:spacing w:before="0" w:after="0" w:line="316" w:lineRule="exact"/>
        <w:ind w:left="0" w:right="0" w:firstLine="440"/>
        <w:jc w:val="both"/>
        <w:rPr>
          <w:sz w:val="20"/>
          <w:szCs w:val="20"/>
        </w:rPr>
      </w:pPr>
      <w:bookmarkStart w:id="74" w:name="bookmark74"/>
      <w:r>
        <w:rPr>
          <w:color w:val="000000"/>
          <w:spacing w:val="0"/>
          <w:w w:val="100"/>
          <w:position w:val="0"/>
          <w:sz w:val="20"/>
          <w:szCs w:val="20"/>
        </w:rPr>
        <w:t>（</w:t>
      </w:r>
      <w:bookmarkEnd w:id="74"/>
      <w:r>
        <w:rPr>
          <w:color w:val="000000"/>
          <w:spacing w:val="0"/>
          <w:w w:val="100"/>
          <w:position w:val="0"/>
          <w:sz w:val="20"/>
          <w:szCs w:val="20"/>
        </w:rPr>
        <w:t>三）</w:t>
        <w:tab/>
        <w:t>资源整合能力优势</w:t>
      </w:r>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公司在打造自身内在优势的同时，充分挖掘、整合外部稀缺资源，使内部和外部的资源相互配合与协 调。公司整合内外部资源的具体表现如下：</w:t>
      </w:r>
    </w:p>
    <w:p>
      <w:pPr>
        <w:pStyle w:val="Style13"/>
        <w:keepNext w:val="0"/>
        <w:keepLines w:val="0"/>
        <w:widowControl w:val="0"/>
        <w:shd w:val="clear" w:color="auto" w:fill="auto"/>
        <w:bidi w:val="0"/>
        <w:spacing w:before="0" w:after="0" w:line="316" w:lineRule="exact"/>
        <w:ind w:left="0" w:right="0" w:firstLine="440"/>
        <w:jc w:val="both"/>
        <w:rPr>
          <w:sz w:val="20"/>
          <w:szCs w:val="20"/>
        </w:rPr>
      </w:pPr>
      <w:bookmarkStart w:id="75" w:name="bookmark75"/>
      <w:r>
        <w:rPr>
          <w:rFonts w:ascii="Times New Roman" w:eastAsia="Times New Roman" w:hAnsi="Times New Roman" w:cs="Times New Roman"/>
          <w:color w:val="000000"/>
          <w:spacing w:val="0"/>
          <w:w w:val="100"/>
          <w:position w:val="0"/>
          <w:sz w:val="20"/>
          <w:szCs w:val="20"/>
        </w:rPr>
        <w:t>1</w:t>
      </w:r>
      <w:bookmarkEnd w:id="75"/>
      <w:r>
        <w:rPr>
          <w:color w:val="000000"/>
          <w:spacing w:val="0"/>
          <w:w w:val="100"/>
          <w:position w:val="0"/>
          <w:sz w:val="20"/>
          <w:szCs w:val="20"/>
        </w:rPr>
        <w:t>、 公司地处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中国瓷都澜州市，潮州是目前国内陶瓷主要产区之一；同时，潮州又被授予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中国工艺 美术之都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，这个独特的地方本土文化培育独特的地方传统工艺美术，更在中国工艺美术中独树一帜；公 司充分发掘潮州特有的地理优势，同时进一步发展成熟完整的陶瓷产业配套等产业，将有限的资源重点用 于研发设计和市场营销。</w:t>
      </w:r>
    </w:p>
    <w:p>
      <w:pPr>
        <w:pStyle w:val="Style13"/>
        <w:keepNext w:val="0"/>
        <w:keepLines w:val="0"/>
        <w:widowControl w:val="0"/>
        <w:shd w:val="clear" w:color="auto" w:fill="auto"/>
        <w:tabs>
          <w:tab w:pos="771" w:val="left"/>
        </w:tabs>
        <w:bidi w:val="0"/>
        <w:spacing w:before="0" w:after="0" w:line="316" w:lineRule="exact"/>
        <w:ind w:left="0" w:right="0" w:firstLine="440"/>
        <w:jc w:val="both"/>
        <w:rPr>
          <w:sz w:val="20"/>
          <w:szCs w:val="20"/>
        </w:rPr>
      </w:pPr>
      <w:bookmarkStart w:id="76" w:name="bookmark76"/>
      <w:r>
        <w:rPr>
          <w:rFonts w:ascii="Times New Roman" w:eastAsia="Times New Roman" w:hAnsi="Times New Roman" w:cs="Times New Roman"/>
          <w:color w:val="000000"/>
          <w:spacing w:val="0"/>
          <w:w w:val="100"/>
          <w:position w:val="0"/>
          <w:sz w:val="20"/>
          <w:szCs w:val="20"/>
        </w:rPr>
        <w:t>2</w:t>
      </w:r>
      <w:bookmarkEnd w:id="76"/>
      <w:r>
        <w:rPr>
          <w:color w:val="000000"/>
          <w:spacing w:val="0"/>
          <w:w w:val="100"/>
          <w:position w:val="0"/>
          <w:sz w:val="20"/>
          <w:szCs w:val="20"/>
        </w:rPr>
        <w:t>、</w:t>
        <w:tab/>
        <w:t>公司与国内知名工艺美术大师、国际知名陶瓷工作室等展开合作，共同开发适销产品，对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艺术产 业化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进行了有益探索，取得了良好的品牌效应和经济效益。</w:t>
      </w:r>
    </w:p>
    <w:p>
      <w:pPr>
        <w:pStyle w:val="Style13"/>
        <w:keepNext w:val="0"/>
        <w:keepLines w:val="0"/>
        <w:widowControl w:val="0"/>
        <w:shd w:val="clear" w:color="auto" w:fill="auto"/>
        <w:tabs>
          <w:tab w:pos="1000" w:val="left"/>
        </w:tabs>
        <w:bidi w:val="0"/>
        <w:spacing w:before="0" w:after="0" w:line="316" w:lineRule="exact"/>
        <w:ind w:left="0" w:right="0" w:firstLine="440"/>
        <w:jc w:val="both"/>
        <w:rPr>
          <w:sz w:val="20"/>
          <w:szCs w:val="20"/>
        </w:rPr>
      </w:pPr>
      <w:bookmarkStart w:id="77" w:name="bookmark77"/>
      <w:r>
        <w:rPr>
          <w:color w:val="000000"/>
          <w:spacing w:val="0"/>
          <w:w w:val="100"/>
          <w:position w:val="0"/>
          <w:sz w:val="20"/>
          <w:szCs w:val="20"/>
        </w:rPr>
        <w:t>（</w:t>
      </w:r>
      <w:bookmarkEnd w:id="77"/>
      <w:r>
        <w:rPr>
          <w:color w:val="000000"/>
          <w:spacing w:val="0"/>
          <w:w w:val="100"/>
          <w:position w:val="0"/>
          <w:sz w:val="20"/>
          <w:szCs w:val="20"/>
        </w:rPr>
        <w:t>四）</w:t>
        <w:tab/>
        <w:t>工艺技术优势</w:t>
      </w:r>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公司将传统陶瓷文化与现代工艺技术相结合，在工艺技术等方面不断创新，从而降低生产成本，提高 产品科技含量。公司工艺技术优势具体表现如下：</w:t>
      </w:r>
    </w:p>
    <w:p>
      <w:pPr>
        <w:pStyle w:val="Style13"/>
        <w:keepNext w:val="0"/>
        <w:keepLines w:val="0"/>
        <w:widowControl w:val="0"/>
        <w:shd w:val="clear" w:color="auto" w:fill="auto"/>
        <w:tabs>
          <w:tab w:pos="766" w:val="left"/>
        </w:tabs>
        <w:bidi w:val="0"/>
        <w:spacing w:before="0" w:after="0" w:line="316" w:lineRule="exact"/>
        <w:ind w:left="0" w:right="0" w:firstLine="440"/>
        <w:jc w:val="both"/>
        <w:rPr>
          <w:sz w:val="20"/>
          <w:szCs w:val="20"/>
        </w:rPr>
      </w:pPr>
      <w:bookmarkStart w:id="78" w:name="bookmark78"/>
      <w:r>
        <w:rPr>
          <w:rFonts w:ascii="Times New Roman" w:eastAsia="Times New Roman" w:hAnsi="Times New Roman" w:cs="Times New Roman"/>
          <w:color w:val="000000"/>
          <w:spacing w:val="0"/>
          <w:w w:val="100"/>
          <w:position w:val="0"/>
          <w:sz w:val="20"/>
          <w:szCs w:val="20"/>
        </w:rPr>
        <w:t>1</w:t>
      </w:r>
      <w:bookmarkEnd w:id="78"/>
      <w:r>
        <w:rPr>
          <w:color w:val="000000"/>
          <w:spacing w:val="0"/>
          <w:w w:val="100"/>
          <w:position w:val="0"/>
          <w:sz w:val="20"/>
          <w:szCs w:val="20"/>
        </w:rPr>
        <w:t>、</w:t>
        <w:tab/>
        <w:t>公司拥有占地</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多平方米的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广东省陶瓷装饰材料工程技术研究开发中心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省级企业技术中 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。研发中心拥有大量先进生产设备和仪器，可开展陶瓷行业相关的理化检测项目，能承担国家、省、 市各级科研开发项目。</w:t>
      </w:r>
    </w:p>
    <w:p>
      <w:pPr>
        <w:pStyle w:val="Style13"/>
        <w:keepNext w:val="0"/>
        <w:keepLines w:val="0"/>
        <w:widowControl w:val="0"/>
        <w:shd w:val="clear" w:color="auto" w:fill="auto"/>
        <w:tabs>
          <w:tab w:pos="771" w:val="left"/>
        </w:tabs>
        <w:bidi w:val="0"/>
        <w:spacing w:before="0" w:after="0" w:line="319" w:lineRule="exact"/>
        <w:ind w:left="0" w:right="0" w:firstLine="440"/>
        <w:jc w:val="both"/>
        <w:rPr>
          <w:sz w:val="20"/>
          <w:szCs w:val="20"/>
        </w:rPr>
      </w:pPr>
      <w:bookmarkStart w:id="79" w:name="bookmark79"/>
      <w:r>
        <w:rPr>
          <w:rFonts w:ascii="Times New Roman" w:eastAsia="Times New Roman" w:hAnsi="Times New Roman" w:cs="Times New Roman"/>
          <w:color w:val="000000"/>
          <w:spacing w:val="0"/>
          <w:w w:val="100"/>
          <w:position w:val="0"/>
          <w:sz w:val="20"/>
          <w:szCs w:val="20"/>
        </w:rPr>
        <w:t>2</w:t>
      </w:r>
      <w:bookmarkEnd w:id="79"/>
      <w:r>
        <w:rPr>
          <w:color w:val="000000"/>
          <w:spacing w:val="0"/>
          <w:w w:val="100"/>
          <w:position w:val="0"/>
          <w:sz w:val="20"/>
          <w:szCs w:val="20"/>
        </w:rPr>
        <w:t>、</w:t>
        <w:tab/>
        <w:t>公司继续深耕陶瓷酒瓶行业，酒瓶作为酒文化的重要见证，集书法、绘画、风情典故、陶艺、酒 艺等一体，综合体现了酒文化的灿烂辉煌和人类文明史。陶瓷酒瓶作为具有中国传统文化特色的奇异造型， 使得酒瓶装潢的更具有代表性。俗话说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好陶出好酒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，好的陶瓷酒瓶不仅能给人带来美的享受，还能使酒 </w:t>
      </w:r>
      <w:r>
        <w:rPr>
          <w:color w:val="000000"/>
          <w:spacing w:val="0"/>
          <w:w w:val="100"/>
          <w:position w:val="0"/>
          <w:sz w:val="20"/>
          <w:szCs w:val="20"/>
        </w:rPr>
        <w:t>在酒瓶中得到另一种形式的升华，公司将利用自身工艺技术及丰富的资源，进一步开发各类特色陶瓷酒瓶 及周边酒具。</w:t>
      </w:r>
    </w:p>
    <w:p>
      <w:pPr>
        <w:pStyle w:val="Style13"/>
        <w:keepNext w:val="0"/>
        <w:keepLines w:val="0"/>
        <w:widowControl w:val="0"/>
        <w:shd w:val="clear" w:color="auto" w:fill="auto"/>
        <w:bidi w:val="0"/>
        <w:spacing w:before="0" w:after="0" w:line="313" w:lineRule="exact"/>
        <w:ind w:left="0" w:right="0" w:firstLine="460"/>
        <w:jc w:val="both"/>
        <w:rPr>
          <w:sz w:val="20"/>
          <w:szCs w:val="20"/>
        </w:rPr>
      </w:pPr>
      <w:bookmarkStart w:id="80" w:name="bookmark80"/>
      <w:r>
        <w:rPr>
          <w:color w:val="000000"/>
          <w:spacing w:val="0"/>
          <w:w w:val="100"/>
          <w:position w:val="0"/>
          <w:sz w:val="20"/>
          <w:szCs w:val="20"/>
        </w:rPr>
        <w:t>二</w:t>
      </w:r>
      <w:bookmarkEnd w:id="80"/>
      <w:r>
        <w:rPr>
          <w:color w:val="000000"/>
          <w:spacing w:val="0"/>
          <w:w w:val="100"/>
          <w:position w:val="0"/>
          <w:sz w:val="20"/>
          <w:szCs w:val="20"/>
        </w:rPr>
        <w:t>、在教育板块方面，智游臻龙拥有以下几个方面的核心竞争力：</w:t>
      </w:r>
    </w:p>
    <w:p>
      <w:pPr>
        <w:pStyle w:val="Style13"/>
        <w:keepNext w:val="0"/>
        <w:keepLines w:val="0"/>
        <w:widowControl w:val="0"/>
        <w:shd w:val="clear" w:color="auto" w:fill="auto"/>
        <w:tabs>
          <w:tab w:pos="1066" w:val="left"/>
        </w:tabs>
        <w:bidi w:val="0"/>
        <w:spacing w:before="0" w:after="0" w:line="313" w:lineRule="exact"/>
        <w:ind w:left="0" w:right="0" w:firstLine="460"/>
        <w:jc w:val="both"/>
        <w:rPr>
          <w:sz w:val="20"/>
          <w:szCs w:val="20"/>
        </w:rPr>
      </w:pPr>
      <w:bookmarkStart w:id="81" w:name="bookmark81"/>
      <w:r>
        <w:rPr>
          <w:color w:val="000000"/>
          <w:spacing w:val="0"/>
          <w:w w:val="100"/>
          <w:position w:val="0"/>
          <w:sz w:val="20"/>
          <w:szCs w:val="20"/>
        </w:rPr>
        <w:t>（</w:t>
      </w:r>
      <w:bookmarkEnd w:id="81"/>
      <w:r>
        <w:rPr>
          <w:color w:val="000000"/>
          <w:spacing w:val="0"/>
          <w:w w:val="100"/>
          <w:position w:val="0"/>
          <w:sz w:val="20"/>
          <w:szCs w:val="20"/>
        </w:rPr>
        <w:t>一）</w:t>
        <w:tab/>
        <w:t>成熟稳定的管理团队。公司拥有一支伴随着公司成长起来的管理团队和专职教师队伍，报告期 内未发生核心管理团队或关键人员离职情况。</w:t>
      </w:r>
    </w:p>
    <w:p>
      <w:pPr>
        <w:pStyle w:val="Style13"/>
        <w:keepNext w:val="0"/>
        <w:keepLines w:val="0"/>
        <w:widowControl w:val="0"/>
        <w:shd w:val="clear" w:color="auto" w:fill="auto"/>
        <w:tabs>
          <w:tab w:pos="1090" w:val="left"/>
        </w:tabs>
        <w:bidi w:val="0"/>
        <w:spacing w:before="0" w:after="0" w:line="313" w:lineRule="exact"/>
        <w:ind w:left="0" w:right="0" w:firstLine="460"/>
        <w:jc w:val="both"/>
        <w:rPr>
          <w:sz w:val="20"/>
          <w:szCs w:val="20"/>
        </w:rPr>
      </w:pPr>
      <w:bookmarkStart w:id="82" w:name="bookmark82"/>
      <w:r>
        <w:rPr>
          <w:color w:val="000000"/>
          <w:spacing w:val="0"/>
          <w:w w:val="100"/>
          <w:position w:val="0"/>
          <w:sz w:val="20"/>
          <w:szCs w:val="20"/>
        </w:rPr>
        <w:t>（</w:t>
      </w:r>
      <w:bookmarkEnd w:id="82"/>
      <w:r>
        <w:rPr>
          <w:color w:val="000000"/>
          <w:spacing w:val="0"/>
          <w:w w:val="100"/>
          <w:position w:val="0"/>
          <w:sz w:val="20"/>
          <w:szCs w:val="20"/>
        </w:rPr>
        <w:t>二）</w:t>
        <w:tab/>
        <w:t>稳固的院校合作关系。公司成立以来，始终重视与省内外大专院校的合作，建立了稳固的院校 合作关系，这些院校已成为公司重要的招生渠道和业务合作伙伴。</w:t>
      </w:r>
    </w:p>
    <w:p>
      <w:pPr>
        <w:pStyle w:val="Style13"/>
        <w:keepNext w:val="0"/>
        <w:keepLines w:val="0"/>
        <w:widowControl w:val="0"/>
        <w:shd w:val="clear" w:color="auto" w:fill="auto"/>
        <w:tabs>
          <w:tab w:pos="1090" w:val="left"/>
        </w:tabs>
        <w:bidi w:val="0"/>
        <w:spacing w:before="0" w:after="0" w:line="313" w:lineRule="exact"/>
        <w:ind w:left="0" w:right="0" w:firstLine="460"/>
        <w:jc w:val="both"/>
        <w:rPr>
          <w:sz w:val="20"/>
          <w:szCs w:val="20"/>
        </w:rPr>
      </w:pPr>
      <w:bookmarkStart w:id="83" w:name="bookmark83"/>
      <w:r>
        <w:rPr>
          <w:color w:val="000000"/>
          <w:spacing w:val="0"/>
          <w:w w:val="100"/>
          <w:position w:val="0"/>
          <w:sz w:val="20"/>
          <w:szCs w:val="20"/>
        </w:rPr>
        <w:t>（</w:t>
      </w:r>
      <w:bookmarkEnd w:id="83"/>
      <w:r>
        <w:rPr>
          <w:color w:val="000000"/>
          <w:spacing w:val="0"/>
          <w:w w:val="100"/>
          <w:position w:val="0"/>
          <w:sz w:val="20"/>
          <w:szCs w:val="20"/>
        </w:rPr>
        <w:t>三）</w:t>
        <w:tab/>
        <w:t>严格的学员筛选机制。公司历来坚持品质第一，不管是教学品质还是学员整体素质，两手都要 抓两手都要硬。经过多年的实践，公司以形成一套科学、系统的学员筛选机制，经过综合考评，通过者方 能成为公司的准学员，这也是公司连续多年保持高就业率和良好口碑的原因所在。</w:t>
      </w:r>
    </w:p>
    <w:p>
      <w:pPr>
        <w:pStyle w:val="Style13"/>
        <w:keepNext w:val="0"/>
        <w:keepLines w:val="0"/>
        <w:widowControl w:val="0"/>
        <w:shd w:val="clear" w:color="auto" w:fill="auto"/>
        <w:bidi w:val="0"/>
        <w:spacing w:before="0" w:after="300" w:line="317" w:lineRule="exact"/>
        <w:ind w:left="0" w:right="0" w:firstLine="0"/>
        <w:jc w:val="left"/>
        <w:rPr>
          <w:sz w:val="20"/>
          <w:szCs w:val="20"/>
        </w:rPr>
      </w:pPr>
      <w:bookmarkStart w:id="84" w:name="bookmark84"/>
      <w:r>
        <w:rPr>
          <w:color w:val="000000"/>
          <w:spacing w:val="0"/>
          <w:w w:val="100"/>
          <w:position w:val="0"/>
          <w:sz w:val="20"/>
          <w:szCs w:val="20"/>
        </w:rPr>
        <w:t>（</w:t>
      </w:r>
      <w:bookmarkEnd w:id="84"/>
      <w:r>
        <w:rPr>
          <w:color w:val="000000"/>
          <w:spacing w:val="0"/>
          <w:w w:val="100"/>
          <w:position w:val="0"/>
          <w:sz w:val="20"/>
          <w:szCs w:val="20"/>
        </w:rPr>
        <w:t>四）学研结合的培训体系。作为实践性非常强的</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行业，公司利用现有的研发团队和项目资源，为学员 精心设计毕业课题和实践指导，使学员具有很高的实操能力，可以更好的就业。</w:t>
      </w:r>
    </w:p>
    <w:p>
      <w:pPr>
        <w:pStyle w:val="Style19"/>
        <w:keepNext/>
        <w:keepLines/>
        <w:widowControl w:val="0"/>
        <w:shd w:val="clear" w:color="auto" w:fill="auto"/>
        <w:bidi w:val="0"/>
        <w:spacing w:before="0" w:line="311"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四</w:t>
      </w:r>
      <w:bookmarkEnd w:id="87"/>
      <w:r>
        <w:rPr>
          <w:color w:val="000000"/>
          <w:spacing w:val="0"/>
          <w:w w:val="100"/>
          <w:position w:val="0"/>
        </w:rPr>
        <w:t>、主营业务分析</w:t>
      </w:r>
      <w:bookmarkEnd w:id="85"/>
      <w:bookmarkEnd w:id="86"/>
      <w:bookmarkEnd w:id="88"/>
    </w:p>
    <w:p>
      <w:pPr>
        <w:pStyle w:val="Style23"/>
        <w:keepNext/>
        <w:keepLines/>
        <w:widowControl w:val="0"/>
        <w:shd w:val="clear" w:color="auto" w:fill="auto"/>
        <w:bidi w:val="0"/>
        <w:spacing w:before="0" w:after="220" w:line="326"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、概述</w:t>
      </w:r>
      <w:bookmarkEnd w:id="89"/>
      <w:bookmarkEnd w:id="90"/>
      <w:bookmarkEnd w:id="92"/>
    </w:p>
    <w:p>
      <w:pPr>
        <w:pStyle w:val="Style13"/>
        <w:keepNext w:val="0"/>
        <w:keepLines w:val="0"/>
        <w:widowControl w:val="0"/>
        <w:shd w:val="clear" w:color="auto" w:fill="auto"/>
        <w:bidi w:val="0"/>
        <w:spacing w:before="0" w:after="0" w:line="311" w:lineRule="exact"/>
        <w:ind w:left="0" w:right="0" w:firstLine="46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年，面对突如其来的新冠疫情及复杂多变的经济环境，公司管理层在董事会的领导 下，克服困难，把握机遇，忠诚勤勉的履行职责，贯彻落实股东大会、董事会决议，较好地 完成了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年的各项工作，具体如下：</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）在陶瓷方面</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陶瓷行业目前依旧受外部环境因素的深刻影响；公司虽已经全面复工复产，但原料价格 上涨、海运与货柜的紧张、用工难、汇率影响等危机却引发陶瓷行业的一个淘汰和加速升级 的过程，能源价格的上涨更是使企业的生产成本大幅增长，对企业的生产管理效率及成本控 制提出了更高的要求。除了国外市场，公司也一直在往国内市场不断铺路，寻求新的热点与 机遇。</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由于疫情的影响，公司积极开拓网络市场，目前，公司已经拥有淘宝、天猫、小红书、 抖音、京东等网络销售渠道；为了占据市场份额，公司还在不断开发其他的网络渠道，本报 告期内，公司与星球优选直播平台进行合作，利用专场主播和头部主播销售形成的数据，结 合主播矩阵的势能，提升公司产品销量，深度积累品牌势能和口碑，通过直播方式可以更快 的传播公司的经营理念，将优质的产品带入千家万户。</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面对疫情的反复状态，国际人员往来受阻，经历三届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云广交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后，得知第</w:t>
      </w:r>
      <w:r>
        <w:rPr>
          <w:rFonts w:ascii="Times New Roman" w:eastAsia="Times New Roman" w:hAnsi="Times New Roman" w:cs="Times New Roman"/>
          <w:color w:val="000000"/>
          <w:spacing w:val="0"/>
          <w:w w:val="100"/>
          <w:position w:val="0"/>
          <w:sz w:val="24"/>
          <w:szCs w:val="24"/>
        </w:rPr>
        <w:t>130</w:t>
      </w:r>
      <w:r>
        <w:rPr>
          <w:color w:val="000000"/>
          <w:spacing w:val="0"/>
          <w:w w:val="100"/>
          <w:position w:val="0"/>
        </w:rPr>
        <w:t>届广交会线 上线下融合举办的消息，作为广交会的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老朋友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，公司携旗下一系列陶瓷新品在广交会亮相。 实现与客户面对面，让产品看得见、摸得着，更有利于争取到大订单。借助本届广交会的国 际平台，公司再次把优质的陶瓷产品推向国际市场，并瞄准市场把握时机，不断追求技术创 新，提升用户体验，持续布局和升级服务，凭借拥有高品质、好服务的创新产品继续拓展国 际化战线，在国际市场上力争新一轮的增长。</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公司不断加快培育内销新模式，利用电商、直播、大数据等科技手段，打造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线上引流+ 实体消费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的消费新模式，搭建线上销售网络，快速打开国内市场，实现数字化转型。另一方 面，外销利用各类展示展销平台，对接国外客商；通过多方协作、形成合力，实现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外贸+内 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的经营模式。</w:t>
      </w:r>
    </w:p>
    <w:p>
      <w:pPr>
        <w:pStyle w:val="Style1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生肖，蕴藏着中国人对千年璀璨文化的感知；陶瓷，承载着生活里美的艺术；在虎年之 际，公司以虎为主元素设计独立开发的虎年造型杯，目前已经上架销售。未来公司依然会推 出更具特色的产品，提升公司品牌效应，占据更多市场份额。</w:t>
      </w:r>
    </w:p>
    <w:p>
      <w:pPr>
        <w:pStyle w:val="Style1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）在教育方面</w:t>
      </w:r>
    </w:p>
    <w:p>
      <w:pPr>
        <w:pStyle w:val="Style1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随着变异新冠病毒的肆虐，疫情前仆后继地袭来，冲击着每个人的正常生活；与此同时， 气象巨变带来的中部地区爆发式降水，成为了本地区内千年罕见的雨灾，让河南多地陷入了 劫难，再加上紧随其后持续一个多月的疫情，在河南生活的居民，日子变得愈加水深火热。 智游作为一家以教育为核心的企业，更是困难重重，在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年无论是教学还是课程研发，亦 或安排学生住宿、上课，都成为了一场前所未有但必须通过的挑战。</w:t>
      </w:r>
    </w:p>
    <w:p>
      <w:pPr>
        <w:pStyle w:val="Style13"/>
        <w:keepNext w:val="0"/>
        <w:keepLines w:val="0"/>
        <w:widowControl w:val="0"/>
        <w:shd w:val="clear" w:color="auto" w:fill="auto"/>
        <w:bidi w:val="0"/>
        <w:spacing w:before="0" w:after="0" w:line="312"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开局之年，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高质量发展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成为经济和社会发展的主旋律，职业教育政 策更加明确了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建设高质量教育体系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政策导向和重点要求，提出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加大资本投入，增强职业技 术教育适应性，深化产教融合、校企合作，大力培养技术技能人才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智游集团将全力为项目发展提供基地、技术、人才和服务方面的支持，按照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开源、开放、 共建、共享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的工作理念，坚持需求导向，围绕中原科技城产业发展和企业需求，以需求侧改 善供给侧，定向培养人才，助力加快国家大数据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综合试验区核心区和河南省人才创新 创业试验区建设，落实推进好郑州市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黄河人才计划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，加快培育数字产业人才豫军，协助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 字豫才计划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打造全市新旧动能转换的发动机、中原地区科技创新的策源地、黄河流域高质量 发展的引领区，助推郑州乃至全省数字经济快速高质量发展。</w:t>
      </w:r>
    </w:p>
    <w:p>
      <w:pPr>
        <w:pStyle w:val="Style13"/>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智游集团南京巅峰数据有限公司和金肯人工智能与信息工程学院于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年联合组建校外 企业科技创新教育中心，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月，金肯企业科创中心正式在校内挂牌，科创中心的成立彰 显了学院对智游合作的重视，在今后也将要继续深入产教研合作，加快发展和建设新工科， 主动适应和引领高等职业教育，共创美好未来！</w:t>
      </w:r>
    </w:p>
    <w:p>
      <w:pPr>
        <w:pStyle w:val="Style13"/>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在报告期内，智游集团已经完成了以下调整：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、将郑州市经开区河南通信产业园办公区 升级为智游集团软件科技研发中心。</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、将大学生实习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实训基地整合至河南自贸试验区郑州 片区（经开）第十六大街的智游大厦。</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、实施智游互联网学校教学与住宿一体化，实现独立 封闭式管理。</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、改善住宿环境，统一将住宿条件大幅升级。此举不仅会让智游的研发和教学 持续迸发蓬勃的生机活力，还能更好地为学生提供更加优质的教学环境及管理。</w:t>
      </w:r>
    </w:p>
    <w:p>
      <w:pPr>
        <w:pStyle w:val="Style23"/>
        <w:keepNext/>
        <w:keepLines/>
        <w:widowControl w:val="0"/>
        <w:shd w:val="clear" w:color="auto" w:fill="auto"/>
        <w:bidi w:val="0"/>
        <w:spacing w:before="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、收入与成本</w:t>
      </w:r>
      <w:bookmarkEnd w:id="93"/>
      <w:bookmarkEnd w:id="94"/>
      <w:bookmarkEnd w:id="96"/>
    </w:p>
    <w:p>
      <w:pPr>
        <w:pStyle w:val="Style29"/>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97"/>
      <w:bookmarkEnd w:id="98"/>
    </w:p>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35,093,102.31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83,676,479.83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38,504,402.83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25,513,106.80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软件开发和技术服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1,478,492.04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13,564,580.71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673,038.30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35,093,102.31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83,676,479.83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38,504,402.83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25,513,106.80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软件开发和技术服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1,478,492.04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13,564,580.71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673,038.30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72,620,846.05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48,402,505.65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3,150,313.32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78,150,036.37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35,093,102.31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83,676,479.83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38,504,402.83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25,513,106.80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软件开发和技术服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1,478,492.04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13,564,580.71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1,006,477.87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673,038.30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w:t>
        <w:tab/>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102"/>
      <w:bookmarkEnd w:id="10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5"/>
      <w:bookmarkEnd w:id="106"/>
      <w:bookmarkEnd w:id="10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9"/>
      <w:bookmarkEnd w:id="110"/>
      <w:bookmarkEnd w:id="11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42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3"/>
      <w:bookmarkEnd w:id="114"/>
      <w:bookmarkEnd w:id="116"/>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28,351,134.72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46,904,103.50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19,381,588.77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11,429,743.40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5,529,691.58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4,038,480.58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1,251,315.88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52,555,586.28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65,624258.15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7"/>
      <w:bookmarkEnd w:id="118"/>
      <w:bookmarkEnd w:id="120"/>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tabs>
          <w:tab w:pos="397" w:val="left"/>
        </w:tabs>
        <w:bidi w:val="0"/>
        <w:spacing w:before="0" w:after="80" w:line="312" w:lineRule="exact"/>
        <w:ind w:left="0" w:right="0" w:firstLine="0"/>
        <w:jc w:val="left"/>
      </w:pPr>
      <w:bookmarkStart w:id="121" w:name="bookmark121"/>
      <w:r>
        <w:rPr>
          <w:rFonts w:ascii="Times New Roman" w:eastAsia="Times New Roman" w:hAnsi="Times New Roman" w:cs="Times New Roman"/>
          <w:color w:val="000000"/>
          <w:spacing w:val="0"/>
          <w:w w:val="100"/>
          <w:position w:val="0"/>
          <w:sz w:val="24"/>
          <w:szCs w:val="24"/>
        </w:rPr>
        <w:t>1</w:t>
      </w:r>
      <w:bookmarkEnd w:id="12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日，本公司子公司潮州市三江陶瓷原料有限公司设立孙公司德祺陶瓷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广东</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万元，法定代表人徐阳。</w:t>
      </w:r>
    </w:p>
    <w:p>
      <w:pPr>
        <w:pStyle w:val="Style13"/>
        <w:keepNext w:val="0"/>
        <w:keepLines w:val="0"/>
        <w:widowControl w:val="0"/>
        <w:shd w:val="clear" w:color="auto" w:fill="auto"/>
        <w:tabs>
          <w:tab w:pos="402" w:val="left"/>
        </w:tabs>
        <w:bidi w:val="0"/>
        <w:spacing w:before="0" w:after="1000" w:line="317" w:lineRule="exact"/>
        <w:ind w:left="0" w:right="0" w:firstLine="0"/>
        <w:jc w:val="left"/>
      </w:pPr>
      <w:bookmarkStart w:id="122" w:name="bookmark122"/>
      <w:r>
        <w:rPr>
          <w:rFonts w:ascii="Times New Roman" w:eastAsia="Times New Roman" w:hAnsi="Times New Roman" w:cs="Times New Roman"/>
          <w:color w:val="000000"/>
          <w:spacing w:val="0"/>
          <w:w w:val="100"/>
          <w:position w:val="0"/>
          <w:sz w:val="24"/>
          <w:szCs w:val="24"/>
        </w:rPr>
        <w:t>2</w:t>
      </w:r>
      <w:bookmarkEnd w:id="12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日，董事会审议通过《关于公司孙公司现金收购东莞市雅鑫实业有限公司</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股权的议案》，东莞市雅鑫实业有限公司已于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日完成工商变更。</w:t>
      </w:r>
    </w:p>
    <w:p>
      <w:pPr>
        <w:pStyle w:val="Style29"/>
        <w:keepNext/>
        <w:keepLines/>
        <w:widowControl w:val="0"/>
        <w:shd w:val="clear" w:color="auto" w:fill="auto"/>
        <w:tabs>
          <w:tab w:pos="48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3"/>
      <w:bookmarkEnd w:id="124"/>
      <w:bookmarkEnd w:id="12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7"/>
      <w:bookmarkEnd w:id="128"/>
      <w:bookmarkEnd w:id="130"/>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19,791,396.62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6,565,748.36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5,974,842.44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2,737,983.84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2,362,849.98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2,149,972.00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19,791,396.62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19242,934.22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7,643,275.09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4,904,385.78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2,350,488.68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2,180,594.67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2,164,190.00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19242,934.22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469"/>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27,661,535.40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28,846,242. 23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47,835,073.96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47,170,063. 61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87,537,709.25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88,387,849. 72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4,805,999.45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7,062,596.81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销售收入下降导致研发费用下降</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bookmarkEnd w:id="135"/>
      <w:bookmarkEnd w:id="136"/>
      <w:bookmarkEnd w:id="13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920"/>
        <w:gridCol w:w="1622"/>
        <w:gridCol w:w="2256"/>
        <w:gridCol w:w="22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高稳定性的硅酸锌 定位结晶陶瓷的设 计与开发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本项目的创新点在于原 料中添加了氧化锌，可 使本陶瓷具有大型扇形 纹样，并可得到各种形 状、色彩的结晶花纹， 提高了陶瓷外形的多样 性和美观性，添加的三 聚磷酸钠和丙三醇能提 高本陶瓷整体的抗菌 性，添加的防紫外线剂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试制阶段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实现批量化生产销售。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增加产品竞争力，提升盈利 能力。</w:t>
            </w:r>
          </w:p>
        </w:tc>
      </w:tr>
    </w:tbl>
    <w:p>
      <w:pPr>
        <w:spacing w:lineRule="exact" w:line="1"/>
        <w:rPr>
          <w:sz w:val="2"/>
          <w:szCs w:val="2"/>
        </w:rPr>
      </w:pPr>
      <w:r>
        <w:br w:type="page"/>
      </w:r>
    </w:p>
    <w:tbl>
      <w:tblPr>
        <w:tblOverlap w:val="never"/>
        <w:jc w:val="center"/>
        <w:tblLayout w:type="fixed"/>
      </w:tblPr>
      <w:tblGrid>
        <w:gridCol w:w="1536"/>
        <w:gridCol w:w="1920"/>
        <w:gridCol w:w="1622"/>
        <w:gridCol w:w="2256"/>
        <w:gridCol w:w="22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能提高本陶瓷的防紫外 线能力，从而延长了其 使用寿命，扩大了其市 场竞争力，符合企业自 身的利益。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一种黑色镂空开合 项链的加工工艺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本项目的创新点在于工 艺步骤中其毛坯件选料 是选择表面光滑的毛坯 件，所以能避免现有技 术用失蜡法铸出的项链 金属毛坯表面有凹陷的 铸造气孔，导致整体效 果不够美观的问题，进 一步，其余步骤在毛坯 件上依次进行描线、钻 孔、扩孔、连接和打磨 抛光制得项链，因为不 需要使用失蜡法铸出的 项链金属毛坯，也不需 要将因使用失蜡法铸造 而造成的闭孔镂空扩 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试制阶段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节约加工时间及成本的同时 使得项链效果更加美观。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节约加工时间，避免现有技 术加工耗时的问题。</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陶瓷高压注浆环氧 树脂类模具的研究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本项目的创新点在于本 项目采用环氧树脂类模 具替代多孔塑料模具， 降低生产成本，减少模 具表面磨损，降低微孔 堵塞几率。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试制阶段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提高产品成品率。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大幅度提高了陶瓷注浆成形 生产效率和产品成品率，减 少废瓷产生。</w:t>
            </w: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叮咚换宝资源回收 平台的研发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为了方便当前生活日渐 增多的生活废物可循环 回收利用而设计开发 的，在互联网背景下进 行用户与回收哥之间的 沟通联系。防止单一片 区内服务回收利用的垄 断措施，并针对回收哥 一口价和漫天价进行有 效的管理。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已经取得软件著作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可以通过本产品进行周边回 收哥位置和信息的查看，可 以进行在线沟通和问价，真 正为客户提供便捷生活的服 务。每一位废物回收人员均 经过本产品平台审核，有相 关身份备案，免去您居家生 活的后顾之忧。服务完成后 还可对当前上门人员进行点 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增加企业竞争力，提升盈利 能力。</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校园管理系统的研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为了方便和实现安全管 理，基于学生各种信息 都需要手动统计，不能 实现实现基础数据的采 集和上传，无法实现系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已经取得软件著作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该系统包括工作汇报、文件 公示、本地文档、请销假等 等，提高办公人员的办事效 率，同时也缩短了办事时间。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增加企业竞争力，提升盈利 能力。</w:t>
            </w:r>
          </w:p>
        </w:tc>
      </w:tr>
    </w:tbl>
    <w:p>
      <w:pPr>
        <w:spacing w:lineRule="exact" w:line="1"/>
        <w:rPr>
          <w:sz w:val="2"/>
          <w:szCs w:val="2"/>
        </w:rPr>
      </w:pPr>
      <w:r>
        <w:br w:type="page"/>
      </w:r>
    </w:p>
    <w:tbl>
      <w:tblPr>
        <w:tblOverlap w:val="never"/>
        <w:jc w:val="center"/>
        <w:tblLayout w:type="fixed"/>
      </w:tblPr>
      <w:tblGrid>
        <w:gridCol w:w="1536"/>
        <w:gridCol w:w="1920"/>
        <w:gridCol w:w="1622"/>
        <w:gridCol w:w="2256"/>
        <w:gridCol w:w="225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统的科学化管理、规范 的信息化管理，导致学 校对学生管理的效率较 低，为了提高办事效率。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礼品定制平台的研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在移动互联网时代的平 台化商业模式及消费者 个性化需求不断增长的 前景下，将传统的设计 理论与新型的制造方 式、新信息技术及新网 络营销模式相结合，希 望能构建一条适应时代 变革的个性化礼品定制 平台发展道路。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已经取得软件著作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贯彻''一站式''服务原则，成 功打造了一个高端商务礼品 采购平台。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增加企业竞争力，提升盈利 能力。</w:t>
            </w:r>
          </w:p>
        </w:tc>
      </w:tr>
      <w:tr>
        <w:trPr>
          <w:trHeight w:val="85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傻瓜修图系统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随着社会经济的发展和 人们生活水平的提高， 专业摄影设备更加普 及，手机摄影功能也在 不断开发完善，越来越 多的普通人开始热衷于 拍照和修图。目前市场 上为大多数普通用户所 采用的修图方式主要有 两种：一、借助各类修 图软件自己修图；二、 找身边熟识的专业图像 处理人士代为修图。由 于网络平台的便利，使 很多修图软件得以进入 人们的视野，但是任何 一款软件都只能依赖于 使用者的操作来体现效 果，并且普通人的审美 能力和图像处理技术也 很难达到专业级的完美 修图效果，出现了用户 需要修图但是找不到的 合适的修图师，有能力 的修图师接不到工作的 现象，所以开发一种修 图系统满足这些需求。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已经取得软件著作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傻瓜修图主要有海报模版、 文字编辑、马赛克、二维码 制作、线框箭头、素材资源、 编辑滤镜、图片拼图和视频 海报等这几大功能。各种各 样的视频海报专为都可设 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增加企业竞争力，提升盈利 能力。</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网博会重工企业展 示平台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随着互联网的发展，运 用</w:t>
            </w:r>
            <w:r>
              <w:rPr>
                <w:rFonts w:ascii="Times New Roman" w:eastAsia="Times New Roman" w:hAnsi="Times New Roman" w:cs="Times New Roman"/>
                <w:color w:val="000000"/>
                <w:spacing w:val="0"/>
                <w:w w:val="100"/>
                <w:position w:val="0"/>
                <w:sz w:val="18"/>
                <w:szCs w:val="18"/>
              </w:rPr>
              <w:t xml:space="preserve">VR </w:t>
            </w:r>
            <w:r>
              <w:rPr>
                <w:color w:val="000000"/>
                <w:spacing w:val="0"/>
                <w:w w:val="100"/>
                <w:position w:val="0"/>
                <w:sz w:val="17"/>
                <w:szCs w:val="17"/>
              </w:rPr>
              <w:t>（虚拟现实）、</w:t>
            </w:r>
            <w:r>
              <w:rPr>
                <w:rFonts w:ascii="Times New Roman" w:eastAsia="Times New Roman" w:hAnsi="Times New Roman" w:cs="Times New Roman"/>
                <w:color w:val="000000"/>
                <w:spacing w:val="0"/>
                <w:w w:val="100"/>
                <w:position w:val="0"/>
                <w:sz w:val="18"/>
                <w:szCs w:val="18"/>
              </w:rPr>
              <w:t>AR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已经取得软件著作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该平台首页包括了搜索、展 商名录、视频看展、直播看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增加企业竞争力，提升盈利 能力。</w:t>
            </w:r>
          </w:p>
        </w:tc>
      </w:tr>
    </w:tbl>
    <w:p>
      <w:pPr>
        <w:spacing w:lineRule="exact" w:line="1"/>
        <w:rPr>
          <w:sz w:val="2"/>
          <w:szCs w:val="2"/>
        </w:rPr>
      </w:pPr>
      <w:r>
        <w:br w:type="page"/>
      </w:r>
    </w:p>
    <w:tbl>
      <w:tblPr>
        <w:tblOverlap w:val="never"/>
        <w:jc w:val="center"/>
        <w:tblLayout w:type="fixed"/>
      </w:tblPr>
      <w:tblGrid>
        <w:gridCol w:w="1536"/>
        <w:gridCol w:w="1920"/>
        <w:gridCol w:w="1622"/>
        <w:gridCol w:w="2256"/>
        <w:gridCol w:w="2256"/>
      </w:tblGrid>
      <w:tr>
        <w:trPr>
          <w:trHeight w:val="41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（增强现实）、</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展示 高等技术，建立网上虚 拟展馆和展品，通过行 业圈及直播等在线互动 营销功能，为装备制造 企业提供一个集展示实 力、产业对接、项目洽 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展、产品展厅、展商分布、 线下展会、展会资讯、制造 圈、网博头条、品牌企业、 今日推荐、热门直播和最新 供应等主要功能模块；为用 户展示产品、弘扬企业等提 供全方面一体化的服务，发 布模块需要进行认证，认证 后，你可以把图文，链接， 视频发布到制造圈中，展现 自我；还可以发布直播，显 示在首页面，可以直播展现 等功能。</w:t>
            </w:r>
          </w:p>
        </w:tc>
        <w:tc>
          <w:tcPr>
            <w:tcBorders>
              <w:top w:val="single" w:sz="4"/>
              <w:left w:val="single" w:sz="4"/>
              <w:right w:val="single" w:sz="4"/>
            </w:tcBorders>
            <w:shd w:val="clear" w:color="auto" w:fill="FFFFFF"/>
            <w:vAlign w:val="top"/>
          </w:tcPr>
          <w:p>
            <w:pPr>
              <w:widowControl w:val="0"/>
              <w:rPr>
                <w:sz w:val="10"/>
                <w:szCs w:val="10"/>
              </w:rPr>
            </w:pPr>
          </w:p>
        </w:tc>
      </w:tr>
      <w:tr>
        <w:trPr>
          <w:trHeight w:val="4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亿民惠商城管理平 台的研发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该应用旨在开发一款在 手机上可以为你通过最 省钱的购物方式的一款 软件，网购物品种繁多， 想要什么有什么，让你 可以买的过瘾的手机软 件，可实现货到付款， 让省钱更省心。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已经取得软件著作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平台实现线上线下一体，线 上模块包含热门、秒杀、拼 团、天猫、淘宝、邀请码、 新手上路、拉新活动、创客 专区、分类、新人专区等功 能。线下模块包括美食、酒 店、电影、娱乐、生活、超 市、汽车、丽人、旅游、全 部分类等功能。拆红包模块 包括消费红包、签到红包、 分红红包、注册红包、推荐 红包等功能客服模块主要提 供了与店铺客服聊天的功 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增加企业竞争力，提升盈利 能力。</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亿淘汇商品管理系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随着社会发展，为更好 服务大众，同时满足于 人们的日常消费，建立 一个多元化产品、线上 线下相结合，帮助实体 店打破常规销售，具有 消费、玩乐、免单等模 式的综合购物平台。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已经取得软件著作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满足消费者的多元化需求， 为广大消费者提供了便利的 购物体验及购物愉悦。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增加企业竞争力，提升盈利 能力。</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找医生医疗咨询平 台的研发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专注于为患者提供疾病 问诊和健康疑问小视 频；致力于打造集寻医、 问诊、健康小视频为一 体的综合性健康康复平 台，解决患者挂号难， 看病难的问题。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已经取得软件著作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该平台聚合了国内外优秀的 名医资源，为患者提供最专 业的医生和健康小视频服 务。平台理念：好医生好视 频好健康。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增加企业竞争力，提升盈利 能力。</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40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4,805,999.45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17,083,672.69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、现金流</w:t>
      </w:r>
      <w:bookmarkEnd w:id="139"/>
      <w:bookmarkEnd w:id="140"/>
      <w:bookmarkEnd w:id="14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160,105,068.99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127,371,077.28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145,782,733.12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142,523,024.61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14,322,335.87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-15,151,947.33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3,582,292.32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13,240,310.41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13,683,156.20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12,023,377.00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-10,100,863.88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13,633,831.73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318,268,110.82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-3,633,831.73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-9,318,110.82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-23,424,815.37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五</w:t>
      </w:r>
      <w:bookmarkEnd w:id="145"/>
      <w:r>
        <w:rPr>
          <w:color w:val="000000"/>
          <w:spacing w:val="0"/>
          <w:w w:val="100"/>
          <w:position w:val="0"/>
        </w:rPr>
        <w:t>、</w:t>
        <w:tab/>
        <w:t>非主营业务情况</w:t>
      </w:r>
      <w:bookmarkEnd w:id="143"/>
      <w:bookmarkEnd w:id="144"/>
      <w:bookmarkEnd w:id="14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六</w:t>
      </w:r>
      <w:bookmarkEnd w:id="149"/>
      <w:r>
        <w:rPr>
          <w:color w:val="000000"/>
          <w:spacing w:val="0"/>
          <w:w w:val="100"/>
          <w:position w:val="0"/>
        </w:rPr>
        <w:t>、</w:t>
        <w:tab/>
        <w:t>资产及负债状况分析</w:t>
      </w:r>
      <w:bookmarkEnd w:id="147"/>
      <w:bookmarkEnd w:id="148"/>
      <w:bookmarkEnd w:id="150"/>
    </w:p>
    <w:p>
      <w:pPr>
        <w:pStyle w:val="Style23"/>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1</w:t>
      </w:r>
      <w:bookmarkEnd w:id="153"/>
      <w:r>
        <w:rPr>
          <w:color w:val="000000"/>
          <w:spacing w:val="0"/>
          <w:w w:val="100"/>
          <w:position w:val="0"/>
        </w:rPr>
        <w:t>、资产构成重大变动情况</w:t>
      </w:r>
      <w:bookmarkEnd w:id="151"/>
      <w:bookmarkEnd w:id="152"/>
      <w:bookmarkEnd w:id="15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6"/>
        <w:gridCol w:w="1070"/>
        <w:gridCol w:w="1186"/>
        <w:gridCol w:w="1070"/>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9,897,177.72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9,315,271.57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44,940,733.41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133,757,780.01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24,012,305.50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30,811,418.58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122,521,470.9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204,780,617.44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23,035,320.78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366,337,268.9</w:t>
            </w:r>
          </w:p>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4,354,999.97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8,624,342.09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8,623,388.05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6"/>
        <w:gridCol w:w="1070"/>
        <w:gridCol w:w="1186"/>
        <w:gridCol w:w="1070"/>
        <w:gridCol w:w="79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18,097,466.35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境外资产占比较高</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after="36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2</w:t>
      </w:r>
      <w:bookmarkEnd w:id="157"/>
      <w:r>
        <w:rPr>
          <w:color w:val="000000"/>
          <w:spacing w:val="0"/>
          <w:w w:val="100"/>
          <w:position w:val="0"/>
        </w:rPr>
        <w:t>、</w:t>
        <w:tab/>
        <w:t>以公允价值计量的资产和负债</w:t>
      </w:r>
      <w:bookmarkEnd w:id="155"/>
      <w:bookmarkEnd w:id="156"/>
      <w:bookmarkEnd w:id="158"/>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after="36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w:t>
        <w:tab/>
        <w:t>截至报告期末的资产权利受限情况</w:t>
      </w:r>
      <w:bookmarkEnd w:id="159"/>
      <w:bookmarkEnd w:id="160"/>
      <w:bookmarkEnd w:id="162"/>
    </w:p>
    <w:tbl>
      <w:tblPr>
        <w:tblOverlap w:val="never"/>
        <w:jc w:val="center"/>
        <w:tblLayout w:type="fixed"/>
      </w:tblPr>
      <w:tblGrid>
        <w:gridCol w:w="3005"/>
        <w:gridCol w:w="3010"/>
        <w:gridCol w:w="3043"/>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b/>
                <w:bCs/>
                <w:color w:val="000000"/>
                <w:spacing w:val="0"/>
                <w:w w:val="100"/>
                <w:position w:val="0"/>
                <w:sz w:val="20"/>
                <w:szCs w:val="20"/>
              </w:rPr>
              <w:t>所有权或使用权受限制</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的资产</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受限原因</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冻结资金及履约保证金</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228,508,687.00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229,469,013.22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19"/>
        <w:keepNext/>
        <w:keepLines/>
        <w:widowControl w:val="0"/>
        <w:shd w:val="clear" w:color="auto" w:fill="auto"/>
        <w:bidi w:val="0"/>
        <w:spacing w:before="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七</w:t>
      </w:r>
      <w:bookmarkEnd w:id="165"/>
      <w:r>
        <w:rPr>
          <w:color w:val="000000"/>
          <w:spacing w:val="0"/>
          <w:w w:val="100"/>
          <w:position w:val="0"/>
        </w:rPr>
        <w:t>、投资状况分析</w:t>
      </w:r>
      <w:bookmarkEnd w:id="163"/>
      <w:bookmarkEnd w:id="164"/>
      <w:bookmarkEnd w:id="166"/>
    </w:p>
    <w:p>
      <w:pPr>
        <w:pStyle w:val="Style23"/>
        <w:keepNext/>
        <w:keepLines/>
        <w:widowControl w:val="0"/>
        <w:shd w:val="clear" w:color="auto" w:fill="auto"/>
        <w:bidi w:val="0"/>
        <w:spacing w:before="0" w:after="36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、总体情况</w:t>
      </w:r>
      <w:bookmarkEnd w:id="167"/>
      <w:bookmarkEnd w:id="168"/>
      <w:bookmarkEnd w:id="170"/>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、报告期内获取的重大的股权投资情况</w:t>
      </w:r>
      <w:bookmarkEnd w:id="171"/>
      <w:bookmarkEnd w:id="172"/>
      <w:bookmarkEnd w:id="174"/>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8"/>
        <w:gridCol w:w="619"/>
        <w:gridCol w:w="624"/>
        <w:gridCol w:w="619"/>
        <w:gridCol w:w="619"/>
        <w:gridCol w:w="624"/>
        <w:gridCol w:w="610"/>
        <w:gridCol w:w="629"/>
        <w:gridCol w:w="581"/>
        <w:gridCol w:w="600"/>
        <w:gridCol w:w="691"/>
        <w:gridCol w:w="696"/>
        <w:gridCol w:w="686"/>
        <w:gridCol w:w="677"/>
      </w:tblGrid>
      <w:tr>
        <w:trPr>
          <w:trHeight w:val="22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 有）</w:t>
            </w:r>
          </w:p>
        </w:tc>
      </w:tr>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雅鑫实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水性涂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料、装</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被购</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667"/>
        <w:gridCol w:w="662"/>
        <w:gridCol w:w="614"/>
        <w:gridCol w:w="624"/>
        <w:gridCol w:w="624"/>
        <w:gridCol w:w="614"/>
        <w:gridCol w:w="624"/>
        <w:gridCol w:w="610"/>
        <w:gridCol w:w="624"/>
        <w:gridCol w:w="590"/>
        <w:gridCol w:w="600"/>
        <w:gridCol w:w="686"/>
        <w:gridCol w:w="696"/>
        <w:gridCol w:w="686"/>
        <w:gridCol w:w="682"/>
      </w:tblGrid>
      <w:tr>
        <w:trPr>
          <w:trHeight w:val="72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 xml:space="preserve">饰材 料、工 艺礼 品、包 装制 品；销 售：其 他化工 产品； 货物进 出口、 技术进 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依法 须经批 准的项 目，经 相关部 门批准 后方可 开展经 营活 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买方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日披露 的《关 于公司 孙公司 现金收 购东莞 市雅鑫 实业有 限公 司》（公 告编 号： </w:t>
            </w:r>
            <w:r>
              <w:rPr>
                <w:rFonts w:ascii="Times New Roman" w:eastAsia="Times New Roman" w:hAnsi="Times New Roman" w:cs="Times New Roman"/>
                <w:color w:val="000000"/>
                <w:spacing w:val="0"/>
                <w:w w:val="100"/>
                <w:position w:val="0"/>
                <w:sz w:val="18"/>
                <w:szCs w:val="18"/>
              </w:rPr>
              <w:t xml:space="preserve">2021-12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3"/>
        <w:keepNext/>
        <w:keepLines/>
        <w:widowControl w:val="0"/>
        <w:shd w:val="clear" w:color="auto" w:fill="auto"/>
        <w:tabs>
          <w:tab w:pos="36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报告期内正在进行的重大的非股权投资情况</w:t>
      </w:r>
      <w:bookmarkEnd w:id="175"/>
      <w:bookmarkEnd w:id="176"/>
      <w:bookmarkEnd w:id="17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w:t>
        <w:tab/>
        <w:t>以公允价值计量的金融资产</w:t>
      </w:r>
      <w:bookmarkEnd w:id="179"/>
      <w:bookmarkEnd w:id="180"/>
      <w:bookmarkEnd w:id="18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w:t>
        <w:tab/>
        <w:t>募集资金使用情况</w:t>
      </w:r>
      <w:bookmarkEnd w:id="183"/>
      <w:bookmarkEnd w:id="184"/>
      <w:bookmarkEnd w:id="186"/>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7"/>
      <w:bookmarkEnd w:id="188"/>
      <w:bookmarkEnd w:id="190"/>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74"/>
        <w:gridCol w:w="883"/>
        <w:gridCol w:w="854"/>
        <w:gridCol w:w="888"/>
        <w:gridCol w:w="854"/>
        <w:gridCol w:w="888"/>
        <w:gridCol w:w="854"/>
        <w:gridCol w:w="874"/>
        <w:gridCol w:w="869"/>
        <w:gridCol w:w="874"/>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用募集资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用募集资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用途的募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累计变更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用途的募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尚未使用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闲置两年</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以上募集</w:t>
            </w:r>
          </w:p>
        </w:tc>
      </w:tr>
    </w:tbl>
    <w:p>
      <w:pPr>
        <w:spacing w:lineRule="exact" w:line="1"/>
        <w:rPr>
          <w:sz w:val="2"/>
          <w:szCs w:val="2"/>
        </w:rPr>
      </w:pPr>
      <w:r>
        <w:br w:type="page"/>
      </w:r>
    </w:p>
    <w:tbl>
      <w:tblPr>
        <w:tblOverlap w:val="never"/>
        <w:jc w:val="center"/>
        <w:tblLayout w:type="fixed"/>
      </w:tblPr>
      <w:tblGrid>
        <w:gridCol w:w="874"/>
        <w:gridCol w:w="878"/>
        <w:gridCol w:w="864"/>
        <w:gridCol w:w="874"/>
        <w:gridCol w:w="874"/>
        <w:gridCol w:w="869"/>
        <w:gridCol w:w="874"/>
        <w:gridCol w:w="869"/>
        <w:gridCol w:w="869"/>
        <w:gridCol w:w="874"/>
        <w:gridCol w:w="87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集资金总 额比例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240" w:firstLine="0"/>
              <w:jc w:val="righ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用途及去 向</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资金金额</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发行非公 开发行公 司债券并 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日，剩余募 集资金余 额 </w:t>
            </w:r>
            <w:r>
              <w:rPr>
                <w:rFonts w:ascii="Times New Roman" w:eastAsia="Times New Roman" w:hAnsi="Times New Roman" w:cs="Times New Roman"/>
                <w:color w:val="000000"/>
                <w:spacing w:val="0"/>
                <w:w w:val="100"/>
                <w:position w:val="0"/>
                <w:sz w:val="18"/>
                <w:szCs w:val="18"/>
              </w:rPr>
              <w:t xml:space="preserve">41.83 </w:t>
            </w:r>
            <w:r>
              <w:rPr>
                <w:color w:val="000000"/>
                <w:spacing w:val="0"/>
                <w:w w:val="100"/>
                <w:position w:val="0"/>
              </w:rPr>
              <w:t>元，全部存 放于募集 资金专户。</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614" w:hRule="exact"/>
        </w:trPr>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年发行非公开发行公司债券并募集资金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经深圳证券交易所《符合深交所转让条件的无异议函》(深证函</w:t>
            </w:r>
            <w:r>
              <w:rPr>
                <w:rFonts w:ascii="Times New Roman" w:eastAsia="Times New Roman" w:hAnsi="Times New Roman" w:cs="Times New Roman"/>
                <w:color w:val="000000"/>
                <w:spacing w:val="0"/>
                <w:w w:val="100"/>
                <w:position w:val="0"/>
                <w:sz w:val="18"/>
                <w:szCs w:val="18"/>
              </w:rPr>
              <w:t>[2016]772</w:t>
            </w:r>
            <w:r>
              <w:rPr>
                <w:color w:val="000000"/>
                <w:spacing w:val="0"/>
                <w:w w:val="100"/>
                <w:position w:val="0"/>
              </w:rPr>
              <w:t xml:space="preserve">号)核准，在深圳交易所转让总额为不超过 </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万元)的非公开发行公司债券，每张面值为人民币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元，每张发行价格为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 票面利率为</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。募集资金总额为人民币</w:t>
            </w:r>
            <w:r>
              <w:rPr>
                <w:rFonts w:ascii="Times New Roman" w:eastAsia="Times New Roman" w:hAnsi="Times New Roman" w:cs="Times New Roman"/>
                <w:color w:val="000000"/>
                <w:spacing w:val="0"/>
                <w:w w:val="100"/>
                <w:position w:val="0"/>
                <w:sz w:val="18"/>
                <w:szCs w:val="18"/>
              </w:rPr>
              <w:t>350,000,000.00</w:t>
            </w:r>
            <w:r>
              <w:rPr>
                <w:color w:val="000000"/>
                <w:spacing w:val="0"/>
                <w:w w:val="100"/>
                <w:position w:val="0"/>
              </w:rPr>
              <w:t>元，扣除承销费</w:t>
            </w:r>
            <w:r>
              <w:rPr>
                <w:rFonts w:ascii="Times New Roman" w:eastAsia="Times New Roman" w:hAnsi="Times New Roman" w:cs="Times New Roman"/>
                <w:color w:val="000000"/>
                <w:spacing w:val="0"/>
                <w:w w:val="100"/>
                <w:position w:val="0"/>
                <w:sz w:val="18"/>
                <w:szCs w:val="18"/>
              </w:rPr>
              <w:t>7,000,000.00</w:t>
            </w:r>
            <w:r>
              <w:rPr>
                <w:color w:val="000000"/>
                <w:spacing w:val="0"/>
                <w:w w:val="100"/>
                <w:position w:val="0"/>
              </w:rPr>
              <w:t>元后，实际募集资金到账金额为 人民币</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元。该募集资金已于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日全部到账，存放在募集资金专户：中国银行股份有限公 司潮州分行(账号：</w:t>
            </w:r>
            <w:r>
              <w:rPr>
                <w:rFonts w:ascii="Times New Roman" w:eastAsia="Times New Roman" w:hAnsi="Times New Roman" w:cs="Times New Roman"/>
                <w:color w:val="000000"/>
                <w:spacing w:val="0"/>
                <w:w w:val="100"/>
                <w:position w:val="0"/>
                <w:sz w:val="18"/>
                <w:szCs w:val="18"/>
              </w:rPr>
              <w:t>686068188616</w:t>
            </w:r>
            <w:r>
              <w:rPr>
                <w:color w:val="000000"/>
                <w:spacing w:val="0"/>
                <w:w w:val="100"/>
                <w:position w:val="0"/>
              </w:rPr>
              <w:t>)。募集资金到账金额为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 xml:space="preserve">元。截止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日，公司累计募集资金净额为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元，募集资金项目累计投入</w:t>
            </w:r>
            <w:r>
              <w:rPr>
                <w:rFonts w:ascii="Times New Roman" w:eastAsia="Times New Roman" w:hAnsi="Times New Roman" w:cs="Times New Roman"/>
                <w:color w:val="000000"/>
                <w:spacing w:val="0"/>
                <w:w w:val="100"/>
                <w:position w:val="0"/>
                <w:sz w:val="18"/>
                <w:szCs w:val="18"/>
              </w:rPr>
              <w:t>344,149,800.00</w:t>
            </w:r>
            <w:r>
              <w:rPr>
                <w:color w:val="000000"/>
                <w:spacing w:val="0"/>
                <w:w w:val="100"/>
                <w:position w:val="0"/>
              </w:rPr>
              <w:t>元，其中：累计 归还银行贷款</w:t>
            </w:r>
            <w:r>
              <w:rPr>
                <w:rFonts w:ascii="Times New Roman" w:eastAsia="Times New Roman" w:hAnsi="Times New Roman" w:cs="Times New Roman"/>
                <w:color w:val="000000"/>
                <w:spacing w:val="0"/>
                <w:w w:val="100"/>
                <w:position w:val="0"/>
                <w:sz w:val="18"/>
                <w:szCs w:val="18"/>
              </w:rPr>
              <w:t>204,149,800.00</w:t>
            </w:r>
            <w:r>
              <w:rPr>
                <w:color w:val="000000"/>
                <w:spacing w:val="0"/>
                <w:w w:val="100"/>
                <w:position w:val="0"/>
              </w:rPr>
              <w:t>元，补充流动资金</w:t>
            </w:r>
            <w:r>
              <w:rPr>
                <w:rFonts w:ascii="Times New Roman" w:eastAsia="Times New Roman" w:hAnsi="Times New Roman" w:cs="Times New Roman"/>
                <w:color w:val="000000"/>
                <w:spacing w:val="0"/>
                <w:w w:val="100"/>
                <w:position w:val="0"/>
                <w:sz w:val="18"/>
                <w:szCs w:val="18"/>
              </w:rPr>
              <w:t>140,000,000.00</w:t>
            </w:r>
            <w:r>
              <w:rPr>
                <w:color w:val="000000"/>
                <w:spacing w:val="0"/>
                <w:w w:val="100"/>
                <w:position w:val="0"/>
              </w:rPr>
              <w:t>元，支付诉讼费用</w:t>
            </w:r>
            <w:r>
              <w:rPr>
                <w:rFonts w:ascii="Times New Roman" w:eastAsia="Times New Roman" w:hAnsi="Times New Roman" w:cs="Times New Roman"/>
                <w:color w:val="000000"/>
                <w:spacing w:val="0"/>
                <w:w w:val="100"/>
                <w:position w:val="0"/>
                <w:sz w:val="18"/>
                <w:szCs w:val="18"/>
              </w:rPr>
              <w:t>142,996.38</w:t>
            </w:r>
            <w:r>
              <w:rPr>
                <w:color w:val="000000"/>
                <w:spacing w:val="0"/>
                <w:w w:val="100"/>
                <w:position w:val="0"/>
              </w:rPr>
              <w:t>元；加上扣除手续费后累计 利息收入净额</w:t>
            </w:r>
            <w:r>
              <w:rPr>
                <w:rFonts w:ascii="Times New Roman" w:eastAsia="Times New Roman" w:hAnsi="Times New Roman" w:cs="Times New Roman"/>
                <w:color w:val="000000"/>
                <w:spacing w:val="0"/>
                <w:w w:val="100"/>
                <w:position w:val="0"/>
                <w:sz w:val="18"/>
                <w:szCs w:val="18"/>
              </w:rPr>
              <w:t>1,292,838.21</w:t>
            </w:r>
            <w:r>
              <w:rPr>
                <w:color w:val="000000"/>
                <w:spacing w:val="0"/>
                <w:w w:val="100"/>
                <w:position w:val="0"/>
              </w:rPr>
              <w:t>元，剩余募集资金余额</w:t>
            </w:r>
            <w:r>
              <w:rPr>
                <w:rFonts w:ascii="Times New Roman" w:eastAsia="Times New Roman" w:hAnsi="Times New Roman" w:cs="Times New Roman"/>
                <w:color w:val="000000"/>
                <w:spacing w:val="0"/>
                <w:w w:val="100"/>
                <w:position w:val="0"/>
                <w:sz w:val="18"/>
                <w:szCs w:val="18"/>
              </w:rPr>
              <w:t>41.83</w:t>
            </w:r>
            <w:r>
              <w:rPr>
                <w:color w:val="000000"/>
                <w:spacing w:val="0"/>
                <w:w w:val="100"/>
                <w:position w:val="0"/>
              </w:rPr>
              <w:t>元；本年度使用募集资金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 集资金余额为人民币</w:t>
            </w:r>
            <w:r>
              <w:rPr>
                <w:rFonts w:ascii="Times New Roman" w:eastAsia="Times New Roman" w:hAnsi="Times New Roman" w:cs="Times New Roman"/>
                <w:color w:val="000000"/>
                <w:spacing w:val="0"/>
                <w:w w:val="100"/>
                <w:position w:val="0"/>
                <w:sz w:val="18"/>
                <w:szCs w:val="18"/>
              </w:rPr>
              <w:t>41.83</w:t>
            </w:r>
            <w:r>
              <w:rPr>
                <w:color w:val="000000"/>
                <w:spacing w:val="0"/>
                <w:w w:val="100"/>
                <w:position w:val="0"/>
              </w:rPr>
              <w:t>元。</w:t>
            </w:r>
          </w:p>
        </w:tc>
      </w:tr>
    </w:tbl>
    <w:p>
      <w:pPr>
        <w:widowControl w:val="0"/>
        <w:spacing w:after="319" w:line="1" w:lineRule="exact"/>
      </w:pPr>
    </w:p>
    <w:p>
      <w:pPr>
        <w:pStyle w:val="Style29"/>
        <w:keepNext/>
        <w:keepLines/>
        <w:widowControl w:val="0"/>
        <w:numPr>
          <w:ilvl w:val="0"/>
          <w:numId w:val="1"/>
        </w:numPr>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募集资金承诺项目情况</w:t>
      </w:r>
      <w:bookmarkEnd w:id="191"/>
      <w:bookmarkEnd w:id="192"/>
      <w:bookmarkEnd w:id="19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34"/>
        <w:gridCol w:w="888"/>
        <w:gridCol w:w="902"/>
        <w:gridCol w:w="730"/>
        <w:gridCol w:w="893"/>
        <w:gridCol w:w="907"/>
        <w:gridCol w:w="725"/>
        <w:gridCol w:w="725"/>
        <w:gridCol w:w="898"/>
        <w:gridCol w:w="734"/>
        <w:gridCol w:w="739"/>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项目可 行性是 否发生 重大变 化</w:t>
            </w: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偿还短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补充营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34,429.28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0"/>
        <w:gridCol w:w="734"/>
        <w:gridCol w:w="888"/>
        <w:gridCol w:w="898"/>
        <w:gridCol w:w="734"/>
        <w:gridCol w:w="893"/>
        <w:gridCol w:w="898"/>
        <w:gridCol w:w="734"/>
        <w:gridCol w:w="715"/>
        <w:gridCol w:w="907"/>
        <w:gridCol w:w="730"/>
        <w:gridCol w:w="730"/>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资项目 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34,429.28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2"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募集资 金投资 项目先 期投入 及置换</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210"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88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日，剩余募集资金余额</w:t>
            </w:r>
            <w:r>
              <w:rPr>
                <w:rFonts w:ascii="Times New Roman" w:eastAsia="Times New Roman" w:hAnsi="Times New Roman" w:cs="Times New Roman"/>
                <w:color w:val="000000"/>
                <w:spacing w:val="0"/>
                <w:w w:val="100"/>
                <w:position w:val="0"/>
                <w:sz w:val="18"/>
                <w:szCs w:val="18"/>
              </w:rPr>
              <w:t>41.83</w:t>
            </w:r>
            <w:r>
              <w:rPr>
                <w:color w:val="000000"/>
                <w:spacing w:val="0"/>
                <w:w w:val="100"/>
                <w:position w:val="0"/>
              </w:rPr>
              <w:t>元，全部存放于募集资金专户。</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1"/>
        </w:numPr>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募集资金变更项目情况</w:t>
      </w:r>
      <w:bookmarkEnd w:id="195"/>
      <w:bookmarkEnd w:id="196"/>
      <w:bookmarkEnd w:id="198"/>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19"/>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八</w:t>
      </w:r>
      <w:bookmarkEnd w:id="201"/>
      <w:r>
        <w:rPr>
          <w:color w:val="000000"/>
          <w:spacing w:val="0"/>
          <w:w w:val="100"/>
          <w:position w:val="0"/>
        </w:rPr>
        <w:t>、重大资产和股权出售</w:t>
      </w:r>
      <w:bookmarkEnd w:id="199"/>
      <w:bookmarkEnd w:id="200"/>
      <w:bookmarkEnd w:id="202"/>
    </w:p>
    <w:p>
      <w:pPr>
        <w:pStyle w:val="Style23"/>
        <w:keepNext/>
        <w:keepLines/>
        <w:widowControl w:val="0"/>
        <w:shd w:val="clear" w:color="auto" w:fill="auto"/>
        <w:tabs>
          <w:tab w:pos="358"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3"/>
        <w:keepNext/>
        <w:keepLines/>
        <w:widowControl w:val="0"/>
        <w:shd w:val="clear" w:color="auto" w:fill="auto"/>
        <w:tabs>
          <w:tab w:pos="368"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九</w:t>
      </w:r>
      <w:bookmarkEnd w:id="213"/>
      <w:r>
        <w:rPr>
          <w:color w:val="000000"/>
          <w:spacing w:val="0"/>
          <w:w w:val="100"/>
          <w:position w:val="0"/>
        </w:rPr>
        <w:t>、主要控股参股公司分析</w:t>
      </w:r>
      <w:bookmarkEnd w:id="211"/>
      <w:bookmarkEnd w:id="212"/>
      <w:bookmarkEnd w:id="21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河南智游臻 龙教育科技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57,876,971.3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3,758,508.45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40222201.3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潮州市长城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世家瓷业有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180,049,000.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288,120,478.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14,380,106.5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-106,533,275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-106,515,607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东莞市雅鑫实业有限公司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净利润 </w:t>
            </w:r>
            <w:r>
              <w:rPr>
                <w:rFonts w:ascii="Times New Roman" w:eastAsia="Times New Roman" w:hAnsi="Times New Roman" w:cs="Times New Roman"/>
                <w:color w:val="000000"/>
                <w:spacing w:val="0"/>
                <w:w w:val="100"/>
                <w:position w:val="0"/>
                <w:sz w:val="18"/>
                <w:szCs w:val="18"/>
              </w:rPr>
              <w:t>224,214.50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299" w:line="1" w:lineRule="exact"/>
      </w:pPr>
    </w:p>
    <w:p>
      <w:pPr>
        <w:pStyle w:val="Style19"/>
        <w:keepNext/>
        <w:keepLines/>
        <w:widowControl w:val="0"/>
        <w:shd w:val="clear" w:color="auto" w:fill="auto"/>
        <w:bidi w:val="0"/>
        <w:spacing w:before="0" w:after="380" w:line="314" w:lineRule="exact"/>
        <w:ind w:left="0" w:right="0" w:firstLine="0"/>
        <w:jc w:val="left"/>
      </w:pPr>
      <w:bookmarkStart w:id="215" w:name="bookmark215"/>
      <w:bookmarkStart w:id="216" w:name="bookmark216"/>
      <w:bookmarkStart w:id="217" w:name="bookmark217"/>
      <w:r>
        <w:rPr>
          <w:color w:val="000000"/>
          <w:spacing w:val="0"/>
          <w:w w:val="100"/>
          <w:position w:val="0"/>
        </w:rPr>
        <w:t>十、公司控制的结构化主体情况</w:t>
      </w:r>
      <w:bookmarkEnd w:id="215"/>
      <w:bookmarkEnd w:id="216"/>
      <w:bookmarkEnd w:id="217"/>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00" w:line="314" w:lineRule="exact"/>
        <w:ind w:left="0" w:right="0" w:firstLine="0"/>
        <w:jc w:val="left"/>
      </w:pPr>
      <w:bookmarkStart w:id="218" w:name="bookmark218"/>
      <w:bookmarkStart w:id="219" w:name="bookmark219"/>
      <w:bookmarkStart w:id="220" w:name="bookmark220"/>
      <w:r>
        <w:rPr>
          <w:color w:val="000000"/>
          <w:spacing w:val="0"/>
          <w:w w:val="100"/>
          <w:position w:val="0"/>
        </w:rPr>
        <w:t>十一、公司未来发展的展望</w:t>
      </w:r>
      <w:bookmarkEnd w:id="218"/>
      <w:bookmarkEnd w:id="219"/>
      <w:bookmarkEnd w:id="220"/>
    </w:p>
    <w:p>
      <w:pPr>
        <w:pStyle w:val="Style13"/>
        <w:keepNext w:val="0"/>
        <w:keepLines w:val="0"/>
        <w:widowControl w:val="0"/>
        <w:shd w:val="clear" w:color="auto" w:fill="auto"/>
        <w:bidi w:val="0"/>
        <w:spacing w:before="0" w:after="40" w:line="314" w:lineRule="exact"/>
        <w:ind w:left="0" w:right="0" w:firstLine="480"/>
        <w:jc w:val="left"/>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年是公司新一届经营管理团队履职的开局之年，机遇和挑战并存，公司将在董事会 及公司领导层的带领下，大力开拓新领域、开发新产品，坚持以客户为中心，以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降低成本、 提高质量、按时交期、不断创新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为发展目标，为客户提供超预期的产品和服务；同时，公司 管理层一定会破难攻坚，踔厉奋发，笃定前行，推动公司发展迈上新台阶。</w:t>
      </w:r>
    </w:p>
    <w:p>
      <w:pPr>
        <w:pStyle w:val="Style13"/>
        <w:keepNext w:val="0"/>
        <w:keepLines w:val="0"/>
        <w:widowControl w:val="0"/>
        <w:shd w:val="clear" w:color="auto" w:fill="auto"/>
        <w:bidi w:val="0"/>
        <w:spacing w:before="0" w:after="0" w:line="276" w:lineRule="auto"/>
        <w:ind w:left="0" w:right="0" w:firstLine="4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在陶瓷方面：</w:t>
      </w:r>
    </w:p>
    <w:p>
      <w:pPr>
        <w:pStyle w:val="Style1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公司将加速创新和品牌运营，实现陶瓷产业跨界发展和品牌竞争力，主要通过以下几个 方面：</w:t>
      </w:r>
    </w:p>
    <w:p>
      <w:pPr>
        <w:pStyle w:val="Style13"/>
        <w:keepNext w:val="0"/>
        <w:keepLines w:val="0"/>
        <w:widowControl w:val="0"/>
        <w:numPr>
          <w:ilvl w:val="0"/>
          <w:numId w:val="3"/>
        </w:numPr>
        <w:shd w:val="clear" w:color="auto" w:fill="auto"/>
        <w:tabs>
          <w:tab w:pos="896" w:val="left"/>
        </w:tabs>
        <w:bidi w:val="0"/>
        <w:spacing w:before="0" w:after="0" w:line="314" w:lineRule="exact"/>
        <w:ind w:left="0" w:right="0" w:firstLine="480"/>
        <w:jc w:val="both"/>
      </w:pPr>
      <w:bookmarkStart w:id="221" w:name="bookmark221"/>
      <w:bookmarkEnd w:id="221"/>
      <w:r>
        <w:rPr>
          <w:color w:val="000000"/>
          <w:spacing w:val="0"/>
          <w:w w:val="100"/>
          <w:position w:val="0"/>
        </w:rPr>
        <w:t>目前，原材料成本、人工成本和运输成本等整体呈上涨趋势，且出现招工难的现象， 公司开始通过改进生产技术和设备升级，采用新型、节能的自动化设备，用新工艺、新技术 代替传统的生产方式，希望通过实现自动化流程和智能操作控制的方式，提高生产效率，提 升产品品质，降低能耗和成本。</w:t>
      </w:r>
    </w:p>
    <w:p>
      <w:pPr>
        <w:pStyle w:val="Style13"/>
        <w:keepNext w:val="0"/>
        <w:keepLines w:val="0"/>
        <w:widowControl w:val="0"/>
        <w:numPr>
          <w:ilvl w:val="0"/>
          <w:numId w:val="3"/>
        </w:numPr>
        <w:shd w:val="clear" w:color="auto" w:fill="auto"/>
        <w:tabs>
          <w:tab w:pos="891" w:val="left"/>
        </w:tabs>
        <w:bidi w:val="0"/>
        <w:spacing w:before="0" w:after="0" w:line="314" w:lineRule="exact"/>
        <w:ind w:left="0" w:right="0" w:firstLine="480"/>
        <w:jc w:val="both"/>
      </w:pPr>
      <w:bookmarkStart w:id="222" w:name="bookmark222"/>
      <w:bookmarkEnd w:id="222"/>
      <w:r>
        <w:rPr>
          <w:color w:val="000000"/>
          <w:spacing w:val="0"/>
          <w:w w:val="100"/>
          <w:position w:val="0"/>
        </w:rPr>
        <w:t>酒文化源远流长，酒在古代并不仅仅是一种饮料，还是礼仪中不可缺少的物品。随着 礼仪制度的形成和发展，酒具便成为礼器的组成部分，在历史上有着很大的意义和价值。精 美的酒具不仅为品酒增添了美感和情趣，其本自身在工艺造型上也展现了极为丰富的艺术魅 力，为消费者的生活增光添彩。目前，公司着力开发承载丰富内涵的酒具，做到在保证品质 的基础上，满足个性化消费的市场需求。</w:t>
      </w:r>
    </w:p>
    <w:p>
      <w:pPr>
        <w:pStyle w:val="Style13"/>
        <w:keepNext w:val="0"/>
        <w:keepLines w:val="0"/>
        <w:widowControl w:val="0"/>
        <w:numPr>
          <w:ilvl w:val="0"/>
          <w:numId w:val="3"/>
        </w:numPr>
        <w:shd w:val="clear" w:color="auto" w:fill="auto"/>
        <w:tabs>
          <w:tab w:pos="896" w:val="left"/>
        </w:tabs>
        <w:bidi w:val="0"/>
        <w:spacing w:before="0" w:after="0" w:line="314" w:lineRule="exact"/>
        <w:ind w:left="0" w:right="0" w:firstLine="480"/>
        <w:jc w:val="both"/>
      </w:pPr>
      <w:bookmarkStart w:id="223" w:name="bookmark223"/>
      <w:bookmarkEnd w:id="223"/>
      <w:r>
        <w:rPr>
          <w:color w:val="000000"/>
          <w:spacing w:val="0"/>
          <w:w w:val="100"/>
          <w:position w:val="0"/>
        </w:rPr>
        <w:t>多种渠道营销公司产品，目前公司正在进一步打造具有长城特色的系列产品，并计划 开发或者联名特色</w:t>
      </w:r>
      <w:r>
        <w:rPr>
          <w:rFonts w:ascii="Times New Roman" w:eastAsia="Times New Roman" w:hAnsi="Times New Roman" w:cs="Times New Roman"/>
          <w:color w:val="000000"/>
          <w:spacing w:val="0"/>
          <w:w w:val="100"/>
          <w:position w:val="0"/>
          <w:sz w:val="24"/>
          <w:szCs w:val="24"/>
        </w:rPr>
        <w:t>IP</w:t>
      </w:r>
      <w:r>
        <w:rPr>
          <w:color w:val="000000"/>
          <w:spacing w:val="0"/>
          <w:w w:val="100"/>
          <w:position w:val="0"/>
        </w:rPr>
        <w:t>，</w:t>
      </w:r>
      <w:r>
        <w:rPr>
          <w:color w:val="000000"/>
          <w:spacing w:val="0"/>
          <w:w w:val="100"/>
          <w:position w:val="0"/>
        </w:rPr>
        <w:t xml:space="preserve">赋予产品更加深刻的寓意，同时公司在寻求大牌直播带货主播的合作， </w:t>
      </w:r>
      <w:r>
        <w:rPr>
          <w:color w:val="000000"/>
          <w:spacing w:val="0"/>
          <w:w w:val="100"/>
          <w:position w:val="0"/>
        </w:rPr>
        <w:t>通过借助直播平台提升公司的品牌知名度。</w:t>
      </w:r>
    </w:p>
    <w:p>
      <w:pPr>
        <w:pStyle w:val="Style13"/>
        <w:keepNext w:val="0"/>
        <w:keepLines w:val="0"/>
        <w:widowControl w:val="0"/>
        <w:numPr>
          <w:ilvl w:val="0"/>
          <w:numId w:val="3"/>
        </w:numPr>
        <w:shd w:val="clear" w:color="auto" w:fill="auto"/>
        <w:bidi w:val="0"/>
        <w:spacing w:before="0" w:after="0" w:line="313" w:lineRule="exact"/>
        <w:ind w:left="0" w:right="0" w:firstLine="480"/>
        <w:jc w:val="both"/>
      </w:pPr>
      <w:bookmarkStart w:id="224" w:name="bookmark224"/>
      <w:bookmarkEnd w:id="224"/>
      <w:r>
        <w:rPr>
          <w:color w:val="000000"/>
          <w:spacing w:val="0"/>
          <w:w w:val="100"/>
          <w:position w:val="0"/>
        </w:rPr>
        <w:t>随着国内外市场对陶瓷产品的质量要求越来越高，公司也会依据市场不断变动的观念 进行革新，不断推出高品质、外观造型美、低铅、镉溶出量达标、热稳定性好的日用瓷产品， 提升在全国市场的占有率。</w:t>
      </w:r>
    </w:p>
    <w:p>
      <w:pPr>
        <w:pStyle w:val="Style1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）在教育方面：</w:t>
      </w:r>
    </w:p>
    <w:p>
      <w:pPr>
        <w:pStyle w:val="Style1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在与传统学历教育旷日持久的对抗战中，</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职业教育伴随着中国</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产业的飞速发展，越 来越受到社会、国家和全体国民的关注与重视，这与我国目前高速发展的信息化建设密不可 分。</w:t>
      </w:r>
    </w:p>
    <w:p>
      <w:pPr>
        <w:pStyle w:val="Style13"/>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在最新的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规划中，习近平总书记指出：没有信息化，就没有现代化。信息化在 企业转型升级、国家创新体系建设以及国际竞争中均具有关键作用，成为推动经济社会变革 的重要力量。</w:t>
      </w:r>
    </w:p>
    <w:p>
      <w:pPr>
        <w:pStyle w:val="Style13"/>
        <w:keepNext w:val="0"/>
        <w:keepLines w:val="0"/>
        <w:widowControl w:val="0"/>
        <w:shd w:val="clear" w:color="auto" w:fill="auto"/>
        <w:bidi w:val="0"/>
        <w:spacing w:before="0" w:after="0" w:line="313" w:lineRule="exact"/>
        <w:ind w:left="0" w:right="0" w:firstLine="580"/>
        <w:jc w:val="both"/>
      </w:pPr>
      <w:r>
        <w:rPr>
          <w:color w:val="000000"/>
          <w:spacing w:val="0"/>
          <w:w w:val="100"/>
          <w:position w:val="0"/>
        </w:rPr>
        <w:t>信息化建设的关键因素就是人才的培养，尽管我国高等院校每年都有大量的计算机专业 学生毕业，但是由于体制以及信息化专业技术和市场环境的日新月异</w:t>
      </w:r>
      <w:r>
        <w:rPr>
          <w:color w:val="000000"/>
          <w:spacing w:val="0"/>
          <w:w w:val="100"/>
          <w:position w:val="0"/>
          <w:sz w:val="24"/>
          <w:szCs w:val="24"/>
        </w:rPr>
        <w:t>，</w:t>
      </w:r>
      <w:r>
        <w:rPr>
          <w:color w:val="000000"/>
          <w:spacing w:val="0"/>
          <w:w w:val="100"/>
          <w:position w:val="0"/>
        </w:rPr>
        <w:t>学生在校园里很难获得 实际的项目操作经验，无法满足整个</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行业的用人需求，造成了</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行业人才极其短缺的现状。 因此，</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行业如今最普遍的问题就是，学历教育与企业实际需求相脱节</w:t>
      </w:r>
      <w:r>
        <w:rPr>
          <w:color w:val="000000"/>
          <w:spacing w:val="0"/>
          <w:w w:val="100"/>
          <w:position w:val="0"/>
          <w:sz w:val="24"/>
          <w:szCs w:val="24"/>
        </w:rPr>
        <w:t>，</w:t>
      </w:r>
      <w:r>
        <w:rPr>
          <w:color w:val="000000"/>
          <w:spacing w:val="0"/>
          <w:w w:val="100"/>
          <w:position w:val="0"/>
        </w:rPr>
        <w:t>这也直接造就了</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培 训行业的火爆。</w:t>
      </w:r>
    </w:p>
    <w:p>
      <w:pPr>
        <w:pStyle w:val="Style1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回顾过去，憧憬未来，通过对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年公司经营工作进行分析，总结经验，吸取教训， 同时对</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年度经营情况进行规划，对于公司实现健康、快速发展具有十分重要的意义。</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rPr>
        <w:t>年经营工作总的指导思想是：规范管理、做好规划、创造价值！公司一直深耕于职业教育领 域，在职业教育相关政策的引领下以及管理团队对职业教育的深度思考，公司未来的发展规 划如下：</w:t>
      </w:r>
    </w:p>
    <w:p>
      <w:pPr>
        <w:pStyle w:val="Style13"/>
        <w:keepNext w:val="0"/>
        <w:keepLines w:val="0"/>
        <w:widowControl w:val="0"/>
        <w:shd w:val="clear" w:color="auto" w:fill="auto"/>
        <w:tabs>
          <w:tab w:pos="1039" w:val="left"/>
        </w:tabs>
        <w:bidi w:val="0"/>
        <w:spacing w:before="0" w:after="0" w:line="271" w:lineRule="auto"/>
        <w:ind w:left="0" w:right="0" w:firstLine="680"/>
        <w:jc w:val="both"/>
      </w:pPr>
      <w:bookmarkStart w:id="225" w:name="bookmark225"/>
      <w:r>
        <w:rPr>
          <w:rFonts w:ascii="Times New Roman" w:eastAsia="Times New Roman" w:hAnsi="Times New Roman" w:cs="Times New Roman"/>
          <w:color w:val="000000"/>
          <w:spacing w:val="0"/>
          <w:w w:val="100"/>
          <w:position w:val="0"/>
          <w:sz w:val="24"/>
          <w:szCs w:val="24"/>
        </w:rPr>
        <w:t>1</w:t>
      </w:r>
      <w:bookmarkEnd w:id="22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OMO</w:t>
      </w:r>
      <w:r>
        <w:rPr>
          <w:color w:val="000000"/>
          <w:spacing w:val="0"/>
          <w:w w:val="100"/>
          <w:position w:val="0"/>
        </w:rPr>
        <w:t>教育</w:t>
      </w:r>
    </w:p>
    <w:p>
      <w:pPr>
        <w:pStyle w:val="Style1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公司对在线教育布局已久，经过市场检验及分析，公司将继续加大在线教育的投入力度，特 别是线上线下融合的</w:t>
      </w:r>
      <w:r>
        <w:rPr>
          <w:rFonts w:ascii="Times New Roman" w:eastAsia="Times New Roman" w:hAnsi="Times New Roman" w:cs="Times New Roman"/>
          <w:color w:val="000000"/>
          <w:spacing w:val="0"/>
          <w:w w:val="100"/>
          <w:position w:val="0"/>
          <w:sz w:val="24"/>
          <w:szCs w:val="24"/>
        </w:rPr>
        <w:t>OMO</w:t>
      </w:r>
      <w:r>
        <w:rPr>
          <w:color w:val="000000"/>
          <w:spacing w:val="0"/>
          <w:w w:val="100"/>
          <w:position w:val="0"/>
        </w:rPr>
        <w:t>教育新模式，未来公司在平台研发、内容制作等工作上将持续投入， 线下培训和</w:t>
      </w:r>
      <w:r>
        <w:rPr>
          <w:rFonts w:ascii="Times New Roman" w:eastAsia="Times New Roman" w:hAnsi="Times New Roman" w:cs="Times New Roman"/>
          <w:color w:val="000000"/>
          <w:spacing w:val="0"/>
          <w:w w:val="100"/>
          <w:position w:val="0"/>
          <w:sz w:val="24"/>
          <w:szCs w:val="24"/>
        </w:rPr>
        <w:t>OMO</w:t>
      </w:r>
      <w:r>
        <w:rPr>
          <w:color w:val="000000"/>
          <w:spacing w:val="0"/>
          <w:w w:val="100"/>
          <w:position w:val="0"/>
        </w:rPr>
        <w:t>教育并行发展。</w:t>
      </w:r>
    </w:p>
    <w:p>
      <w:pPr>
        <w:pStyle w:val="Style13"/>
        <w:keepNext w:val="0"/>
        <w:keepLines w:val="0"/>
        <w:widowControl w:val="0"/>
        <w:shd w:val="clear" w:color="auto" w:fill="auto"/>
        <w:tabs>
          <w:tab w:pos="1063" w:val="left"/>
        </w:tabs>
        <w:bidi w:val="0"/>
        <w:spacing w:before="0" w:after="0" w:line="271" w:lineRule="auto"/>
        <w:ind w:left="0" w:right="0" w:firstLine="680"/>
        <w:jc w:val="both"/>
      </w:pPr>
      <w:bookmarkStart w:id="226" w:name="bookmark226"/>
      <w:r>
        <w:rPr>
          <w:rFonts w:ascii="Times New Roman" w:eastAsia="Times New Roman" w:hAnsi="Times New Roman" w:cs="Times New Roman"/>
          <w:color w:val="000000"/>
          <w:spacing w:val="0"/>
          <w:w w:val="100"/>
          <w:position w:val="0"/>
          <w:sz w:val="24"/>
          <w:szCs w:val="24"/>
        </w:rPr>
        <w:t>2</w:t>
      </w:r>
      <w:bookmarkEnd w:id="226"/>
      <w:r>
        <w:rPr>
          <w:color w:val="000000"/>
          <w:spacing w:val="0"/>
          <w:w w:val="100"/>
          <w:position w:val="0"/>
        </w:rPr>
        <w:t>、</w:t>
        <w:tab/>
        <w:t>专业共建、二级学院建设</w:t>
      </w:r>
    </w:p>
    <w:p>
      <w:pPr>
        <w:pStyle w:val="Style13"/>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公司目前已与多所院校达成了专业共建的合作模式，在产教融合、协同育人等政策的引领下， 凭借公司在行业内良好的口碑和就业服务未来将与更多高校达成专业共建及二级学院的合 作，继续稳固行业地位。</w:t>
      </w:r>
    </w:p>
    <w:p>
      <w:pPr>
        <w:pStyle w:val="Style13"/>
        <w:keepNext w:val="0"/>
        <w:keepLines w:val="0"/>
        <w:widowControl w:val="0"/>
        <w:shd w:val="clear" w:color="auto" w:fill="auto"/>
        <w:bidi w:val="0"/>
        <w:spacing w:before="0" w:after="0" w:line="271" w:lineRule="auto"/>
        <w:ind w:left="0" w:right="0" w:firstLine="580"/>
        <w:jc w:val="both"/>
      </w:pPr>
      <w:bookmarkStart w:id="227" w:name="bookmark227"/>
      <w:r>
        <w:rPr>
          <w:rFonts w:ascii="Times New Roman" w:eastAsia="Times New Roman" w:hAnsi="Times New Roman" w:cs="Times New Roman"/>
          <w:color w:val="000000"/>
          <w:spacing w:val="0"/>
          <w:w w:val="100"/>
          <w:position w:val="0"/>
          <w:sz w:val="24"/>
          <w:szCs w:val="24"/>
        </w:rPr>
        <w:t>3</w:t>
      </w:r>
      <w:bookmarkEnd w:id="227"/>
      <w:r>
        <w:rPr>
          <w:color w:val="000000"/>
          <w:spacing w:val="0"/>
          <w:w w:val="100"/>
          <w:position w:val="0"/>
        </w:rPr>
        <w:t>、职教学院</w:t>
      </w:r>
    </w:p>
    <w:p>
      <w:pPr>
        <w:pStyle w:val="Style13"/>
        <w:keepNext w:val="0"/>
        <w:keepLines w:val="0"/>
        <w:widowControl w:val="0"/>
        <w:shd w:val="clear" w:color="auto" w:fill="auto"/>
        <w:bidi w:val="0"/>
        <w:spacing w:before="0" w:after="660" w:line="311" w:lineRule="exact"/>
        <w:ind w:left="0" w:right="0" w:firstLine="0"/>
        <w:jc w:val="both"/>
      </w:pPr>
      <w:r>
        <w:rPr>
          <w:color w:val="000000"/>
          <w:spacing w:val="0"/>
          <w:w w:val="100"/>
          <w:position w:val="0"/>
        </w:rPr>
        <w:t>公司针对初、高中落榜生以及社会上年龄小、低学历的人群成立了职教学院，在原有大学生 短期培训的基础上研发了新的课程，对此类人群进行长期培训，经过公司两年左右的探索， 目前已初具效果和规模。未来公司将继续下沉市场区域，扩大市场团队，为此类学生提供更 好的教学和就业服务。</w:t>
      </w:r>
    </w:p>
    <w:p>
      <w:pPr>
        <w:pStyle w:val="Style19"/>
        <w:keepNext/>
        <w:keepLines/>
        <w:widowControl w:val="0"/>
        <w:shd w:val="clear" w:color="auto" w:fill="auto"/>
        <w:bidi w:val="0"/>
        <w:spacing w:before="0" w:after="380" w:line="240" w:lineRule="auto"/>
        <w:ind w:left="0" w:right="0" w:firstLine="0"/>
        <w:jc w:val="both"/>
      </w:pPr>
      <w:bookmarkStart w:id="228" w:name="bookmark228"/>
      <w:bookmarkStart w:id="229" w:name="bookmark229"/>
      <w:bookmarkStart w:id="230" w:name="bookmark230"/>
      <w:r>
        <w:rPr>
          <w:color w:val="000000"/>
          <w:spacing w:val="0"/>
          <w:w w:val="100"/>
          <w:position w:val="0"/>
        </w:rPr>
        <w:t>十二、报告期内接待调研、沟通、采访等活动登记表</w:t>
      </w:r>
      <w:bookmarkEnd w:id="228"/>
      <w:bookmarkEnd w:id="229"/>
      <w:bookmarkEnd w:id="230"/>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0" w:after="500" w:line="240" w:lineRule="auto"/>
        <w:ind w:left="0" w:right="0" w:firstLine="0"/>
        <w:jc w:val="center"/>
      </w:pPr>
      <w:bookmarkStart w:id="231" w:name="bookmark231"/>
      <w:bookmarkStart w:id="232" w:name="bookmark232"/>
      <w:bookmarkStart w:id="233" w:name="bookmark233"/>
      <w:r>
        <w:rPr>
          <w:color w:val="000000"/>
          <w:spacing w:val="0"/>
          <w:w w:val="100"/>
          <w:position w:val="0"/>
        </w:rPr>
        <w:t>第四节公司治理</w:t>
      </w:r>
      <w:bookmarkEnd w:id="231"/>
      <w:bookmarkEnd w:id="232"/>
      <w:bookmarkEnd w:id="233"/>
    </w:p>
    <w:p>
      <w:pPr>
        <w:pStyle w:val="Style19"/>
        <w:keepNext/>
        <w:keepLines/>
        <w:widowControl w:val="0"/>
        <w:shd w:val="clear" w:color="auto" w:fill="auto"/>
        <w:tabs>
          <w:tab w:pos="513" w:val="left"/>
        </w:tabs>
        <w:bidi w:val="0"/>
        <w:spacing w:before="0" w:after="300" w:line="312"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一</w:t>
      </w:r>
      <w:bookmarkEnd w:id="236"/>
      <w:r>
        <w:rPr>
          <w:color w:val="000000"/>
          <w:spacing w:val="0"/>
          <w:w w:val="100"/>
          <w:position w:val="0"/>
        </w:rPr>
        <w:t>、</w:t>
        <w:tab/>
        <w:t>公司治理的基本状况</w:t>
      </w:r>
      <w:bookmarkEnd w:id="234"/>
      <w:bookmarkEnd w:id="235"/>
      <w:bookmarkEnd w:id="237"/>
    </w:p>
    <w:p>
      <w:pPr>
        <w:pStyle w:val="Style1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券交易所创业板股票上市规则》、《深圳证券交易所上市公司自律监管指引第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号——创业板 上市公司规范运作》和中国证监会有关法律法规等相关要求，不断完善公司的法人治理结构， 建立健全公司内部管理和控制制度，持续深入开展公司治理活动，促进公司规范运作，提高 公司治理水平。</w:t>
      </w:r>
    </w:p>
    <w:p>
      <w:pPr>
        <w:pStyle w:val="Style1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截至报告期末，公司治理结构的实际状况符合《上市公司治理准则》和《深圳证券交易 所上市公司自律监管指引第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号——创业板上市公司规范运作》等要求。</w:t>
      </w:r>
    </w:p>
    <w:p>
      <w:pPr>
        <w:pStyle w:val="Style13"/>
        <w:keepNext w:val="0"/>
        <w:keepLines w:val="0"/>
        <w:widowControl w:val="0"/>
        <w:shd w:val="clear" w:color="auto" w:fill="auto"/>
        <w:tabs>
          <w:tab w:pos="1123" w:val="left"/>
        </w:tabs>
        <w:bidi w:val="0"/>
        <w:spacing w:before="0" w:after="0" w:line="311" w:lineRule="exact"/>
        <w:ind w:left="0" w:right="0" w:firstLine="480"/>
        <w:jc w:val="left"/>
      </w:pPr>
      <w:bookmarkStart w:id="238" w:name="bookmark238"/>
      <w:r>
        <w:rPr>
          <w:color w:val="000000"/>
          <w:spacing w:val="0"/>
          <w:w w:val="100"/>
          <w:position w:val="0"/>
        </w:rPr>
        <w:t>（</w:t>
      </w:r>
      <w:bookmarkEnd w:id="238"/>
      <w:r>
        <w:rPr>
          <w:color w:val="000000"/>
          <w:spacing w:val="0"/>
          <w:w w:val="100"/>
          <w:position w:val="0"/>
        </w:rPr>
        <w:t>一）</w:t>
        <w:tab/>
        <w:t>关于股东与股东大会</w:t>
      </w:r>
    </w:p>
    <w:p>
      <w:pPr>
        <w:pStyle w:val="Style1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公司严格按照《公司章程》、《股东大会议事规则》等规定的要求，规范地召集、召开 股东大会，并尽可能为股东参加股东大会提供便利，使其充分行使股东权利。同时，公司聘 请专业律师见证股东大会，确保会议召集、召开以及表决程序符合相关法律规定，维护股东 的合法权益。</w:t>
      </w:r>
    </w:p>
    <w:p>
      <w:pPr>
        <w:pStyle w:val="Style13"/>
        <w:keepNext w:val="0"/>
        <w:keepLines w:val="0"/>
        <w:widowControl w:val="0"/>
        <w:shd w:val="clear" w:color="auto" w:fill="auto"/>
        <w:tabs>
          <w:tab w:pos="1123" w:val="left"/>
        </w:tabs>
        <w:bidi w:val="0"/>
        <w:spacing w:before="0" w:after="0" w:line="315" w:lineRule="exact"/>
        <w:ind w:left="0" w:right="0" w:firstLine="480"/>
        <w:jc w:val="left"/>
      </w:pPr>
      <w:bookmarkStart w:id="239" w:name="bookmark239"/>
      <w:r>
        <w:rPr>
          <w:color w:val="000000"/>
          <w:spacing w:val="0"/>
          <w:w w:val="100"/>
          <w:position w:val="0"/>
        </w:rPr>
        <w:t>（</w:t>
      </w:r>
      <w:bookmarkEnd w:id="239"/>
      <w:r>
        <w:rPr>
          <w:color w:val="000000"/>
          <w:spacing w:val="0"/>
          <w:w w:val="100"/>
          <w:position w:val="0"/>
        </w:rPr>
        <w:t>二）</w:t>
        <w:tab/>
        <w:t>关于董事和董事会</w:t>
      </w:r>
    </w:p>
    <w:p>
      <w:pPr>
        <w:pStyle w:val="Style13"/>
        <w:keepNext w:val="0"/>
        <w:keepLines w:val="0"/>
        <w:widowControl w:val="0"/>
        <w:shd w:val="clear" w:color="auto" w:fill="auto"/>
        <w:bidi w:val="0"/>
        <w:spacing w:before="0" w:after="0" w:line="315" w:lineRule="exact"/>
        <w:ind w:left="0" w:right="0" w:firstLine="480"/>
        <w:jc w:val="left"/>
      </w:pPr>
      <w:r>
        <w:rPr>
          <w:color w:val="000000"/>
          <w:spacing w:val="0"/>
          <w:w w:val="100"/>
          <w:position w:val="0"/>
        </w:rPr>
        <w:t>各位董事能够依据《深圳证券交易所上市公司自律监管指引第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号——创业板上市公司规 范运作》等法律法规的规定开展工作，出席董事会，勤勉尽责地履行职责和义务。按照《深 圳证券交易所上市公司自律监管指引第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号——创业板上市公司规范运作》的要求，公司董事 会下设有专门委员会，专门委员会会严格按照有关法律法规履行其职责，为董事会的科学决 策提供了有益的补充。</w:t>
      </w:r>
    </w:p>
    <w:p>
      <w:pPr>
        <w:pStyle w:val="Style13"/>
        <w:keepNext w:val="0"/>
        <w:keepLines w:val="0"/>
        <w:widowControl w:val="0"/>
        <w:shd w:val="clear" w:color="auto" w:fill="auto"/>
        <w:tabs>
          <w:tab w:pos="1123" w:val="left"/>
        </w:tabs>
        <w:bidi w:val="0"/>
        <w:spacing w:before="0" w:after="0" w:line="315" w:lineRule="exact"/>
        <w:ind w:left="0" w:right="0" w:firstLine="480"/>
        <w:jc w:val="both"/>
      </w:pPr>
      <w:bookmarkStart w:id="240" w:name="bookmark240"/>
      <w:r>
        <w:rPr>
          <w:color w:val="000000"/>
          <w:spacing w:val="0"/>
          <w:w w:val="100"/>
          <w:position w:val="0"/>
        </w:rPr>
        <w:t>（</w:t>
      </w:r>
      <w:bookmarkEnd w:id="240"/>
      <w:r>
        <w:rPr>
          <w:color w:val="000000"/>
          <w:spacing w:val="0"/>
          <w:w w:val="100"/>
          <w:position w:val="0"/>
        </w:rPr>
        <w:t>三）</w:t>
        <w:tab/>
        <w:t>关于监事和监事会</w:t>
      </w:r>
    </w:p>
    <w:p>
      <w:pPr>
        <w:pStyle w:val="Style13"/>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名，监事会的人数及人员构成符合法律、法 规和《公司章程》的要求。各位监事能够按照公司《监事会议事规则》的要求，认真履行职 责，对公司重大事项、关联交易、财务状况以及董事、高级管理人员履行职责的合法合规性 进行监督。</w:t>
      </w:r>
    </w:p>
    <w:p>
      <w:pPr>
        <w:pStyle w:val="Style13"/>
        <w:keepNext w:val="0"/>
        <w:keepLines w:val="0"/>
        <w:widowControl w:val="0"/>
        <w:shd w:val="clear" w:color="auto" w:fill="auto"/>
        <w:tabs>
          <w:tab w:pos="1123" w:val="left"/>
        </w:tabs>
        <w:bidi w:val="0"/>
        <w:spacing w:before="0" w:after="0" w:line="315" w:lineRule="exact"/>
        <w:ind w:left="0" w:right="0" w:firstLine="480"/>
        <w:jc w:val="both"/>
      </w:pPr>
      <w:bookmarkStart w:id="241" w:name="bookmark241"/>
      <w:r>
        <w:rPr>
          <w:color w:val="000000"/>
          <w:spacing w:val="0"/>
          <w:w w:val="100"/>
          <w:position w:val="0"/>
        </w:rPr>
        <w:t>（</w:t>
      </w:r>
      <w:bookmarkEnd w:id="241"/>
      <w:r>
        <w:rPr>
          <w:color w:val="000000"/>
          <w:spacing w:val="0"/>
          <w:w w:val="100"/>
          <w:position w:val="0"/>
        </w:rPr>
        <w:t>四）</w:t>
        <w:tab/>
        <w:t>关于信息披露与透明度</w:t>
      </w:r>
    </w:p>
    <w:p>
      <w:pPr>
        <w:pStyle w:val="Style13"/>
        <w:keepNext w:val="0"/>
        <w:keepLines w:val="0"/>
        <w:widowControl w:val="0"/>
        <w:shd w:val="clear" w:color="auto" w:fill="auto"/>
        <w:bidi w:val="0"/>
        <w:spacing w:before="0" w:after="440" w:line="315" w:lineRule="exact"/>
        <w:ind w:left="0" w:right="0" w:firstLine="480"/>
        <w:jc w:val="both"/>
      </w:pPr>
      <w:r>
        <w:rPr>
          <w:color w:val="000000"/>
          <w:spacing w:val="0"/>
          <w:w w:val="100"/>
          <w:position w:val="0"/>
        </w:rPr>
        <w:t>公司严格按照有关法律法规以及《公司章程》、《信息披露管理制度》等要求披露有关 信息；并指定巨潮资讯网</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为公司信息披露的指定网站，《证券时报》为 公司定期报告披露的指定报刊，确保公司所有股东能够拥有平等的机会获得信息。</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513" w:val="left"/>
        </w:tabs>
        <w:bidi w:val="0"/>
        <w:spacing w:before="0" w:after="300" w:line="312" w:lineRule="exact"/>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二</w:t>
      </w:r>
      <w:bookmarkEnd w:id="244"/>
      <w:r>
        <w:rPr>
          <w:color w:val="000000"/>
          <w:spacing w:val="0"/>
          <w:w w:val="100"/>
          <w:position w:val="0"/>
        </w:rPr>
        <w:t>、</w:t>
        <w:tab/>
        <w:t>公司相对于控股股东、实际控制人在保证公司资产、人员、财务、机构、业务等方面的 独立情况</w:t>
      </w:r>
      <w:bookmarkEnd w:id="242"/>
      <w:bookmarkEnd w:id="243"/>
      <w:bookmarkEnd w:id="245"/>
    </w:p>
    <w:p>
      <w:pPr>
        <w:pStyle w:val="Style1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公司严格按照《公司法》、《证券法》等有关法律法规和《公司章程》的要求规范运作，与 控股股东、实际控制人等在业务、人员、资产、机构、财务等方面保持独立，具有独立完整 的业务及自主经营能力。</w:t>
      </w:r>
      <w:r>
        <w:br w:type="page"/>
      </w:r>
    </w:p>
    <w:p>
      <w:pPr>
        <w:pStyle w:val="Style19"/>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三</w:t>
      </w:r>
      <w:bookmarkEnd w:id="248"/>
      <w:r>
        <w:rPr>
          <w:color w:val="000000"/>
          <w:spacing w:val="0"/>
          <w:w w:val="100"/>
          <w:position w:val="0"/>
        </w:rPr>
        <w:t>、同业竞争情况</w:t>
      </w:r>
      <w:bookmarkEnd w:id="246"/>
      <w:bookmarkEnd w:id="247"/>
      <w:bookmarkEnd w:id="24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四</w:t>
      </w:r>
      <w:bookmarkEnd w:id="252"/>
      <w:r>
        <w:rPr>
          <w:color w:val="000000"/>
          <w:spacing w:val="0"/>
          <w:w w:val="100"/>
          <w:position w:val="0"/>
        </w:rPr>
        <w:t>、报告期内召开的年度股东大会和临时股东大会的有关情况</w:t>
      </w:r>
      <w:bookmarkEnd w:id="250"/>
      <w:bookmarkEnd w:id="251"/>
      <w:bookmarkEnd w:id="253"/>
    </w:p>
    <w:p>
      <w:pPr>
        <w:pStyle w:val="Style23"/>
        <w:keepNext/>
        <w:keepLines/>
        <w:widowControl w:val="0"/>
        <w:shd w:val="clear" w:color="auto" w:fill="auto"/>
        <w:bidi w:val="0"/>
        <w:spacing w:before="0" w:after="30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、本报告期股东大会情况</w:t>
      </w:r>
      <w:bookmarkEnd w:id="254"/>
      <w:bookmarkEnd w:id="255"/>
      <w:bookmarkEnd w:id="257"/>
    </w:p>
    <w:tbl>
      <w:tblPr>
        <w:tblOverlap w:val="never"/>
        <w:jc w:val="center"/>
        <w:tblLayout w:type="fixed"/>
      </w:tblPr>
      <w:tblGrid>
        <w:gridCol w:w="1608"/>
        <w:gridCol w:w="1594"/>
        <w:gridCol w:w="1598"/>
        <w:gridCol w:w="1598"/>
        <w:gridCol w:w="1584"/>
        <w:gridCol w:w="160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20" w:line="313" w:lineRule="exact"/>
              <w:ind w:left="0" w:right="0" w:firstLine="0"/>
              <w:jc w:val="left"/>
            </w:pP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r>
              <w:rPr>
                <w:color w:val="000000"/>
                <w:spacing w:val="0"/>
                <w:w w:val="100"/>
                <w:position w:val="0"/>
              </w:rPr>
              <w:t xml:space="preserve">公告名 称：《广东文化长城 集团股份有限公司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股东大会决议公 告》；公告网站名称： 巨潮资讯网；公告网 站网址：</w:t>
            </w:r>
          </w:p>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20" w:line="313" w:lineRule="exact"/>
              <w:ind w:left="0" w:right="0" w:firstLine="0"/>
              <w:jc w:val="left"/>
            </w:pP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r>
              <w:rPr>
                <w:color w:val="000000"/>
                <w:spacing w:val="0"/>
                <w:w w:val="100"/>
                <w:position w:val="0"/>
              </w:rPr>
              <w:t xml:space="preserve">公告名 称：《广东文化长城 集团股份有限公司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股东大会决议公 告》；公告网站名称： 巨潮资讯网；公告网 站网址：</w:t>
            </w:r>
          </w:p>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2021-064 </w:t>
            </w:r>
            <w:r>
              <w:rPr>
                <w:color w:val="000000"/>
                <w:spacing w:val="0"/>
                <w:w w:val="100"/>
                <w:position w:val="0"/>
                <w:sz w:val="17"/>
                <w:szCs w:val="17"/>
              </w:rPr>
              <w:t xml:space="preserve">；公告名 称：《广东文化长城 集团股份有限公司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年年度股东大 会决议公告》；公告 网站名称：巨潮资讯 网；公告网站网址：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2021-150</w:t>
            </w:r>
            <w:r>
              <w:rPr>
                <w:color w:val="000000"/>
                <w:spacing w:val="0"/>
                <w:w w:val="100"/>
                <w:position w:val="0"/>
              </w:rPr>
              <w:t>；</w:t>
            </w:r>
            <w:r>
              <w:rPr>
                <w:color w:val="000000"/>
                <w:spacing w:val="0"/>
                <w:w w:val="100"/>
                <w:position w:val="0"/>
              </w:rPr>
              <w:t xml:space="preserve">公告名 称：《广东文化长城 集团股份有限公司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股东大会决议公</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告》；公告网站名称： 巨潮资讯网；公告网 站网址：</w:t>
            </w:r>
          </w:p>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、表决权恢复的优先股股东请求召开临时股东大会</w:t>
      </w:r>
      <w:bookmarkEnd w:id="258"/>
      <w:bookmarkEnd w:id="259"/>
      <w:bookmarkEnd w:id="26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五</w:t>
      </w:r>
      <w:bookmarkEnd w:id="264"/>
      <w:r>
        <w:rPr>
          <w:color w:val="000000"/>
          <w:spacing w:val="0"/>
          <w:w w:val="100"/>
          <w:position w:val="0"/>
        </w:rPr>
        <w:t>、</w:t>
        <w:tab/>
        <w:t>公司具有表决权差异安排</w:t>
      </w:r>
      <w:bookmarkEnd w:id="262"/>
      <w:bookmarkEnd w:id="263"/>
      <w:bookmarkEnd w:id="26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六</w:t>
      </w:r>
      <w:bookmarkEnd w:id="268"/>
      <w:r>
        <w:rPr>
          <w:color w:val="000000"/>
          <w:spacing w:val="0"/>
          <w:w w:val="100"/>
          <w:position w:val="0"/>
        </w:rPr>
        <w:t>、</w:t>
        <w:tab/>
        <w:t>红筹架构公司治理情况</w:t>
      </w:r>
      <w:bookmarkEnd w:id="266"/>
      <w:bookmarkEnd w:id="267"/>
      <w:bookmarkEnd w:id="26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七</w:t>
      </w:r>
      <w:bookmarkEnd w:id="272"/>
      <w:r>
        <w:rPr>
          <w:color w:val="000000"/>
          <w:spacing w:val="0"/>
          <w:w w:val="100"/>
          <w:position w:val="0"/>
        </w:rPr>
        <w:t>、董事、监事和高级管理人员情况</w:t>
      </w:r>
      <w:bookmarkEnd w:id="270"/>
      <w:bookmarkEnd w:id="271"/>
      <w:bookmarkEnd w:id="273"/>
    </w:p>
    <w:p>
      <w:pPr>
        <w:pStyle w:val="Style23"/>
        <w:keepNext/>
        <w:keepLines/>
        <w:widowControl w:val="0"/>
        <w:shd w:val="clear" w:color="auto" w:fill="auto"/>
        <w:bidi w:val="0"/>
        <w:spacing w:before="0" w:after="36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、基本情况</w:t>
      </w:r>
      <w:bookmarkEnd w:id="274"/>
      <w:bookmarkEnd w:id="275"/>
      <w:bookmarkEnd w:id="277"/>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股份增 减变动 的原因</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 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裴瑞欣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袁丹旭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原董事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原副董 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162,565, 700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董事袁丹旭先生因个人原因辞去公司董事职务。</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董事张从戬先生因个人原因辞去公司独立董事职务。</w:t>
      </w:r>
    </w:p>
    <w:p>
      <w:pPr>
        <w:pStyle w:val="Style16"/>
        <w:keepNext w:val="0"/>
        <w:keepLines w:val="0"/>
        <w:widowControl w:val="0"/>
        <w:shd w:val="clear" w:color="auto" w:fill="auto"/>
        <w:bidi w:val="0"/>
        <w:spacing w:before="0" w:after="480" w:line="240" w:lineRule="auto"/>
        <w:ind w:left="0" w:right="0" w:firstLine="0"/>
        <w:jc w:val="left"/>
      </w:pPr>
      <w:r>
        <w:rPr>
          <w:color w:val="000000"/>
          <w:spacing w:val="0"/>
          <w:w w:val="100"/>
          <w:position w:val="0"/>
        </w:rPr>
        <w:t>董事张雨晨先生因个人原因辞去公司董事职务。</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1330"/>
        <w:gridCol w:w="1334"/>
        <w:gridCol w:w="1320"/>
        <w:gridCol w:w="42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spacing w:lineRule="exact" w:line="1"/>
        <w:rPr>
          <w:sz w:val="2"/>
          <w:szCs w:val="2"/>
        </w:rPr>
      </w:pPr>
      <w:r>
        <w:br w:type="page"/>
      </w:r>
    </w:p>
    <w:tbl>
      <w:tblPr>
        <w:tblOverlap w:val="never"/>
        <w:jc w:val="center"/>
        <w:tblLayout w:type="fixed"/>
      </w:tblPr>
      <w:tblGrid>
        <w:gridCol w:w="1339"/>
        <w:gridCol w:w="1334"/>
        <w:gridCol w:w="1334"/>
        <w:gridCol w:w="1320"/>
        <w:gridCol w:w="426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袁丹旭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、任职情况</w:t>
      </w:r>
      <w:bookmarkEnd w:id="278"/>
      <w:bookmarkEnd w:id="279"/>
      <w:bookmarkEnd w:id="281"/>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shd w:val="clear" w:color="auto" w:fill="auto"/>
        <w:bidi w:val="0"/>
        <w:spacing w:before="0" w:after="0" w:line="307" w:lineRule="exact"/>
        <w:ind w:left="0" w:right="0" w:firstLine="0"/>
        <w:jc w:val="both"/>
      </w:pPr>
      <w:r>
        <w:rPr>
          <w:color w:val="000000"/>
          <w:spacing w:val="0"/>
          <w:w w:val="100"/>
          <w:position w:val="0"/>
        </w:rPr>
        <w:t>孙光亮，男，中国国籍，无境外永久居留权，</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年出生，工商管理硕士。天津市十七届人 大代表、工商联常委。曾任天津市河东区副食品采购供应站业务员，天津市贵川名酒经销处 经理，现任天津市裕隆达商贸有限公司总经理，云南怡品农业科技有限公司执行董事，中联 放心酒有限公司总经理。</w:t>
      </w:r>
    </w:p>
    <w:p>
      <w:pPr>
        <w:pStyle w:val="Style13"/>
        <w:keepNext w:val="0"/>
        <w:keepLines w:val="0"/>
        <w:widowControl w:val="0"/>
        <w:shd w:val="clear" w:color="auto" w:fill="auto"/>
        <w:bidi w:val="0"/>
        <w:spacing w:before="0" w:after="0" w:line="307" w:lineRule="exact"/>
        <w:ind w:left="0" w:right="0" w:firstLine="0"/>
        <w:jc w:val="both"/>
      </w:pPr>
      <w:r>
        <w:rPr>
          <w:color w:val="000000"/>
          <w:spacing w:val="0"/>
          <w:w w:val="100"/>
          <w:position w:val="0"/>
        </w:rPr>
        <w:t>张雨晨，男，中国国籍，无永久境外居留权，</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年出生，本科学历。中国民主同盟会天津 市河东区委员会参政议政部部长，河东区青联常委、天津市行政管理学会理事。曾任天津丞 明信泰集团有限公司高级合伙人、副总经理；现任西克智能科技（天津）有限公司总经理； 天津广睿善鑫管理咨询有限公司总经理。</w:t>
      </w:r>
    </w:p>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毛伟平，女，</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rPr>
        <w:t>年出生，中国国籍，无境外永久居留权。西安交通大学管理学本硕，中国 非执业注册会计师。</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年就职于普华永道中天会计师事务所；</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年至今就职于深圳 </w:t>
      </w:r>
      <w:r>
        <w:rPr>
          <w:color w:val="000000"/>
          <w:spacing w:val="0"/>
          <w:w w:val="100"/>
          <w:position w:val="0"/>
        </w:rPr>
        <w:t>市高新投集团，现任高新投融资担保公司副总经理。</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张从戬，男，中国国籍，无永久境外居留权，</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rPr>
        <w:t>年出生，本科学历，注册会计师。曾任中 石化物装华东公司审计部经理、上海高科会计师事务所审计经理、副总会计师。现任上海和 颐会计师事务所合伙人、主任会计师。</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钱堤，男，中国国籍，无永久境外居留权，</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年出生，本科学历。曾任长江日昇投资有限 公司执行总裁。</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郭立新，女，</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年出生，中国国籍，无境外永久居留权，本科学历。曾任中国华阳金融租 赁有限责任公司交易员、会计</w:t>
      </w:r>
      <w:r>
        <w:rPr>
          <w:color w:val="000000"/>
          <w:spacing w:val="0"/>
          <w:w w:val="100"/>
          <w:position w:val="0"/>
          <w:sz w:val="24"/>
          <w:szCs w:val="24"/>
        </w:rPr>
        <w:t>，</w:t>
      </w:r>
      <w:r>
        <w:rPr>
          <w:color w:val="000000"/>
          <w:spacing w:val="0"/>
          <w:w w:val="100"/>
          <w:position w:val="0"/>
        </w:rPr>
        <w:t>天津易买得超市有限公司财务经理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现任天津市裕隆达商贸有限 公司财务经理</w:t>
      </w:r>
      <w:r>
        <w:rPr>
          <w:color w:val="000000"/>
          <w:spacing w:val="0"/>
          <w:w w:val="100"/>
          <w:position w:val="0"/>
          <w:sz w:val="24"/>
          <w:szCs w:val="24"/>
        </w:rPr>
        <w:t>，</w:t>
      </w:r>
      <w:r>
        <w:rPr>
          <w:color w:val="000000"/>
          <w:spacing w:val="0"/>
          <w:w w:val="100"/>
          <w:position w:val="0"/>
        </w:rPr>
        <w:t>天津放心酒有限公司执行董事（法人）</w:t>
      </w:r>
      <w:r>
        <w:rPr>
          <w:color w:val="000000"/>
          <w:spacing w:val="0"/>
          <w:w w:val="100"/>
          <w:position w:val="0"/>
          <w:sz w:val="24"/>
          <w:szCs w:val="24"/>
        </w:rPr>
        <w:t>，</w:t>
      </w:r>
      <w:r>
        <w:rPr>
          <w:color w:val="000000"/>
          <w:spacing w:val="0"/>
          <w:w w:val="100"/>
          <w:position w:val="0"/>
        </w:rPr>
        <w:t>世界名酒荟（天津）有限公司总经理（法 人）。</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张意，女，</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年出生，中国国籍，无境外永久居留权，本科学历。曾任中税正洁（天津） 税务师事务所有限公司会计；天津市灏通会计师事务所有限公司项目经理；现任天津市财精 税通财税服务有限公司总经理。</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徐淼，女，中国国籍，无永久境外居留权，</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rPr>
        <w:t>年出生，本科学历。曾任广东文化长城集团 股份有限公司瓷业总经理助理，现任职于公司人力部门。</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徐阳，女，</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rPr>
        <w:t>年生，中国国籍，原天津浩远人才开发有限公司财务主管，天津佳柯达实业 有限公司财务负责人，现任公司总经理。</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徐啸，女，</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年出生，中国国籍，无境外永久居留权，南开大学经济学硕士学位。曾任职 于广发证券股份有限公司天津泰安道营业部客户经理、广州证券股份有限公司天津友谊路证 券营业部中级投顾、广州证券股份有限公司运营管理总部管理岗、中信证券华南股份有限公 司业务主管。现任公司副总经理。</w:t>
      </w:r>
    </w:p>
    <w:p>
      <w:pPr>
        <w:pStyle w:val="Style13"/>
        <w:keepNext w:val="0"/>
        <w:keepLines w:val="0"/>
        <w:widowControl w:val="0"/>
        <w:shd w:val="clear" w:color="auto" w:fill="auto"/>
        <w:bidi w:val="0"/>
        <w:spacing w:before="0" w:after="0" w:line="317" w:lineRule="exact"/>
        <w:ind w:left="0" w:right="0" w:firstLine="0"/>
        <w:jc w:val="both"/>
      </w:pPr>
      <w:r>
        <w:rPr>
          <w:color w:val="000000"/>
          <w:spacing w:val="0"/>
          <w:w w:val="100"/>
          <w:position w:val="0"/>
        </w:rPr>
        <w:t>裴瑞欣，女，</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年出生，中国国籍，无境外永久居留权，大专学历。中级会计师职称。曾 任河北省新乐市光明化工厂财务经理，天津市晨光开元汽车销售服务有限公司财务总监，中 联放心酒有限公司财务总监。现任公司财务总监。</w:t>
      </w:r>
    </w:p>
    <w:p>
      <w:pPr>
        <w:pStyle w:val="Style1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黄逸芝，女，中国国籍，无永久境外居留权，</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年出生，本科学历。现任公司证券事务代 表、董事会秘书。</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50"/>
        <w:gridCol w:w="1066"/>
        <w:gridCol w:w="1214"/>
        <w:gridCol w:w="1354"/>
        <w:gridCol w:w="14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天津市裕隆达商贸有限公司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天津放心酒有限公司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世界名酒荟（天津）有限公司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天津市裕隆达商贸有限公司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中联放心酒有限公司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3278"/>
        <w:gridCol w:w="1090"/>
        <w:gridCol w:w="1229"/>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西克智能科技（天津）有限公司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天津广睿善鑫管理咨询有限公司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天津市财精税通财税服务有限公司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上海和颐会计师事务所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合伙人、主任 会计师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广东证监局于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日下发《行政处罚决定书》，一、对广东文化长城集团股份有限公司给予警告，并处以</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万元罚 款；二、对蔡廷祥给予警告，并处以</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万元罚款，其中对其作为直接负责的主管人员处以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万元罚款，对其作为实际控制人 处以</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万元罚款；三、对许高镭给予警告，并处以</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万元罚款；四、对任锋、蔡雪凯给予警告，并分别处以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万元罚款；五、 对吴淡珠、罗晨鹏给予警告，并分别处以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万元罚款；六、对谢建歆、金永丽、陈伟雄、谢洁给予警告，并分别处以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 罚款；七、对高洪星给予警告，并处以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万元罚款。</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广东证监局于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日下发《关于对广东文化长城集团股份有限公司及相关当事人给予纪律处分的决定》，一、对广 东文化长城集团股份有限公司给予公开谴责的处分；二、对广东文化长城集团股份有限公司董事长兼总经理蔡廷祥、时任财 务总监罗晨鹏给予公开谴责的处分；三、对广东文化长城集团股份有限公司时任财务总监佃树钦给予通报批评的处分。</w:t>
      </w:r>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深圳证券交易所于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日下发《关于对广东文化长城集团股份有限公司及相关当事人给予纪律处分的决定》，一、 对广东文化长城集团股份有限公司给予公开谴责的处分；二、对广东文化长城集团股份有限公司董事长兼总经理蔡廷祥、时 任财务总监罗晨鹏给予公开谴责的处分；三、对广东文化长城集团股份有限公司时任财务总监佃树钦给予通报批评的处分。 深圳证券交易所于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日下发《关于对广东文化长城集团股份有限公司及相关当事人给予通报批评处分的决定》， 一、对广东文化长城集团股份有限公司给予通报批评的处分；二、对广东文化长城集团股份有限公司董事长兼总经理蔡廷祥， 董事许高镭，副总经理兼财务总监罗晨鹏给予通报批评的处分。</w:t>
      </w:r>
    </w:p>
    <w:p>
      <w:pPr>
        <w:pStyle w:val="Style23"/>
        <w:keepNext/>
        <w:keepLines/>
        <w:widowControl w:val="0"/>
        <w:shd w:val="clear" w:color="auto" w:fill="auto"/>
        <w:bidi w:val="0"/>
        <w:spacing w:before="0" w:after="28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3</w:t>
      </w:r>
      <w:bookmarkEnd w:id="284"/>
      <w:r>
        <w:rPr>
          <w:color w:val="000000"/>
          <w:spacing w:val="0"/>
          <w:w w:val="100"/>
          <w:position w:val="0"/>
        </w:rPr>
        <w:t>、董事、监事、高级管理人员报酬情况</w:t>
      </w:r>
      <w:bookmarkEnd w:id="282"/>
      <w:bookmarkEnd w:id="283"/>
      <w:bookmarkEnd w:id="285"/>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公司董事、监事报酬由公司股东大会决定，公司高级管理人员报酬由公司董事会决定。</w:t>
      </w:r>
    </w:p>
    <w:p>
      <w:pPr>
        <w:pStyle w:val="Style16"/>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8"/>
        <w:gridCol w:w="1368"/>
        <w:gridCol w:w="1363"/>
        <w:gridCol w:w="1378"/>
        <w:gridCol w:w="137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裴瑞欣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袁丹旭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八</w:t>
      </w:r>
      <w:bookmarkEnd w:id="288"/>
      <w:r>
        <w:rPr>
          <w:color w:val="000000"/>
          <w:spacing w:val="0"/>
          <w:w w:val="100"/>
          <w:position w:val="0"/>
        </w:rPr>
        <w:t>、报告期内董事履行职责的情况</w:t>
      </w:r>
      <w:bookmarkEnd w:id="286"/>
      <w:bookmarkEnd w:id="287"/>
      <w:bookmarkEnd w:id="289"/>
    </w:p>
    <w:p>
      <w:pPr>
        <w:pStyle w:val="Style23"/>
        <w:keepNext/>
        <w:keepLines/>
        <w:widowControl w:val="0"/>
        <w:shd w:val="clear" w:color="auto" w:fill="auto"/>
        <w:bidi w:val="0"/>
        <w:spacing w:before="0" w:after="3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、本报告期董事会情况</w:t>
      </w:r>
      <w:bookmarkEnd w:id="290"/>
      <w:bookmarkEnd w:id="291"/>
      <w:bookmarkEnd w:id="293"/>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第四届董事会第三十一次会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一、审议通过《关于公司续聘 会计师事务所的议案》二、审 议通过《关于召开公司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年第一次临时股东大会的议 案》</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第四届董事会第三十二次会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一、审议通过《关于修改</w:t>
            </w:r>
            <w:r>
              <w:rPr>
                <w:color w:val="000000"/>
                <w:spacing w:val="0"/>
                <w:w w:val="100"/>
                <w:position w:val="0"/>
                <w:sz w:val="18"/>
                <w:szCs w:val="18"/>
              </w:rPr>
              <w:t>〈</w:t>
            </w:r>
            <w:r>
              <w:rPr>
                <w:color w:val="000000"/>
                <w:spacing w:val="0"/>
                <w:w w:val="100"/>
                <w:position w:val="0"/>
              </w:rPr>
              <w:t xml:space="preserve">公 司章程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的议案》二、审议通</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3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过《关于公司董事会换届选举 暨提名第五届董事会非独立 董事候选人的议案》三、审议 通过《关于公司董事会换届选 举暨提名第五届董事会独立 董事候选人的议案》四、审议 通过《关于召开公司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第二次临时股东大会的议案》 五、审议通过《关于股东提议 修改公司章程等议案》</w:t>
            </w:r>
          </w:p>
        </w:tc>
      </w:tr>
      <w:tr>
        <w:trPr>
          <w:trHeight w:val="60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第四届董事会第三十三次会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 经理工作报告》二、审议通过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年度董事会报告》三、 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 算报告》四、审议通过《关于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年度利润分配的 预案》五、审议通过《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度内部控制评价报告》六、审 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 存放与使用情况的专项报告》 七、审议通过《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报告及摘要》八、审议通过《关 于公司董事、高级管理人员年 度薪酬方案的议案》九、审议 通过《董事会关于非标准审计 意见审计报告涉及事项的专 项说明的议案》十、审议通过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一、审议通过《关于选举公司 第五届董事会董事长及副董 事长的议案》二、审议通过《关 于选举公司第五届董事会专 门委员会委员的议案》三、审 议通过《关于聘任高级管理人 员及证券事务代表的议案》</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年半年度报告全文及其摘要 的议案》二、《关于募集资金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年半年度存放与使用情 况的专项报告的议案》</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一、审议通过《关于向关联方 借款暨关联交易的议案》</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年第三季度报告全文的议案》</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一、审议通过《关于向关联方 借款暨关联交易的议案》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一、审议通过《关于公司孙公 司现金收购东莞市雅鑫实业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一、审议通过《关于公司聘任 会计师事务所的议案》二、审 议通过《关于召开公司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年第三次临时股东大会的议 案》</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、董事出席董事会及股东大会的情况</w:t>
      </w:r>
      <w:bookmarkEnd w:id="294"/>
      <w:bookmarkEnd w:id="295"/>
      <w:bookmarkEnd w:id="297"/>
    </w:p>
    <w:tbl>
      <w:tblPr>
        <w:tblOverlap w:val="never"/>
        <w:jc w:val="center"/>
        <w:tblLayout w:type="fixed"/>
      </w:tblPr>
      <w:tblGrid>
        <w:gridCol w:w="1440"/>
        <w:gridCol w:w="1162"/>
        <w:gridCol w:w="1166"/>
        <w:gridCol w:w="1166"/>
        <w:gridCol w:w="1166"/>
        <w:gridCol w:w="1162"/>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委托出席董事</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袁丹旭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6"/>
        <w:keepNext w:val="0"/>
        <w:keepLines w:val="0"/>
        <w:widowControl w:val="0"/>
        <w:shd w:val="clear" w:color="auto" w:fill="auto"/>
        <w:bidi w:val="0"/>
        <w:spacing w:before="0" w:after="320" w:line="346" w:lineRule="exact"/>
        <w:ind w:left="0" w:right="0" w:firstLine="0"/>
        <w:jc w:val="left"/>
      </w:pPr>
      <w:r>
        <w:rPr>
          <w:color w:val="000000"/>
          <w:spacing w:val="0"/>
          <w:w w:val="100"/>
          <w:position w:val="0"/>
        </w:rPr>
        <w:t>连续两次未亲自出席董事会的说明 不适用。</w:t>
      </w:r>
      <w:r>
        <w:br w:type="page"/>
      </w:r>
    </w:p>
    <w:p>
      <w:pPr>
        <w:pStyle w:val="Style23"/>
        <w:keepNext/>
        <w:keepLines/>
        <w:widowControl w:val="0"/>
        <w:shd w:val="clear" w:color="auto" w:fill="auto"/>
        <w:bidi w:val="0"/>
        <w:spacing w:before="0" w:after="400" w:line="240" w:lineRule="auto"/>
        <w:ind w:left="0" w:right="0" w:firstLine="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、董事对公司有关事项提出异议的情况</w:t>
      </w:r>
      <w:bookmarkEnd w:id="298"/>
      <w:bookmarkEnd w:id="299"/>
      <w:bookmarkEnd w:id="30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报告及摘要、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由于保留意见所涉重大事项的不确定 性，故独立董事王心可、朱风娣无法做 出完全客观、准确、完整的判断。</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报告及摘要、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由于保留意见所涉重大事项的不确定 性，故独立董事王心可、朱风娣无法做 出完全客观、准确、完整的判断。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袁丹旭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对权益工具的计提缺乏判断依据，所以 对议案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弃权。</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权益工具的减值存在不确定性，目前缺 乏判断依据，所以对议案弃权。</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袁丹旭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因其他权益工具减值的计提与半年报无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实质变化，依然缺失明确依据，故弃权。</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张从戬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因其他权益工具减值准备和半年报无实 质变化，依然缺乏明确的依据，所以弃 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董事对公司有关事项提出异议的说明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4</w:t>
      </w:r>
      <w:bookmarkEnd w:id="304"/>
      <w:r>
        <w:rPr>
          <w:color w:val="000000"/>
          <w:spacing w:val="0"/>
          <w:w w:val="100"/>
          <w:position w:val="0"/>
        </w:rPr>
        <w:t>、董事履行职责的其他说明</w:t>
      </w:r>
      <w:bookmarkEnd w:id="302"/>
      <w:bookmarkEnd w:id="303"/>
      <w:bookmarkEnd w:id="30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680" w:line="314" w:lineRule="exact"/>
        <w:ind w:left="0" w:right="0" w:firstLine="0"/>
        <w:jc w:val="both"/>
      </w:pPr>
      <w:r>
        <w:rPr>
          <w:color w:val="000000"/>
          <w:spacing w:val="0"/>
          <w:w w:val="100"/>
          <w:position w:val="0"/>
        </w:rPr>
        <w:t>报告期内，公司各位董事均能够按时出席公司董事会，对提交董事会的全部议案进行了认真 审议，与公司管理层积极交流，给公司提出了很多宝贵的专业性建议，对公司财务及经营活 动进行了有效监督，提高了公司决策的科学性，为完善公司监督机制，维护公司和全体股东 的合法权益发挥了应有的作用。</w:t>
      </w:r>
    </w:p>
    <w:p>
      <w:pPr>
        <w:pStyle w:val="Style19"/>
        <w:keepNext/>
        <w:keepLines/>
        <w:widowControl w:val="0"/>
        <w:shd w:val="clear" w:color="auto" w:fill="auto"/>
        <w:bidi w:val="0"/>
        <w:spacing w:before="0" w:after="32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rPr>
        <w:t>九</w:t>
      </w:r>
      <w:bookmarkEnd w:id="308"/>
      <w:r>
        <w:rPr>
          <w:color w:val="000000"/>
          <w:spacing w:val="0"/>
          <w:w w:val="100"/>
          <w:position w:val="0"/>
        </w:rPr>
        <w:t>、董事会下设专门委员会在报告期内的情况</w:t>
      </w:r>
      <w:bookmarkEnd w:id="306"/>
      <w:bookmarkEnd w:id="307"/>
      <w:bookmarkEnd w:id="309"/>
    </w:p>
    <w:tbl>
      <w:tblPr>
        <w:tblOverlap w:val="never"/>
        <w:jc w:val="center"/>
        <w:tblLayout w:type="fixed"/>
      </w:tblPr>
      <w:tblGrid>
        <w:gridCol w:w="1210"/>
        <w:gridCol w:w="1190"/>
        <w:gridCol w:w="1200"/>
        <w:gridCol w:w="120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第四届审计委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朱风娣、王心 可、任锋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《第四季度工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季度审计计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190"/>
        <w:gridCol w:w="1200"/>
        <w:gridCol w:w="1200"/>
        <w:gridCol w:w="1200"/>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《关于续聘会 计师事务所的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季度审计计 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度审计报告》</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《关于募集资 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 存放与使用情 况的报告》</w:t>
            </w:r>
          </w:p>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独立董事王心 可、朱风娣提 醒各位董事在 审议期间注意 审计报告中对 于公司保留意 见的相关事项 的审查。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第四届提名委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蔡任武、蔡廷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祥、朱风娣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关于提名第五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届董事会董事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候选人的议案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根据公司的实 际情况，经过 充分沟通讨 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第四届薪酬和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王心可、朱风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娣、吴淡珠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年度履职 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根据公司的实 际情况，经过 充分沟通讨 论，一致通过。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第四届战略发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蔡廷祥、蔡任 武、王心可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年度履职 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根据公司的实 际情况，经过 充分沟通讨 论，一致通过。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第五届审计委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张从戬、钱堤、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《关于审议</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月 财务报表的议 案》《关于募集 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年度存放与使 用情况的报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权益工具减值 存在不确定 性，目前缺乏 判断依据，所 以张从戬对该 议案弃权。</w:t>
            </w:r>
          </w:p>
        </w:tc>
      </w:tr>
      <w:tr>
        <w:trPr>
          <w:trHeight w:val="228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《关于审议</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月 财务报表的议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其他权益减值 准备的计提和 半年报无实质 变化，依然缺 乏明确依据， 所以张从戬弃 权。</w:t>
            </w: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190"/>
        <w:gridCol w:w="1200"/>
        <w:gridCol w:w="1200"/>
        <w:gridCol w:w="1200"/>
      </w:tblGrid>
      <w:tr>
        <w:trPr>
          <w:trHeight w:val="100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《关于公司聘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任会计师事务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审计委员会各 位委员相互通 报了审计机构 普遍不愿接受 </w:t>
            </w: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公司审计业 务的现状，在 审核了最初希 格玛会计师事 务所向文化长 城选派审计团 队的名单后， 董事们认为其 主要负责人员 均有过监管措 施是不合适 的，其后公司 与希格玛会计 师事务所进一 步沟通，希格 玛会计师事务 所决定改派朱 琳为本公司审 计项目经理。 审计委员会全 体成员要求在 后续审计过程 中与审计机构 保持沟通，应 要求审计机构 严格按照审计 准则规范执 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r>
        <w:rPr>
          <w:color w:val="000000"/>
          <w:spacing w:val="0"/>
          <w:w w:val="100"/>
          <w:position w:val="0"/>
        </w:rPr>
        <w:t>十、监事会工作情况</w:t>
      </w:r>
      <w:bookmarkEnd w:id="310"/>
      <w:bookmarkEnd w:id="311"/>
      <w:bookmarkEnd w:id="312"/>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19"/>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r>
        <w:rPr>
          <w:color w:val="000000"/>
          <w:spacing w:val="0"/>
          <w:w w:val="100"/>
          <w:position w:val="0"/>
        </w:rPr>
        <w:t>十^―、公司员工情况</w:t>
      </w:r>
      <w:bookmarkEnd w:id="313"/>
      <w:bookmarkEnd w:id="314"/>
      <w:bookmarkEnd w:id="315"/>
    </w:p>
    <w:p>
      <w:pPr>
        <w:pStyle w:val="Style23"/>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、员工数量、专业构成及教育程度</w:t>
      </w:r>
      <w:bookmarkEnd w:id="316"/>
      <w:bookmarkEnd w:id="317"/>
      <w:bookmarkEnd w:id="319"/>
    </w:p>
    <w:tbl>
      <w:tblPr>
        <w:tblOverlap w:val="never"/>
        <w:jc w:val="center"/>
        <w:tblLayout w:type="fixed"/>
      </w:tblPr>
      <w:tblGrid>
        <w:gridCol w:w="4800"/>
        <w:gridCol w:w="47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r>
    </w:tbl>
    <w:p>
      <w:pPr>
        <w:widowControl w:val="0"/>
        <w:spacing w:after="319" w:line="1" w:lineRule="exact"/>
      </w:pPr>
    </w:p>
    <w:p>
      <w:pPr>
        <w:pStyle w:val="Style23"/>
        <w:keepNext/>
        <w:keepLines/>
        <w:widowControl w:val="0"/>
        <w:shd w:val="clear" w:color="auto" w:fill="auto"/>
        <w:tabs>
          <w:tab w:pos="368" w:val="left"/>
        </w:tabs>
        <w:bidi w:val="0"/>
        <w:spacing w:before="0" w:after="260" w:line="240" w:lineRule="auto"/>
        <w:ind w:left="0" w:right="0" w:firstLine="0"/>
        <w:jc w:val="both"/>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w:t>
        <w:tab/>
        <w:t>薪酬政策</w:t>
      </w:r>
      <w:bookmarkEnd w:id="320"/>
      <w:bookmarkEnd w:id="321"/>
      <w:bookmarkEnd w:id="323"/>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公司根据每年市场需求针对公司的不同岗位修订薪酬方案、提成方案和绩效考核方案，以保证薪资水平具有市场竞争力，同 时可促进员工积极性，引导员工重视个人技能的增长和能力的提高。</w:t>
      </w:r>
    </w:p>
    <w:p>
      <w:pPr>
        <w:pStyle w:val="Style23"/>
        <w:keepNext/>
        <w:keepLines/>
        <w:widowControl w:val="0"/>
        <w:shd w:val="clear" w:color="auto" w:fill="auto"/>
        <w:tabs>
          <w:tab w:pos="368" w:val="left"/>
        </w:tabs>
        <w:bidi w:val="0"/>
        <w:spacing w:before="0" w:after="26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培训计划</w:t>
      </w:r>
      <w:bookmarkEnd w:id="324"/>
      <w:bookmarkEnd w:id="325"/>
      <w:bookmarkEnd w:id="327"/>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本年度公司主要以内训与外训相结合的方式有针对性的对销售、生产管理、行政人事、财务等部门进行培训。</w:t>
      </w:r>
    </w:p>
    <w:p>
      <w:pPr>
        <w:pStyle w:val="Style16"/>
        <w:keepNext w:val="0"/>
        <w:keepLines w:val="0"/>
        <w:widowControl w:val="0"/>
        <w:shd w:val="clear" w:color="auto" w:fill="auto"/>
        <w:tabs>
          <w:tab w:pos="435" w:val="left"/>
        </w:tabs>
        <w:bidi w:val="0"/>
        <w:spacing w:before="0" w:after="0" w:line="312" w:lineRule="exact"/>
        <w:ind w:left="0" w:right="0" w:firstLine="0"/>
        <w:jc w:val="both"/>
      </w:pPr>
      <w:bookmarkStart w:id="328" w:name="bookmark328"/>
      <w:r>
        <w:rPr>
          <w:color w:val="000000"/>
          <w:spacing w:val="0"/>
          <w:w w:val="100"/>
          <w:position w:val="0"/>
        </w:rPr>
        <w:t>一</w:t>
      </w:r>
      <w:bookmarkEnd w:id="328"/>
      <w:r>
        <w:rPr>
          <w:color w:val="000000"/>
          <w:spacing w:val="0"/>
          <w:w w:val="100"/>
          <w:position w:val="0"/>
        </w:rPr>
        <w:t>、</w:t>
        <w:tab/>
        <w:t>集团公司人事部门负责集团文化、发展战略、员工心态以及规章制度的培训；</w:t>
      </w:r>
    </w:p>
    <w:p>
      <w:pPr>
        <w:pStyle w:val="Style16"/>
        <w:keepNext w:val="0"/>
        <w:keepLines w:val="0"/>
        <w:widowControl w:val="0"/>
        <w:shd w:val="clear" w:color="auto" w:fill="auto"/>
        <w:tabs>
          <w:tab w:pos="435" w:val="left"/>
        </w:tabs>
        <w:bidi w:val="0"/>
        <w:spacing w:before="0" w:after="0" w:line="312" w:lineRule="exact"/>
        <w:ind w:left="0" w:right="0" w:firstLine="0"/>
        <w:jc w:val="both"/>
      </w:pPr>
      <w:bookmarkStart w:id="329" w:name="bookmark329"/>
      <w:r>
        <w:rPr>
          <w:color w:val="000000"/>
          <w:spacing w:val="0"/>
          <w:w w:val="100"/>
          <w:position w:val="0"/>
        </w:rPr>
        <w:t>二</w:t>
      </w:r>
      <w:bookmarkEnd w:id="329"/>
      <w:r>
        <w:rPr>
          <w:color w:val="000000"/>
          <w:spacing w:val="0"/>
          <w:w w:val="100"/>
          <w:position w:val="0"/>
        </w:rPr>
        <w:t>、</w:t>
        <w:tab/>
        <w:t>邀请知名培训导师针对业务员和高层管理进行内部培训；</w:t>
      </w:r>
    </w:p>
    <w:p>
      <w:pPr>
        <w:pStyle w:val="Style16"/>
        <w:keepNext w:val="0"/>
        <w:keepLines w:val="0"/>
        <w:widowControl w:val="0"/>
        <w:shd w:val="clear" w:color="auto" w:fill="auto"/>
        <w:tabs>
          <w:tab w:pos="435" w:val="left"/>
        </w:tabs>
        <w:bidi w:val="0"/>
        <w:spacing w:before="0" w:after="0" w:line="312" w:lineRule="exact"/>
        <w:ind w:left="0" w:right="0" w:firstLine="0"/>
        <w:jc w:val="both"/>
      </w:pPr>
      <w:bookmarkStart w:id="330" w:name="bookmark330"/>
      <w:r>
        <w:rPr>
          <w:color w:val="000000"/>
          <w:spacing w:val="0"/>
          <w:w w:val="100"/>
          <w:position w:val="0"/>
        </w:rPr>
        <w:t>三</w:t>
      </w:r>
      <w:bookmarkEnd w:id="330"/>
      <w:r>
        <w:rPr>
          <w:color w:val="000000"/>
          <w:spacing w:val="0"/>
          <w:w w:val="100"/>
          <w:position w:val="0"/>
        </w:rPr>
        <w:t>、</w:t>
        <w:tab/>
        <w:t>针对个别岗位提供专业性外训，如生产管理、财务、人力资源等专业性较强的岗位。</w:t>
      </w:r>
    </w:p>
    <w:p>
      <w:pPr>
        <w:pStyle w:val="Style16"/>
        <w:keepNext w:val="0"/>
        <w:keepLines w:val="0"/>
        <w:widowControl w:val="0"/>
        <w:shd w:val="clear" w:color="auto" w:fill="auto"/>
        <w:bidi w:val="0"/>
        <w:spacing w:before="0" w:after="740" w:line="312" w:lineRule="exact"/>
        <w:ind w:left="0" w:right="0" w:firstLine="0"/>
        <w:jc w:val="both"/>
      </w:pPr>
      <w:r>
        <w:rPr>
          <w:color w:val="000000"/>
          <w:spacing w:val="0"/>
          <w:w w:val="100"/>
          <w:position w:val="0"/>
        </w:rPr>
        <w:t>通过以上三种培训方式提高员工整体素质和业务水平，为公司培养和储备人才，为公司的可持续发展提供保障。</w:t>
      </w:r>
    </w:p>
    <w:p>
      <w:pPr>
        <w:pStyle w:val="Style23"/>
        <w:keepNext/>
        <w:keepLines/>
        <w:widowControl w:val="0"/>
        <w:shd w:val="clear" w:color="auto" w:fill="auto"/>
        <w:tabs>
          <w:tab w:pos="368" w:val="left"/>
        </w:tabs>
        <w:bidi w:val="0"/>
        <w:spacing w:before="0" w:after="26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劳务外包情况</w:t>
      </w:r>
      <w:bookmarkEnd w:id="331"/>
      <w:bookmarkEnd w:id="332"/>
      <w:bookmarkEnd w:id="334"/>
    </w:p>
    <w:p>
      <w:pPr>
        <w:pStyle w:val="Style16"/>
        <w:keepNext w:val="0"/>
        <w:keepLines w:val="0"/>
        <w:widowControl w:val="0"/>
        <w:shd w:val="clear" w:color="auto" w:fill="auto"/>
        <w:bidi w:val="0"/>
        <w:spacing w:before="0" w:after="26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rPr>
        <w:t>十二、公司利润分配及资本公积金转增股本情况</w:t>
      </w:r>
      <w:bookmarkEnd w:id="335"/>
      <w:bookmarkEnd w:id="336"/>
      <w:bookmarkEnd w:id="33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0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年度利润分配预案为：不派发现金红利，不送红股，不以资本公积金转增股本。</w:t>
            </w:r>
          </w:p>
        </w:tc>
      </w:tr>
    </w:tbl>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80" w:line="240" w:lineRule="auto"/>
        <w:ind w:left="0" w:right="0" w:firstLine="0"/>
        <w:jc w:val="left"/>
      </w:pPr>
      <w:bookmarkStart w:id="338" w:name="bookmark338"/>
      <w:bookmarkStart w:id="339" w:name="bookmark339"/>
      <w:bookmarkStart w:id="340" w:name="bookmark340"/>
      <w:r>
        <w:rPr>
          <w:color w:val="000000"/>
          <w:spacing w:val="0"/>
          <w:w w:val="100"/>
          <w:position w:val="0"/>
        </w:rPr>
        <w:t>十三、公司股权激励计划、员工持股计划或其他员工激励措施的实施情况</w:t>
      </w:r>
      <w:bookmarkEnd w:id="338"/>
      <w:bookmarkEnd w:id="339"/>
      <w:bookmarkEnd w:id="340"/>
    </w:p>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公司报告期无股权激励计划、员工持股计划或其他员工激励措施及其实施情况。</w:t>
      </w:r>
    </w:p>
    <w:p>
      <w:pPr>
        <w:pStyle w:val="Style19"/>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rPr>
        <w:t>十四、报告期内的内部控制制度建设及实施情况</w:t>
      </w:r>
      <w:bookmarkEnd w:id="341"/>
      <w:bookmarkEnd w:id="342"/>
      <w:bookmarkEnd w:id="343"/>
    </w:p>
    <w:p>
      <w:pPr>
        <w:pStyle w:val="Style23"/>
        <w:keepNext/>
        <w:keepLines/>
        <w:widowControl w:val="0"/>
        <w:shd w:val="clear" w:color="auto" w:fill="auto"/>
        <w:tabs>
          <w:tab w:pos="358" w:val="left"/>
        </w:tabs>
        <w:bidi w:val="0"/>
        <w:spacing w:before="0" w:after="2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内部控制建设及实施情况</w:t>
      </w:r>
      <w:bookmarkEnd w:id="344"/>
      <w:bookmarkEnd w:id="345"/>
      <w:bookmarkEnd w:id="347"/>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报告期内，公司根据《企业内部控制基本规范》及其配套指引的规定和其他内部控制监管要求，结合公司内部控制制度和评 价办法，在内部控制日常监督和专项监督的基础上，坚持以风险导向为原则，对公司内部控制体系进行持续的改进和优化， 以不断适应外部环境变化和内部管理的要求。</w:t>
      </w:r>
    </w:p>
    <w:p>
      <w:pPr>
        <w:pStyle w:val="Style23"/>
        <w:keepNext/>
        <w:keepLines/>
        <w:widowControl w:val="0"/>
        <w:shd w:val="clear" w:color="auto" w:fill="auto"/>
        <w:tabs>
          <w:tab w:pos="368"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报告期内发现的内部控制重大缺陷的具体情况</w:t>
      </w:r>
      <w:bookmarkEnd w:id="348"/>
      <w:bookmarkEnd w:id="349"/>
      <w:bookmarkEnd w:id="351"/>
    </w:p>
    <w:p>
      <w:pPr>
        <w:pStyle w:val="Style32"/>
        <w:keepNext w:val="0"/>
        <w:keepLines w:val="0"/>
        <w:widowControl w:val="0"/>
        <w:shd w:val="clear" w:color="auto" w:fill="auto"/>
        <w:bidi w:val="0"/>
        <w:spacing w:before="0" w:after="0" w:line="360" w:lineRule="auto"/>
        <w:ind w:left="0" w:right="0" w:firstLine="0"/>
        <w:jc w:val="distribute"/>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1378"/>
        <w:gridCol w:w="1368"/>
        <w:gridCol w:w="1373"/>
        <w:gridCol w:w="1373"/>
        <w:gridCol w:w="1363"/>
        <w:gridCol w:w="1368"/>
        <w:gridCol w:w="138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缺陷发生的时间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缺陷的具体描述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缺陷对财务报告 的潜在影响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已实施或拟实施 的整改措施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整改时间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整改责任人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整改效果</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85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大额应收账款存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在较大收回风险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公司存在应收账 款余额较大且回 款率较低的风险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鉴于上述事实情 况，公司新一届 管理层自交接后 非常重视应收账 款的管理，逐步 建立及完善客户 评级制度，并根 据客户评级情况 给予适当的信用 期和信用额度， 从源头保证应收 账款的安全性。 公司还明确了销 售业绩和回款目 标的责任人，并 将销售和回款任 务的完成情况作 为日常绩效考核 的重要指标，定 期对账龄进行分 析，及时安排催 款，尤其重视大 额应收账款的催 收工作，最大程 度将应收账款风 险控制在可控范 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非经营性资金占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公司存在非经营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性资金占用仍未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全部归还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由于相关方并未 按照公司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度报告披露的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其他应收款解 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承诺在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日前偿还占用文 化长城资金 </w:t>
            </w:r>
            <w:r>
              <w:rPr>
                <w:rFonts w:ascii="Times New Roman" w:eastAsia="Times New Roman" w:hAnsi="Times New Roman" w:cs="Times New Roman"/>
                <w:color w:val="000000"/>
                <w:spacing w:val="0"/>
                <w:w w:val="100"/>
                <w:position w:val="0"/>
                <w:sz w:val="18"/>
                <w:szCs w:val="18"/>
              </w:rPr>
              <w:t>7,679.99</w:t>
            </w:r>
            <w:r>
              <w:rPr>
                <w:color w:val="000000"/>
                <w:spacing w:val="0"/>
                <w:w w:val="100"/>
                <w:position w:val="0"/>
              </w:rPr>
              <w:t>万元，文 化长城已提起诉 讼追偿。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r>
        <w:rPr>
          <w:color w:val="000000"/>
          <w:spacing w:val="0"/>
          <w:w w:val="100"/>
          <w:position w:val="0"/>
        </w:rPr>
        <w:t>十五、公司报告期内对子公司的管理控制情况</w:t>
      </w:r>
      <w:bookmarkEnd w:id="352"/>
      <w:bookmarkEnd w:id="353"/>
      <w:bookmarkEnd w:id="354"/>
    </w:p>
    <w:tbl>
      <w:tblPr>
        <w:tblOverlap w:val="never"/>
        <w:jc w:val="center"/>
        <w:tblLayout w:type="fixed"/>
      </w:tblPr>
      <w:tblGrid>
        <w:gridCol w:w="1378"/>
        <w:gridCol w:w="1368"/>
        <w:gridCol w:w="1373"/>
        <w:gridCol w:w="1378"/>
        <w:gridCol w:w="1358"/>
        <w:gridCol w:w="1368"/>
        <w:gridCol w:w="138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整合进展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东莞市雅鑫实业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对雅鑫实业的业 务、资产、财务、 人员等方面进行 整合与管理。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已经根据协议完 成股权交割事 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暂未出现重要问 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后续根据公司经 营情况，及时管 控调节，保证子 公司正常运转。</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rPr>
        <w:t>十六、内部控制自我评价报告或内部控制审计报告</w:t>
      </w:r>
      <w:bookmarkEnd w:id="355"/>
      <w:bookmarkEnd w:id="356"/>
      <w:bookmarkEnd w:id="357"/>
    </w:p>
    <w:p>
      <w:pPr>
        <w:pStyle w:val="Style23"/>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、内控自我评价报告</w:t>
      </w:r>
      <w:bookmarkEnd w:id="358"/>
      <w:bookmarkEnd w:id="359"/>
      <w:bookmarkEnd w:id="361"/>
    </w:p>
    <w:tbl>
      <w:tblPr>
        <w:tblOverlap w:val="never"/>
        <w:jc w:val="center"/>
        <w:tblLayout w:type="fixed"/>
      </w:tblPr>
      <w:tblGrid>
        <w:gridCol w:w="3202"/>
        <w:gridCol w:w="3331"/>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9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在内部控制缺陷不直接对财务报表造成影 响或间接造成影响，数额很难确定的情况 下，可通过分析该控制缺陷所涉及业务性 质的严重程度、直接或潜在负面影响性质、 影响范围等因素认定缺陷。</w:t>
            </w:r>
          </w:p>
          <w:p>
            <w:pPr>
              <w:pStyle w:val="Style2"/>
              <w:keepNext w:val="0"/>
              <w:keepLines w:val="0"/>
              <w:widowControl w:val="0"/>
              <w:shd w:val="clear" w:color="auto" w:fill="auto"/>
              <w:tabs>
                <w:tab w:pos="235" w:val="left"/>
              </w:tabs>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财务报告重大缺陷的迹象包括：</w:t>
            </w:r>
          </w:p>
          <w:p>
            <w:pPr>
              <w:pStyle w:val="Style2"/>
              <w:keepNext w:val="0"/>
              <w:keepLines w:val="0"/>
              <w:widowControl w:val="0"/>
              <w:numPr>
                <w:ilvl w:val="0"/>
                <w:numId w:val="5"/>
              </w:numPr>
              <w:shd w:val="clear" w:color="auto" w:fill="auto"/>
              <w:tabs>
                <w:tab w:pos="192" w:val="left"/>
              </w:tabs>
              <w:bidi w:val="0"/>
              <w:spacing w:before="0" w:after="0" w:line="326" w:lineRule="exact"/>
              <w:ind w:left="0" w:right="0" w:firstLine="0"/>
              <w:jc w:val="both"/>
            </w:pPr>
            <w:r>
              <w:rPr>
                <w:color w:val="000000"/>
                <w:spacing w:val="0"/>
                <w:w w:val="100"/>
                <w:position w:val="0"/>
              </w:rPr>
              <w:t>公司董事、监事和高级管理人员的舞弊 行为；</w:t>
            </w:r>
          </w:p>
          <w:p>
            <w:pPr>
              <w:pStyle w:val="Style2"/>
              <w:keepNext w:val="0"/>
              <w:keepLines w:val="0"/>
              <w:widowControl w:val="0"/>
              <w:numPr>
                <w:ilvl w:val="0"/>
                <w:numId w:val="5"/>
              </w:numPr>
              <w:shd w:val="clear" w:color="auto" w:fill="auto"/>
              <w:tabs>
                <w:tab w:pos="192" w:val="left"/>
              </w:tabs>
              <w:bidi w:val="0"/>
              <w:spacing w:before="0" w:after="0" w:line="324" w:lineRule="exact"/>
              <w:ind w:left="0" w:right="0" w:firstLine="0"/>
              <w:jc w:val="both"/>
            </w:pPr>
            <w:r>
              <w:rPr>
                <w:color w:val="000000"/>
                <w:spacing w:val="0"/>
                <w:w w:val="100"/>
                <w:position w:val="0"/>
              </w:rPr>
              <w:t>公司更正已公布的财务报告；</w:t>
            </w:r>
          </w:p>
          <w:p>
            <w:pPr>
              <w:pStyle w:val="Style2"/>
              <w:keepNext w:val="0"/>
              <w:keepLines w:val="0"/>
              <w:widowControl w:val="0"/>
              <w:numPr>
                <w:ilvl w:val="0"/>
                <w:numId w:val="5"/>
              </w:numPr>
              <w:shd w:val="clear" w:color="auto" w:fill="auto"/>
              <w:tabs>
                <w:tab w:pos="187" w:val="left"/>
              </w:tabs>
              <w:bidi w:val="0"/>
              <w:spacing w:before="0" w:after="0" w:line="324" w:lineRule="exact"/>
              <w:ind w:left="0" w:right="0" w:firstLine="0"/>
              <w:jc w:val="both"/>
            </w:pPr>
            <w:r>
              <w:rPr>
                <w:color w:val="000000"/>
                <w:spacing w:val="0"/>
                <w:w w:val="100"/>
                <w:position w:val="0"/>
              </w:rPr>
              <w:t>注册会计师发现的却未被公司内部控制 识别的当期财务报告中的重大错报；</w:t>
            </w:r>
          </w:p>
          <w:p>
            <w:pPr>
              <w:pStyle w:val="Style2"/>
              <w:keepNext w:val="0"/>
              <w:keepLines w:val="0"/>
              <w:widowControl w:val="0"/>
              <w:numPr>
                <w:ilvl w:val="0"/>
                <w:numId w:val="5"/>
              </w:numPr>
              <w:shd w:val="clear" w:color="auto" w:fill="auto"/>
              <w:tabs>
                <w:tab w:pos="192" w:val="left"/>
              </w:tabs>
              <w:bidi w:val="0"/>
              <w:spacing w:before="0" w:after="140" w:line="324" w:lineRule="exact"/>
              <w:ind w:left="0" w:right="0" w:firstLine="0"/>
              <w:jc w:val="both"/>
            </w:pPr>
            <w:r>
              <w:rPr>
                <w:color w:val="000000"/>
                <w:spacing w:val="0"/>
                <w:w w:val="100"/>
                <w:position w:val="0"/>
              </w:rPr>
              <w:t>审计委员会和审计部门对公司的对外财 务报告和财务报告内部控制监督无效。</w:t>
            </w:r>
          </w:p>
          <w:p>
            <w:pPr>
              <w:pStyle w:val="Style2"/>
              <w:keepNext w:val="0"/>
              <w:keepLines w:val="0"/>
              <w:widowControl w:val="0"/>
              <w:shd w:val="clear" w:color="auto" w:fill="auto"/>
              <w:tabs>
                <w:tab w:pos="254" w:val="left"/>
              </w:tabs>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财务报告重要缺陷的迹象包括：</w:t>
            </w:r>
          </w:p>
          <w:p>
            <w:pPr>
              <w:pStyle w:val="Style2"/>
              <w:keepNext w:val="0"/>
              <w:keepLines w:val="0"/>
              <w:widowControl w:val="0"/>
              <w:numPr>
                <w:ilvl w:val="0"/>
                <w:numId w:val="7"/>
              </w:numPr>
              <w:shd w:val="clear" w:color="auto" w:fill="auto"/>
              <w:tabs>
                <w:tab w:pos="192" w:val="left"/>
              </w:tabs>
              <w:bidi w:val="0"/>
              <w:spacing w:before="0" w:after="0" w:line="326" w:lineRule="exact"/>
              <w:ind w:left="0" w:right="0" w:firstLine="0"/>
              <w:jc w:val="both"/>
            </w:pPr>
            <w:r>
              <w:rPr>
                <w:color w:val="000000"/>
                <w:spacing w:val="0"/>
                <w:w w:val="100"/>
                <w:position w:val="0"/>
              </w:rPr>
              <w:t>未依照公认会计准则选择和应用会计政 策；</w:t>
            </w:r>
          </w:p>
          <w:p>
            <w:pPr>
              <w:pStyle w:val="Style2"/>
              <w:keepNext w:val="0"/>
              <w:keepLines w:val="0"/>
              <w:widowControl w:val="0"/>
              <w:numPr>
                <w:ilvl w:val="0"/>
                <w:numId w:val="7"/>
              </w:numPr>
              <w:shd w:val="clear" w:color="auto" w:fill="auto"/>
              <w:tabs>
                <w:tab w:pos="192" w:val="left"/>
              </w:tabs>
              <w:bidi w:val="0"/>
              <w:spacing w:before="0" w:after="0" w:line="322" w:lineRule="exact"/>
              <w:ind w:left="0" w:right="0" w:firstLine="0"/>
              <w:jc w:val="both"/>
            </w:pPr>
            <w:r>
              <w:rPr>
                <w:color w:val="000000"/>
                <w:spacing w:val="0"/>
                <w:w w:val="100"/>
                <w:position w:val="0"/>
              </w:rPr>
              <w:t>未建立反舞弊程序和控制措施；</w:t>
            </w:r>
          </w:p>
          <w:p>
            <w:pPr>
              <w:pStyle w:val="Style2"/>
              <w:keepNext w:val="0"/>
              <w:keepLines w:val="0"/>
              <w:widowControl w:val="0"/>
              <w:numPr>
                <w:ilvl w:val="0"/>
                <w:numId w:val="7"/>
              </w:numPr>
              <w:shd w:val="clear" w:color="auto" w:fill="auto"/>
              <w:tabs>
                <w:tab w:pos="182" w:val="left"/>
              </w:tabs>
              <w:bidi w:val="0"/>
              <w:spacing w:before="0" w:after="0" w:line="319" w:lineRule="exact"/>
              <w:ind w:left="0" w:right="0" w:firstLine="0"/>
              <w:jc w:val="both"/>
            </w:pPr>
            <w:r>
              <w:rPr>
                <w:color w:val="000000"/>
                <w:spacing w:val="0"/>
                <w:w w:val="100"/>
                <w:position w:val="0"/>
              </w:rPr>
              <w:t>对于非常规或特殊交易的账务处理没有 建立相应的控制机制或没有实施且没有相 应的补偿性控制；</w:t>
            </w:r>
          </w:p>
          <w:p>
            <w:pPr>
              <w:pStyle w:val="Style2"/>
              <w:keepNext w:val="0"/>
              <w:keepLines w:val="0"/>
              <w:widowControl w:val="0"/>
              <w:numPr>
                <w:ilvl w:val="0"/>
                <w:numId w:val="7"/>
              </w:numPr>
              <w:shd w:val="clear" w:color="auto" w:fill="auto"/>
              <w:tabs>
                <w:tab w:pos="182" w:val="left"/>
              </w:tabs>
              <w:bidi w:val="0"/>
              <w:spacing w:before="0" w:after="140" w:line="319" w:lineRule="exact"/>
              <w:ind w:left="0" w:right="0" w:firstLine="0"/>
              <w:jc w:val="both"/>
            </w:pPr>
            <w:r>
              <w:rPr>
                <w:color w:val="000000"/>
                <w:spacing w:val="0"/>
                <w:w w:val="100"/>
                <w:position w:val="0"/>
              </w:rPr>
              <w:t>对于期末财务报告过程的控制存在一项 或多项缺陷且不能合理保证编制的财务报 表达到真实、完整的目标。</w:t>
            </w:r>
          </w:p>
          <w:p>
            <w:pPr>
              <w:pStyle w:val="Style2"/>
              <w:keepNext w:val="0"/>
              <w:keepLines w:val="0"/>
              <w:widowControl w:val="0"/>
              <w:shd w:val="clear" w:color="auto" w:fill="auto"/>
              <w:tabs>
                <w:tab w:pos="230"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一般缺陷是指除上述重大缺陷、重要缺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公司确定的非财务报告内部控制缺陷 评价的定性标准如下：</w:t>
            </w:r>
          </w:p>
          <w:p>
            <w:pPr>
              <w:pStyle w:val="Style2"/>
              <w:keepNext w:val="0"/>
              <w:keepLines w:val="0"/>
              <w:widowControl w:val="0"/>
              <w:shd w:val="clear" w:color="auto" w:fill="auto"/>
              <w:tabs>
                <w:tab w:pos="254" w:val="left"/>
              </w:tabs>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重大缺陷的迹象包括：</w:t>
            </w:r>
          </w:p>
          <w:p>
            <w:pPr>
              <w:pStyle w:val="Style2"/>
              <w:keepNext w:val="0"/>
              <w:keepLines w:val="0"/>
              <w:widowControl w:val="0"/>
              <w:numPr>
                <w:ilvl w:val="0"/>
                <w:numId w:val="9"/>
              </w:numPr>
              <w:shd w:val="clear" w:color="auto" w:fill="auto"/>
              <w:tabs>
                <w:tab w:pos="182" w:val="left"/>
              </w:tabs>
              <w:bidi w:val="0"/>
              <w:spacing w:before="0" w:after="0" w:line="322" w:lineRule="exact"/>
              <w:ind w:left="0" w:right="0" w:firstLine="0"/>
              <w:jc w:val="both"/>
            </w:pPr>
            <w:r>
              <w:rPr>
                <w:color w:val="000000"/>
                <w:spacing w:val="0"/>
                <w:w w:val="100"/>
                <w:position w:val="0"/>
              </w:rPr>
              <w:t>严重偏离控制目标且不采取任何控 制措施；</w:t>
            </w:r>
          </w:p>
          <w:p>
            <w:pPr>
              <w:pStyle w:val="Style2"/>
              <w:keepNext w:val="0"/>
              <w:keepLines w:val="0"/>
              <w:widowControl w:val="0"/>
              <w:numPr>
                <w:ilvl w:val="0"/>
                <w:numId w:val="9"/>
              </w:numPr>
              <w:shd w:val="clear" w:color="auto" w:fill="auto"/>
              <w:tabs>
                <w:tab w:pos="182" w:val="left"/>
              </w:tabs>
              <w:bidi w:val="0"/>
              <w:spacing w:before="0" w:after="0" w:line="322" w:lineRule="exact"/>
              <w:ind w:left="0" w:right="0" w:firstLine="0"/>
              <w:jc w:val="both"/>
            </w:pPr>
            <w:r>
              <w:rPr>
                <w:color w:val="000000"/>
                <w:spacing w:val="0"/>
                <w:w w:val="100"/>
                <w:position w:val="0"/>
              </w:rPr>
              <w:t>董事、监事和高层管理人员滥用职 权，发生贪污、受贿、挪用公款等舞弊 行为；</w:t>
            </w:r>
          </w:p>
          <w:p>
            <w:pPr>
              <w:pStyle w:val="Style2"/>
              <w:keepNext w:val="0"/>
              <w:keepLines w:val="0"/>
              <w:widowControl w:val="0"/>
              <w:numPr>
                <w:ilvl w:val="0"/>
                <w:numId w:val="9"/>
              </w:numPr>
              <w:shd w:val="clear" w:color="auto" w:fill="auto"/>
              <w:tabs>
                <w:tab w:pos="182" w:val="left"/>
              </w:tabs>
              <w:bidi w:val="0"/>
              <w:spacing w:before="0" w:after="0" w:line="322" w:lineRule="exact"/>
              <w:ind w:left="0" w:right="0" w:firstLine="0"/>
              <w:jc w:val="both"/>
            </w:pPr>
            <w:r>
              <w:rPr>
                <w:color w:val="000000"/>
                <w:spacing w:val="0"/>
                <w:w w:val="100"/>
                <w:position w:val="0"/>
              </w:rPr>
              <w:t>重要业务缺乏制度控制或制度系统 性失效；</w:t>
            </w:r>
          </w:p>
          <w:p>
            <w:pPr>
              <w:pStyle w:val="Style2"/>
              <w:keepNext w:val="0"/>
              <w:keepLines w:val="0"/>
              <w:widowControl w:val="0"/>
              <w:numPr>
                <w:ilvl w:val="0"/>
                <w:numId w:val="9"/>
              </w:numPr>
              <w:shd w:val="clear" w:color="auto" w:fill="auto"/>
              <w:tabs>
                <w:tab w:pos="182" w:val="left"/>
              </w:tabs>
              <w:bidi w:val="0"/>
              <w:spacing w:before="0" w:after="0" w:line="322" w:lineRule="exact"/>
              <w:ind w:left="0" w:right="0" w:firstLine="0"/>
              <w:jc w:val="both"/>
            </w:pPr>
            <w:r>
              <w:rPr>
                <w:color w:val="000000"/>
                <w:spacing w:val="0"/>
                <w:w w:val="100"/>
                <w:position w:val="0"/>
              </w:rPr>
              <w:t>违规泄露对外投资、资产重组等重大 内幕信息，导致公司股价严重波动或公 司形象出现严重负面影响；</w:t>
            </w:r>
          </w:p>
          <w:p>
            <w:pPr>
              <w:pStyle w:val="Style2"/>
              <w:keepNext w:val="0"/>
              <w:keepLines w:val="0"/>
              <w:widowControl w:val="0"/>
              <w:numPr>
                <w:ilvl w:val="0"/>
                <w:numId w:val="9"/>
              </w:numPr>
              <w:shd w:val="clear" w:color="auto" w:fill="auto"/>
              <w:tabs>
                <w:tab w:pos="182" w:val="left"/>
              </w:tabs>
              <w:bidi w:val="0"/>
              <w:spacing w:before="0" w:after="140" w:line="322" w:lineRule="exact"/>
              <w:ind w:left="0" w:right="0" w:firstLine="0"/>
              <w:jc w:val="both"/>
            </w:pPr>
            <w:r>
              <w:rPr>
                <w:color w:val="000000"/>
                <w:spacing w:val="0"/>
                <w:w w:val="100"/>
                <w:position w:val="0"/>
              </w:rPr>
              <w:t>重大事项决策程序产生重大失误；违 反公司决策程序导致公司重大经济损 失。</w:t>
            </w:r>
          </w:p>
          <w:p>
            <w:pPr>
              <w:pStyle w:val="Style2"/>
              <w:keepNext w:val="0"/>
              <w:keepLines w:val="0"/>
              <w:widowControl w:val="0"/>
              <w:shd w:val="clear" w:color="auto" w:fill="auto"/>
              <w:tabs>
                <w:tab w:pos="274" w:val="left"/>
              </w:tabs>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重要缺陷的迹象包括：</w:t>
            </w:r>
          </w:p>
          <w:p>
            <w:pPr>
              <w:pStyle w:val="Style2"/>
              <w:keepNext w:val="0"/>
              <w:keepLines w:val="0"/>
              <w:widowControl w:val="0"/>
              <w:numPr>
                <w:ilvl w:val="0"/>
                <w:numId w:val="11"/>
              </w:numPr>
              <w:shd w:val="clear" w:color="auto" w:fill="auto"/>
              <w:tabs>
                <w:tab w:pos="187" w:val="left"/>
              </w:tabs>
              <w:bidi w:val="0"/>
              <w:spacing w:before="0" w:after="0" w:line="317" w:lineRule="exact"/>
              <w:ind w:left="0" w:right="0" w:firstLine="0"/>
              <w:jc w:val="both"/>
            </w:pPr>
            <w:r>
              <w:rPr>
                <w:color w:val="000000"/>
                <w:spacing w:val="0"/>
                <w:w w:val="100"/>
                <w:position w:val="0"/>
              </w:rPr>
              <w:t>未经授权及履行相应的信息披露义 务，进行对外担保、投资有价证券、金 融衍生品交易、资产处置、关联交易；</w:t>
            </w:r>
          </w:p>
          <w:p>
            <w:pPr>
              <w:pStyle w:val="Style2"/>
              <w:keepNext w:val="0"/>
              <w:keepLines w:val="0"/>
              <w:widowControl w:val="0"/>
              <w:numPr>
                <w:ilvl w:val="0"/>
                <w:numId w:val="11"/>
              </w:numPr>
              <w:shd w:val="clear" w:color="auto" w:fill="auto"/>
              <w:tabs>
                <w:tab w:pos="187" w:val="left"/>
              </w:tabs>
              <w:bidi w:val="0"/>
              <w:spacing w:before="0" w:after="0" w:line="322" w:lineRule="exact"/>
              <w:ind w:left="0" w:right="0" w:firstLine="0"/>
              <w:jc w:val="both"/>
            </w:pPr>
            <w:r>
              <w:rPr>
                <w:color w:val="000000"/>
                <w:spacing w:val="0"/>
                <w:w w:val="100"/>
                <w:position w:val="0"/>
              </w:rPr>
              <w:t>公司关键岗位业务人员流失严重；</w:t>
            </w:r>
          </w:p>
          <w:p>
            <w:pPr>
              <w:pStyle w:val="Style2"/>
              <w:keepNext w:val="0"/>
              <w:keepLines w:val="0"/>
              <w:widowControl w:val="0"/>
              <w:numPr>
                <w:ilvl w:val="0"/>
                <w:numId w:val="11"/>
              </w:numPr>
              <w:shd w:val="clear" w:color="auto" w:fill="auto"/>
              <w:tabs>
                <w:tab w:pos="182" w:val="left"/>
              </w:tabs>
              <w:bidi w:val="0"/>
              <w:spacing w:before="0" w:after="140" w:line="322" w:lineRule="exact"/>
              <w:ind w:left="0" w:right="0" w:firstLine="0"/>
              <w:jc w:val="both"/>
            </w:pPr>
            <w:r>
              <w:rPr>
                <w:color w:val="000000"/>
                <w:spacing w:val="0"/>
                <w:w w:val="100"/>
                <w:position w:val="0"/>
              </w:rPr>
              <w:t>媒体出现负面新闻，波及局部区域， 影响较大但未造成股价异动；</w:t>
            </w:r>
          </w:p>
          <w:p>
            <w:pPr>
              <w:pStyle w:val="Style2"/>
              <w:keepNext w:val="0"/>
              <w:keepLines w:val="0"/>
              <w:widowControl w:val="0"/>
              <w:shd w:val="clear" w:color="auto" w:fill="auto"/>
              <w:tabs>
                <w:tab w:pos="264" w:val="left"/>
              </w:tabs>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一般缺陷：除重大缺陷、重要缺陷</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7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之外的其他缺陷。</w:t>
            </w:r>
          </w:p>
        </w:tc>
      </w:tr>
      <w:tr>
        <w:trPr>
          <w:trHeight w:val="3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一般缺陷错报金额〈资产总额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shd w:val="clear" w:color="auto" w:fill="auto"/>
              <w:bidi w:val="0"/>
              <w:spacing w:before="0" w:after="120" w:line="317" w:lineRule="exact"/>
              <w:ind w:left="1480" w:right="0" w:firstLine="0"/>
              <w:jc w:val="left"/>
            </w:pPr>
            <w:r>
              <w:rPr>
                <w:color w:val="000000"/>
                <w:spacing w:val="0"/>
                <w:w w:val="100"/>
                <w:position w:val="0"/>
              </w:rPr>
              <w:t>错报金额〈营业收入的</w:t>
            </w:r>
          </w:p>
          <w:p>
            <w:pPr>
              <w:pStyle w:val="Style2"/>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重要缺陷资产总额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错报金额〈资</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
              <w:keepNext w:val="0"/>
              <w:keepLines w:val="0"/>
              <w:widowControl w:val="0"/>
              <w:shd w:val="clear" w:color="auto" w:fill="auto"/>
              <w:bidi w:val="0"/>
              <w:spacing w:before="0" w:after="40" w:line="317" w:lineRule="exact"/>
              <w:ind w:left="0" w:right="0" w:firstLine="1480"/>
              <w:jc w:val="left"/>
            </w:pP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 金额〈营业收入总额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
              <w:keepNext w:val="0"/>
              <w:keepLines w:val="0"/>
              <w:widowControl w:val="0"/>
              <w:shd w:val="clear" w:color="auto" w:fill="auto"/>
              <w:bidi w:val="0"/>
              <w:spacing w:before="0" w:after="0" w:line="317" w:lineRule="exact"/>
              <w:ind w:left="1480" w:right="0" w:firstLine="0"/>
              <w:jc w:val="left"/>
            </w:pP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一般缺陷损失＜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万元受到省级</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（含省级）以下政府部门处罚但未对本 公司定期报告披露造成负面影响。</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损失＜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
              <w:keepNext w:val="0"/>
              <w:keepLines w:val="0"/>
              <w:widowControl w:val="0"/>
              <w:shd w:val="clear" w:color="auto" w:fill="auto"/>
              <w:bidi w:val="0"/>
              <w:spacing w:before="0" w:after="0" w:line="318" w:lineRule="exact"/>
              <w:ind w:left="0" w:right="0" w:firstLine="460"/>
              <w:jc w:val="left"/>
            </w:pPr>
            <w:r>
              <w:rPr>
                <w:color w:val="000000"/>
                <w:spacing w:val="0"/>
                <w:w w:val="100"/>
                <w:position w:val="0"/>
              </w:rPr>
              <w:t>受到省级以上政府部门或监管机 构处罚但未对本公司定期报告披露造 成负面影响。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重大缺陷损失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万元受到国家 政府部门处罚，且已正式对外披露并对 本公司定期报告披露造成负面影响。</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99" w:line="1" w:lineRule="exact"/>
      </w:pPr>
    </w:p>
    <w:p>
      <w:pPr>
        <w:pStyle w:val="Style23"/>
        <w:keepNext/>
        <w:keepLines/>
        <w:widowControl w:val="0"/>
        <w:shd w:val="clear" w:color="auto" w:fill="auto"/>
        <w:bidi w:val="0"/>
        <w:spacing w:before="0" w:after="42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、内部控制审计报告或鉴证报告</w:t>
      </w:r>
      <w:bookmarkEnd w:id="362"/>
      <w:bookmarkEnd w:id="363"/>
      <w:bookmarkEnd w:id="365"/>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300" w:line="310" w:lineRule="exact"/>
        <w:ind w:left="0" w:right="0" w:firstLine="0"/>
        <w:jc w:val="left"/>
      </w:pPr>
      <w:bookmarkStart w:id="366" w:name="bookmark366"/>
      <w:bookmarkStart w:id="367" w:name="bookmark367"/>
      <w:bookmarkStart w:id="368" w:name="bookmark368"/>
      <w:r>
        <w:rPr>
          <w:color w:val="000000"/>
          <w:spacing w:val="0"/>
          <w:w w:val="100"/>
          <w:position w:val="0"/>
        </w:rPr>
        <w:t>十七、上市公司治理专项行动自查问题整改情况</w:t>
      </w:r>
      <w:bookmarkEnd w:id="366"/>
      <w:bookmarkEnd w:id="367"/>
      <w:bookmarkEnd w:id="368"/>
    </w:p>
    <w:p>
      <w:pPr>
        <w:pStyle w:val="Style1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根据监管部门要求，公司开展了治理专项自查活动，对公司治理进行了全面的回顾，对 照监管规则和《公司章程》等规范文件，发现问题，查找不足，以专项自查活动为契机，提 升治理水平，维护投资者利益。</w:t>
      </w:r>
    </w:p>
    <w:p>
      <w:pPr>
        <w:pStyle w:val="Style1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经公司自查，公司未弥补亏损金额超过实收股本总额三分之一但尚未召开股东大会审议 相关事项。公司的整改情况为：公司已召开董事会审议相关事项并计划于公司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年年度股 东大会审议《关于未弥补亏损达实收股本总额三分之一的议案》。</w:t>
      </w:r>
    </w:p>
    <w:p>
      <w:pPr>
        <w:pStyle w:val="Style13"/>
        <w:keepNext w:val="0"/>
        <w:keepLines w:val="0"/>
        <w:widowControl w:val="0"/>
        <w:shd w:val="clear" w:color="auto" w:fill="auto"/>
        <w:bidi w:val="0"/>
        <w:spacing w:before="0" w:after="300" w:line="310" w:lineRule="exact"/>
        <w:ind w:left="0" w:right="0" w:firstLine="480"/>
        <w:jc w:val="both"/>
        <w:sectPr>
          <w:footnotePr>
            <w:pos w:val="pageBottom"/>
            <w:numFmt w:val="decimal"/>
            <w:numRestart w:val="continuous"/>
          </w:footnotePr>
          <w:pgSz w:w="11900" w:h="16840"/>
          <w:pgMar w:top="1405" w:right="1054" w:bottom="1429" w:left="1030" w:header="0" w:footer="3" w:gutter="0"/>
          <w:cols w:space="720"/>
          <w:noEndnote/>
          <w:rtlGutter w:val="0"/>
          <w:docGrid w:linePitch="360"/>
        </w:sectPr>
      </w:pPr>
      <w:r>
        <w:rPr>
          <w:color w:val="000000"/>
          <w:spacing w:val="0"/>
          <w:w w:val="100"/>
          <w:position w:val="0"/>
        </w:rPr>
        <w:t>公司将进一步加强对《上市公司治理准则》及相关规则及规范运作指引的学习，健全治 理机制，确保股东大会、董事会、监事会等机构合法运作和科学决策，维持公司三会的合规 运作、正常运作。</w:t>
      </w:r>
    </w:p>
    <w:p>
      <w:pPr>
        <w:pStyle w:val="Style8"/>
        <w:keepNext/>
        <w:keepLines/>
        <w:widowControl w:val="0"/>
        <w:shd w:val="clear" w:color="auto" w:fill="auto"/>
        <w:bidi w:val="0"/>
        <w:spacing w:before="580" w:after="540" w:line="240" w:lineRule="auto"/>
        <w:ind w:left="0" w:right="0" w:firstLine="0"/>
        <w:jc w:val="center"/>
      </w:pPr>
      <w:bookmarkStart w:id="372" w:name="bookmark372"/>
      <w:bookmarkStart w:id="373" w:name="bookmark373"/>
      <w:bookmarkStart w:id="374" w:name="bookmark374"/>
      <w:r>
        <w:rPr>
          <w:color w:val="000000"/>
          <w:spacing w:val="0"/>
          <w:w w:val="100"/>
          <w:position w:val="0"/>
        </w:rPr>
        <w:t>第五节环境和社会责任</w:t>
      </w:r>
      <w:bookmarkEnd w:id="372"/>
      <w:bookmarkEnd w:id="373"/>
      <w:bookmarkEnd w:id="374"/>
    </w:p>
    <w:p>
      <w:pPr>
        <w:pStyle w:val="Style19"/>
        <w:keepNext/>
        <w:keepLines/>
        <w:widowControl w:val="0"/>
        <w:shd w:val="clear" w:color="auto" w:fill="auto"/>
        <w:bidi w:val="0"/>
        <w:spacing w:before="0" w:after="380" w:line="240" w:lineRule="auto"/>
        <w:ind w:left="0" w:right="0" w:firstLine="260"/>
        <w:jc w:val="left"/>
      </w:pPr>
      <w:bookmarkStart w:id="375" w:name="bookmark375"/>
      <w:bookmarkStart w:id="376" w:name="bookmark376"/>
      <w:bookmarkStart w:id="377" w:name="bookmark377"/>
      <w:r>
        <w:rPr>
          <w:color w:val="000000"/>
          <w:spacing w:val="0"/>
          <w:w w:val="100"/>
          <w:position w:val="0"/>
        </w:rPr>
        <w:t>、重大环保问题</w:t>
      </w:r>
      <w:bookmarkEnd w:id="375"/>
      <w:bookmarkEnd w:id="376"/>
      <w:bookmarkEnd w:id="377"/>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未披露其他环境信息的原因</w:t>
      </w: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二</w:t>
      </w:r>
      <w:bookmarkEnd w:id="380"/>
      <w:r>
        <w:rPr>
          <w:color w:val="000000"/>
          <w:spacing w:val="0"/>
          <w:w w:val="100"/>
          <w:position w:val="0"/>
        </w:rPr>
        <w:t>、</w:t>
        <w:tab/>
        <w:t>社会责任情况</w:t>
      </w:r>
      <w:bookmarkEnd w:id="378"/>
      <w:bookmarkEnd w:id="379"/>
      <w:bookmarkEnd w:id="38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w:t>
        <w:tab/>
        <w:t>巩固拓展脱贫攻坚成果、乡村振兴的情况</w:t>
      </w:r>
      <w:bookmarkEnd w:id="382"/>
      <w:bookmarkEnd w:id="383"/>
      <w:bookmarkEnd w:id="385"/>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386" w:name="bookmark386"/>
      <w:bookmarkStart w:id="387" w:name="bookmark387"/>
      <w:bookmarkStart w:id="388" w:name="bookmark388"/>
      <w:r>
        <w:rPr>
          <w:color w:val="000000"/>
          <w:spacing w:val="0"/>
          <w:w w:val="100"/>
          <w:position w:val="0"/>
        </w:rPr>
        <w:t>第六节重要事项</w:t>
      </w:r>
      <w:bookmarkEnd w:id="386"/>
      <w:bookmarkEnd w:id="387"/>
      <w:bookmarkEnd w:id="388"/>
    </w:p>
    <w:p>
      <w:pPr>
        <w:pStyle w:val="Style19"/>
        <w:keepNext/>
        <w:keepLines/>
        <w:widowControl w:val="0"/>
        <w:shd w:val="clear" w:color="auto" w:fill="auto"/>
        <w:bidi w:val="0"/>
        <w:spacing w:before="0" w:after="30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一</w:t>
      </w:r>
      <w:bookmarkEnd w:id="391"/>
      <w:r>
        <w:rPr>
          <w:color w:val="000000"/>
          <w:spacing w:val="0"/>
          <w:w w:val="100"/>
          <w:position w:val="0"/>
        </w:rPr>
        <w:t>、承诺事项履行情况</w:t>
      </w:r>
      <w:bookmarkEnd w:id="389"/>
      <w:bookmarkEnd w:id="390"/>
      <w:bookmarkEnd w:id="392"/>
    </w:p>
    <w:p>
      <w:pPr>
        <w:pStyle w:val="Style23"/>
        <w:keepNext/>
        <w:keepLines/>
        <w:widowControl w:val="0"/>
        <w:shd w:val="clear" w:color="auto" w:fill="auto"/>
        <w:bidi w:val="0"/>
        <w:spacing w:before="0" w:after="360" w:line="312" w:lineRule="exact"/>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、公司实际控制人、股东、关联方、收购人以及公司等承诺相关方在报告期内履行完毕及截至报告期末 尚未履行完毕的承诺事项</w:t>
      </w:r>
      <w:bookmarkEnd w:id="393"/>
      <w:bookmarkEnd w:id="394"/>
      <w:bookmarkEnd w:id="39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33"/>
        <w:gridCol w:w="1128"/>
        <w:gridCol w:w="1128"/>
        <w:gridCol w:w="1128"/>
        <w:gridCol w:w="1114"/>
        <w:gridCol w:w="11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本人因广东 文化长城集 团股份有限 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根 据中国证券 监督管理委 员会《关于核 准广东文化 长城集团股 份有限公司 向许高镭等 发行股份购 买资产并募 集配套资金 的批复》（证 监许可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号）实施的发 行股份购买 资产（以下简 称''本次发行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而取得的文 化长城的股 份在本次发 行完成时全 部锁定，其中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的股份， 自上市之日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采购大额无 形资产的合 理性及真实 性无法获取 充分、适当的 审计证据，且 现已失去控 制，现无法判 断联汛教育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年所实 现的净利润 是否达到业 绩承诺数，是 否需要股份 补偿。</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56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不得转让；剩 余</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的股 份，在本次发 行完成之日 起锁定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月，在业绩补 偿履行完毕 后（如需）， 除需用于股 份补偿的，其 余给予解除 锁定。本人承 诺在锁定期 内不以任何 形式转让本 次重组将获 得的文化长 城的股份。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广州商融投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资咨询有限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本企业因广 东文化长城 集团股份有 限公司（下称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根据中国证 券监督管理 委员会《关于 核准广东文 化长城集团 股份有限公 司向许高镭 等发行股份 购买资产并 募集配套资 金的批复》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（证监许可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号）实施的发 行股份购买 资产（以下简 称''本次发行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而取得的文 化长城的股 份在本次发 行完成时全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采购大额无 形资产的合 理性及真实 性无法获取 充分、适当的 审计证据，且 现已失去控 制，现无法判 断联汛教育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年所实 现的净利润 是否达到业 绩承诺数，是 否需要股份 补偿。</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53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部锁定，并在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得转让，在业 绩补偿履行 完毕后（如 需），除需用 于股份补偿 的，其余给予 解除锁定。本 企业承诺在 限定期限内 不以任何形 式转让本次 重组将获得 的文化长城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安卓易（北 京）科技有限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北京虹 佳龙文化传 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共青城纳隆 德投资管理 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 卓智股权投 资合伙企业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宁波梅山保 税港区御泓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深圳普方 达源力投资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新余邦得 投资合伙企 业（有限合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新余创思 资产管理合 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 公成长新兴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、在本企业 因本次交易 而取得文化 长城的股份 时，如果本企 业持有翡翠 教育的股权 的时间已满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个月，则本 企业因本次 交易取得的 文化长城的 股份自文化 长城本次交 易发行股份 结束之日起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得转让；如果 本企业持有 翡翠教育的 股权的时间 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则本企业因 本次交易取 得的文化长 城的股份自 文化长城本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其中安卓易</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（北京）科技 有限公司、嘉 兴卓智股权 投资合伙企 业（有限合 伙）未经文化 长城的书面 同意，在锁定 期内的标的 股份上设置 了质押，其余 的正常履行 中。</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资产管理合 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新余卓 趣资本管理 合伙企业（有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次交易发行 股份结束之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内不得转让。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、在前述约 定的法定锁 定期限届满 后，本企业所 取得的股份 对价在满足 以下条件后 分三期解禁：</w:t>
            </w:r>
          </w:p>
          <w:p>
            <w:pPr>
              <w:pStyle w:val="Style2"/>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本企业 因本次交易 取得的文化 长城的股份 自中国结算 登记至其名 下之日起已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 绩承诺应补 偿的股份数） 可解除锁定；</w:t>
            </w:r>
          </w:p>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本企业 因本次交易 取得的文化 长城的股份 自中国结算 登记至其名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下之日起已 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 绩承诺应补 偿的股份数） 可解除锁定；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 因本次交易 取得的文化 长城的股份 自中国结算 登记至其名 下之日起已 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43%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 绩承诺应补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偿的股份数） 可解除锁定。</w:t>
            </w:r>
          </w:p>
          <w:p>
            <w:pPr>
              <w:pStyle w:val="Style2"/>
              <w:keepNext w:val="0"/>
              <w:keepLines w:val="0"/>
              <w:widowControl w:val="0"/>
              <w:shd w:val="clear" w:color="auto" w:fill="auto"/>
              <w:tabs>
                <w:tab w:pos="26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根据《发 行股份及支 付现金购买 资产协议》第 </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款需要对 本企业因本 次交易取得 的文化长城 的股份追加 锁定的，按</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《发行股份 及支付现金 购买资产协 议》第</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款 的规定执行。</w:t>
            </w:r>
          </w:p>
          <w:p>
            <w:pPr>
              <w:pStyle w:val="Style2"/>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本企业同 意，将根据法 律、监管部门 的要求办理 本企业因本 次交易而取 得的文化长 城股份的锁 定手续。若法 律、监管部门 对本企业因 本次交易而 取得的文化 长城股份的 限售安排有 进一步要求 的，本企业同 意根据相关 监管部门的 监管意见和 相关规定进 行相应调整。</w:t>
            </w:r>
          </w:p>
          <w:p>
            <w:pPr>
              <w:pStyle w:val="Style2"/>
              <w:keepNext w:val="0"/>
              <w:keepLines w:val="0"/>
              <w:widowControl w:val="0"/>
              <w:shd w:val="clear" w:color="auto" w:fill="auto"/>
              <w:tabs>
                <w:tab w:pos="26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本企业承 诺，未经文化 长城的书面 同意，不在锁 定期内的标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的股份上设 置任何质押 等第三方权 利。本企业因 本次交易获 得的文化长 城股份在锁 定期满解锁 后减持时还 需遵守《公司 法》、《证券 法》、《深圳证 券交易所创 业板股票上 市规则》等法 律法规以及 文化长城《公 司章程》的相 关规定。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追加股份锁 定各方同意， 对于翡翠教 育合并报表 范围（包括但 不限于上海 昊育信息技 术有限公司） 的应收款项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（包括《专项 审核报告》的 应收账款、其 他应收款等 债权项目，以 扣除资产减 值准备后的 净额数额为 准，以下合称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按以下约定 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）在 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 项审核报告》 出具后，以翡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翠教育合并 报表范围截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 收款项为第 一顺位股东 对翡翠教育 应收款项的 管理责任。为 确保应收款 项管理责任 的落实，翡翠 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度《专项审核 报告》显示应 收款项有余 额的，则在 《购买资产 协议》的锁定 期之外对第 一顺位股东 所持文化长 城股份追加 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追加锁定股 满清算应收 款项管理责 任金额完成 之前或垫付 差额之前，翡 翠教育实现 的超额利润 不予分配。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）满足以 下条件之一 时，可以对第 一顺位股东 追加锁定的 股份解禁并 进行超额利 润分配：①在 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 项审核报告》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出具之日起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个月期满 前或期满时， 应收款项管 理责任金额 全部完成回 收。②在翡翠 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度《专项审核 报告》出具之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期满前或期 满时，应收款 项管理责任 金额未完成 全部回收，但 差额部分已 由第一顺位 股东以货币 资金全额垫 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）第一 顺位股东按 前项约定垫 付全部应收 款项差额的， 翡翠教育后 续收回之相 应应收款项， 退还给第一 顺位股东；若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翡翠教育仍 未完全收回 上述应收款 项，则第一顺 位股东应当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日前受 让翡翠教育 的上述应收 款中未收回 的全部债权 并支付完毕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87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债权转让款， 受让价款与 翡翠教育未 收回的应收 款项的金额 相等。若第一 顺位股东未 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日前以 现金支付完 毕前述债权 转让款，文化 长城有权以 第一顺位股 东持有文化 长城的股份 变现后优先 偿还该等债 权转让款；若 第一顺位股 东之前已经 垫付上述应 收款项中未 收回的债权， 则垫付的款 项冲抵同等 金额的债权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广州商融投 资咨询有限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东英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彭辉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高镭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许高云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承诺联汛教 育</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年度实 现净利润分 别不低于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 净利润指联 汛教育实现 的合并报表 归属于母公</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司股东的净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采购大额无 形资产的合 理性及真实 性无法获取 充分、适当的 审计证据，无 法判断采购 交易的真实 性及是否存 在减值。现无 法判断联汛 教育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所实现的净 利润是否达</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44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利润数，以扣 除非经常性 损益前后孰 低者为计算 依据。若联汛 教育未能达 上述承诺的 净利润数额， 则原股东应 按《盈利及减 值补偿协议》 中的约定向 文化长城进 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到业绩承诺 数。</w:t>
            </w: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安卓易（北 京）科技有限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北京虹 佳龙文化传 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陈盛东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共青 城纳隆德投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嘉兴卓智 股权投资合 伙企业（有限 合伙）</w:t>
            </w:r>
            <w:r>
              <w:rPr>
                <w:color w:val="000000"/>
                <w:spacing w:val="0"/>
                <w:w w:val="100"/>
                <w:position w:val="0"/>
                <w:sz w:val="18"/>
                <w:szCs w:val="18"/>
              </w:rPr>
              <w:t>；</w:t>
            </w:r>
            <w:r>
              <w:rPr>
                <w:color w:val="000000"/>
                <w:spacing w:val="0"/>
                <w:w w:val="100"/>
                <w:position w:val="0"/>
              </w:rPr>
              <w:t>李振 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 波梅山保税 港区御泓投 资合伙企业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深圳普方达 源力投资中 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天津钰美 瑞科技中心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新余邦得投 资合伙企业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新余创思资 产管理合伙 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承诺在利润 承诺期即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年翡翠教育 实现的净利 润分别为：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年度实 现净利润 </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年共计 实现净利润 </w:t>
            </w:r>
            <w:r>
              <w:rPr>
                <w:rFonts w:ascii="Times New Roman" w:eastAsia="Times New Roman" w:hAnsi="Times New Roman" w:cs="Times New Roman"/>
                <w:color w:val="000000"/>
                <w:spacing w:val="0"/>
                <w:w w:val="100"/>
                <w:position w:val="0"/>
                <w:sz w:val="18"/>
                <w:szCs w:val="18"/>
              </w:rPr>
              <w:t xml:space="preserve">20,700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年共计 实现净利润 </w:t>
            </w:r>
            <w:r>
              <w:rPr>
                <w:rFonts w:ascii="Times New Roman" w:eastAsia="Times New Roman" w:hAnsi="Times New Roman" w:cs="Times New Roman"/>
                <w:color w:val="000000"/>
                <w:spacing w:val="0"/>
                <w:w w:val="100"/>
                <w:position w:val="0"/>
                <w:sz w:val="18"/>
                <w:szCs w:val="18"/>
              </w:rPr>
              <w:t xml:space="preserve">35,910 </w:t>
            </w:r>
            <w:r>
              <w:rPr>
                <w:color w:val="000000"/>
                <w:spacing w:val="0"/>
                <w:w w:val="100"/>
                <w:position w:val="0"/>
              </w:rPr>
              <w:t>万元。 净利润指经 文化长城认 可的会计师 事务所审计 的翡翠教育 实现的合并 报表归属于 母公司股东 的净利润，以 扣除非经常 性损益前后 孰低者为计 算依据。在利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年净利 润未经审计，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年审计 范围受限，且 现已失去控 制，现无法判 断翡翠教育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年所实 现的净利润， 是否达到业 绩承诺数。</w:t>
            </w:r>
          </w:p>
        </w:tc>
      </w:tr>
    </w:tbl>
    <w:p>
      <w:pPr>
        <w:widowControl w:val="0"/>
        <w:spacing w:line="1" w:lineRule="exact"/>
      </w:pPr>
      <w:r>
        <w:br w:type="page"/>
      </w:r>
    </w:p>
    <w:tbl>
      <w:tblPr>
        <w:tblOverlap w:val="never"/>
        <w:jc w:val="center"/>
        <w:tblLayout w:type="fixed"/>
      </w:tblPr>
      <w:tblGrid>
        <w:gridCol w:w="2842"/>
        <w:gridCol w:w="1133"/>
        <w:gridCol w:w="1128"/>
        <w:gridCol w:w="1128"/>
        <w:gridCol w:w="1128"/>
        <w:gridCol w:w="1118"/>
        <w:gridCol w:w="1114"/>
      </w:tblGrid>
      <w:tr>
        <w:trPr>
          <w:trHeight w:val="3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新余信公 成长新兴资 产管理合伙</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新余卓趣 资本管理合 伙企业（有限 合伙）</w:t>
            </w:r>
            <w:r>
              <w:rPr>
                <w:color w:val="000000"/>
                <w:spacing w:val="0"/>
                <w:w w:val="100"/>
                <w:position w:val="0"/>
                <w:sz w:val="18"/>
                <w:szCs w:val="18"/>
              </w:rPr>
              <w:t>；</w:t>
            </w:r>
            <w:r>
              <w:rPr>
                <w:color w:val="000000"/>
                <w:spacing w:val="0"/>
                <w:w w:val="100"/>
                <w:position w:val="0"/>
              </w:rPr>
              <w:t>张熙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润承诺期间 内，若翡翠教 育未能达上 述承诺的净 利润数额，则 业绩承诺股 东应按《盈利 及减值补偿 协议》中的约 定向文化长 城进行补偿。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公司实际控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从公司股票 复牌后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月内，在法律 法规允许的 条件下，通过 证券公司、基 金管理公司 定向资产管 理或二级市 场买入等方 式购买本公 司股票，累计 增持金额不 低于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元。增持完毕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减持通过上 述方式增持 的公司股票， 增持所需资 金由本人自 筹取得。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自股票复牌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客观原因无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法履行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由于承诺期限内公司原实际控制人因客观原因不便实施股份增持计划。</w:t>
            </w:r>
          </w:p>
        </w:tc>
      </w:tr>
    </w:tbl>
    <w:p>
      <w:pPr>
        <w:spacing w:lineRule="exact" w:line="1"/>
        <w:rPr>
          <w:sz w:val="2"/>
          <w:szCs w:val="2"/>
        </w:rPr>
      </w:pPr>
      <w:r>
        <w:br w:type="page"/>
      </w:r>
    </w:p>
    <w:p>
      <w:pPr>
        <w:pStyle w:val="Style23"/>
        <w:keepNext/>
        <w:keepLines/>
        <w:widowControl w:val="0"/>
        <w:shd w:val="clear" w:color="auto" w:fill="auto"/>
        <w:bidi w:val="0"/>
        <w:spacing w:before="0" w:line="317"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、公司资产或项目存在盈利预测，且报告期仍处在盈利预测期间，公司就资产或项目达到原盈利预测及 其原因做出说明</w:t>
      </w:r>
      <w:bookmarkEnd w:id="397"/>
      <w:bookmarkEnd w:id="398"/>
      <w:bookmarkEnd w:id="40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二</w:t>
      </w:r>
      <w:bookmarkEnd w:id="403"/>
      <w:r>
        <w:rPr>
          <w:color w:val="000000"/>
          <w:spacing w:val="0"/>
          <w:w w:val="100"/>
          <w:position w:val="0"/>
        </w:rPr>
        <w:t>、控股股东及其他关联方对上市公司的非经营性占用资金情况</w:t>
      </w:r>
      <w:bookmarkEnd w:id="401"/>
      <w:bookmarkEnd w:id="402"/>
      <w:bookmarkEnd w:id="40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00"/>
        <w:gridCol w:w="586"/>
        <w:gridCol w:w="590"/>
        <w:gridCol w:w="600"/>
        <w:gridCol w:w="725"/>
        <w:gridCol w:w="595"/>
        <w:gridCol w:w="590"/>
        <w:gridCol w:w="590"/>
        <w:gridCol w:w="734"/>
        <w:gridCol w:w="480"/>
        <w:gridCol w:w="514"/>
        <w:gridCol w:w="734"/>
        <w:gridCol w:w="835"/>
        <w:gridCol w:w="1430"/>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 期偿 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预计偿还时间（月 份）</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潮州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源陶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瓷有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廷祥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等关</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现金清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潮州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瓷有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廷祥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等关</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通过非</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现金清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潮州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市枫</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溪区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锦汇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陶瓷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原料</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厂（蔡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廷祥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现金清 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2376"/>
        <w:gridCol w:w="720"/>
        <w:gridCol w:w="600"/>
        <w:gridCol w:w="590"/>
        <w:gridCol w:w="586"/>
        <w:gridCol w:w="734"/>
        <w:gridCol w:w="480"/>
        <w:gridCol w:w="518"/>
        <w:gridCol w:w="730"/>
        <w:gridCol w:w="878"/>
        <w:gridCol w:w="13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27,111.9</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当期新增控股股东及其他关 联方非经营性资金占用情况 的原因、责任人追究及董事会 拟定采取措施的情况说明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5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未能按计划清偿非经营性资 金占用的原因、责任追究情况 及董事会拟定采取的措施说 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根据中国证券监督管理委员会广东监管局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日下发的《行政处罚决定书》 </w:t>
            </w:r>
            <w:r>
              <w:rPr>
                <w:rFonts w:ascii="Times New Roman" w:eastAsia="Times New Roman" w:hAnsi="Times New Roman" w:cs="Times New Roman"/>
                <w:color w:val="000000"/>
                <w:spacing w:val="0"/>
                <w:w w:val="100"/>
                <w:position w:val="0"/>
                <w:sz w:val="18"/>
                <w:szCs w:val="18"/>
              </w:rPr>
              <w:t>（[2021]12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文件违法事实二认定，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日，公司未经决策 审批或授权审批程序，利用潮州市名源陶瓷有限公司（蔡廷祥等关联方）（以下简称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名源陶 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）、潮州市源发陶瓷有限公司（蔡廷祥等关联方）（以下简称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源 发陶瓷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）、潮州市枫溪区锦汇陶瓷原料厂（蔡廷祥等关联方）（以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锦汇陶瓷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）、潮州市五洲房地产开发有限公司（蔡廷祥等 关联方）（以下简称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伍洲地产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）等四家关系密切公司的账户及员 工账户层层转账后，累计向控股股东蔡廷祥、吴淡珠等关联方提供非经营性资金约</w:t>
            </w:r>
            <w:r>
              <w:rPr>
                <w:rFonts w:ascii="Times New Roman" w:eastAsia="Times New Roman" w:hAnsi="Times New Roman" w:cs="Times New Roman"/>
                <w:color w:val="000000"/>
                <w:spacing w:val="0"/>
                <w:w w:val="100"/>
                <w:position w:val="0"/>
                <w:sz w:val="18"/>
                <w:szCs w:val="18"/>
              </w:rPr>
              <w:t xml:space="preserve">45,383 </w:t>
            </w:r>
            <w:r>
              <w:rPr>
                <w:color w:val="000000"/>
                <w:spacing w:val="0"/>
                <w:w w:val="100"/>
                <w:position w:val="0"/>
              </w:rPr>
              <w:t>万元，用于控股股东及关联方垫付解质押款、支付质押利息、对外投资等个人事项。</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年度经公司新实控人孙光亮及其管理层（以下简称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）自查，处罚决定书认定的 非经营性资金占用</w:t>
            </w:r>
            <w:r>
              <w:rPr>
                <w:rFonts w:ascii="Times New Roman" w:eastAsia="Times New Roman" w:hAnsi="Times New Roman" w:cs="Times New Roman"/>
                <w:color w:val="000000"/>
                <w:spacing w:val="0"/>
                <w:w w:val="100"/>
                <w:position w:val="0"/>
                <w:sz w:val="18"/>
                <w:szCs w:val="18"/>
              </w:rPr>
              <w:t>45,383</w:t>
            </w:r>
            <w:r>
              <w:rPr>
                <w:color w:val="000000"/>
                <w:spacing w:val="0"/>
                <w:w w:val="100"/>
                <w:position w:val="0"/>
              </w:rPr>
              <w:t>万元中包括公司本部通过名源陶瓷、源发陶瓷、锦汇陶瓷及伍洲 地产占用发生额</w:t>
            </w:r>
            <w:r>
              <w:rPr>
                <w:rFonts w:ascii="Times New Roman" w:eastAsia="Times New Roman" w:hAnsi="Times New Roman" w:cs="Times New Roman"/>
                <w:color w:val="000000"/>
                <w:spacing w:val="0"/>
                <w:w w:val="100"/>
                <w:position w:val="0"/>
                <w:sz w:val="18"/>
                <w:szCs w:val="18"/>
              </w:rPr>
              <w:t>35,288.78</w:t>
            </w:r>
            <w:r>
              <w:rPr>
                <w:color w:val="000000"/>
                <w:spacing w:val="0"/>
                <w:w w:val="100"/>
                <w:position w:val="0"/>
              </w:rPr>
              <w:t>万元，失控子公司北京翡翠教育科技集团有限公司（以下简称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翡 翠教育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）的子公司创思兰博（北京）科技股份有限公司（以下简称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创思兰博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）通过名源 陶瓷占用</w:t>
            </w:r>
            <w:r>
              <w:rPr>
                <w:rFonts w:ascii="Times New Roman" w:eastAsia="Times New Roman" w:hAnsi="Times New Roman" w:cs="Times New Roman"/>
                <w:color w:val="000000"/>
                <w:spacing w:val="0"/>
                <w:w w:val="100"/>
                <w:position w:val="0"/>
                <w:sz w:val="18"/>
                <w:szCs w:val="18"/>
              </w:rPr>
              <w:t>10,097.56</w:t>
            </w:r>
            <w:r>
              <w:rPr>
                <w:color w:val="000000"/>
                <w:spacing w:val="0"/>
                <w:w w:val="100"/>
                <w:position w:val="0"/>
              </w:rPr>
              <w:t>万元；另外现任管理层经自查，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年度公司本部新增占用</w:t>
            </w:r>
            <w:r>
              <w:rPr>
                <w:rFonts w:ascii="Times New Roman" w:eastAsia="Times New Roman" w:hAnsi="Times New Roman" w:cs="Times New Roman"/>
                <w:color w:val="000000"/>
                <w:spacing w:val="0"/>
                <w:w w:val="100"/>
                <w:position w:val="0"/>
                <w:sz w:val="18"/>
                <w:szCs w:val="18"/>
              </w:rPr>
              <w:t>9,400.00</w:t>
            </w:r>
            <w:r>
              <w:rPr>
                <w:color w:val="000000"/>
                <w:spacing w:val="0"/>
                <w:w w:val="100"/>
                <w:position w:val="0"/>
              </w:rPr>
              <w:t>万 元；公司自查认定累计占用发生额</w:t>
            </w:r>
            <w:r>
              <w:rPr>
                <w:rFonts w:ascii="Times New Roman" w:eastAsia="Times New Roman" w:hAnsi="Times New Roman" w:cs="Times New Roman"/>
                <w:color w:val="000000"/>
                <w:spacing w:val="0"/>
                <w:w w:val="100"/>
                <w:position w:val="0"/>
                <w:sz w:val="18"/>
                <w:szCs w:val="18"/>
              </w:rPr>
              <w:t>59,977.58</w:t>
            </w:r>
            <w:r>
              <w:rPr>
                <w:color w:val="000000"/>
                <w:spacing w:val="0"/>
                <w:w w:val="100"/>
                <w:position w:val="0"/>
              </w:rPr>
              <w:t>万元、累计偿还</w:t>
            </w:r>
            <w:r>
              <w:rPr>
                <w:rFonts w:ascii="Times New Roman" w:eastAsia="Times New Roman" w:hAnsi="Times New Roman" w:cs="Times New Roman"/>
                <w:color w:val="000000"/>
                <w:spacing w:val="0"/>
                <w:w w:val="100"/>
                <w:position w:val="0"/>
                <w:sz w:val="18"/>
                <w:szCs w:val="18"/>
              </w:rPr>
              <w:t>22,768.12</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日占用资金余额</w:t>
            </w:r>
            <w:r>
              <w:rPr>
                <w:rFonts w:ascii="Times New Roman" w:eastAsia="Times New Roman" w:hAnsi="Times New Roman" w:cs="Times New Roman"/>
                <w:color w:val="000000"/>
                <w:spacing w:val="0"/>
                <w:w w:val="100"/>
                <w:position w:val="0"/>
                <w:sz w:val="18"/>
                <w:szCs w:val="18"/>
              </w:rPr>
              <w:t>37,209.46</w:t>
            </w:r>
            <w:r>
              <w:rPr>
                <w:color w:val="000000"/>
                <w:spacing w:val="0"/>
                <w:w w:val="100"/>
                <w:position w:val="0"/>
              </w:rPr>
              <w:t>万元（含创思兰博占用余额</w:t>
            </w:r>
            <w:r>
              <w:rPr>
                <w:rFonts w:ascii="Times New Roman" w:eastAsia="Times New Roman" w:hAnsi="Times New Roman" w:cs="Times New Roman"/>
                <w:color w:val="000000"/>
                <w:spacing w:val="0"/>
                <w:w w:val="100"/>
                <w:position w:val="0"/>
                <w:sz w:val="18"/>
                <w:szCs w:val="18"/>
              </w:rPr>
              <w:t>10,097.56</w:t>
            </w:r>
            <w:r>
              <w:rPr>
                <w:color w:val="000000"/>
                <w:spacing w:val="0"/>
                <w:w w:val="100"/>
                <w:position w:val="0"/>
              </w:rPr>
              <w:t xml:space="preserve">万元，因翡翠教育 仍在失控状态，公司无法知悉其占用变动情况，仅以名源陶瓷向大华会计师事务所回函的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日其他应收款余额为准）。截至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日，公司本部其他应收款</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（蔡廷祥等关联方）余额</w:t>
            </w:r>
            <w:r>
              <w:rPr>
                <w:rFonts w:ascii="Times New Roman" w:eastAsia="Times New Roman" w:hAnsi="Times New Roman" w:cs="Times New Roman"/>
                <w:color w:val="000000"/>
                <w:spacing w:val="0"/>
                <w:w w:val="100"/>
                <w:position w:val="0"/>
                <w:sz w:val="18"/>
                <w:szCs w:val="18"/>
              </w:rPr>
              <w:t>31,333.33</w:t>
            </w:r>
            <w:r>
              <w:rPr>
                <w:color w:val="000000"/>
                <w:spacing w:val="0"/>
                <w:w w:val="100"/>
                <w:position w:val="0"/>
              </w:rPr>
              <w:t>万元，其中名源陶瓷</w:t>
            </w:r>
            <w:r>
              <w:rPr>
                <w:rFonts w:ascii="Times New Roman" w:eastAsia="Times New Roman" w:hAnsi="Times New Roman" w:cs="Times New Roman"/>
                <w:color w:val="000000"/>
                <w:spacing w:val="0"/>
                <w:w w:val="100"/>
                <w:position w:val="0"/>
                <w:sz w:val="18"/>
                <w:szCs w:val="18"/>
              </w:rPr>
              <w:t>12,877.66</w:t>
            </w:r>
            <w:r>
              <w:rPr>
                <w:color w:val="000000"/>
                <w:spacing w:val="0"/>
                <w:w w:val="100"/>
                <w:position w:val="0"/>
              </w:rPr>
              <w:t>万元、源发陶瓷</w:t>
            </w:r>
            <w:r>
              <w:rPr>
                <w:rFonts w:ascii="Times New Roman" w:eastAsia="Times New Roman" w:hAnsi="Times New Roman" w:cs="Times New Roman"/>
                <w:color w:val="000000"/>
                <w:spacing w:val="0"/>
                <w:w w:val="100"/>
                <w:position w:val="0"/>
                <w:sz w:val="18"/>
                <w:szCs w:val="18"/>
              </w:rPr>
              <w:t xml:space="preserve">8,750.23 </w:t>
            </w:r>
            <w:r>
              <w:rPr>
                <w:color w:val="000000"/>
                <w:spacing w:val="0"/>
                <w:w w:val="100"/>
                <w:position w:val="0"/>
              </w:rPr>
              <w:t>万元、锦汇陶瓷</w:t>
            </w:r>
            <w:r>
              <w:rPr>
                <w:rFonts w:ascii="Times New Roman" w:eastAsia="Times New Roman" w:hAnsi="Times New Roman" w:cs="Times New Roman"/>
                <w:color w:val="000000"/>
                <w:spacing w:val="0"/>
                <w:w w:val="100"/>
                <w:position w:val="0"/>
                <w:sz w:val="18"/>
                <w:szCs w:val="18"/>
              </w:rPr>
              <w:t>11,142.00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日，公司本部其他应收款蔡廷祥等关 联方余额</w:t>
            </w:r>
            <w:r>
              <w:rPr>
                <w:rFonts w:ascii="Times New Roman" w:eastAsia="Times New Roman" w:hAnsi="Times New Roman" w:cs="Times New Roman"/>
                <w:color w:val="000000"/>
                <w:spacing w:val="0"/>
                <w:w w:val="100"/>
                <w:position w:val="0"/>
                <w:sz w:val="18"/>
                <w:szCs w:val="18"/>
              </w:rPr>
              <w:t>27,111.90</w:t>
            </w:r>
            <w:r>
              <w:rPr>
                <w:color w:val="000000"/>
                <w:spacing w:val="0"/>
                <w:w w:val="100"/>
                <w:position w:val="0"/>
              </w:rPr>
              <w:t>万元，其中名源陶瓷</w:t>
            </w:r>
            <w:r>
              <w:rPr>
                <w:rFonts w:ascii="Times New Roman" w:eastAsia="Times New Roman" w:hAnsi="Times New Roman" w:cs="Times New Roman"/>
                <w:color w:val="000000"/>
                <w:spacing w:val="0"/>
                <w:w w:val="100"/>
                <w:position w:val="0"/>
                <w:sz w:val="18"/>
                <w:szCs w:val="18"/>
              </w:rPr>
              <w:t>11,441.10</w:t>
            </w:r>
            <w:r>
              <w:rPr>
                <w:color w:val="000000"/>
                <w:spacing w:val="0"/>
                <w:w w:val="100"/>
                <w:position w:val="0"/>
              </w:rPr>
              <w:t>万元、源发陶瓷</w:t>
            </w:r>
            <w:r>
              <w:rPr>
                <w:rFonts w:ascii="Times New Roman" w:eastAsia="Times New Roman" w:hAnsi="Times New Roman" w:cs="Times New Roman"/>
                <w:color w:val="000000"/>
                <w:spacing w:val="0"/>
                <w:w w:val="100"/>
                <w:position w:val="0"/>
                <w:sz w:val="18"/>
                <w:szCs w:val="18"/>
              </w:rPr>
              <w:t>4,528.80</w:t>
            </w:r>
            <w:r>
              <w:rPr>
                <w:color w:val="000000"/>
                <w:spacing w:val="0"/>
                <w:w w:val="100"/>
                <w:position w:val="0"/>
              </w:rPr>
              <w:t>万元、锦汇陶 瓷</w:t>
            </w:r>
            <w:r>
              <w:rPr>
                <w:rFonts w:ascii="Times New Roman" w:eastAsia="Times New Roman" w:hAnsi="Times New Roman" w:cs="Times New Roman"/>
                <w:color w:val="000000"/>
                <w:spacing w:val="0"/>
                <w:w w:val="100"/>
                <w:position w:val="0"/>
                <w:sz w:val="18"/>
                <w:szCs w:val="18"/>
              </w:rPr>
              <w:t>11,142.00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年度源发陶瓷减少数系孙光亮先生根据公司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年度报告披露的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他应收款解决方案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承诺，以代付公司成本费用、职工薪酬等运营成本及子公司河南智游臻 龙教育科技有限公司股权转让款的代偿金额。</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会计师事务所对资金占用的 专项审核意见</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贵公司编制的非经营性资金占用清偿情况表符合中国证券监督管理委员会《上市公司监管指 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号——上市公司资金往来、对外担保的监管要求》（证监会公告〔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号）和《深 圳证券交易所创业板上市公司自律监管指南第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业务办理》的相关规定。</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公司年度报告披露的控股股 东及其他关联方非经营性占 用金情况与专项审核意见不 一致的原因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三</w:t>
      </w:r>
      <w:bookmarkEnd w:id="407"/>
      <w:r>
        <w:rPr>
          <w:color w:val="000000"/>
          <w:spacing w:val="0"/>
          <w:w w:val="100"/>
          <w:position w:val="0"/>
        </w:rPr>
        <w:t>、违规对外担保情况</w:t>
      </w:r>
      <w:bookmarkEnd w:id="405"/>
      <w:bookmarkEnd w:id="406"/>
      <w:bookmarkEnd w:id="408"/>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bidi w:val="0"/>
        <w:spacing w:before="0" w:after="380" w:line="313" w:lineRule="exact"/>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四</w:t>
      </w:r>
      <w:bookmarkEnd w:id="411"/>
      <w:r>
        <w:rPr>
          <w:color w:val="000000"/>
          <w:spacing w:val="0"/>
          <w:w w:val="100"/>
          <w:position w:val="0"/>
        </w:rPr>
        <w:t>、董事会对最近一期</w:t>
      </w:r>
      <w:r>
        <w:rPr>
          <w:b w:val="0"/>
          <w:bCs w:val="0"/>
          <w:color w:val="000000"/>
          <w:spacing w:val="0"/>
          <w:w w:val="100"/>
          <w:position w:val="0"/>
          <w:sz w:val="20"/>
          <w:szCs w:val="20"/>
        </w:rPr>
        <w:t>“</w:t>
      </w:r>
      <w:r>
        <w:rPr>
          <w:color w:val="000000"/>
          <w:spacing w:val="0"/>
          <w:w w:val="100"/>
          <w:position w:val="0"/>
        </w:rPr>
        <w:t>非标准审计报告</w:t>
      </w:r>
      <w:r>
        <w:rPr>
          <w:b w:val="0"/>
          <w:bCs w:val="0"/>
          <w:color w:val="000000"/>
          <w:spacing w:val="0"/>
          <w:w w:val="100"/>
          <w:position w:val="0"/>
          <w:sz w:val="20"/>
          <w:szCs w:val="20"/>
        </w:rPr>
        <w:t>”</w:t>
      </w:r>
      <w:r>
        <w:rPr>
          <w:color w:val="000000"/>
          <w:spacing w:val="0"/>
          <w:w w:val="100"/>
          <w:position w:val="0"/>
        </w:rPr>
        <w:t>相关情况的说明</w:t>
      </w:r>
      <w:bookmarkEnd w:id="409"/>
      <w:bookmarkEnd w:id="410"/>
      <w:bookmarkEnd w:id="412"/>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60" w:line="313" w:lineRule="exact"/>
        <w:ind w:left="0" w:right="0" w:firstLine="500"/>
        <w:jc w:val="both"/>
      </w:pPr>
      <w:r>
        <w:rPr>
          <w:color w:val="000000"/>
          <w:spacing w:val="0"/>
          <w:w w:val="100"/>
          <w:position w:val="0"/>
        </w:rPr>
        <w:t>公司董事会和管理层已经认识到上述非标审计意见涉及事项对公司可能造成的不利影 响，将积极采取有效措施消除上述事项对公司的影响，以保证公司持续稳定健康地发展，切 实维护公司和投资者利益。具体如下：</w:t>
      </w:r>
    </w:p>
    <w:p>
      <w:pPr>
        <w:pStyle w:val="Style13"/>
        <w:keepNext w:val="0"/>
        <w:keepLines w:val="0"/>
        <w:widowControl w:val="0"/>
        <w:shd w:val="clear" w:color="auto" w:fill="auto"/>
        <w:tabs>
          <w:tab w:pos="858" w:val="left"/>
        </w:tabs>
        <w:bidi w:val="0"/>
        <w:spacing w:before="0" w:after="0" w:line="276" w:lineRule="auto"/>
        <w:ind w:left="0" w:right="0" w:firstLine="500"/>
        <w:jc w:val="both"/>
      </w:pPr>
      <w:bookmarkStart w:id="413" w:name="bookmark413"/>
      <w:r>
        <w:rPr>
          <w:rFonts w:ascii="Times New Roman" w:eastAsia="Times New Roman" w:hAnsi="Times New Roman" w:cs="Times New Roman"/>
          <w:color w:val="000000"/>
          <w:spacing w:val="0"/>
          <w:w w:val="100"/>
          <w:position w:val="0"/>
          <w:sz w:val="24"/>
          <w:szCs w:val="24"/>
        </w:rPr>
        <w:t>1</w:t>
      </w:r>
      <w:bookmarkEnd w:id="413"/>
      <w:r>
        <w:rPr>
          <w:color w:val="000000"/>
          <w:spacing w:val="0"/>
          <w:w w:val="100"/>
          <w:position w:val="0"/>
        </w:rPr>
        <w:t>、</w:t>
        <w:tab/>
        <w:t>非经营性占用资金</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日，资金占用涉及的潮州市名源陶瓷有限公司（蔡廷祥等关联方）、 潮州市枫溪区锦汇陶瓷原料厂（蔡廷祥等关联方）、潮州市源发陶瓷有限公司（蔡廷祥等关 联方）（以下简称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蔡廷祥等关联方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）的资金占用仍未全部归还，</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年度仅由文化长城现 实际控制人孙光亮先生代偿</w:t>
      </w:r>
      <w:r>
        <w:rPr>
          <w:rFonts w:ascii="Times New Roman" w:eastAsia="Times New Roman" w:hAnsi="Times New Roman" w:cs="Times New Roman"/>
          <w:color w:val="000000"/>
          <w:spacing w:val="0"/>
          <w:w w:val="100"/>
          <w:position w:val="0"/>
          <w:sz w:val="24"/>
          <w:szCs w:val="24"/>
        </w:rPr>
        <w:t>4,221.43</w:t>
      </w:r>
      <w:r>
        <w:rPr>
          <w:color w:val="000000"/>
          <w:spacing w:val="0"/>
          <w:w w:val="100"/>
          <w:position w:val="0"/>
        </w:rPr>
        <w:t xml:space="preserve">万元，孙光亮先生代偿后其他应收款资金占用账面原值 </w:t>
      </w:r>
      <w:r>
        <w:rPr>
          <w:rFonts w:ascii="Times New Roman" w:eastAsia="Times New Roman" w:hAnsi="Times New Roman" w:cs="Times New Roman"/>
          <w:color w:val="000000"/>
          <w:spacing w:val="0"/>
          <w:w w:val="100"/>
          <w:position w:val="0"/>
          <w:sz w:val="24"/>
          <w:szCs w:val="24"/>
        </w:rPr>
        <w:t>27,111.9</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万元、减值准备余额</w:t>
      </w:r>
      <w:r>
        <w:rPr>
          <w:rFonts w:ascii="Times New Roman" w:eastAsia="Times New Roman" w:hAnsi="Times New Roman" w:cs="Times New Roman"/>
          <w:color w:val="000000"/>
          <w:spacing w:val="0"/>
          <w:w w:val="100"/>
          <w:position w:val="0"/>
          <w:sz w:val="24"/>
          <w:szCs w:val="24"/>
        </w:rPr>
        <w:t>12,827.18</w:t>
      </w:r>
      <w:r>
        <w:rPr>
          <w:color w:val="000000"/>
          <w:spacing w:val="0"/>
          <w:w w:val="100"/>
          <w:position w:val="0"/>
        </w:rPr>
        <w:t>万元。截至审计报告日，由于蔡廷祥等关联方并未按 照公司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年度报告披露的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其他应收款解决方案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承诺在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前偿还占用文化长城 资金</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,679.99</w:t>
      </w:r>
      <w:r>
        <w:rPr>
          <w:color w:val="000000"/>
          <w:spacing w:val="0"/>
          <w:w w:val="100"/>
          <w:position w:val="0"/>
        </w:rPr>
        <w:t>万元，公司会实时关注相关事情的动态，要求三家陶瓷厂尽快归还所有欠款，目 前文化长城对相关方提起诉讼。</w:t>
      </w:r>
    </w:p>
    <w:p>
      <w:pPr>
        <w:pStyle w:val="Style13"/>
        <w:keepNext w:val="0"/>
        <w:keepLines w:val="0"/>
        <w:widowControl w:val="0"/>
        <w:shd w:val="clear" w:color="auto" w:fill="auto"/>
        <w:tabs>
          <w:tab w:pos="858" w:val="left"/>
        </w:tabs>
        <w:bidi w:val="0"/>
        <w:spacing w:before="0" w:after="0" w:line="276" w:lineRule="auto"/>
        <w:ind w:left="0" w:right="0" w:firstLine="500"/>
        <w:jc w:val="both"/>
      </w:pPr>
      <w:bookmarkStart w:id="414" w:name="bookmark414"/>
      <w:r>
        <w:rPr>
          <w:rFonts w:ascii="Times New Roman" w:eastAsia="Times New Roman" w:hAnsi="Times New Roman" w:cs="Times New Roman"/>
          <w:color w:val="000000"/>
          <w:spacing w:val="0"/>
          <w:w w:val="100"/>
          <w:position w:val="0"/>
          <w:sz w:val="24"/>
          <w:szCs w:val="24"/>
        </w:rPr>
        <w:t>2</w:t>
      </w:r>
      <w:bookmarkEnd w:id="414"/>
      <w:r>
        <w:rPr>
          <w:color w:val="000000"/>
          <w:spacing w:val="0"/>
          <w:w w:val="100"/>
          <w:position w:val="0"/>
        </w:rPr>
        <w:t>、</w:t>
        <w:tab/>
        <w:t>失控子公司对报表的影响</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对于翡翠教育：</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公司就收购北京翡翠教育科技集团有限公司被诈骗一案，正积极配合北京市公安局东城 分局调查工作；同时公司已经对翡翠原股东提起上诉，要求原股东对于公司业绩对赌未完成 事项进行补偿；公司董事会将积极推动公安局及法院对于相关案件的进程，争取早日消除该 事项的影响。</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对于联汛教育：</w:t>
      </w:r>
    </w:p>
    <w:p>
      <w:pPr>
        <w:pStyle w:val="Style13"/>
        <w:keepNext w:val="0"/>
        <w:keepLines w:val="0"/>
        <w:widowControl w:val="0"/>
        <w:shd w:val="clear" w:color="auto" w:fill="auto"/>
        <w:bidi w:val="0"/>
        <w:spacing w:before="0" w:after="0" w:line="313" w:lineRule="exact"/>
        <w:ind w:left="0" w:right="0" w:firstLine="500"/>
        <w:jc w:val="both"/>
        <w:rPr>
          <w:sz w:val="24"/>
          <w:szCs w:val="24"/>
        </w:rPr>
      </w:pPr>
      <w:r>
        <w:rPr>
          <w:color w:val="000000"/>
          <w:spacing w:val="0"/>
          <w:w w:val="100"/>
          <w:position w:val="0"/>
          <w:sz w:val="22"/>
          <w:szCs w:val="22"/>
        </w:rPr>
        <w:t>公司全资子公司联汛教育起诉许高镭等（系作为联汛教育业绩对赌承诺人）证照返还纠 纷案件，广东省广州市中级人民法院《民事判决书》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粤</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2"/>
          <w:szCs w:val="22"/>
        </w:rPr>
        <w:t>民终</w:t>
      </w:r>
      <w:r>
        <w:rPr>
          <w:rFonts w:ascii="Times New Roman" w:eastAsia="Times New Roman" w:hAnsi="Times New Roman" w:cs="Times New Roman"/>
          <w:color w:val="000000"/>
          <w:spacing w:val="0"/>
          <w:w w:val="100"/>
          <w:position w:val="0"/>
          <w:sz w:val="24"/>
          <w:szCs w:val="24"/>
        </w:rPr>
        <w:t>16795</w:t>
      </w:r>
      <w:r>
        <w:rPr>
          <w:color w:val="000000"/>
          <w:spacing w:val="0"/>
          <w:w w:val="100"/>
          <w:position w:val="0"/>
          <w:sz w:val="22"/>
          <w:szCs w:val="22"/>
        </w:rPr>
        <w:t xml:space="preserve">号，判决如下：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依照《中华人民共和国公司法》第三条、第六十条、第六十一条、《中华人民共和国物权法》 第三十四条，《中华人民共和国侵权责任法》第十五条，《最高人民法院关于适用</w:t>
      </w:r>
      <w:r>
        <w:rPr>
          <w:rFonts w:ascii="Arial" w:eastAsia="Arial" w:hAnsi="Arial" w:cs="Arial"/>
          <w:color w:val="000000"/>
          <w:spacing w:val="0"/>
          <w:w w:val="100"/>
          <w:position w:val="0"/>
          <w:sz w:val="24"/>
          <w:szCs w:val="24"/>
        </w:rPr>
        <w:t>V</w:t>
      </w:r>
      <w:r>
        <w:rPr>
          <w:color w:val="000000"/>
          <w:spacing w:val="0"/>
          <w:w w:val="100"/>
          <w:position w:val="0"/>
          <w:sz w:val="22"/>
          <w:szCs w:val="22"/>
        </w:rPr>
        <w:t xml:space="preserve">中华人 民共和国民法典〉时间效力的若干规定》第一条第二款，《中华人民共和国民事诉讼法》第 一百七十七条第一款第（二）项的规定，判决如下：一、撤销广东省广州市天河区人民法院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粤</w:t>
      </w:r>
      <w:r>
        <w:rPr>
          <w:rFonts w:ascii="Times New Roman" w:eastAsia="Times New Roman" w:hAnsi="Times New Roman" w:cs="Times New Roman"/>
          <w:color w:val="000000"/>
          <w:spacing w:val="0"/>
          <w:w w:val="100"/>
          <w:position w:val="0"/>
          <w:sz w:val="24"/>
          <w:szCs w:val="24"/>
        </w:rPr>
        <w:t>0106</w:t>
      </w:r>
      <w:r>
        <w:rPr>
          <w:color w:val="000000"/>
          <w:spacing w:val="0"/>
          <w:w w:val="100"/>
          <w:position w:val="0"/>
          <w:sz w:val="22"/>
          <w:szCs w:val="22"/>
        </w:rPr>
        <w:t>民初</w:t>
      </w:r>
      <w:r>
        <w:rPr>
          <w:rFonts w:ascii="Times New Roman" w:eastAsia="Times New Roman" w:hAnsi="Times New Roman" w:cs="Times New Roman"/>
          <w:color w:val="000000"/>
          <w:spacing w:val="0"/>
          <w:w w:val="100"/>
          <w:position w:val="0"/>
          <w:sz w:val="24"/>
          <w:szCs w:val="24"/>
        </w:rPr>
        <w:t>13647</w:t>
      </w:r>
      <w:r>
        <w:rPr>
          <w:color w:val="000000"/>
          <w:spacing w:val="0"/>
          <w:w w:val="100"/>
          <w:position w:val="0"/>
          <w:sz w:val="22"/>
          <w:szCs w:val="22"/>
        </w:rPr>
        <w:t>号民事判决；二、上诉人许高镭于本判决发生法律效力之日起十 日内向被上诉人广东联汛教育科技有限公司返还营业执照正本和副本的原件、税务登记证书 及副本的原件、印鉴章（包括公章、合同专用章、财务专用章、法定代表人印鉴章）、财务 会计报告、财务会计账簿及原始会计凭证、银行账户信息、银行</w:t>
      </w:r>
      <w:r>
        <w:rPr>
          <w:rFonts w:ascii="Times New Roman" w:eastAsia="Times New Roman" w:hAnsi="Times New Roman" w:cs="Times New Roman"/>
          <w:color w:val="000000"/>
          <w:spacing w:val="0"/>
          <w:w w:val="100"/>
          <w:position w:val="0"/>
          <w:sz w:val="24"/>
          <w:szCs w:val="24"/>
        </w:rPr>
        <w:t>U</w:t>
      </w:r>
      <w:r>
        <w:rPr>
          <w:color w:val="000000"/>
          <w:spacing w:val="0"/>
          <w:w w:val="100"/>
          <w:position w:val="0"/>
          <w:sz w:val="22"/>
          <w:szCs w:val="22"/>
        </w:rPr>
        <w:t>盾。</w:t>
      </w:r>
      <w:r>
        <w:rPr>
          <w:rFonts w:ascii="Times New Roman" w:eastAsia="Times New Roman" w:hAnsi="Times New Roman" w:cs="Times New Roman"/>
          <w:color w:val="000000"/>
          <w:spacing w:val="0"/>
          <w:w w:val="100"/>
          <w:position w:val="0"/>
          <w:sz w:val="24"/>
          <w:szCs w:val="24"/>
        </w:rPr>
        <w:t>”</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公司董事会已经采取向法院申请强制措施，要求许高镭尽快执行法院判决，返还公司章 证照等相关文件，以消除该事项影响。</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同时，公司已对翡翠教育、联汛教育提起因业绩对赌未完成应向公司进行赔偿的民事诉 讼。深圳中院、潮州中院已分别于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日受理了文化长城对翡翠教 育、联汛教育的民事赔偿诉讼。</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对于河南长城绿色瓷艺科技有限公司：</w:t>
      </w:r>
    </w:p>
    <w:p>
      <w:pPr>
        <w:pStyle w:val="Style13"/>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日经广东自由贸易区南沙片区人民法院民事判决书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）粤</w:t>
      </w:r>
      <w:r>
        <w:rPr>
          <w:rFonts w:ascii="Times New Roman" w:eastAsia="Times New Roman" w:hAnsi="Times New Roman" w:cs="Times New Roman"/>
          <w:color w:val="000000"/>
          <w:spacing w:val="0"/>
          <w:w w:val="100"/>
          <w:position w:val="0"/>
          <w:sz w:val="24"/>
          <w:szCs w:val="24"/>
        </w:rPr>
        <w:t>0191</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24"/>
          <w:szCs w:val="24"/>
        </w:rPr>
        <w:t>12537</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判决不成立。在法院判决《债务转让协议书》不成立的情况下，公司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月处置 长城瓷艺股权事项已失去交易基础，与股权处置相关的交易事项不应确认。公司会尽快与隽 隆贸易进行协商，要求返还河南长城绿色瓷艺科技有限公司的股权，同时公司不排除通过法 </w:t>
      </w:r>
      <w:r>
        <w:rPr>
          <w:color w:val="000000"/>
          <w:spacing w:val="0"/>
          <w:w w:val="100"/>
          <w:position w:val="0"/>
        </w:rPr>
        <w:t>律手段维护公司的合法权益。</w:t>
      </w:r>
    </w:p>
    <w:p>
      <w:pPr>
        <w:pStyle w:val="Style13"/>
        <w:keepNext w:val="0"/>
        <w:keepLines w:val="0"/>
        <w:widowControl w:val="0"/>
        <w:shd w:val="clear" w:color="auto" w:fill="auto"/>
        <w:tabs>
          <w:tab w:pos="917" w:val="left"/>
        </w:tabs>
        <w:bidi w:val="0"/>
        <w:spacing w:before="0" w:after="0" w:line="269" w:lineRule="auto"/>
        <w:ind w:left="0" w:right="0" w:firstLine="520"/>
        <w:jc w:val="both"/>
      </w:pPr>
      <w:bookmarkStart w:id="415" w:name="bookmark415"/>
      <w:r>
        <w:rPr>
          <w:rFonts w:ascii="Times New Roman" w:eastAsia="Times New Roman" w:hAnsi="Times New Roman" w:cs="Times New Roman"/>
          <w:color w:val="000000"/>
          <w:spacing w:val="0"/>
          <w:w w:val="100"/>
          <w:position w:val="0"/>
          <w:sz w:val="24"/>
          <w:szCs w:val="24"/>
        </w:rPr>
        <w:t>3</w:t>
      </w:r>
      <w:bookmarkEnd w:id="415"/>
      <w:r>
        <w:rPr>
          <w:color w:val="000000"/>
          <w:spacing w:val="0"/>
          <w:w w:val="100"/>
          <w:position w:val="0"/>
        </w:rPr>
        <w:t>、</w:t>
        <w:tab/>
        <w:t>应收账款</w:t>
      </w:r>
    </w:p>
    <w:p>
      <w:pPr>
        <w:pStyle w:val="Style13"/>
        <w:keepNext w:val="0"/>
        <w:keepLines w:val="0"/>
        <w:widowControl w:val="0"/>
        <w:shd w:val="clear" w:color="auto" w:fill="auto"/>
        <w:bidi w:val="0"/>
        <w:spacing w:before="0" w:after="140" w:line="269" w:lineRule="exact"/>
        <w:ind w:left="0" w:right="0" w:firstLine="520"/>
        <w:jc w:val="both"/>
      </w:pPr>
      <w:r>
        <w:rPr>
          <w:color w:val="000000"/>
          <w:spacing w:val="0"/>
          <w:w w:val="100"/>
          <w:position w:val="0"/>
        </w:rPr>
        <w:t>因原实际控制人及其管理团队缺乏对应收账款的管控，导致公司存在应收账款余额较大 且回款率较低的风险。</w:t>
      </w:r>
    </w:p>
    <w:p>
      <w:pPr>
        <w:pStyle w:val="Style13"/>
        <w:keepNext w:val="0"/>
        <w:keepLines w:val="0"/>
        <w:widowControl w:val="0"/>
        <w:shd w:val="clear" w:color="auto" w:fill="auto"/>
        <w:bidi w:val="0"/>
        <w:spacing w:before="0" w:after="140" w:line="310" w:lineRule="exact"/>
        <w:ind w:left="0" w:right="0" w:firstLine="520"/>
        <w:jc w:val="both"/>
      </w:pPr>
      <w:r>
        <w:rPr>
          <w:color w:val="000000"/>
          <w:spacing w:val="0"/>
          <w:w w:val="100"/>
          <w:position w:val="0"/>
        </w:rPr>
        <w:t>鉴于上述事实情况，公司新一届管理层一直非常重视应收账款的管理，逐步建立及完善 客户评级制度，并根据客户评级情况给予适当的信用期和信用额度，从源头保证应收账款的 安全性。公司还明确了销售业绩和回款目标的责任人，并将销售和回款任务的完成情况作为 日常绩效考核的重要指标，定期对账龄进行分析，及时安排催款，尤其重视大额应收账款的 催收工作，使应收账款风险控制在可控范围内。</w:t>
      </w:r>
    </w:p>
    <w:p>
      <w:pPr>
        <w:pStyle w:val="Style13"/>
        <w:keepNext w:val="0"/>
        <w:keepLines w:val="0"/>
        <w:widowControl w:val="0"/>
        <w:shd w:val="clear" w:color="auto" w:fill="auto"/>
        <w:tabs>
          <w:tab w:pos="922" w:val="left"/>
        </w:tabs>
        <w:bidi w:val="0"/>
        <w:spacing w:before="0" w:after="0" w:line="269" w:lineRule="auto"/>
        <w:ind w:left="0" w:right="0" w:firstLine="520"/>
        <w:jc w:val="both"/>
      </w:pPr>
      <w:bookmarkStart w:id="416" w:name="bookmark416"/>
      <w:r>
        <w:rPr>
          <w:rFonts w:ascii="Times New Roman" w:eastAsia="Times New Roman" w:hAnsi="Times New Roman" w:cs="Times New Roman"/>
          <w:color w:val="000000"/>
          <w:spacing w:val="0"/>
          <w:w w:val="100"/>
          <w:position w:val="0"/>
          <w:sz w:val="24"/>
          <w:szCs w:val="24"/>
        </w:rPr>
        <w:t>4</w:t>
      </w:r>
      <w:bookmarkEnd w:id="416"/>
      <w:r>
        <w:rPr>
          <w:color w:val="000000"/>
          <w:spacing w:val="0"/>
          <w:w w:val="100"/>
          <w:position w:val="0"/>
        </w:rPr>
        <w:t>、</w:t>
        <w:tab/>
        <w:t>持续经营能力</w:t>
      </w:r>
    </w:p>
    <w:p>
      <w:pPr>
        <w:pStyle w:val="Style13"/>
        <w:keepNext w:val="0"/>
        <w:keepLines w:val="0"/>
        <w:widowControl w:val="0"/>
        <w:shd w:val="clear" w:color="auto" w:fill="auto"/>
        <w:bidi w:val="0"/>
        <w:spacing w:before="0" w:after="620" w:line="307" w:lineRule="exact"/>
        <w:ind w:left="0" w:right="0" w:firstLine="0"/>
        <w:jc w:val="both"/>
      </w:pPr>
      <w:r>
        <w:rPr>
          <w:color w:val="000000"/>
          <w:spacing w:val="0"/>
          <w:w w:val="100"/>
          <w:position w:val="0"/>
        </w:rPr>
        <w:t>公司董事会高度重视，积极采取有效措施，不断提高公司持续经营能力，切实维护公司及全 体股东的利益。公司在发展现有业务的同时，不断推进新业务的开展，截止目前公司经营运 转正常。</w:t>
      </w:r>
    </w:p>
    <w:p>
      <w:pPr>
        <w:pStyle w:val="Style19"/>
        <w:keepNext/>
        <w:keepLines/>
        <w:widowControl w:val="0"/>
        <w:shd w:val="clear" w:color="auto" w:fill="auto"/>
        <w:bidi w:val="0"/>
        <w:spacing w:before="0" w:after="380" w:line="312" w:lineRule="exact"/>
        <w:ind w:left="0" w:right="0" w:firstLine="0"/>
        <w:jc w:val="both"/>
      </w:pPr>
      <w:bookmarkStart w:id="417" w:name="bookmark417"/>
      <w:bookmarkStart w:id="418" w:name="bookmark418"/>
      <w:bookmarkStart w:id="419" w:name="bookmark419"/>
      <w:bookmarkStart w:id="420" w:name="bookmark420"/>
      <w:r>
        <w:rPr>
          <w:color w:val="000000"/>
          <w:spacing w:val="0"/>
          <w:w w:val="100"/>
          <w:position w:val="0"/>
        </w:rPr>
        <w:t>五</w:t>
      </w:r>
      <w:bookmarkEnd w:id="419"/>
      <w:r>
        <w:rPr>
          <w:color w:val="000000"/>
          <w:spacing w:val="0"/>
          <w:w w:val="100"/>
          <w:position w:val="0"/>
        </w:rPr>
        <w:t>、董事会、监事会、独立董事（如有）对会计师事务所本报告期</w:t>
      </w:r>
      <w:r>
        <w:rPr>
          <w:b w:val="0"/>
          <w:bCs w:val="0"/>
          <w:color w:val="000000"/>
          <w:spacing w:val="0"/>
          <w:w w:val="100"/>
          <w:position w:val="0"/>
          <w:sz w:val="20"/>
          <w:szCs w:val="20"/>
        </w:rPr>
        <w:t>“</w:t>
      </w:r>
      <w:r>
        <w:rPr>
          <w:color w:val="000000"/>
          <w:spacing w:val="0"/>
          <w:w w:val="100"/>
          <w:position w:val="0"/>
        </w:rPr>
        <w:t>非标准审计报告</w:t>
      </w:r>
      <w:r>
        <w:rPr>
          <w:b w:val="0"/>
          <w:bCs w:val="0"/>
          <w:color w:val="000000"/>
          <w:spacing w:val="0"/>
          <w:w w:val="100"/>
          <w:position w:val="0"/>
          <w:sz w:val="20"/>
          <w:szCs w:val="20"/>
        </w:rPr>
        <w:t>”</w:t>
      </w:r>
      <w:r>
        <w:rPr>
          <w:color w:val="000000"/>
          <w:spacing w:val="0"/>
          <w:w w:val="100"/>
          <w:position w:val="0"/>
        </w:rPr>
        <w:t>的说明</w:t>
      </w:r>
      <w:bookmarkEnd w:id="417"/>
      <w:bookmarkEnd w:id="418"/>
      <w:bookmarkEnd w:id="420"/>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317" w:lineRule="exact"/>
        <w:ind w:left="0" w:right="0" w:firstLine="520"/>
        <w:jc w:val="both"/>
      </w:pPr>
      <w:r>
        <w:rPr>
          <w:b/>
          <w:bCs/>
          <w:color w:val="000000"/>
          <w:spacing w:val="0"/>
          <w:w w:val="100"/>
          <w:position w:val="0"/>
        </w:rPr>
        <w:t>公司董事会对该事项的意见</w:t>
      </w:r>
    </w:p>
    <w:p>
      <w:pPr>
        <w:pStyle w:val="Style13"/>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公司董事会认为会计师在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年度审计执业过程中勤勉尽责，并对会计师本着严格、谨 慎的原则对上述事项出具的非标意见审计报告表示理解，并提请投资者在充分关注非标意见 相关信息的同时，充分关注非标意见涉及事项的期后情况及影响消除情况。</w:t>
      </w:r>
    </w:p>
    <w:p>
      <w:pPr>
        <w:pStyle w:val="Style13"/>
        <w:keepNext w:val="0"/>
        <w:keepLines w:val="0"/>
        <w:widowControl w:val="0"/>
        <w:shd w:val="clear" w:color="auto" w:fill="auto"/>
        <w:bidi w:val="0"/>
        <w:spacing w:before="0" w:after="140" w:line="312" w:lineRule="exact"/>
        <w:ind w:left="0" w:right="0" w:firstLine="520"/>
        <w:jc w:val="both"/>
      </w:pPr>
      <w:r>
        <w:rPr>
          <w:b/>
          <w:bCs/>
          <w:color w:val="000000"/>
          <w:spacing w:val="0"/>
          <w:w w:val="100"/>
          <w:position w:val="0"/>
        </w:rPr>
        <w:t>独立董事意见</w:t>
      </w:r>
    </w:p>
    <w:p>
      <w:pPr>
        <w:pStyle w:val="Style13"/>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我们对会计师事务所出具的非标意见审计报告进行了认真核查，我们认可审计报告的内 容，同时希望公司董事会和管理层积极地采取有效措施，努力降低和消除所涉事项对公司带 来的不利影响，努力改善经营环境，降低经营风险，不断提高公司的持续经营能力，切实维 护公司及全体股东权益特别是中小股东的合法权益。</w:t>
      </w:r>
    </w:p>
    <w:p>
      <w:pPr>
        <w:pStyle w:val="Style13"/>
        <w:keepNext w:val="0"/>
        <w:keepLines w:val="0"/>
        <w:widowControl w:val="0"/>
        <w:shd w:val="clear" w:color="auto" w:fill="auto"/>
        <w:bidi w:val="0"/>
        <w:spacing w:before="0" w:after="0" w:line="312" w:lineRule="exact"/>
        <w:ind w:left="0" w:right="0" w:firstLine="520"/>
        <w:jc w:val="both"/>
      </w:pPr>
      <w:r>
        <w:rPr>
          <w:b/>
          <w:bCs/>
          <w:color w:val="000000"/>
          <w:spacing w:val="0"/>
          <w:w w:val="100"/>
          <w:position w:val="0"/>
        </w:rPr>
        <w:t>监事会意见</w:t>
      </w:r>
    </w:p>
    <w:p>
      <w:pPr>
        <w:pStyle w:val="Style13"/>
        <w:keepNext w:val="0"/>
        <w:keepLines w:val="0"/>
        <w:widowControl w:val="0"/>
        <w:shd w:val="clear" w:color="auto" w:fill="auto"/>
        <w:bidi w:val="0"/>
        <w:spacing w:before="0" w:after="1500" w:line="312" w:lineRule="exact"/>
        <w:ind w:left="0" w:right="0" w:firstLine="0"/>
        <w:jc w:val="both"/>
      </w:pPr>
      <w:r>
        <w:rPr>
          <w:color w:val="000000"/>
          <w:spacing w:val="0"/>
          <w:w w:val="100"/>
          <w:position w:val="0"/>
        </w:rPr>
        <w:t>审计报告中非标意见涉及事项客观反映了公司的实际情况，我们表示认可；建议董事会和管 理层认真梳理公司现在存在的风险问题，采取切实有效的措施，提升信息披露质量及内控水 平，化解非标意见涉及事项带来的不利影响，切实维护公司及全体股东利益。</w:t>
      </w:r>
    </w:p>
    <w:p>
      <w:pPr>
        <w:pStyle w:val="Style19"/>
        <w:keepNext/>
        <w:keepLines/>
        <w:widowControl w:val="0"/>
        <w:shd w:val="clear" w:color="auto" w:fill="auto"/>
        <w:bidi w:val="0"/>
        <w:spacing w:before="0" w:after="380" w:line="302" w:lineRule="exact"/>
        <w:ind w:left="0" w:right="0" w:firstLine="0"/>
        <w:jc w:val="both"/>
      </w:pPr>
      <w:bookmarkStart w:id="421" w:name="bookmark421"/>
      <w:bookmarkStart w:id="422" w:name="bookmark422"/>
      <w:bookmarkStart w:id="423" w:name="bookmark423"/>
      <w:bookmarkStart w:id="424" w:name="bookmark424"/>
      <w:r>
        <w:rPr>
          <w:color w:val="000000"/>
          <w:spacing w:val="0"/>
          <w:w w:val="100"/>
          <w:position w:val="0"/>
        </w:rPr>
        <w:t>六</w:t>
      </w:r>
      <w:bookmarkEnd w:id="423"/>
      <w:r>
        <w:rPr>
          <w:color w:val="000000"/>
          <w:spacing w:val="0"/>
          <w:w w:val="100"/>
          <w:position w:val="0"/>
        </w:rPr>
        <w:t>、董事会关于报告期会计政策、会计估计变更或重大会计差错更正的说明</w:t>
      </w:r>
      <w:bookmarkEnd w:id="421"/>
      <w:bookmarkEnd w:id="422"/>
      <w:bookmarkEnd w:id="424"/>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300" w:line="302" w:lineRule="exact"/>
        <w:ind w:left="0" w:right="0" w:firstLine="0"/>
        <w:jc w:val="both"/>
      </w:pPr>
      <w:r>
        <w:rPr>
          <w:color w:val="000000"/>
          <w:spacing w:val="0"/>
          <w:w w:val="100"/>
          <w:position w:val="0"/>
        </w:rPr>
        <w:t>公司因对子公司股权处置相关的交易事项不应确认及控股股东非经营性资金占用需要对公司 以前年度会计差错进行更正；公司本次对前期会计差错进行更正符合《企业会计准则第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号 ——会计政策、会计估计变更和差错更正》、《公开发行证券的公司信息披露编报规则第</w:t>
      </w:r>
      <w:r>
        <w:rPr>
          <w:rFonts w:ascii="Times New Roman" w:eastAsia="Times New Roman" w:hAnsi="Times New Roman" w:cs="Times New Roman"/>
          <w:color w:val="000000"/>
          <w:spacing w:val="0"/>
          <w:w w:val="100"/>
          <w:position w:val="0"/>
          <w:sz w:val="24"/>
          <w:szCs w:val="24"/>
        </w:rPr>
        <w:t xml:space="preserve">19 </w:t>
      </w:r>
      <w:r>
        <w:rPr>
          <w:color w:val="000000"/>
          <w:spacing w:val="0"/>
          <w:w w:val="100"/>
          <w:position w:val="0"/>
        </w:rPr>
        <w:t>号——财务信息的更正及相关披露》等相关规定和要求，更正后的财务数据及财务报表能够 更加客观、真实、准确地反映公司财务状况和经营成果，有利于提高公司财务信息质量。因 此，董事会同意本次会计差错更正及追溯调整。</w:t>
      </w:r>
    </w:p>
    <w:p>
      <w:pPr>
        <w:pStyle w:val="Style19"/>
        <w:keepNext/>
        <w:keepLines/>
        <w:widowControl w:val="0"/>
        <w:shd w:val="clear" w:color="auto" w:fill="auto"/>
        <w:bidi w:val="0"/>
        <w:spacing w:before="0" w:after="380" w:line="312" w:lineRule="exact"/>
        <w:ind w:left="0" w:right="0" w:firstLine="0"/>
        <w:jc w:val="both"/>
      </w:pPr>
      <w:bookmarkStart w:id="425" w:name="bookmark425"/>
      <w:bookmarkStart w:id="426" w:name="bookmark426"/>
      <w:bookmarkStart w:id="427" w:name="bookmark427"/>
      <w:bookmarkStart w:id="428" w:name="bookmark428"/>
      <w:r>
        <w:rPr>
          <w:color w:val="000000"/>
          <w:spacing w:val="0"/>
          <w:w w:val="100"/>
          <w:position w:val="0"/>
        </w:rPr>
        <w:t>七</w:t>
      </w:r>
      <w:bookmarkEnd w:id="427"/>
      <w:r>
        <w:rPr>
          <w:color w:val="000000"/>
          <w:spacing w:val="0"/>
          <w:w w:val="100"/>
          <w:position w:val="0"/>
        </w:rPr>
        <w:t>、与上年度财务报告相比，合并报表范围发生变化的情况说明</w:t>
      </w:r>
      <w:bookmarkEnd w:id="425"/>
      <w:bookmarkEnd w:id="426"/>
      <w:bookmarkEnd w:id="428"/>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360"/>
        <w:jc w:val="both"/>
        <w:rPr>
          <w:sz w:val="20"/>
          <w:szCs w:val="20"/>
        </w:rPr>
      </w:pPr>
      <w:r>
        <w:rPr>
          <w:color w:val="000000"/>
          <w:spacing w:val="0"/>
          <w:w w:val="100"/>
          <w:position w:val="0"/>
          <w:sz w:val="20"/>
          <w:szCs w:val="20"/>
        </w:rPr>
        <w:t>本期发生的非同一控制下企业合并具体情况：</w:t>
      </w:r>
    </w:p>
    <w:p>
      <w:pPr>
        <w:pStyle w:val="Style16"/>
        <w:keepNext w:val="0"/>
        <w:keepLines w:val="0"/>
        <w:widowControl w:val="0"/>
        <w:shd w:val="clear" w:color="auto" w:fill="auto"/>
        <w:tabs>
          <w:tab w:pos="4642" w:val="left"/>
          <w:tab w:pos="5530" w:val="left"/>
        </w:tabs>
        <w:bidi w:val="0"/>
        <w:spacing w:before="0" w:after="120" w:line="240" w:lineRule="auto"/>
        <w:ind w:left="0" w:right="0" w:firstLine="0"/>
        <w:jc w:val="both"/>
      </w:pPr>
      <w:r>
        <w:rPr>
          <w:color w:val="000000"/>
          <w:spacing w:val="0"/>
          <w:w w:val="100"/>
          <w:position w:val="0"/>
        </w:rPr>
        <w:t>被购买方股权取得时点股权取得 股权取得 股权取得</w:t>
        <w:tab/>
        <w:t>购买日</w:t>
        <w:tab/>
        <w:t>购买日的确 购买日至期末被购买日至期末</w:t>
      </w:r>
    </w:p>
    <w:tbl>
      <w:tblPr>
        <w:tblOverlap w:val="never"/>
        <w:jc w:val="center"/>
        <w:tblLayout w:type="fixed"/>
      </w:tblPr>
      <w:tblGrid>
        <w:gridCol w:w="1891"/>
        <w:gridCol w:w="902"/>
        <w:gridCol w:w="763"/>
        <w:gridCol w:w="773"/>
        <w:gridCol w:w="2227"/>
        <w:gridCol w:w="1253"/>
        <w:gridCol w:w="1171"/>
      </w:tblGrid>
      <w:tr>
        <w:trPr>
          <w:trHeight w:val="63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方式</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定依据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购买方的收入</w:t>
            </w:r>
          </w:p>
        </w:tc>
        <w:tc>
          <w:tcPr>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被购买方的净 利润</w:t>
            </w:r>
          </w:p>
        </w:tc>
      </w:tr>
      <w:tr>
        <w:trPr>
          <w:trHeight w:val="8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东莞市雅 </w:t>
            </w:r>
            <w:r>
              <w:rPr>
                <w:rFonts w:ascii="Times New Roman" w:eastAsia="Times New Roman" w:hAnsi="Times New Roman" w:cs="Times New Roman"/>
                <w:color w:val="000000"/>
                <w:spacing w:val="0"/>
                <w:w w:val="100"/>
                <w:position w:val="0"/>
                <w:sz w:val="18"/>
                <w:szCs w:val="18"/>
              </w:rPr>
              <w:t>2021-11-23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鑫实业有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购买</w:t>
            </w:r>
          </w:p>
        </w:tc>
        <w:tc>
          <w:tcPr>
            <w:tcBorders>
              <w:top w:val="single" w:sz="4"/>
            </w:tcBorders>
            <w:shd w:val="clear" w:color="auto" w:fill="FFFFFF"/>
            <w:vAlign w:val="bottom"/>
          </w:tcPr>
          <w:p>
            <w:pPr>
              <w:pStyle w:val="Style2"/>
              <w:keepNext w:val="0"/>
              <w:keepLines w:val="0"/>
              <w:widowControl w:val="0"/>
              <w:shd w:val="clear" w:color="auto" w:fill="auto"/>
              <w:tabs>
                <w:tab w:pos="1051" w:val="left"/>
              </w:tabs>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2021-11-12</w:t>
              <w:tab/>
            </w:r>
            <w:r>
              <w:rPr>
                <w:color w:val="000000"/>
                <w:spacing w:val="0"/>
                <w:w w:val="100"/>
                <w:position w:val="0"/>
              </w:rPr>
              <w:t>董事会决议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通过并支付</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18,783,389.17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224,214.50</w:t>
            </w:r>
          </w:p>
        </w:tc>
      </w:tr>
    </w:tbl>
    <w:p>
      <w:pPr>
        <w:pStyle w:val="Style32"/>
        <w:keepNext w:val="0"/>
        <w:keepLines w:val="0"/>
        <w:widowControl w:val="0"/>
        <w:shd w:val="clear" w:color="auto" w:fill="auto"/>
        <w:bidi w:val="0"/>
        <w:spacing w:before="0" w:after="0" w:line="240" w:lineRule="auto"/>
        <w:ind w:left="5803" w:right="0" w:firstLine="0"/>
        <w:jc w:val="left"/>
      </w:pPr>
      <w:r>
        <w:rPr>
          <w:color w:val="000000"/>
          <w:spacing w:val="0"/>
          <w:w w:val="100"/>
          <w:position w:val="0"/>
        </w:rPr>
        <w:t>购款</w:t>
      </w:r>
    </w:p>
    <w:p>
      <w:pPr>
        <w:widowControl w:val="0"/>
        <w:spacing w:after="739" w:line="1" w:lineRule="exact"/>
      </w:pPr>
    </w:p>
    <w:p>
      <w:pPr>
        <w:pStyle w:val="Style19"/>
        <w:keepNext/>
        <w:keepLines/>
        <w:widowControl w:val="0"/>
        <w:shd w:val="clear" w:color="auto" w:fill="auto"/>
        <w:bidi w:val="0"/>
        <w:spacing w:before="0" w:after="38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rPr>
        <w:t>八</w:t>
      </w:r>
      <w:bookmarkEnd w:id="431"/>
      <w:r>
        <w:rPr>
          <w:color w:val="000000"/>
          <w:spacing w:val="0"/>
          <w:w w:val="100"/>
          <w:position w:val="0"/>
        </w:rPr>
        <w:t>、聘任、解聘会计师事务所情况</w:t>
      </w:r>
      <w:bookmarkEnd w:id="429"/>
      <w:bookmarkEnd w:id="430"/>
      <w:bookmarkEnd w:id="43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徐伟、朱琳</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是否在审计期间改聘会计师事务所</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更换会计师事务所是否履行审批程序</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聘任、解聘会计师事务所情况说明</w:t>
      </w:r>
    </w:p>
    <w:p>
      <w:pPr>
        <w:pStyle w:val="Style13"/>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因公司发展战略、业务布局、审计需求等原因，公司拟聘任希格玛会计师事务所（特殊普通 合伙）为公司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年年度审计机构。公司已就变更会计师事务所事项与中兴财光华会计师事 务所（特殊普通合伙）进行了事前沟通，中兴财光华会计师事务所（特殊普通合伙）对此无 </w:t>
      </w:r>
      <w:r>
        <w:rPr>
          <w:color w:val="000000"/>
          <w:spacing w:val="0"/>
          <w:w w:val="100"/>
          <w:position w:val="0"/>
        </w:rPr>
        <w:t>异议。</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九</w:t>
      </w:r>
      <w:bookmarkEnd w:id="435"/>
      <w:r>
        <w:rPr>
          <w:color w:val="000000"/>
          <w:spacing w:val="0"/>
          <w:w w:val="100"/>
          <w:position w:val="0"/>
        </w:rPr>
        <w:t>、年度报告披露后面临退市情况</w:t>
      </w:r>
      <w:bookmarkEnd w:id="433"/>
      <w:bookmarkEnd w:id="434"/>
      <w:bookmarkEnd w:id="436"/>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r>
        <w:rPr>
          <w:color w:val="000000"/>
          <w:spacing w:val="0"/>
          <w:w w:val="100"/>
          <w:position w:val="0"/>
        </w:rPr>
        <w:t>十、破产重整相关事项</w:t>
      </w:r>
      <w:bookmarkEnd w:id="437"/>
      <w:bookmarkEnd w:id="438"/>
      <w:bookmarkEnd w:id="439"/>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r>
        <w:rPr>
          <w:color w:val="000000"/>
          <w:spacing w:val="0"/>
          <w:w w:val="100"/>
          <w:position w:val="0"/>
        </w:rPr>
        <w:t>十一、重大诉讼、仲裁事项</w:t>
      </w:r>
      <w:bookmarkEnd w:id="440"/>
      <w:bookmarkEnd w:id="441"/>
      <w:bookmarkEnd w:id="44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64"/>
        <w:gridCol w:w="1080"/>
        <w:gridCol w:w="1272"/>
        <w:gridCol w:w="950"/>
        <w:gridCol w:w="1392"/>
        <w:gridCol w:w="1272"/>
        <w:gridCol w:w="1080"/>
        <w:gridCol w:w="10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280" w:right="0" w:hanging="28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文化长城与翡翠 教育及其原股东、 核心管理团队股 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160,716.63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宁波梅山保税港 区御景投资合伙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 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日披露法院</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《关于重大 诉讼及部分 银行账户、资 产被冻结的 公告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朱慧欣与文化长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城股权转让纠纷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广东省深圳市福 田区人民法院民 事调解书（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41955</w:t>
            </w:r>
            <w:r>
              <w:rPr>
                <w:color w:val="000000"/>
                <w:spacing w:val="0"/>
                <w:w w:val="100"/>
                <w:position w:val="0"/>
              </w:rPr>
              <w:t>号原告和 被告自愿达成如 下和解协议：一、 被告广东文化长 城集团股份有限 公司确认尚欠原 告朱慧欣股权转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公司接到深圳 市福田区人民 法院《变卖通知 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20015 </w:t>
            </w:r>
            <w:r>
              <w:rPr>
                <w:color w:val="000000"/>
                <w:spacing w:val="0"/>
                <w:w w:val="100"/>
                <w:position w:val="0"/>
              </w:rPr>
              <w:t>号，获悉深圳市 福田区人民法 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时至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日 披露法院《关 于诉讼事项 的进展公告》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2020-094</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7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让款本金 </w:t>
            </w:r>
            <w:r>
              <w:rPr>
                <w:rFonts w:ascii="Times New Roman" w:eastAsia="Times New Roman" w:hAnsi="Times New Roman" w:cs="Times New Roman"/>
                <w:color w:val="000000"/>
                <w:spacing w:val="0"/>
                <w:w w:val="100"/>
                <w:position w:val="0"/>
                <w:sz w:val="18"/>
                <w:szCs w:val="18"/>
              </w:rPr>
              <w:t>10964200</w:t>
            </w:r>
            <w:r>
              <w:rPr>
                <w:color w:val="000000"/>
                <w:spacing w:val="0"/>
                <w:w w:val="100"/>
                <w:position w:val="0"/>
              </w:rPr>
              <w:t xml:space="preserve">元及违 约金 </w:t>
            </w:r>
            <w:r>
              <w:rPr>
                <w:rFonts w:ascii="Times New Roman" w:eastAsia="Times New Roman" w:hAnsi="Times New Roman" w:cs="Times New Roman"/>
                <w:color w:val="000000"/>
                <w:spacing w:val="0"/>
                <w:w w:val="100"/>
                <w:position w:val="0"/>
                <w:sz w:val="18"/>
                <w:szCs w:val="18"/>
              </w:rPr>
              <w:t xml:space="preserve">207320.27 </w:t>
            </w:r>
            <w:r>
              <w:rPr>
                <w:color w:val="000000"/>
                <w:spacing w:val="0"/>
                <w:w w:val="100"/>
                <w:position w:val="0"/>
              </w:rPr>
              <w:t>元（违约金暂计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日，之后的违约 金以剩余本金为 基数，按照月千 分之二的标准计 算至被告实际清 偿之日止），二、 被告广东文化长 城集团股份有限 公司应于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日前向原 告朱慧欣支付担 保费</w:t>
            </w:r>
            <w:r>
              <w:rPr>
                <w:rFonts w:ascii="Times New Roman" w:eastAsia="Times New Roman" w:hAnsi="Times New Roman" w:cs="Times New Roman"/>
                <w:color w:val="000000"/>
                <w:spacing w:val="0"/>
                <w:w w:val="100"/>
                <w:position w:val="0"/>
                <w:sz w:val="18"/>
                <w:szCs w:val="18"/>
              </w:rPr>
              <w:t>16964.2</w:t>
            </w:r>
            <w:r>
              <w:rPr>
                <w:color w:val="000000"/>
                <w:spacing w:val="0"/>
                <w:w w:val="100"/>
                <w:position w:val="0"/>
              </w:rPr>
              <w:t xml:space="preserve">元； 受理费和保全费 合计 </w:t>
            </w:r>
            <w:r>
              <w:rPr>
                <w:rFonts w:ascii="Times New Roman" w:eastAsia="Times New Roman" w:hAnsi="Times New Roman" w:cs="Times New Roman"/>
                <w:color w:val="000000"/>
                <w:spacing w:val="0"/>
                <w:w w:val="100"/>
                <w:position w:val="0"/>
                <w:sz w:val="18"/>
                <w:szCs w:val="18"/>
              </w:rPr>
              <w:t xml:space="preserve">67199.74 </w:t>
            </w:r>
            <w:r>
              <w:rPr>
                <w:color w:val="000000"/>
                <w:spacing w:val="0"/>
                <w:w w:val="100"/>
                <w:position w:val="0"/>
              </w:rPr>
              <w:t>元，由被告自愿 负担。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时止在京东 司法拍卖平台 上变卖位于：</w:t>
            </w:r>
          </w:p>
          <w:p>
            <w:pPr>
              <w:pStyle w:val="Style2"/>
              <w:keepNext w:val="0"/>
              <w:keepLines w:val="0"/>
              <w:widowControl w:val="0"/>
              <w:shd w:val="clear" w:color="auto" w:fill="auto"/>
              <w:tabs>
                <w:tab w:pos="451"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潮州市枫 溪区蔡陇大道 长城公司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 厂房（房产证 号：</w:t>
            </w:r>
          </w:p>
          <w:p>
            <w:pPr>
              <w:pStyle w:val="Style2"/>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sz w:val="18"/>
                <w:szCs w:val="18"/>
              </w:rPr>
              <w:t>2016038213</w:t>
            </w:r>
            <w:r>
              <w:rPr>
                <w:color w:val="000000"/>
                <w:spacing w:val="0"/>
                <w:w w:val="100"/>
                <w:position w:val="0"/>
              </w:rPr>
              <w:t>）变 卖价为人民币</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3,110,912 </w:t>
            </w:r>
            <w:r>
              <w:rPr>
                <w:color w:val="000000"/>
                <w:spacing w:val="0"/>
                <w:w w:val="100"/>
                <w:position w:val="0"/>
              </w:rPr>
              <w:t>元；</w:t>
            </w:r>
          </w:p>
          <w:p>
            <w:pPr>
              <w:pStyle w:val="Style2"/>
              <w:keepNext w:val="0"/>
              <w:keepLines w:val="0"/>
              <w:widowControl w:val="0"/>
              <w:shd w:val="clear" w:color="auto" w:fill="auto"/>
              <w:tabs>
                <w:tab w:pos="451"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潮州市枫 溪区蔡陇大道 长城公司</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幢 厂房（房产证 号：</w:t>
            </w:r>
          </w:p>
          <w:p>
            <w:pPr>
              <w:pStyle w:val="Style2"/>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sz w:val="18"/>
                <w:szCs w:val="18"/>
              </w:rPr>
              <w:t>2016038210</w:t>
            </w:r>
            <w:r>
              <w:rPr>
                <w:color w:val="000000"/>
                <w:spacing w:val="0"/>
                <w:w w:val="100"/>
                <w:position w:val="0"/>
              </w:rPr>
              <w:t>）变 卖价为人民币</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2,894,223.36</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）潮州市 枫溪区蔡陇大 道长城公司</w:t>
            </w:r>
            <w:r>
              <w:rPr>
                <w:rFonts w:ascii="Times New Roman" w:eastAsia="Times New Roman" w:hAnsi="Times New Roman" w:cs="Times New Roman"/>
                <w:color w:val="000000"/>
                <w:spacing w:val="0"/>
                <w:w w:val="100"/>
                <w:position w:val="0"/>
                <w:sz w:val="18"/>
                <w:szCs w:val="18"/>
              </w:rPr>
              <w:t xml:space="preserve">H </w:t>
            </w:r>
            <w:r>
              <w:rPr>
                <w:color w:val="000000"/>
                <w:spacing w:val="0"/>
                <w:w w:val="100"/>
                <w:position w:val="0"/>
              </w:rPr>
              <w:t>幢仓库（房产证 号：</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2016038179</w:t>
            </w:r>
            <w:r>
              <w:rPr>
                <w:color w:val="000000"/>
                <w:spacing w:val="0"/>
                <w:w w:val="100"/>
                <w:position w:val="0"/>
                <w:sz w:val="17"/>
                <w:szCs w:val="17"/>
              </w:rPr>
              <w:t xml:space="preserve">）变 卖价为人民币 </w:t>
            </w:r>
            <w:r>
              <w:rPr>
                <w:rFonts w:ascii="Times New Roman" w:eastAsia="Times New Roman" w:hAnsi="Times New Roman" w:cs="Times New Roman"/>
                <w:color w:val="000000"/>
                <w:spacing w:val="0"/>
                <w:w w:val="100"/>
                <w:position w:val="0"/>
                <w:sz w:val="18"/>
                <w:szCs w:val="18"/>
              </w:rPr>
              <w:t>8,932,967.68</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元。案外人吴祖 才提出执行异 议，请求撤销</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20015</w:t>
            </w:r>
            <w:r>
              <w:rPr>
                <w:color w:val="000000"/>
                <w:spacing w:val="0"/>
                <w:w w:val="100"/>
                <w:position w:val="0"/>
              </w:rPr>
              <w:t>号之 二《执行裁定 书》，退还拍卖 成交款项</w:t>
            </w:r>
          </w:p>
          <w:p>
            <w:pPr>
              <w:pStyle w:val="Style2"/>
              <w:keepNext w:val="0"/>
              <w:keepLines w:val="0"/>
              <w:widowControl w:val="0"/>
              <w:shd w:val="clear" w:color="auto" w:fill="auto"/>
              <w:bidi w:val="0"/>
              <w:spacing w:before="0" w:after="10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312575.48 </w:t>
            </w:r>
            <w:r>
              <w:rPr>
                <w:color w:val="000000"/>
                <w:spacing w:val="0"/>
                <w:w w:val="100"/>
                <w:position w:val="0"/>
                <w:sz w:val="17"/>
                <w:szCs w:val="17"/>
              </w:rPr>
              <w:t>元。： 广东省深圳市 福田区人民法 院《执行裁定 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sz w:val="17"/>
                <w:szCs w:val="17"/>
              </w:rPr>
              <w:t>执异</w:t>
            </w:r>
            <w:r>
              <w:rPr>
                <w:rFonts w:ascii="Times New Roman" w:eastAsia="Times New Roman" w:hAnsi="Times New Roman" w:cs="Times New Roman"/>
                <w:color w:val="000000"/>
                <w:spacing w:val="0"/>
                <w:w w:val="100"/>
                <w:position w:val="0"/>
                <w:sz w:val="18"/>
                <w:szCs w:val="18"/>
              </w:rPr>
              <w:t>73</w:t>
            </w:r>
            <w:r>
              <w:rPr>
                <w:color w:val="000000"/>
                <w:spacing w:val="0"/>
                <w:w w:val="100"/>
                <w:position w:val="0"/>
                <w:sz w:val="17"/>
                <w:szCs w:val="17"/>
              </w:rPr>
              <w:t>号 裁定如下：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撤销（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sz w:val="17"/>
                <w:szCs w:val="17"/>
              </w:rPr>
              <w:t xml:space="preserve">执 </w:t>
            </w:r>
            <w:r>
              <w:rPr>
                <w:rFonts w:ascii="Times New Roman" w:eastAsia="Times New Roman" w:hAnsi="Times New Roman" w:cs="Times New Roman"/>
                <w:color w:val="000000"/>
                <w:spacing w:val="0"/>
                <w:w w:val="100"/>
                <w:position w:val="0"/>
                <w:sz w:val="18"/>
                <w:szCs w:val="18"/>
              </w:rPr>
              <w:t>20015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号《通知书》；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驳回异议人吴 祖才的异议请</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安卓易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 有限公司与文化 长城股权转让纠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日披露法院</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《关于重大 诉讼及部分 银行账户、资 产被冻结的 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53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新余创思资产管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与文化长城 股权转让纠纷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判决公司支付股 权转让款及违约 金，案件受理费 及保全费由公司 承担。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广东省深圳市 福田区人民法 院执行通知书</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31859</w:t>
            </w:r>
            <w:r>
              <w:rPr>
                <w:color w:val="000000"/>
                <w:spacing w:val="0"/>
                <w:w w:val="100"/>
                <w:position w:val="0"/>
              </w:rPr>
              <w:t>号执 行通知要求公 司依法履行生 效法律文书确 定的义务，并承 担迟延履行期 间的债务利息、 申请执行费及 其他相关费用 等。逾期不履 行，法院将依法 强制执行。不适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披露《关于公 司涉及重大 诉讼、仲裁的 公告》</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2021-089）</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天津钰美瑞科技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 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据广东省深圳 市福田区人民法 院民事调解书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41349</w:t>
            </w:r>
            <w:r>
              <w:rPr>
                <w:color w:val="000000"/>
                <w:spacing w:val="0"/>
                <w:w w:val="100"/>
                <w:position w:val="0"/>
              </w:rPr>
              <w:t>号） 显示涉案金额 合计</w:t>
            </w:r>
            <w:r>
              <w:rPr>
                <w:rFonts w:ascii="Times New Roman" w:eastAsia="Times New Roman" w:hAnsi="Times New Roman" w:cs="Times New Roman"/>
                <w:color w:val="000000"/>
                <w:spacing w:val="0"/>
                <w:w w:val="100"/>
                <w:position w:val="0"/>
                <w:sz w:val="18"/>
                <w:szCs w:val="18"/>
              </w:rPr>
              <w:t>6763576</w:t>
            </w:r>
            <w:r>
              <w:rPr>
                <w:color w:val="000000"/>
                <w:spacing w:val="0"/>
                <w:w w:val="100"/>
                <w:position w:val="0"/>
              </w:rPr>
              <w:t xml:space="preserve">元 并由公司承担案 件受理费和保全 费 </w:t>
            </w:r>
            <w:r>
              <w:rPr>
                <w:rFonts w:ascii="Times New Roman" w:eastAsia="Times New Roman" w:hAnsi="Times New Roman" w:cs="Times New Roman"/>
                <w:color w:val="000000"/>
                <w:spacing w:val="0"/>
                <w:w w:val="100"/>
                <w:position w:val="0"/>
                <w:sz w:val="18"/>
                <w:szCs w:val="18"/>
              </w:rPr>
              <w:t xml:space="preserve">35301.5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日披露法院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 诉讼及部分 银行账户、资 产被冻结的 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新余信公成长新 兴资产管理合伙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民 终 </w:t>
            </w:r>
            <w:r>
              <w:rPr>
                <w:rFonts w:ascii="Times New Roman" w:eastAsia="Times New Roman" w:hAnsi="Times New Roman" w:cs="Times New Roman"/>
                <w:color w:val="000000"/>
                <w:spacing w:val="0"/>
                <w:w w:val="100"/>
                <w:position w:val="0"/>
                <w:sz w:val="18"/>
                <w:szCs w:val="18"/>
              </w:rPr>
              <w:t xml:space="preserve">21776 </w:t>
            </w:r>
            <w:r>
              <w:rPr>
                <w:color w:val="000000"/>
                <w:spacing w:val="0"/>
                <w:w w:val="100"/>
                <w:position w:val="0"/>
              </w:rPr>
              <w:t>号</w:t>
            </w:r>
            <w:r>
              <w:rPr>
                <w:color w:val="000000"/>
                <w:spacing w:val="0"/>
                <w:w w:val="100"/>
                <w:position w:val="0"/>
                <w:sz w:val="18"/>
                <w:szCs w:val="18"/>
              </w:rPr>
              <w:t>，</w:t>
            </w:r>
            <w:r>
              <w:rPr>
                <w:color w:val="000000"/>
                <w:spacing w:val="0"/>
                <w:w w:val="100"/>
                <w:position w:val="0"/>
              </w:rPr>
              <w:t>一、 撤销一审判决第 二项；二、变更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27608</w:t>
            </w:r>
            <w:r>
              <w:rPr>
                <w:color w:val="000000"/>
                <w:spacing w:val="0"/>
                <w:w w:val="100"/>
                <w:position w:val="0"/>
              </w:rPr>
              <w:t>号执 行通知要求公 司依法履行生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披露法院《关 于诉讼事项</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38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一审判决第一项 为文化长城向新 余信公支付</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3239.2978 </w:t>
            </w:r>
            <w:r>
              <w:rPr>
                <w:color w:val="000000"/>
                <w:spacing w:val="0"/>
                <w:w w:val="100"/>
                <w:position w:val="0"/>
              </w:rPr>
              <w:t>万元； 三、驳回新余信 公其他诉讼请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效法律文书确 定的义务，并承 担迟延履行期 间的债务利息、 申请执行费及 其他相关费用 等。逾期不履 行，法院将依法 强制执行</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21776</w:t>
            </w:r>
            <w:r>
              <w:rPr>
                <w:color w:val="000000"/>
                <w:spacing w:val="0"/>
                <w:w w:val="100"/>
                <w:position w:val="0"/>
              </w:rPr>
              <w:t>号 判决结果。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的进展公告》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rPr>
              <w:t>）</w:t>
            </w:r>
          </w:p>
        </w:tc>
      </w:tr>
      <w:tr>
        <w:trPr>
          <w:trHeight w:val="57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深圳普方达源力 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与文化长城股 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民终 </w:t>
            </w:r>
            <w:r>
              <w:rPr>
                <w:rFonts w:ascii="Times New Roman" w:eastAsia="Times New Roman" w:hAnsi="Times New Roman" w:cs="Times New Roman"/>
                <w:color w:val="000000"/>
                <w:spacing w:val="0"/>
                <w:w w:val="100"/>
                <w:position w:val="0"/>
                <w:sz w:val="18"/>
                <w:szCs w:val="18"/>
              </w:rPr>
              <w:t>17354</w:t>
            </w:r>
            <w:r>
              <w:rPr>
                <w:color w:val="000000"/>
                <w:spacing w:val="0"/>
                <w:w w:val="100"/>
                <w:position w:val="0"/>
              </w:rPr>
              <w:t>号，判决公 司支付股权转让 款及违约金，案 件受理费及保全 费由公司承担。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深圳市福田区 人民法院出具 执行通知书</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33079</w:t>
            </w:r>
            <w:r>
              <w:rPr>
                <w:color w:val="000000"/>
                <w:spacing w:val="0"/>
                <w:w w:val="100"/>
                <w:position w:val="0"/>
              </w:rPr>
              <w:t>号要 求公司依法履 行生效法律文 书确定的义务， 并承担迟延履 行期间的债务 利息、申请执行 费及其他相关 费用等。逾期不 履行，法院将依 法强制执行</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33368</w:t>
            </w:r>
            <w:r>
              <w:rPr>
                <w:color w:val="000000"/>
                <w:spacing w:val="0"/>
                <w:w w:val="100"/>
                <w:position w:val="0"/>
              </w:rPr>
              <w:t>号 判决结果。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披露法院《关 于诉讼事项 的进展公告》</w:t>
            </w:r>
          </w:p>
          <w:p>
            <w:pPr>
              <w:pStyle w:val="Style2"/>
              <w:keepNext w:val="0"/>
              <w:keepLines w:val="0"/>
              <w:widowControl w:val="0"/>
              <w:shd w:val="clear" w:color="auto" w:fill="auto"/>
              <w:bidi w:val="0"/>
              <w:spacing w:before="0" w:after="12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2020-104</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p>
        </w:tc>
      </w:tr>
      <w:tr>
        <w:trPr>
          <w:trHeight w:val="4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共青城纳隆德投 资管理合伙企业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 长城股权转让纠 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 终</w:t>
            </w:r>
            <w:r>
              <w:rPr>
                <w:rFonts w:ascii="Times New Roman" w:eastAsia="Times New Roman" w:hAnsi="Times New Roman" w:cs="Times New Roman"/>
                <w:color w:val="000000"/>
                <w:spacing w:val="0"/>
                <w:w w:val="100"/>
                <w:position w:val="0"/>
                <w:sz w:val="18"/>
                <w:szCs w:val="18"/>
              </w:rPr>
              <w:t>24198</w:t>
            </w:r>
            <w:r>
              <w:rPr>
                <w:color w:val="000000"/>
                <w:spacing w:val="0"/>
                <w:w w:val="100"/>
                <w:position w:val="0"/>
              </w:rPr>
              <w:t>号</w:t>
            </w:r>
            <w:r>
              <w:rPr>
                <w:color w:val="000000"/>
                <w:spacing w:val="0"/>
                <w:w w:val="100"/>
                <w:position w:val="0"/>
                <w:sz w:val="18"/>
                <w:szCs w:val="18"/>
              </w:rPr>
              <w:t>，</w:t>
            </w:r>
            <w:r>
              <w:rPr>
                <w:color w:val="000000"/>
                <w:spacing w:val="0"/>
                <w:w w:val="100"/>
                <w:position w:val="0"/>
              </w:rPr>
              <w:t>维持 一审判决。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 福田区人民法 院不适用出具 的《执行通知 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26337 </w:t>
            </w:r>
            <w:r>
              <w:rPr>
                <w:color w:val="000000"/>
                <w:spacing w:val="0"/>
                <w:w w:val="100"/>
                <w:position w:val="0"/>
              </w:rPr>
              <w:t>号要求公司依 法履行生效法 律文书确定的 义务，并承担迟 延履行期间的 债务利息、申请 执行费及其他 相关费用等。逾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披露法院《关 于诉讼事项 的进展公告》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期不履行，法院 将依法强制执 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8552</w:t>
            </w:r>
            <w:r>
              <w:rPr>
                <w:color w:val="000000"/>
                <w:spacing w:val="0"/>
                <w:w w:val="100"/>
                <w:position w:val="0"/>
              </w:rPr>
              <w:t>号判 决结果。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新余邦得投资合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与文化长城股权 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8552</w:t>
            </w:r>
            <w:r>
              <w:rPr>
                <w:color w:val="000000"/>
                <w:spacing w:val="0"/>
                <w:w w:val="100"/>
                <w:position w:val="0"/>
              </w:rPr>
              <w:t>号</w:t>
            </w:r>
            <w:r>
              <w:rPr>
                <w:color w:val="000000"/>
                <w:spacing w:val="0"/>
                <w:w w:val="100"/>
                <w:position w:val="0"/>
                <w:sz w:val="18"/>
                <w:szCs w:val="18"/>
              </w:rPr>
              <w:t>，</w:t>
            </w:r>
            <w:r>
              <w:rPr>
                <w:color w:val="000000"/>
                <w:spacing w:val="0"/>
                <w:w w:val="100"/>
                <w:position w:val="0"/>
              </w:rPr>
              <w:t>维持一审 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 披露法院《关 于诉讼事项 的进展公告》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rPr>
              <w:t>）</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新余卓趣资本管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与文化长城 股权转让纠纷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维持一审判决。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27287</w:t>
            </w:r>
            <w:r>
              <w:rPr>
                <w:color w:val="000000"/>
                <w:spacing w:val="0"/>
                <w:w w:val="100"/>
                <w:position w:val="0"/>
              </w:rPr>
              <w:t>号执 行通知书要求： 公司依法履行 生效法律文书 确定的义务，并 承担迟延履行 期间的债务利 息、申请执行费 及其他相关费 用等。逾期不履 行，法院将依法 强制执行</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民终 </w:t>
            </w:r>
            <w:r>
              <w:rPr>
                <w:rFonts w:ascii="Times New Roman" w:eastAsia="Times New Roman" w:hAnsi="Times New Roman" w:cs="Times New Roman"/>
                <w:color w:val="000000"/>
                <w:spacing w:val="0"/>
                <w:w w:val="100"/>
                <w:position w:val="0"/>
                <w:sz w:val="18"/>
                <w:szCs w:val="18"/>
              </w:rPr>
              <w:t>24199</w:t>
            </w:r>
            <w:r>
              <w:rPr>
                <w:color w:val="000000"/>
                <w:spacing w:val="0"/>
                <w:w w:val="100"/>
                <w:position w:val="0"/>
              </w:rPr>
              <w:t>号判决结 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披露法院《关 于诉讼事项 的进展公告》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新余智趣资产管 理合伙企业（有限 合伙）与文化长城 股权转让纠纷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撤回起诉 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立案后原告未 在法定期限内 交纳案件受理 费，法院裁定 按原告撤回起 诉处理。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披露法院《关 于诉讼事项 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创思兰博（北京） 科技股份有限公 司与文化长城民 间借贷纠纷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根据广东省高级 人民法院《民事 申请再审案件应 诉通知书》</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）粤民申 </w:t>
            </w:r>
            <w:r>
              <w:rPr>
                <w:rFonts w:ascii="Times New Roman" w:eastAsia="Times New Roman" w:hAnsi="Times New Roman" w:cs="Times New Roman"/>
                <w:color w:val="000000"/>
                <w:spacing w:val="0"/>
                <w:w w:val="100"/>
                <w:position w:val="0"/>
                <w:sz w:val="18"/>
                <w:szCs w:val="18"/>
              </w:rPr>
              <w:t>13649</w:t>
            </w:r>
            <w:r>
              <w:rPr>
                <w:color w:val="000000"/>
                <w:spacing w:val="0"/>
                <w:w w:val="100"/>
                <w:position w:val="0"/>
              </w:rPr>
              <w:t>号，裁定 驳回创思兰博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（北京）科技股 份有限公司的再 审申请。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披露《关于公 司诉讼事项 的进展暨公 司资产被拍 卖的进展公 告》</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2022-017）</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广东兴信典当行 有限公司与文化 长城典当纠纷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民 终</w:t>
            </w:r>
            <w:r>
              <w:rPr>
                <w:rFonts w:ascii="Times New Roman" w:eastAsia="Times New Roman" w:hAnsi="Times New Roman" w:cs="Times New Roman"/>
                <w:color w:val="000000"/>
                <w:spacing w:val="0"/>
                <w:w w:val="100"/>
                <w:position w:val="0"/>
                <w:sz w:val="18"/>
                <w:szCs w:val="18"/>
              </w:rPr>
              <w:t>857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二审判 决公司偿还当金 及支付利息，案 件受理费由公司 承担。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根据公司于拍 卖网上查询的 结果，澄海区人 民法院将于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时至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时期 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竞价周期与 延时除外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在汕 头市澄海区人 民法院阿里巴 巴司法拍卖网 络平台上进行 公开变卖活动。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披露《关于公 司诉讼事项 的进展暨公 司资产被拍 卖的进展公 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2022-023）</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深圳国际仲裁院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根据广东省潮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《裁决书》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州市中级人民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）深国仲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法院《执行裁定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裁 </w:t>
            </w:r>
            <w:r>
              <w:rPr>
                <w:rFonts w:ascii="Times New Roman" w:eastAsia="Times New Roman" w:hAnsi="Times New Roman" w:cs="Times New Roman"/>
                <w:color w:val="000000"/>
                <w:spacing w:val="0"/>
                <w:w w:val="100"/>
                <w:position w:val="0"/>
                <w:sz w:val="18"/>
                <w:szCs w:val="18"/>
              </w:rPr>
              <w:t xml:space="preserve">3799 </w:t>
            </w:r>
            <w:r>
              <w:rPr>
                <w:color w:val="000000"/>
                <w:spacing w:val="0"/>
                <w:w w:val="100"/>
                <w:position w:val="0"/>
              </w:rPr>
              <w:t>号，（一）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被申请人向申请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执恢</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号之</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人支付股权转让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一，本院认为，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款人民币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根据本案被执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1650000 </w:t>
            </w:r>
            <w:r>
              <w:rPr>
                <w:color w:val="000000"/>
                <w:spacing w:val="0"/>
                <w:w w:val="100"/>
                <w:position w:val="0"/>
              </w:rPr>
              <w:t>元；（二）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行人可供执行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被申请人向申请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财产的调查情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人支付违约金，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况，本案属于终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违约金以人民币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结本次执行程</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1650000</w:t>
            </w:r>
            <w:r>
              <w:rPr>
                <w:color w:val="000000"/>
                <w:spacing w:val="0"/>
                <w:w w:val="100"/>
                <w:position w:val="0"/>
              </w:rPr>
              <w:t>元为基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序的情形。被执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p>
        </w:tc>
      </w:tr>
      <w:tr>
        <w:trPr>
          <w:trHeight w:val="125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深圳市锐金国际 控股有限公司与 文化长城股权转 让纠纷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日期间按同 期中国人民银行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行人提出分期</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履行债务的申 请，鉴于被执行 人为上市公司，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披露了《关于 公司诉讼事 项的进展公</w:t>
            </w: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公布的一年期贷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刚形成新的管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款基准利率上浮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理团队，正处于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2021-126</w:t>
            </w:r>
            <w:r>
              <w:rPr>
                <w:color w:val="000000"/>
                <w:spacing w:val="0"/>
                <w:w w:val="100"/>
                <w:position w:val="0"/>
              </w:rPr>
              <w:t>）</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的标准计算，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经营发展的关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键时期，且疫情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日起至实际清偿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对生产企业经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完毕之日按同期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营有较大影响，</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全国银行间同业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为纾缓被执行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拆借中心公布的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人当前经营发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贷款市场报价利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展存在的困难，</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率</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上浮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支持被执行人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的标准计算。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合法生产经营，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被申请人向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维持健康稳定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申请人补偿本案</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的发展，被执行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人提出的上述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分期履行两案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申请人承担被申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债务的申请可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请人产生的保全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以采纳，本案参</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费人民币</w:t>
            </w: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照执行和解长</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元，保全担保费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期履行的有关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规定，由被执行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本案仲裁费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人分期履行生</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用人民币</w:t>
            </w:r>
            <w:r>
              <w:rPr>
                <w:rFonts w:ascii="Times New Roman" w:eastAsia="Times New Roman" w:hAnsi="Times New Roman" w:cs="Times New Roman"/>
                <w:color w:val="000000"/>
                <w:spacing w:val="0"/>
                <w:w w:val="100"/>
                <w:position w:val="0"/>
                <w:sz w:val="18"/>
                <w:szCs w:val="18"/>
              </w:rPr>
              <w:t>47,636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效法律文书确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元由被申请人承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定的义务，本案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担。申请人已预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作终结执行结</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交人民币</w:t>
            </w:r>
            <w:r>
              <w:rPr>
                <w:rFonts w:ascii="Times New Roman" w:eastAsia="Times New Roman" w:hAnsi="Times New Roman" w:cs="Times New Roman"/>
                <w:color w:val="000000"/>
                <w:spacing w:val="0"/>
                <w:w w:val="100"/>
                <w:position w:val="0"/>
                <w:sz w:val="18"/>
                <w:szCs w:val="18"/>
              </w:rPr>
              <w:t>47,636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案，被执行人不</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元，抵作本案仲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履行分期履行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裁费不予退还。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计划的，本案恢</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被申请人直接向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复执行原生效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申请人支付人民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法律文书。依照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币</w:t>
            </w:r>
            <w:r>
              <w:rPr>
                <w:rFonts w:ascii="Times New Roman" w:eastAsia="Times New Roman" w:hAnsi="Times New Roman" w:cs="Times New Roman"/>
                <w:color w:val="000000"/>
                <w:spacing w:val="0"/>
                <w:w w:val="100"/>
                <w:position w:val="0"/>
                <w:sz w:val="18"/>
                <w:szCs w:val="18"/>
              </w:rPr>
              <w:t>47.636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驳回申请人的其</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和国民事诉讼</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2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他仲裁请求。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法》第二百五十 七条第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参照《最高人民 法院关于执行 和解若干问题 的规定》第九条 的规定，裁定如 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终结本院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执 恢</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号案的执 行。被执行人不 履行分期履行 计划的，本案恢 复执行原生效 法律文书。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广东麦贝科技有 限公司与文化长 城、广东联汛教 育科技有限公司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判决驳回上诉， 维持原判。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2022-001 </w:t>
            </w:r>
            <w:r>
              <w:rPr>
                <w:rFonts w:ascii="Times New Roman" w:eastAsia="Times New Roman" w:hAnsi="Times New Roman" w:cs="Times New Roman"/>
                <w:color w:val="000000"/>
                <w:spacing w:val="0"/>
                <w:w w:val="100"/>
                <w:position w:val="0"/>
                <w:sz w:val="18"/>
                <w:szCs w:val="18"/>
              </w:rPr>
              <w:t>）</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浙商银行股份有 限公司深圳分行 与文化长城，蔡廷 祥，吴淡珠金融借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7,066.86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根据广东省深圳 市中级人民法院 《民事判决书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7919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披露《关于公 司诉讼进展 的公告》</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款合同纠纷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判决如下：驳回 上诉，维持原判。 本判决为终审判 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2021-119）</w:t>
            </w:r>
          </w:p>
        </w:tc>
      </w:tr>
      <w:tr>
        <w:trPr>
          <w:trHeight w:val="6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北京完美空间教 育科技有限公司 与文化长城企业 借贷纠纷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抗诉中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公司收到深圳市 福田区人民检察 院《民事监督案 件受理通知书》 深福检控民受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Z1</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你司因企业借 贷纠纷不服深圳 市福田区人民法 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10157</w:t>
            </w:r>
            <w:r>
              <w:rPr>
                <w:color w:val="000000"/>
                <w:spacing w:val="0"/>
                <w:w w:val="100"/>
                <w:position w:val="0"/>
              </w:rPr>
              <w:t>号民事判 决书，向我院申 请监督，我院经 审查认为符合受 理条件，根据《中 华人民共和国民 事诉讼法》第二 百零九条之规 定，决定予以受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2022-006 </w:t>
            </w:r>
            <w:r>
              <w:rPr>
                <w:rFonts w:ascii="Times New Roman" w:eastAsia="Times New Roman" w:hAnsi="Times New Roman" w:cs="Times New Roman"/>
                <w:color w:val="000000"/>
                <w:spacing w:val="0"/>
                <w:w w:val="100"/>
                <w:position w:val="0"/>
                <w:sz w:val="18"/>
                <w:szCs w:val="18"/>
              </w:rPr>
              <w:t>)</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陕西恒言数聚信 息科技有限公司 与文化长城借款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公司不服上述判 决，提起上诉； 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、撤销一 审判决，改判驳 回被上诉人全部 诉讼请求；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案一审及二审诉 讼费、保全费由 被上诉人承担。 现公司收到广东 省深圳市中级人 民法院传票，本 案于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披露法院《关 于公司诉讼 事项的进展 公告》</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2021-143 </w:t>
            </w:r>
            <w:r>
              <w:rPr>
                <w:rFonts w:ascii="Times New Roman" w:eastAsia="Times New Roman" w:hAnsi="Times New Roman" w:cs="Times New Roman"/>
                <w:color w:val="000000"/>
                <w:spacing w:val="0"/>
                <w:w w:val="100"/>
                <w:position w:val="0"/>
                <w:sz w:val="18"/>
                <w:szCs w:val="18"/>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宁波梅山保税港 区御泓投资合伙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文化长城股权转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14,681.12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广东文化长城集 团股份有限公司 不服广东省深圳 市中级人民法院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案外人吴祖才 提出执行异议： 根据广东省深 圳市中级人民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披露《关于公 司诉讼事项</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125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作出的(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号民事判决，向 广东省高级人民 法院提起上诉。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法院通知书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执 异</w:t>
            </w:r>
            <w:r>
              <w:rPr>
                <w:rFonts w:ascii="Times New Roman" w:eastAsia="Times New Roman" w:hAnsi="Times New Roman" w:cs="Times New Roman"/>
                <w:color w:val="000000"/>
                <w:spacing w:val="0"/>
                <w:w w:val="100"/>
                <w:position w:val="0"/>
                <w:sz w:val="18"/>
                <w:szCs w:val="18"/>
              </w:rPr>
              <w:t>1744</w:t>
            </w:r>
            <w:r>
              <w:rPr>
                <w:color w:val="000000"/>
                <w:spacing w:val="0"/>
                <w:w w:val="100"/>
                <w:position w:val="0"/>
              </w:rPr>
              <w:t>号，本 院在执行申请 人宁波梅山保 税港区御泓投 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与被申 请人广东文化 长城集团股份 有限公司、蔡廷 祥合同纠纷过 程中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执行案号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执保</w:t>
            </w:r>
            <w:r>
              <w:rPr>
                <w:rFonts w:ascii="Times New Roman" w:eastAsia="Times New Roman" w:hAnsi="Times New Roman" w:cs="Times New Roman"/>
                <w:color w:val="000000"/>
                <w:spacing w:val="0"/>
                <w:w w:val="100"/>
                <w:position w:val="0"/>
                <w:sz w:val="18"/>
                <w:szCs w:val="18"/>
              </w:rPr>
              <w:t>818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吴祖才向本院 提出书面异议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本院已依法立 案受理，案号为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执 异</w:t>
            </w:r>
            <w:r>
              <w:rPr>
                <w:rFonts w:ascii="Times New Roman" w:eastAsia="Times New Roman" w:hAnsi="Times New Roman" w:cs="Times New Roman"/>
                <w:color w:val="000000"/>
                <w:spacing w:val="0"/>
                <w:w w:val="100"/>
                <w:position w:val="0"/>
                <w:sz w:val="18"/>
                <w:szCs w:val="18"/>
              </w:rPr>
              <w:t>1744</w:t>
            </w:r>
            <w:r>
              <w:rPr>
                <w:color w:val="000000"/>
                <w:spacing w:val="0"/>
                <w:w w:val="100"/>
                <w:position w:val="0"/>
              </w:rPr>
              <w:t>号。</w:t>
            </w:r>
          </w:p>
          <w:p>
            <w:pPr>
              <w:pStyle w:val="Style2"/>
              <w:keepNext w:val="0"/>
              <w:keepLines w:val="0"/>
              <w:widowControl w:val="0"/>
              <w:shd w:val="clear" w:color="auto" w:fill="auto"/>
              <w:tabs>
                <w:tab w:pos="931" w:val="left"/>
              </w:tabs>
              <w:bidi w:val="0"/>
              <w:spacing w:before="0" w:after="0" w:line="312" w:lineRule="exact"/>
              <w:ind w:left="0" w:right="0" w:firstLine="0"/>
              <w:jc w:val="left"/>
            </w:pPr>
            <w:r>
              <w:rPr>
                <w:color w:val="000000"/>
                <w:spacing w:val="0"/>
                <w:w w:val="100"/>
                <w:position w:val="0"/>
              </w:rPr>
              <w:t xml:space="preserve">异议申请：中止 并解除依据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tab/>
            </w:r>
            <w:r>
              <w:rPr>
                <w:color w:val="000000"/>
                <w:spacing w:val="0"/>
                <w:w w:val="100"/>
                <w:position w:val="0"/>
              </w:rPr>
              <w:t>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号之一裁 定书，对被申请 人二广东文化 长城集团股份 有限公司原所 有的粤房地产 证潮房字第 </w:t>
            </w:r>
            <w:r>
              <w:rPr>
                <w:rFonts w:ascii="Times New Roman" w:eastAsia="Times New Roman" w:hAnsi="Times New Roman" w:cs="Times New Roman"/>
                <w:color w:val="000000"/>
                <w:spacing w:val="0"/>
                <w:w w:val="100"/>
                <w:position w:val="0"/>
                <w:sz w:val="18"/>
                <w:szCs w:val="18"/>
              </w:rPr>
              <w:t xml:space="preserve">2016038200 </w:t>
            </w:r>
            <w:r>
              <w:rPr>
                <w:color w:val="000000"/>
                <w:spacing w:val="0"/>
                <w:w w:val="100"/>
                <w:position w:val="0"/>
              </w:rPr>
              <w:t>号 房产，及该房产 所涉及的土地 潮府国用</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02972</w:t>
            </w:r>
            <w:r>
              <w:rPr>
                <w:color w:val="000000"/>
                <w:spacing w:val="0"/>
                <w:w w:val="100"/>
                <w:position w:val="0"/>
              </w:rPr>
              <w:t>号、 潮府国用</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02975</w:t>
            </w:r>
            <w:r>
              <w:rPr>
                <w:color w:val="000000"/>
                <w:spacing w:val="0"/>
                <w:w w:val="100"/>
                <w:position w:val="0"/>
              </w:rPr>
              <w:t>号土 地的保全执行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的更正及诉 讼事项的进 展公告》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2022-047</w:t>
            </w:r>
            <w:r>
              <w:rPr>
                <w:color w:val="000000"/>
                <w:spacing w:val="0"/>
                <w:w w:val="100"/>
                <w:position w:val="0"/>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许高镭与文化长 城要求增加其对 股东大会的议案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广东省潮州市中 级人民法院《民 事判决书》</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)粤民终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 露《关于诉讼 事项的进展</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号，判决：驳 回上诉，维持原 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许高镭、广州商融 投资咨询有限公 司诉文化长城要 求对其持有公司 的股份进行解锁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广东省潮州市枫 溪区人民法院</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《民事裁定书》</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5191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号裁 定：准许原告许 高镭、广州商融 投资咨询有限公 司撤诉。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12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2021-056</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p>
        </w:tc>
      </w:tr>
      <w:tr>
        <w:trPr>
          <w:trHeight w:val="10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黄钲淇与联汛教 育合作合同纠纷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已仲裁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根据广州仲裁委 员会《裁决书》</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 字</w:t>
            </w:r>
            <w:r>
              <w:rPr>
                <w:rFonts w:ascii="Times New Roman" w:eastAsia="Times New Roman" w:hAnsi="Times New Roman" w:cs="Times New Roman"/>
                <w:color w:val="000000"/>
                <w:spacing w:val="0"/>
                <w:w w:val="100"/>
                <w:position w:val="0"/>
                <w:sz w:val="18"/>
                <w:szCs w:val="18"/>
              </w:rPr>
              <w:t>8994</w:t>
            </w:r>
            <w:r>
              <w:rPr>
                <w:color w:val="000000"/>
                <w:spacing w:val="0"/>
                <w:w w:val="100"/>
                <w:position w:val="0"/>
              </w:rPr>
              <w:t>号，根 据《中华人民共 和国民法总则》 第一百六十五 条、《中华人民共 和国合同法》第 四十四条、第一 百一十四条、《中 华人民共和国仲 裁法》第六条的 规定，仲裁庭裁 决如下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被申 请人向申请人支 付业务咨询费 </w:t>
            </w:r>
            <w:r>
              <w:rPr>
                <w:rFonts w:ascii="Times New Roman" w:eastAsia="Times New Roman" w:hAnsi="Times New Roman" w:cs="Times New Roman"/>
                <w:color w:val="000000"/>
                <w:spacing w:val="0"/>
                <w:w w:val="100"/>
                <w:position w:val="0"/>
                <w:sz w:val="18"/>
                <w:szCs w:val="18"/>
              </w:rPr>
              <w:t xml:space="preserve">1105715.05 </w:t>
            </w:r>
            <w:r>
              <w:rPr>
                <w:color w:val="000000"/>
                <w:spacing w:val="0"/>
                <w:w w:val="100"/>
                <w:position w:val="0"/>
              </w:rPr>
              <w:t>元及 违约金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违约金以 </w:t>
            </w:r>
            <w:r>
              <w:rPr>
                <w:rFonts w:ascii="Times New Roman" w:eastAsia="Times New Roman" w:hAnsi="Times New Roman" w:cs="Times New Roman"/>
                <w:color w:val="000000"/>
                <w:spacing w:val="0"/>
                <w:w w:val="100"/>
                <w:position w:val="0"/>
                <w:sz w:val="18"/>
                <w:szCs w:val="18"/>
              </w:rPr>
              <w:t xml:space="preserve">1105715.05 </w:t>
            </w:r>
            <w:r>
              <w:rPr>
                <w:color w:val="000000"/>
                <w:spacing w:val="0"/>
                <w:w w:val="100"/>
                <w:position w:val="0"/>
              </w:rPr>
              <w:t>元为 本金，按照全国 银行间同业拆借 中心公布的同期 贷款市场报价利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日起至实际清偿 之日止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被 申请人向申请人 支付律师费 </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 申请人向申请人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2022-016）</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50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支付财产保全费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元、财产保 全担保费为 </w:t>
            </w:r>
            <w:r>
              <w:rPr>
                <w:rFonts w:ascii="Times New Roman" w:eastAsia="Times New Roman" w:hAnsi="Times New Roman" w:cs="Times New Roman"/>
                <w:color w:val="000000"/>
                <w:spacing w:val="0"/>
                <w:w w:val="100"/>
                <w:position w:val="0"/>
                <w:sz w:val="18"/>
                <w:szCs w:val="18"/>
              </w:rPr>
              <w:t>4282</w:t>
            </w:r>
            <w:r>
              <w:rPr>
                <w:color w:val="000000"/>
                <w:spacing w:val="0"/>
                <w:w w:val="100"/>
                <w:position w:val="0"/>
              </w:rPr>
              <w:t>元；</w:t>
            </w:r>
            <w:r>
              <w:rPr>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 申请人的其他仲 裁请求不予支 持；</w:t>
            </w:r>
            <w:r>
              <w:rPr>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本案仲裁 费</w:t>
            </w:r>
            <w:r>
              <w:rPr>
                <w:rFonts w:ascii="Times New Roman" w:eastAsia="Times New Roman" w:hAnsi="Times New Roman" w:cs="Times New Roman"/>
                <w:color w:val="000000"/>
                <w:spacing w:val="0"/>
                <w:w w:val="100"/>
                <w:position w:val="0"/>
                <w:sz w:val="18"/>
                <w:szCs w:val="18"/>
              </w:rPr>
              <w:t>35029</w:t>
            </w:r>
            <w:r>
              <w:rPr>
                <w:color w:val="000000"/>
                <w:spacing w:val="0"/>
                <w:w w:val="100"/>
                <w:position w:val="0"/>
              </w:rPr>
              <w:t xml:space="preserve">元，由 申请人承担 </w:t>
            </w:r>
            <w:r>
              <w:rPr>
                <w:rFonts w:ascii="Times New Roman" w:eastAsia="Times New Roman" w:hAnsi="Times New Roman" w:cs="Times New Roman"/>
                <w:color w:val="000000"/>
                <w:spacing w:val="0"/>
                <w:w w:val="100"/>
                <w:position w:val="0"/>
                <w:sz w:val="18"/>
                <w:szCs w:val="18"/>
              </w:rPr>
              <w:t>17514.5</w:t>
            </w:r>
            <w:r>
              <w:rPr>
                <w:color w:val="000000"/>
                <w:spacing w:val="0"/>
                <w:w w:val="100"/>
                <w:position w:val="0"/>
              </w:rPr>
              <w:t xml:space="preserve">元，被申 请人承担 </w:t>
            </w:r>
            <w:r>
              <w:rPr>
                <w:rFonts w:ascii="Times New Roman" w:eastAsia="Times New Roman" w:hAnsi="Times New Roman" w:cs="Times New Roman"/>
                <w:color w:val="000000"/>
                <w:spacing w:val="0"/>
                <w:w w:val="100"/>
                <w:position w:val="0"/>
                <w:sz w:val="18"/>
                <w:szCs w:val="18"/>
              </w:rPr>
              <w:t>17514.5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该费 用已由申请人预 缴</w:t>
            </w:r>
            <w:r>
              <w:rPr>
                <w:color w:val="000000"/>
                <w:spacing w:val="0"/>
                <w:w w:val="100"/>
                <w:position w:val="0"/>
                <w:sz w:val="18"/>
                <w:szCs w:val="18"/>
              </w:rPr>
              <w:t>，</w:t>
            </w:r>
            <w:r>
              <w:rPr>
                <w:color w:val="000000"/>
                <w:spacing w:val="0"/>
                <w:w w:val="100"/>
                <w:position w:val="0"/>
              </w:rPr>
              <w:t>本会不作退 回，由被申请人 迳付申请人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茂名市鼎仁科技 信息有限公司与 联汛教育合作纠 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已仲裁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根据广州仲裁委 员会《裁决书》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 字第</w:t>
            </w:r>
            <w:r>
              <w:rPr>
                <w:rFonts w:ascii="Times New Roman" w:eastAsia="Times New Roman" w:hAnsi="Times New Roman" w:cs="Times New Roman"/>
                <w:color w:val="000000"/>
                <w:spacing w:val="0"/>
                <w:w w:val="100"/>
                <w:position w:val="0"/>
                <w:sz w:val="18"/>
                <w:szCs w:val="18"/>
              </w:rPr>
              <w:t>8995</w:t>
            </w:r>
            <w:r>
              <w:rPr>
                <w:color w:val="000000"/>
                <w:spacing w:val="0"/>
                <w:w w:val="100"/>
                <w:position w:val="0"/>
              </w:rPr>
              <w:t>号， 根据《中华人民 共和国民法总 则》第一百六十 五条、《中华人民 共和国合同法》 第四十四条、第 一百一十四条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 国仲裁法》第六 条的规定，仲裁 庭裁决如下：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（一）被申请人 向申请人支付项 目管理费</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339961</w:t>
            </w:r>
            <w:r>
              <w:rPr>
                <w:color w:val="000000"/>
                <w:spacing w:val="0"/>
                <w:w w:val="100"/>
                <w:position w:val="0"/>
              </w:rPr>
              <w:t>元及违 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违约金以 </w:t>
            </w:r>
            <w:r>
              <w:rPr>
                <w:rFonts w:ascii="Times New Roman" w:eastAsia="Times New Roman" w:hAnsi="Times New Roman" w:cs="Times New Roman"/>
                <w:color w:val="000000"/>
                <w:spacing w:val="0"/>
                <w:w w:val="100"/>
                <w:position w:val="0"/>
                <w:sz w:val="18"/>
                <w:szCs w:val="18"/>
              </w:rPr>
              <w:t>339961</w:t>
            </w:r>
            <w:r>
              <w:rPr>
                <w:color w:val="000000"/>
                <w:spacing w:val="0"/>
                <w:w w:val="100"/>
                <w:position w:val="0"/>
              </w:rPr>
              <w:t>元为本 金，按照全国银 行间同业拆借中 心公布的同期贷 款市场报价利率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（一年期），从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日起至实际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2022-016）</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66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支付之日止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538" w:val="left"/>
              </w:tabs>
              <w:bidi w:val="0"/>
              <w:spacing w:before="0" w:after="0" w:line="311" w:lineRule="exact"/>
              <w:ind w:left="0" w:right="0" w:firstLine="0"/>
              <w:jc w:val="both"/>
            </w:pPr>
            <w:r>
              <w:rPr>
                <w:color w:val="000000"/>
                <w:spacing w:val="0"/>
                <w:w w:val="100"/>
                <w:position w:val="0"/>
              </w:rPr>
              <w:t>（二）</w:t>
              <w:tab/>
              <w:t>被申请人 向申请人支付律 师费</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元；</w:t>
            </w:r>
          </w:p>
          <w:p>
            <w:pPr>
              <w:pStyle w:val="Style2"/>
              <w:keepNext w:val="0"/>
              <w:keepLines w:val="0"/>
              <w:widowControl w:val="0"/>
              <w:shd w:val="clear" w:color="auto" w:fill="auto"/>
              <w:tabs>
                <w:tab w:pos="538" w:val="left"/>
              </w:tabs>
              <w:bidi w:val="0"/>
              <w:spacing w:before="0" w:after="0" w:line="311" w:lineRule="exact"/>
              <w:ind w:left="0" w:right="0" w:firstLine="0"/>
              <w:jc w:val="both"/>
            </w:pPr>
            <w:r>
              <w:rPr>
                <w:color w:val="000000"/>
                <w:spacing w:val="0"/>
                <w:w w:val="100"/>
                <w:position w:val="0"/>
              </w:rPr>
              <w:t>（三）</w:t>
              <w:tab/>
              <w:t>被申请人 向申请人支付财 产保全费</w:t>
            </w:r>
            <w:r>
              <w:rPr>
                <w:rFonts w:ascii="Times New Roman" w:eastAsia="Times New Roman" w:hAnsi="Times New Roman" w:cs="Times New Roman"/>
                <w:color w:val="000000"/>
                <w:spacing w:val="0"/>
                <w:w w:val="100"/>
                <w:position w:val="0"/>
                <w:sz w:val="18"/>
                <w:szCs w:val="18"/>
              </w:rPr>
              <w:t xml:space="preserve">4301 </w:t>
            </w:r>
            <w:r>
              <w:rPr>
                <w:color w:val="000000"/>
                <w:spacing w:val="0"/>
                <w:w w:val="100"/>
                <w:position w:val="0"/>
              </w:rPr>
              <w:t>元、财产保全担 保费</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w:t>
            </w:r>
          </w:p>
          <w:p>
            <w:pPr>
              <w:pStyle w:val="Style2"/>
              <w:keepNext w:val="0"/>
              <w:keepLines w:val="0"/>
              <w:widowControl w:val="0"/>
              <w:shd w:val="clear" w:color="auto" w:fill="auto"/>
              <w:tabs>
                <w:tab w:pos="542" w:val="left"/>
              </w:tabs>
              <w:bidi w:val="0"/>
              <w:spacing w:before="0" w:after="0" w:line="311" w:lineRule="exact"/>
              <w:ind w:left="0" w:right="0" w:firstLine="0"/>
              <w:jc w:val="both"/>
            </w:pPr>
            <w:r>
              <w:rPr>
                <w:color w:val="000000"/>
                <w:spacing w:val="0"/>
                <w:w w:val="100"/>
                <w:position w:val="0"/>
              </w:rPr>
              <w:t>（四）</w:t>
              <w:tab/>
              <w:t xml:space="preserve">对申请人 的其他仲裁请求 不予支持；（五） 本案仲裁费 </w:t>
            </w:r>
            <w:r>
              <w:rPr>
                <w:rFonts w:ascii="Times New Roman" w:eastAsia="Times New Roman" w:hAnsi="Times New Roman" w:cs="Times New Roman"/>
                <w:color w:val="000000"/>
                <w:spacing w:val="0"/>
                <w:w w:val="100"/>
                <w:position w:val="0"/>
                <w:sz w:val="18"/>
                <w:szCs w:val="18"/>
              </w:rPr>
              <w:t>22896</w:t>
            </w:r>
            <w:r>
              <w:rPr>
                <w:color w:val="000000"/>
                <w:spacing w:val="0"/>
                <w:w w:val="100"/>
                <w:position w:val="0"/>
              </w:rPr>
              <w:t>元，由申 请人承担</w:t>
            </w:r>
            <w:r>
              <w:rPr>
                <w:rFonts w:ascii="Times New Roman" w:eastAsia="Times New Roman" w:hAnsi="Times New Roman" w:cs="Times New Roman"/>
                <w:color w:val="000000"/>
                <w:spacing w:val="0"/>
                <w:w w:val="100"/>
                <w:position w:val="0"/>
                <w:sz w:val="18"/>
                <w:szCs w:val="18"/>
              </w:rPr>
              <w:t xml:space="preserve">11448 </w:t>
            </w:r>
            <w:r>
              <w:rPr>
                <w:color w:val="000000"/>
                <w:spacing w:val="0"/>
                <w:w w:val="100"/>
                <w:position w:val="0"/>
              </w:rPr>
              <w:t>元，被申请人承 担</w:t>
            </w:r>
            <w:r>
              <w:rPr>
                <w:rFonts w:ascii="Times New Roman" w:eastAsia="Times New Roman" w:hAnsi="Times New Roman" w:cs="Times New Roman"/>
                <w:color w:val="000000"/>
                <w:spacing w:val="0"/>
                <w:w w:val="100"/>
                <w:position w:val="0"/>
                <w:sz w:val="18"/>
                <w:szCs w:val="18"/>
              </w:rPr>
              <w:t>11448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该费 用已由申请人预 缴，本会不作退 回，由被申请人 迳付申请人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深圳市锐金国际 控股有限公司与 文化长城股权转 让纠纷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深圳国际仲裁员 出具《裁决书》</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）深国仲 裁</w:t>
            </w:r>
            <w:r>
              <w:rPr>
                <w:rFonts w:ascii="Times New Roman" w:eastAsia="Times New Roman" w:hAnsi="Times New Roman" w:cs="Times New Roman"/>
                <w:color w:val="000000"/>
                <w:spacing w:val="0"/>
                <w:w w:val="100"/>
                <w:position w:val="0"/>
                <w:sz w:val="18"/>
                <w:szCs w:val="18"/>
              </w:rPr>
              <w:t>2987</w:t>
            </w:r>
            <w:r>
              <w:rPr>
                <w:color w:val="000000"/>
                <w:spacing w:val="0"/>
                <w:w w:val="100"/>
                <w:position w:val="0"/>
              </w:rPr>
              <w:t xml:space="preserve">号，裁 决（一）被申请 人向申请人支付 股权转让款人民 币 </w:t>
            </w:r>
            <w:r>
              <w:rPr>
                <w:rFonts w:ascii="Times New Roman" w:eastAsia="Times New Roman" w:hAnsi="Times New Roman" w:cs="Times New Roman"/>
                <w:color w:val="000000"/>
                <w:spacing w:val="0"/>
                <w:w w:val="100"/>
                <w:position w:val="0"/>
                <w:sz w:val="18"/>
                <w:szCs w:val="18"/>
              </w:rPr>
              <w:t xml:space="preserve">3117800 </w:t>
            </w:r>
            <w:r>
              <w:rPr>
                <w:color w:val="000000"/>
                <w:spacing w:val="0"/>
                <w:w w:val="100"/>
                <w:position w:val="0"/>
              </w:rPr>
              <w:t>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（二）被申请人 以未付股权转让 款人民币 </w:t>
            </w:r>
            <w:r>
              <w:rPr>
                <w:rFonts w:ascii="Times New Roman" w:eastAsia="Times New Roman" w:hAnsi="Times New Roman" w:cs="Times New Roman"/>
                <w:color w:val="000000"/>
                <w:spacing w:val="0"/>
                <w:w w:val="100"/>
                <w:position w:val="0"/>
                <w:sz w:val="18"/>
                <w:szCs w:val="18"/>
              </w:rPr>
              <w:t xml:space="preserve">3117800 </w:t>
            </w:r>
            <w:r>
              <w:rPr>
                <w:color w:val="000000"/>
                <w:spacing w:val="0"/>
                <w:w w:val="100"/>
                <w:position w:val="0"/>
              </w:rPr>
              <w:t xml:space="preserve">元为 基数按同期全国 银行间同业拆借 中心公布的贷款 市场报价利率 </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 xml:space="preserve">上浮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的计算标准计付 从违约之日起计 至履约之日止的 违约金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日起暂 计至实际清偿完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广东省潮州市 中级人民法院 《执行裁定书》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236</w:t>
            </w:r>
            <w:r>
              <w:rPr>
                <w:color w:val="000000"/>
                <w:spacing w:val="0"/>
                <w:w w:val="100"/>
                <w:position w:val="0"/>
              </w:rPr>
              <w:t>号之 一，裁定如下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终结本院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236 </w:t>
            </w:r>
            <w:r>
              <w:rPr>
                <w:color w:val="000000"/>
                <w:spacing w:val="0"/>
                <w:w w:val="100"/>
                <w:position w:val="0"/>
              </w:rPr>
              <w:t>号案的执行。 被执行人不履 行分期履行计 划的，本案恢复 执行原生效法 律文书。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2021-126）</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3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毕之日止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被申请人向申请 人补偿本案律师 费人民币</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rPr>
              <w:t>元；（四）被申请 人向申请人支 付本案发生的保 全费人民币</w:t>
            </w:r>
          </w:p>
          <w:p>
            <w:pPr>
              <w:pStyle w:val="Style2"/>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元，保全担 保费人民币</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6.542.20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交通银行股份有 限公司潮州分行 与联汛教育、文化 长城、潮州市长城 世家瓷业有限公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蔡廷祥，吴淡珠 金融借款合同纠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2022-035）</w:t>
            </w:r>
          </w:p>
        </w:tc>
      </w:tr>
      <w:tr>
        <w:trPr>
          <w:trHeight w:val="78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深圳市东方置地 集团有限公司与 广东文化长城集 团股份有限公司、 广州隽隆贸易有 限公司确认合同 效力纠纷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一审以判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广东自由贸易区 南沙片区人民法 院民事判决书</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0191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12537</w:t>
            </w:r>
            <w:r>
              <w:rPr>
                <w:color w:val="000000"/>
                <w:spacing w:val="0"/>
                <w:w w:val="100"/>
                <w:position w:val="0"/>
              </w:rPr>
              <w:t>号， 判决：一、文化 长城于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日披露 的编号为 </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的《广 东文化长城集团 股份有限公司关 于子公司股权转 让进展的公告》 中所称的落款时 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《债务转让协议 书》不成立；二 判令文化长城、 隽隆贸易于判决 发生法律效力之 日起十日内，在 南方都市报、广 州日报或人民日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 露《关于诉讼 事项的进展 公告》</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9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报等媒体上择其 一刊载澄清公 告和致歉声明， 刊登内容须经本 院审核；三判令 文化长城于于判 决发生法律效力 之日起十日内， 在中国证券网、 巨潮资讯网、深 圳交易所官方网 站等平台上，择 其一刊登公告 说明情况并赔礼 道歉，刊登内容 须经本院审核； 四判令文化长城 于判决发生法律 效力之日起十日 内向东方置地赔 偿经济损失、商 业信誉损失</w:t>
            </w:r>
            <w:r>
              <w:rPr>
                <w:rFonts w:ascii="Times New Roman" w:eastAsia="Times New Roman" w:hAnsi="Times New Roman" w:cs="Times New Roman"/>
                <w:color w:val="000000"/>
                <w:spacing w:val="0"/>
                <w:w w:val="100"/>
                <w:position w:val="0"/>
                <w:sz w:val="18"/>
                <w:szCs w:val="18"/>
              </w:rPr>
              <w:t xml:space="preserve">160 </w:t>
            </w:r>
            <w:r>
              <w:rPr>
                <w:color w:val="000000"/>
                <w:spacing w:val="0"/>
                <w:w w:val="100"/>
                <w:position w:val="0"/>
              </w:rPr>
              <w:t xml:space="preserve">万元；五判令文 化长城、隽隆贸 易于判决发生法 律效力之日起十 日内向东方置地 赔偿经济损失、 商业信誉损失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中国银行潮州分 行与广东文化长 城集团股份有限 公司、蔡廷祥、吴 淡珠、联汛教育、 深圳长城世家金 融借款纠纷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2022-035）</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广州立根小额再 贷款股份有限公 司与广州长城世 家投资有限公司、 广东文化长城集 团股份有限公司、 蔡廷祥金融借款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一审以判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广东省深圳前海 合作区人民法院 《民事判决书》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0391</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7019</w:t>
            </w:r>
            <w:r>
              <w:rPr>
                <w:color w:val="000000"/>
                <w:spacing w:val="0"/>
                <w:w w:val="100"/>
                <w:position w:val="0"/>
              </w:rPr>
              <w:t>号，判 决结果如下： 一、被告广州长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广州市海珠区 人民法院出具 的执行通知书</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0105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30678</w:t>
            </w:r>
            <w:r>
              <w:rPr>
                <w:color w:val="000000"/>
                <w:spacing w:val="0"/>
                <w:w w:val="100"/>
                <w:position w:val="0"/>
              </w:rPr>
              <w:t>号通 知：公司立即履 行生效法律文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披露法院《关 于公司诉讼 事项的进展 公告》</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7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纠纷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城世家投资有限 公司应于本判决 发生法律效力之 日起十日内向原 告广州立根小额 再贷款股份有限 公司偿还借款本 金 </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 及利息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利息以本 金 </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 为基数，自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 起，按照年利率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的标准，扣 除已支付利息 </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万元计付至 实际清偿之日 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；二、被告广 州长城世家投 资有限公司应于 本判决发生法律 效力之日起十日 内向原告广州 立根小额再贷 款股份有限公 司支付律师费 </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元及保全 担保费</w:t>
            </w:r>
            <w:r>
              <w:rPr>
                <w:rFonts w:ascii="Times New Roman" w:eastAsia="Times New Roman" w:hAnsi="Times New Roman" w:cs="Times New Roman"/>
                <w:color w:val="000000"/>
                <w:spacing w:val="0"/>
                <w:w w:val="100"/>
                <w:position w:val="0"/>
                <w:sz w:val="18"/>
                <w:szCs w:val="18"/>
              </w:rPr>
              <w:t xml:space="preserve">8542 </w:t>
            </w:r>
            <w:r>
              <w:rPr>
                <w:color w:val="000000"/>
                <w:spacing w:val="0"/>
                <w:w w:val="100"/>
                <w:position w:val="0"/>
              </w:rPr>
              <w:t>元；三、被告广 东文化长城集 团股份有限公 司、被告蔡廷祥 对被告广州长 城世家投资有限 公司的上述债 务承担连带清偿 责任；四、原告 广州立根小额 再贷款股份有 限公司有权以 被告广州长城世 家投资有限公司 名下位于广州市 海珠区新港东路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书所确定的义 务，并承担迟延 履行期间的债 务利息、本案执 行费及执行实 际支出。公司于 近期收到广东 省深圳市前海 合作区人民法 院《执行通知 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0391 </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618 </w:t>
            </w:r>
            <w:r>
              <w:rPr>
                <w:color w:val="000000"/>
                <w:spacing w:val="0"/>
                <w:w w:val="100"/>
                <w:position w:val="0"/>
              </w:rPr>
              <w:t xml:space="preserve">号，申请执行人 本院移送执行 </w:t>
            </w:r>
            <w:r>
              <w:rPr>
                <w:rFonts w:ascii="Times New Roman" w:eastAsia="Times New Roman" w:hAnsi="Times New Roman" w:cs="Times New Roman"/>
                <w:color w:val="000000"/>
                <w:spacing w:val="0"/>
                <w:w w:val="100"/>
                <w:position w:val="0"/>
                <w:sz w:val="18"/>
                <w:szCs w:val="18"/>
              </w:rPr>
              <w:t>124307</w:t>
            </w:r>
            <w:r>
              <w:rPr>
                <w:color w:val="000000"/>
                <w:spacing w:val="0"/>
                <w:w w:val="100"/>
                <w:position w:val="0"/>
              </w:rPr>
              <w:t xml:space="preserve">元与你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借款合同 纠纷一案，深圳 前海合作区人 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0391</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7019</w:t>
            </w:r>
            <w:r>
              <w:rPr>
                <w:color w:val="000000"/>
                <w:spacing w:val="0"/>
                <w:w w:val="100"/>
                <w:position w:val="0"/>
              </w:rPr>
              <w:t>号民事判 决书已经发生 法律效力。申请 执行人向本院 申请强制执行， 本院于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立案。根据《中 华人民共和国 民事诉讼法》第 二百四十七条、 第二百六十条、 《最高人民法 院关于适用</w:t>
            </w:r>
            <w:r>
              <w:rPr>
                <w:color w:val="000000"/>
                <w:spacing w:val="0"/>
                <w:w w:val="100"/>
                <w:position w:val="0"/>
                <w:sz w:val="18"/>
                <w:szCs w:val="18"/>
              </w:rPr>
              <w:t>〈</w:t>
            </w:r>
            <w:r>
              <w:rPr>
                <w:color w:val="000000"/>
                <w:spacing w:val="0"/>
                <w:w w:val="100"/>
                <w:position w:val="0"/>
              </w:rPr>
              <w:t>中 华人民共和国 民事诉讼法</w:t>
            </w:r>
            <w:r>
              <w:rPr>
                <w:color w:val="000000"/>
                <w:spacing w:val="0"/>
                <w:w w:val="100"/>
                <w:position w:val="0"/>
                <w:sz w:val="18"/>
                <w:szCs w:val="18"/>
              </w:rPr>
              <w:t>〉</w:t>
            </w:r>
            <w:r>
              <w:rPr>
                <w:color w:val="000000"/>
                <w:spacing w:val="0"/>
                <w:w w:val="100"/>
                <w:position w:val="0"/>
              </w:rPr>
              <w:t xml:space="preserve">的 解释》第四百八 十二条，责令你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立即履行 生效法律文书 确定的义务，并 承担迟延履行 期间的债务利 息、申请执行费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2022-063）</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50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245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901-906 </w:t>
            </w:r>
            <w:r>
              <w:rPr>
                <w:color w:val="000000"/>
                <w:spacing w:val="0"/>
                <w:w w:val="100"/>
                <w:position w:val="0"/>
              </w:rPr>
              <w:t>号的房产折价 或者以拍卖、变 卖该财产的价款 优先受偿；五、 驳回原告广州 立根小额再贷 款股份有限公司 的其他诉讼请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及其他相关费 用等。公司收到 广东省深圳前 海合作区人民 法院《执行裁定 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0391 </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618 </w:t>
            </w:r>
            <w:r>
              <w:rPr>
                <w:color w:val="000000"/>
                <w:spacing w:val="0"/>
                <w:w w:val="100"/>
                <w:position w:val="0"/>
              </w:rPr>
              <w:t>号之一，裁定如 下：一、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0391</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号案件执 行完毕，予以结 案；二、解除 对被执行人名 下财产的强制 执行措施。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许高镭与广东文 化长城集团股份 有限公司对公司 决议效力确认纠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驳回上诉，维持 原判决。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2021-015）</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兴业银行股份有 限公司与广东联 汛教育科技有限 公司、许高云、许 高镭、林俏云金融 借款合同纠纷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12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2020-090</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新余智趣资产管 理合伙企业（有限 合伙）与隽隆贸 易、东方置地、第 三人文化长城债 权人代位权纠纷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裁定驳回上诉， 维持原裁定。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2021-126）</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广发银行股份有 限公司潮州分行 与广东文化长城 股份有限公司、蔡 廷祥、吴淡珠金融 借款纠纷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驳回上诉，维持 原判。二审案件 受理费</w:t>
            </w:r>
            <w:r>
              <w:rPr>
                <w:rFonts w:ascii="Times New Roman" w:eastAsia="Times New Roman" w:hAnsi="Times New Roman" w:cs="Times New Roman"/>
                <w:color w:val="000000"/>
                <w:spacing w:val="0"/>
                <w:w w:val="100"/>
                <w:position w:val="0"/>
                <w:sz w:val="18"/>
                <w:szCs w:val="18"/>
              </w:rPr>
              <w:t>544</w:t>
            </w:r>
            <w:r>
              <w:rPr>
                <w:color w:val="000000"/>
                <w:spacing w:val="0"/>
                <w:w w:val="100"/>
                <w:position w:val="0"/>
              </w:rPr>
              <w:t>元， 由广东文化长城 集团股份有限公 司负担。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公司收到广东 省潮州市中级 人民法院《限制 消费令》（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364 </w:t>
            </w:r>
            <w:r>
              <w:rPr>
                <w:color w:val="000000"/>
                <w:spacing w:val="0"/>
                <w:w w:val="100"/>
                <w:position w:val="0"/>
              </w:rPr>
              <w:t>号之二，申请执 行人广发银行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 露了《关于公 司诉讼事项 的进展公告》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2022-059</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72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潮州分行与被 执行人广东文 化长城集团股 份有限公司、蔡 廷祥、吴淡珠借 款合同纠纷一 案，因你单位未 按执行通知书 履行生效法律 文书确定的给 付义务，依照 《中华人民共 和国民事诉讼 法》第二百五 十五条、《最高 人民法院关于 限制被执行人 高消费及有关 消费的若干规 定》第一条、 第三条规定，对 你单位采取限 制消费措施。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安卓易（北京）科 技有限公司与深 圳市东方置地集 团有限公司、第三 人文化长城代位 权纠纷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驳回原告安卓易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 公司的全部诉讼 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2021-127）</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新余智趣资产管 理合伙企业（有限 合伙）与深圳市东 方置地集团有限 公司、文化长城代 位权纠纷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 露《关于诉讼 事项的进展</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2021-010）</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许高镭与文化长 城、中兴财光华会 师事务所（特殊普 通合伙）网络侵权 责任纠纷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驳回上诉，维持 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披露《关于公 司诉讼进展 及新增诉讼 事项的公告》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2022-013）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2022</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7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限公司广州分行 与广东文化长城 集团股份有限公 司、深圳长城世家 商贸有限公司、广 东联汛教育科技 有限公司、蔡廷 祥、吴淡珠金融借 款合同纠纷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民法院（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4489 </w:t>
            </w:r>
            <w:r>
              <w:rPr>
                <w:color w:val="000000"/>
                <w:spacing w:val="0"/>
                <w:w w:val="100"/>
                <w:position w:val="0"/>
              </w:rPr>
              <w:t xml:space="preserve">号民事判决书判 决如下：一、被 告广东文化长城 集团股份有限公 司于本判决发生 法律效力之日起 十日内向原告平 安银行股份有限 公司广州分行清 偿贷款本金 </w:t>
            </w:r>
            <w:r>
              <w:rPr>
                <w:rFonts w:ascii="Times New Roman" w:eastAsia="Times New Roman" w:hAnsi="Times New Roman" w:cs="Times New Roman"/>
                <w:color w:val="000000"/>
                <w:spacing w:val="0"/>
                <w:w w:val="100"/>
                <w:position w:val="0"/>
                <w:sz w:val="18"/>
                <w:szCs w:val="18"/>
              </w:rPr>
              <w:t xml:space="preserve">22678172.18 </w:t>
            </w:r>
            <w:r>
              <w:rPr>
                <w:color w:val="000000"/>
                <w:spacing w:val="0"/>
                <w:w w:val="100"/>
                <w:position w:val="0"/>
              </w:rPr>
              <w:t xml:space="preserve">元 及利息、罚息、 复利（截止至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日，利息</w:t>
            </w:r>
            <w:r>
              <w:rPr>
                <w:rFonts w:ascii="Times New Roman" w:eastAsia="Times New Roman" w:hAnsi="Times New Roman" w:cs="Times New Roman"/>
                <w:color w:val="000000"/>
                <w:spacing w:val="0"/>
                <w:w w:val="100"/>
                <w:position w:val="0"/>
                <w:sz w:val="18"/>
                <w:szCs w:val="18"/>
              </w:rPr>
              <w:t xml:space="preserve">16333.34 </w:t>
            </w:r>
            <w:r>
              <w:rPr>
                <w:color w:val="000000"/>
                <w:spacing w:val="0"/>
                <w:w w:val="100"/>
                <w:position w:val="0"/>
              </w:rPr>
              <w:t xml:space="preserve">元、罚息 </w:t>
            </w:r>
            <w:r>
              <w:rPr>
                <w:rFonts w:ascii="Times New Roman" w:eastAsia="Times New Roman" w:hAnsi="Times New Roman" w:cs="Times New Roman"/>
                <w:color w:val="000000"/>
                <w:spacing w:val="0"/>
                <w:w w:val="100"/>
                <w:position w:val="0"/>
                <w:sz w:val="18"/>
                <w:szCs w:val="18"/>
              </w:rPr>
              <w:t xml:space="preserve">1418318.26 </w:t>
            </w:r>
            <w:r>
              <w:rPr>
                <w:color w:val="000000"/>
                <w:spacing w:val="0"/>
                <w:w w:val="100"/>
                <w:position w:val="0"/>
              </w:rPr>
              <w:t>元、 复利</w:t>
            </w:r>
            <w:r>
              <w:rPr>
                <w:rFonts w:ascii="Times New Roman" w:eastAsia="Times New Roman" w:hAnsi="Times New Roman" w:cs="Times New Roman"/>
                <w:color w:val="000000"/>
                <w:spacing w:val="0"/>
                <w:w w:val="100"/>
                <w:position w:val="0"/>
                <w:sz w:val="18"/>
                <w:szCs w:val="18"/>
              </w:rPr>
              <w:t>987.98</w:t>
            </w:r>
            <w:r>
              <w:rPr>
                <w:color w:val="000000"/>
                <w:spacing w:val="0"/>
                <w:w w:val="100"/>
                <w:position w:val="0"/>
              </w:rPr>
              <w:t>元；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日起的罚 息，以本金 </w:t>
            </w:r>
            <w:r>
              <w:rPr>
                <w:rFonts w:ascii="Times New Roman" w:eastAsia="Times New Roman" w:hAnsi="Times New Roman" w:cs="Times New Roman"/>
                <w:color w:val="000000"/>
                <w:spacing w:val="0"/>
                <w:w w:val="100"/>
                <w:position w:val="0"/>
                <w:sz w:val="18"/>
                <w:szCs w:val="18"/>
              </w:rPr>
              <w:t xml:space="preserve">22678172.18 </w:t>
            </w:r>
            <w:r>
              <w:rPr>
                <w:color w:val="000000"/>
                <w:spacing w:val="0"/>
                <w:w w:val="100"/>
                <w:position w:val="0"/>
              </w:rPr>
              <w:t>元 为基数，按全国 银行间同业拆借 中心公布的一年 期贷款市场报价 利率加</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基点 按月浮动，再上 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计算，复 利以</w:t>
            </w:r>
            <w:r>
              <w:rPr>
                <w:rFonts w:ascii="Times New Roman" w:eastAsia="Times New Roman" w:hAnsi="Times New Roman" w:cs="Times New Roman"/>
                <w:color w:val="000000"/>
                <w:spacing w:val="0"/>
                <w:w w:val="100"/>
                <w:position w:val="0"/>
                <w:sz w:val="18"/>
                <w:szCs w:val="18"/>
              </w:rPr>
              <w:t>16333.34</w:t>
            </w:r>
            <w:r>
              <w:rPr>
                <w:color w:val="000000"/>
                <w:spacing w:val="0"/>
                <w:w w:val="100"/>
                <w:position w:val="0"/>
              </w:rPr>
              <w:t>元 为基数，按全国 银行间同业拆借 中心公布的一年 期贷款市场报价 利率加</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基点 按月浮动，再上 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计算）； 二、被告广东文 化长城集团股份 有限公司于本判 决发生法律效力 之日起十日内向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2022-079 </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7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原告平安银行股 份有限公司广州 分行清偿贷款本 金</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万元及 利息、罚息、复 利（截止至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 利息 </w:t>
            </w:r>
            <w:r>
              <w:rPr>
                <w:rFonts w:ascii="Times New Roman" w:eastAsia="Times New Roman" w:hAnsi="Times New Roman" w:cs="Times New Roman"/>
                <w:color w:val="000000"/>
                <w:spacing w:val="0"/>
                <w:w w:val="100"/>
                <w:position w:val="0"/>
                <w:sz w:val="18"/>
                <w:szCs w:val="18"/>
              </w:rPr>
              <w:t xml:space="preserve">30329.16 </w:t>
            </w:r>
            <w:r>
              <w:rPr>
                <w:color w:val="000000"/>
                <w:spacing w:val="0"/>
                <w:w w:val="100"/>
                <w:position w:val="0"/>
              </w:rPr>
              <w:t xml:space="preserve">元、罚息 </w:t>
            </w:r>
            <w:r>
              <w:rPr>
                <w:rFonts w:ascii="Times New Roman" w:eastAsia="Times New Roman" w:hAnsi="Times New Roman" w:cs="Times New Roman"/>
                <w:color w:val="000000"/>
                <w:spacing w:val="0"/>
                <w:w w:val="100"/>
                <w:position w:val="0"/>
                <w:sz w:val="18"/>
                <w:szCs w:val="18"/>
              </w:rPr>
              <w:t xml:space="preserve">1410759.38 </w:t>
            </w:r>
            <w:r>
              <w:rPr>
                <w:color w:val="000000"/>
                <w:spacing w:val="0"/>
                <w:w w:val="100"/>
                <w:position w:val="0"/>
              </w:rPr>
              <w:t xml:space="preserve">元、 复利 </w:t>
            </w:r>
            <w:r>
              <w:rPr>
                <w:rFonts w:ascii="Times New Roman" w:eastAsia="Times New Roman" w:hAnsi="Times New Roman" w:cs="Times New Roman"/>
                <w:color w:val="000000"/>
                <w:spacing w:val="0"/>
                <w:w w:val="100"/>
                <w:position w:val="0"/>
                <w:sz w:val="18"/>
                <w:szCs w:val="18"/>
              </w:rPr>
              <w:t xml:space="preserve">1953.49 </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日起的罚 息，以本金</w:t>
            </w:r>
            <w:r>
              <w:rPr>
                <w:rFonts w:ascii="Times New Roman" w:eastAsia="Times New Roman" w:hAnsi="Times New Roman" w:cs="Times New Roman"/>
                <w:color w:val="000000"/>
                <w:spacing w:val="0"/>
                <w:w w:val="100"/>
                <w:position w:val="0"/>
                <w:sz w:val="18"/>
                <w:szCs w:val="18"/>
              </w:rPr>
              <w:t xml:space="preserve">2200 </w:t>
            </w:r>
            <w:r>
              <w:rPr>
                <w:color w:val="000000"/>
                <w:spacing w:val="0"/>
                <w:w w:val="100"/>
                <w:position w:val="0"/>
              </w:rPr>
              <w:t>万元为基数，按 年利率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上 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计算；复 利以 </w:t>
            </w:r>
            <w:r>
              <w:rPr>
                <w:rFonts w:ascii="Times New Roman" w:eastAsia="Times New Roman" w:hAnsi="Times New Roman" w:cs="Times New Roman"/>
                <w:color w:val="000000"/>
                <w:spacing w:val="0"/>
                <w:w w:val="100"/>
                <w:position w:val="0"/>
                <w:sz w:val="18"/>
                <w:szCs w:val="18"/>
              </w:rPr>
              <w:t xml:space="preserve">30329.16 </w:t>
            </w:r>
            <w:r>
              <w:rPr>
                <w:color w:val="000000"/>
                <w:spacing w:val="0"/>
                <w:w w:val="100"/>
                <w:position w:val="0"/>
              </w:rPr>
              <w:t>元为基数，按年 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 xml:space="preserve">上浮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计算）； 三、被告广东联 汛教育科技有限 公司、深圳长城 世家商贸有限公 司、蔡廷祥、吴 淡珠对被告广东 文化长城集团股 份有限公司的上 述债务，向原告 平安银行股份有 限公司广州分行 承担连带清偿责 任；其承责后， 有权向被告广东 文化长城集团股 份有限公司追 偿；本案受理费、 保全费合计 </w:t>
            </w:r>
            <w:r>
              <w:rPr>
                <w:rFonts w:ascii="Times New Roman" w:eastAsia="Times New Roman" w:hAnsi="Times New Roman" w:cs="Times New Roman"/>
                <w:color w:val="000000"/>
                <w:spacing w:val="0"/>
                <w:w w:val="100"/>
                <w:position w:val="0"/>
                <w:sz w:val="18"/>
                <w:szCs w:val="18"/>
              </w:rPr>
              <w:t>290083</w:t>
            </w:r>
            <w:r>
              <w:rPr>
                <w:color w:val="000000"/>
                <w:spacing w:val="0"/>
                <w:w w:val="100"/>
                <w:position w:val="0"/>
              </w:rPr>
              <w:t>元由平安 银行广州分行负 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元；文化 长城、深圳长城 世家商贸、广东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联汛教育、蔡廷 祥、吴淡珠共同 负担</w:t>
            </w:r>
            <w:r>
              <w:rPr>
                <w:rFonts w:ascii="Times New Roman" w:eastAsia="Times New Roman" w:hAnsi="Times New Roman" w:cs="Times New Roman"/>
                <w:color w:val="000000"/>
                <w:spacing w:val="0"/>
                <w:w w:val="100"/>
                <w:position w:val="0"/>
                <w:sz w:val="18"/>
                <w:szCs w:val="18"/>
              </w:rPr>
              <w:t>289983</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广东麦贝科技有 限公司与广东联 汛教育科技有限 公司、广东文化长 城集团股份有限 公司合同纠纷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审理中（原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告撤回对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文化长城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广东省广州市天 河区人民法院</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0106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6709</w:t>
            </w:r>
            <w:r>
              <w:rPr>
                <w:color w:val="000000"/>
                <w:spacing w:val="0"/>
                <w:w w:val="100"/>
                <w:position w:val="0"/>
              </w:rPr>
              <w:t>号民 事裁定书裁定准 许原告撤回对文 化长城的起诉。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12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2021-056</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p>
        </w:tc>
      </w:tr>
      <w:tr>
        <w:trPr>
          <w:trHeight w:val="10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天津言必信嘉科 技中心与广东文 化长城集团股份 有限公司借款纠 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根据广东省深圳 市福田区人民法 院《民事判决书》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0304</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45220</w:t>
            </w:r>
            <w:r>
              <w:rPr>
                <w:color w:val="000000"/>
                <w:spacing w:val="0"/>
                <w:w w:val="100"/>
                <w:position w:val="0"/>
              </w:rPr>
              <w:t>号， 判决如下：（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被告广东文化长 城集团股份有限 公司应于本判决 生效之日起十日 内向原告天津 言必信嘉科技中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偿 还借款本金</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万元及利息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 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 基数，按照年利 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的标准，自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日计至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）被告广东文 化长城集团股份 有限公司应于本 判决生效之日起 十日内向原告 天津言必信嘉科 技中心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支付逾期违约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为基数，按照年 利率</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的标准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日起计至被告实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2021-086 </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际清偿之日止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)驳回原告天 津言必信嘉科技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的其他诉讼请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广东省广州市中 级人民法院《民 事判决书》</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民终 </w:t>
            </w:r>
            <w:r>
              <w:rPr>
                <w:rFonts w:ascii="Times New Roman" w:eastAsia="Times New Roman" w:hAnsi="Times New Roman" w:cs="Times New Roman"/>
                <w:color w:val="000000"/>
                <w:spacing w:val="0"/>
                <w:w w:val="100"/>
                <w:position w:val="0"/>
                <w:sz w:val="18"/>
                <w:szCs w:val="18"/>
              </w:rPr>
              <w:t>16795</w:t>
            </w:r>
            <w:r>
              <w:rPr>
                <w:color w:val="000000"/>
                <w:spacing w:val="0"/>
                <w:w w:val="100"/>
                <w:position w:val="0"/>
              </w:rPr>
              <w:t>号，法院 作出判决如下： 依照《中华人民 共和国公司法》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84"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广东联汛教育科 技有限公司与许 高镭、许高云、聂 雅公司证照返还 纠纷</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二审已判 决</w:t>
            </w:r>
          </w:p>
        </w:tc>
        <w:tc>
          <w:tcPr>
            <w:tcBorders>
              <w:left w:val="single" w:sz="4"/>
              <w:bottom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312" w:lineRule="exact"/>
              <w:ind w:left="0" w:right="0" w:firstLine="0"/>
              <w:jc w:val="both"/>
            </w:pPr>
            <w:r>
              <w:rPr>
                <w:color w:val="000000"/>
                <w:spacing w:val="0"/>
                <w:w w:val="100"/>
                <w:position w:val="0"/>
              </w:rPr>
              <w:t>第三条、第六十 条、第六</w:t>
              <w:tab/>
              <w:t>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 国物权法》第三 十四条，《中华人 民共和国侵权责 任法》第十五条， 《最高人民法院 关于适用〈中华 人民共和国民法 典＞时间效力的 若干规定》第一 条第二款，《中华 人民共和国民事 诉讼法》第一百 七十七条第一款 第(二)项的规 定，判决如下： 一、撤销广东省 广州市天河区人 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13647</w:t>
            </w:r>
            <w:r>
              <w:rPr>
                <w:color w:val="000000"/>
                <w:spacing w:val="0"/>
                <w:w w:val="100"/>
                <w:position w:val="0"/>
              </w:rPr>
              <w:t>号民事判 决；二、上诉人 许高镭于本判决 发生法律效力之 日起十日内向被 上诉人广东联汛 教育科技有限公 司返还营业执照</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314" w:lineRule="exact"/>
              <w:ind w:left="0" w:right="0" w:firstLine="0"/>
              <w:jc w:val="left"/>
            </w:pPr>
            <w:r>
              <w:rPr>
                <w:color w:val="000000"/>
                <w:spacing w:val="0"/>
                <w:w w:val="100"/>
                <w:position w:val="0"/>
              </w:rPr>
              <w:t>广州市天河区 人民法院受理 案件通知书</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0106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8639</w:t>
            </w:r>
            <w:r>
              <w:rPr>
                <w:color w:val="000000"/>
                <w:spacing w:val="0"/>
                <w:w w:val="100"/>
                <w:position w:val="0"/>
              </w:rPr>
              <w:t>号作出 如下通知：广东 联汛教育科技 有限公司与许 高镭公司证照 返还纠纷一案， 本院作出的</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16795</w:t>
            </w:r>
            <w:r>
              <w:rPr>
                <w:color w:val="000000"/>
                <w:spacing w:val="0"/>
                <w:w w:val="100"/>
                <w:position w:val="0"/>
              </w:rPr>
              <w:t>号 判决已经发生 法律效力。你单 位向本院申请 执行。经审查， 该申请符合法 定受理条件，本 院决定立案执 行。</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2022-079)</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53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正本和副本的原 件、税务登记证 书及副本的原 件、印鉴章（包 括公章、合同专 用章、财务专用 章、法定代表人 印鉴章）、财务会 计报告、财务会 计账簿及原始会 计凭证、银行账 户信息、银行</w:t>
            </w:r>
            <w:r>
              <w:rPr>
                <w:rFonts w:ascii="Times New Roman" w:eastAsia="Times New Roman" w:hAnsi="Times New Roman" w:cs="Times New Roman"/>
                <w:color w:val="000000"/>
                <w:spacing w:val="0"/>
                <w:w w:val="100"/>
                <w:position w:val="0"/>
                <w:sz w:val="18"/>
                <w:szCs w:val="18"/>
              </w:rPr>
              <w:t xml:space="preserve">U </w:t>
            </w:r>
            <w:r>
              <w:rPr>
                <w:color w:val="000000"/>
                <w:spacing w:val="0"/>
                <w:w w:val="100"/>
                <w:position w:val="0"/>
              </w:rPr>
              <w:t>盾。三、驳回被 上诉人广东联汛 教育科技有限公 司的其他诉讼请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上海犇迩网络科 技有限公司与北 京翡翠教育科技 集团有限公司、广 东文化长城集团 股份有限公司股 东出资纠纷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上海市虹口区人 民法院《民事判 决书》（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 xml:space="preserve">0109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452 </w:t>
            </w:r>
            <w:r>
              <w:rPr>
                <w:color w:val="000000"/>
                <w:spacing w:val="0"/>
                <w:w w:val="100"/>
                <w:position w:val="0"/>
              </w:rPr>
              <w:t>号，判决如下：</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 xml:space="preserve">被告北京翡 翠教育科技集团 有限公司于本判 决生效之日起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日内返还原 告上海犇迩网络 科技有限公司出 资款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p>
            <w:pPr>
              <w:pStyle w:val="Style2"/>
              <w:keepNext w:val="0"/>
              <w:keepLines w:val="0"/>
              <w:widowControl w:val="0"/>
              <w:shd w:val="clear" w:color="auto" w:fill="auto"/>
              <w:tabs>
                <w:tab w:pos="370" w:val="left"/>
              </w:tabs>
              <w:bidi w:val="0"/>
              <w:spacing w:before="0" w:after="0" w:line="312" w:lineRule="exact"/>
              <w:ind w:left="0" w:right="0" w:firstLine="0"/>
              <w:jc w:val="both"/>
            </w:pPr>
            <w:r>
              <w:rPr>
                <w:color w:val="000000"/>
                <w:spacing w:val="0"/>
                <w:w w:val="100"/>
                <w:position w:val="0"/>
              </w:rPr>
              <w:t>二、</w:t>
              <w:tab/>
              <w:t xml:space="preserve">被告北京翡 翠教育科技集团 有限公司于本判 决生效之日起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日内返还原 告上海犇迩网络 科技有限公司以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万元为基数 计算的出资款利 息，自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日起至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日止按中国 人民银行规定的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披露法院《关 于公司诉讼 进展的公告》</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2021-127）</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6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同期贷款基准利 率计付，自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日起至实际 清偿之日止按全 国银行间同业拆 借中心公布的 贷款市场报价利 率</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计付； 三、被告广东文 化长城集团股份 有限公司对被告 北京翡翠教育科 技集团有限公 司上述第一、第 二项债务承担连 带责任。公司不 服上述判决，已 向法院提起诉 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新余智趣资产管 理合伙企业与深 圳市东方置地集 团有限公司、广东 文化长城集团股 份有限公司，广州 隽隆贸易有限公 司第三人撤销之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驳回上诉，维持 原裁定。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2021-147 </w:t>
            </w:r>
            <w:r>
              <w:rPr>
                <w:rFonts w:ascii="Times New Roman" w:eastAsia="Times New Roman" w:hAnsi="Times New Roman" w:cs="Times New Roman"/>
                <w:color w:val="000000"/>
                <w:spacing w:val="0"/>
                <w:w w:val="100"/>
                <w:position w:val="0"/>
                <w:sz w:val="18"/>
                <w:szCs w:val="18"/>
              </w:rPr>
              <w:t>)</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中国银行股份有 限公司潮州分行 与广东文化长城 集团股份有限公 司破产清算申请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驳回上诉，维持 原裁定。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披露《关于公 司涉及重大 诉讼、仲裁的 公告》</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2021-089)</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深圳市东方置地 集团有限公司与 广东文化长城集 团股份有限公司 名誉权纠纷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一、确认被告广 东文化长城集团 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日披露的《广 东文化长城集团 股份有限公司关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2021-130 </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7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于深交所问询函 的回复》公告内 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经与东方置 地沟通研究后决 定在收到东方置 地的部分股权转 注价款之后办理 长城瓷艺的工 商变更登记手 续。因东方置地 未按照协议约定 支付股权转让 款，上述交易未 能如期推进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受让方东方置 地未按照协议约 定支付股权转让 款，依据前述规 定，应当向文化 长城承担支付违 约金的责任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 虚假记载；被告 广东文化长城集 团股份有限公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日披 露的《广东文化 长城集团股份有 限公司关于深交 所关注函的回 复》公告内容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日，公司总经 理代表公司与东 方置地签署《补 充协议》，双方确 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月已签订《债务 转移协议》，双方 的债权债务关 系已归为消灭， 东方置地不再承 担任何违约责任 及连带担保责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137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为误导性陈 述；二、判令被 告广东文化长城 集团股份有限公 司于本判决发生 法律效力之日起 十日内，在南方 都市报、广州日 报或人民日报等 国家级媒体上择 其一刊载澄清公 告和致歉声明， 澄清公告应载明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东方置地与文 化长城从未变更 过《河南长城绿 色瓷艺科技有限 公司股权转让协 议》的履行顺序 及付款方式，东 方置地没有结欠 文化长城任何股 权转让款，更无 需承担该协议项 下约定的违约责 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'，刊登内容 须经本院审核； 在中国证券网、 巨潮咨询网、深 圳证券交易所官 方网站等中国证 券监督管理委员 会指定上市公司 信息披露平台上 择其一刊登公告 说明情况并赔 礼道歉，刊登内 容须经本院审 核；三、判令被 告广东文化长城 集团股份有限公 司于本判决发生 法律效力之日起 十日内，向原告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28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深圳市东方置地 集团有限公司赔 偿经济损失、商 业信誉损失</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万元；四、驳回 原告深圳市东方 置地集团有限公 司的其他诉讼请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上海浦东发展银 行有限公司深圳 分行与广东文化 长城集团股份有 限公司，深圳长城 世家商贸有限公 司，蔡廷祥，吴淡 珠金融借款合同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广东省深圳市罗 湖区人民法院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8034</w:t>
            </w:r>
            <w:r>
              <w:rPr>
                <w:color w:val="000000"/>
                <w:spacing w:val="0"/>
                <w:w w:val="100"/>
                <w:position w:val="0"/>
              </w:rPr>
              <w:t>号， 判决如下：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被告广东文化长 城集团股份有限 公司应于本判决 生效之日起十日 内向原告上海 浦东发展银行股 份有限公司深圳 分行偿还贷款本 金人民币 </w:t>
            </w:r>
            <w:r>
              <w:rPr>
                <w:rFonts w:ascii="Times New Roman" w:eastAsia="Times New Roman" w:hAnsi="Times New Roman" w:cs="Times New Roman"/>
                <w:color w:val="000000"/>
                <w:spacing w:val="0"/>
                <w:w w:val="100"/>
                <w:position w:val="0"/>
                <w:sz w:val="18"/>
                <w:szCs w:val="18"/>
              </w:rPr>
              <w:t xml:space="preserve">72500000 </w:t>
            </w:r>
            <w:r>
              <w:rPr>
                <w:color w:val="000000"/>
                <w:spacing w:val="0"/>
                <w:w w:val="100"/>
                <w:position w:val="0"/>
              </w:rPr>
              <w:t xml:space="preserve">元及 利息、罚息、复 利 </w:t>
            </w:r>
            <w:r>
              <w:rPr>
                <w:rFonts w:ascii="Times New Roman" w:eastAsia="Times New Roman" w:hAnsi="Times New Roman" w:cs="Times New Roman"/>
                <w:color w:val="000000"/>
                <w:spacing w:val="0"/>
                <w:w w:val="100"/>
                <w:position w:val="0"/>
                <w:sz w:val="18"/>
                <w:szCs w:val="18"/>
              </w:rPr>
              <w:t xml:space="preserve">3327203.28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之后的罚息及 复利计算标准如 下：罚息以拖欠 的贷款本金人民 币 </w:t>
            </w:r>
            <w:r>
              <w:rPr>
                <w:rFonts w:ascii="Times New Roman" w:eastAsia="Times New Roman" w:hAnsi="Times New Roman" w:cs="Times New Roman"/>
                <w:color w:val="000000"/>
                <w:spacing w:val="0"/>
                <w:w w:val="100"/>
                <w:position w:val="0"/>
                <w:sz w:val="18"/>
                <w:szCs w:val="18"/>
              </w:rPr>
              <w:t xml:space="preserve">72500000 </w:t>
            </w:r>
            <w:r>
              <w:rPr>
                <w:color w:val="000000"/>
                <w:spacing w:val="0"/>
                <w:w w:val="100"/>
                <w:position w:val="0"/>
              </w:rPr>
              <w:t xml:space="preserve">元 为基数，按年利 率 </w:t>
            </w:r>
            <w:r>
              <w:rPr>
                <w:rFonts w:ascii="Times New Roman" w:eastAsia="Times New Roman" w:hAnsi="Times New Roman" w:cs="Times New Roman"/>
                <w:color w:val="000000"/>
                <w:spacing w:val="0"/>
                <w:w w:val="100"/>
                <w:position w:val="0"/>
                <w:sz w:val="18"/>
                <w:szCs w:val="18"/>
              </w:rPr>
              <w:t>8.0925%</w:t>
            </w:r>
            <w:r>
              <w:rPr>
                <w:color w:val="000000"/>
                <w:spacing w:val="0"/>
                <w:w w:val="100"/>
                <w:position w:val="0"/>
              </w:rPr>
              <w:t xml:space="preserve">，自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日起计至实 际清偿之日；复 利以拖欠的利息 人民币 </w:t>
            </w:r>
            <w:r>
              <w:rPr>
                <w:rFonts w:ascii="Times New Roman" w:eastAsia="Times New Roman" w:hAnsi="Times New Roman" w:cs="Times New Roman"/>
                <w:color w:val="000000"/>
                <w:spacing w:val="0"/>
                <w:w w:val="100"/>
                <w:position w:val="0"/>
                <w:sz w:val="18"/>
                <w:szCs w:val="18"/>
              </w:rPr>
              <w:t xml:space="preserve">3281209.03 </w:t>
            </w:r>
            <w:r>
              <w:rPr>
                <w:color w:val="000000"/>
                <w:spacing w:val="0"/>
                <w:w w:val="100"/>
                <w:position w:val="0"/>
              </w:rPr>
              <w:t xml:space="preserve">元为 基数，按年利率 </w:t>
            </w:r>
            <w:r>
              <w:rPr>
                <w:rFonts w:ascii="Times New Roman" w:eastAsia="Times New Roman" w:hAnsi="Times New Roman" w:cs="Times New Roman"/>
                <w:color w:val="000000"/>
                <w:spacing w:val="0"/>
                <w:w w:val="100"/>
                <w:position w:val="0"/>
                <w:sz w:val="18"/>
                <w:szCs w:val="18"/>
              </w:rPr>
              <w:t>8.0925%</w:t>
            </w:r>
            <w:r>
              <w:rPr>
                <w:color w:val="000000"/>
                <w:spacing w:val="0"/>
                <w:w w:val="100"/>
                <w:position w:val="0"/>
              </w:rPr>
              <w:t xml:space="preserve">，自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日起计至实 际清偿之日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2021-119）</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被告深圳长城世 家商贸有限公 司、蔡廷祥、吴 淡珠对上述债务 承担连带清偿 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、驳回原 告的其他诉讼请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中国光大银行股 份有限公司汕头 分行与广东文化 长城集团股份有 限公司，潮州市长 城世家瓷业有限 公司，蔡廷祥，吴 淡珠金融借款合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广东省汕头市金 平区人民法院民 事判决书（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0511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2287 </w:t>
            </w:r>
            <w:r>
              <w:rPr>
                <w:color w:val="000000"/>
                <w:spacing w:val="0"/>
                <w:w w:val="100"/>
                <w:position w:val="0"/>
              </w:rPr>
              <w:t xml:space="preserve">号判决如下：一、 被告广东文化长 城集团股份有限 公司于本判决发 生法律效力之日 起十日内付还原 告中国光大银行 股份有限公司汕 头分行借款本金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万元、自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日止的利息 </w:t>
            </w:r>
            <w:r>
              <w:rPr>
                <w:rFonts w:ascii="Times New Roman" w:eastAsia="Times New Roman" w:hAnsi="Times New Roman" w:cs="Times New Roman"/>
                <w:color w:val="000000"/>
                <w:spacing w:val="0"/>
                <w:w w:val="100"/>
                <w:position w:val="0"/>
                <w:sz w:val="18"/>
                <w:szCs w:val="18"/>
              </w:rPr>
              <w:t xml:space="preserve">1223437.5 </w:t>
            </w:r>
            <w:r>
              <w:rPr>
                <w:color w:val="000000"/>
                <w:spacing w:val="0"/>
                <w:w w:val="100"/>
                <w:position w:val="0"/>
              </w:rPr>
              <w:t xml:space="preserve">元、自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起至实际还款之 日止按贷款年利 率</w:t>
            </w:r>
            <w:r>
              <w:rPr>
                <w:rFonts w:ascii="Times New Roman" w:eastAsia="Times New Roman" w:hAnsi="Times New Roman" w:cs="Times New Roman"/>
                <w:color w:val="000000"/>
                <w:spacing w:val="0"/>
                <w:w w:val="100"/>
                <w:position w:val="0"/>
                <w:sz w:val="18"/>
                <w:szCs w:val="18"/>
              </w:rPr>
              <w:t>9.7875%</w:t>
            </w:r>
            <w:r>
              <w:rPr>
                <w:color w:val="000000"/>
                <w:spacing w:val="0"/>
                <w:w w:val="100"/>
                <w:position w:val="0"/>
              </w:rPr>
              <w:t xml:space="preserve">计算 的逾期利息、律 师费 </w:t>
            </w:r>
            <w:r>
              <w:rPr>
                <w:rFonts w:ascii="Times New Roman" w:eastAsia="Times New Roman" w:hAnsi="Times New Roman" w:cs="Times New Roman"/>
                <w:color w:val="000000"/>
                <w:spacing w:val="0"/>
                <w:w w:val="100"/>
                <w:position w:val="0"/>
                <w:sz w:val="18"/>
                <w:szCs w:val="18"/>
              </w:rPr>
              <w:t xml:space="preserve">31484.44 </w:t>
            </w:r>
            <w:r>
              <w:rPr>
                <w:color w:val="000000"/>
                <w:spacing w:val="0"/>
                <w:w w:val="100"/>
                <w:position w:val="0"/>
              </w:rPr>
              <w:t>元。二、被告潮 州市长城世家瓷 业有限公司对被 告广东文化长城 集团股份有限公 司在上述第一项 判决项下的债务 承担抵押担保责 任，原告中国光 大银行股份有限 公司汕头分行在 该债权范围内对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公司收到汕头 市金平区人民 法院《执行通知 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0511 </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704 </w:t>
            </w:r>
            <w:r>
              <w:rPr>
                <w:color w:val="000000"/>
                <w:spacing w:val="0"/>
                <w:w w:val="100"/>
                <w:position w:val="0"/>
              </w:rPr>
              <w:t>号，你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或你单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与中国光大 银行股份有限 公司汕头分行 借款合同纠纷 一案，汕头市金 平区人民法院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0511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2287</w:t>
            </w:r>
            <w:r>
              <w:rPr>
                <w:color w:val="000000"/>
                <w:spacing w:val="0"/>
                <w:w w:val="100"/>
                <w:position w:val="0"/>
              </w:rPr>
              <w:t>号 生效裁判已发 生法律效力。申 请执行人中国 光大银行股份 有限公司汕头 分行向本院申 请强制执行，本 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日依 法立案执行。依 照《中华人民共 和国民事诉讼 法》第二百四十 七条、《最高人 民法院关于适 用</w:t>
            </w:r>
            <w:r>
              <w:rPr>
                <w:color w:val="000000"/>
                <w:spacing w:val="0"/>
                <w:w w:val="100"/>
                <w:position w:val="0"/>
                <w:sz w:val="18"/>
                <w:szCs w:val="18"/>
              </w:rPr>
              <w:t>〈</w:t>
            </w:r>
            <w:r>
              <w:rPr>
                <w:color w:val="000000"/>
                <w:spacing w:val="0"/>
                <w:w w:val="100"/>
                <w:position w:val="0"/>
              </w:rPr>
              <w:t>中华人民共 和国民事诉讼 法</w:t>
            </w:r>
            <w:r>
              <w:rPr>
                <w:color w:val="000000"/>
                <w:spacing w:val="0"/>
                <w:w w:val="100"/>
                <w:position w:val="0"/>
                <w:sz w:val="18"/>
                <w:szCs w:val="18"/>
              </w:rPr>
              <w:t>〉</w:t>
            </w:r>
            <w:r>
              <w:rPr>
                <w:color w:val="000000"/>
                <w:spacing w:val="0"/>
                <w:w w:val="100"/>
                <w:position w:val="0"/>
              </w:rPr>
              <w:t>的解释》第 四百八十二的 规定，责令你在 收到本通知书 后立即履行生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14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2022-034）</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84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被告潮州市长城 世家瓷业有限公 司提供的抵押物 潮州市枫溪区蔡 陇村蔡尾片的国 有建设用地使用 权享有优先受偿 权。三、被告潮 州市长城世家瓷 业有限公司、被 告蔡廷祥、被告 吴淡珠在其保证 范围对被告广东 文化长城集团股 份有限公司在上 述第一项判决项 下的债务承担连 带清偿责任，在 承担清偿责任 后，有权向被告 广东文化长城集 团股份有限公司 追偿。四、驳回 原告中国光大银 行股份有限公司 汕头分行的其他 诉讼请求。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效裁判文书所 确定的全部义 务并承担相应 的迟延履行利 息或迟延履行 金。否则，本院 将依法强制执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 区御泓投资合伙 企业（有限合伙） 与深圳市东方置 地集团有限公司、 第三人广东文化 长城集团股份有 限公司代位权纠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广东省深圳市中 级法院作出的</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3424</w:t>
            </w:r>
            <w:r>
              <w:rPr>
                <w:color w:val="000000"/>
                <w:spacing w:val="0"/>
                <w:w w:val="100"/>
                <w:position w:val="0"/>
              </w:rPr>
              <w:t>号</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《民事判决书》， 驳回原告宁波梅 山保税港区御泓 投资合伙企业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（有限合伙）的 诉讼请求。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披露《关于公 司诉讼进展、 涉及重大诉 讼的公告》</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2021-137 </w:t>
            </w:r>
            <w:r>
              <w:rPr>
                <w:rFonts w:ascii="Times New Roman" w:eastAsia="Times New Roman" w:hAnsi="Times New Roman" w:cs="Times New Roman"/>
                <w:color w:val="000000"/>
                <w:spacing w:val="0"/>
                <w:w w:val="100"/>
                <w:position w:val="0"/>
                <w:sz w:val="18"/>
                <w:szCs w:val="18"/>
              </w:rPr>
              <w:t>）</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广东文化长城集 团股份有限公司 与蔡廷祥公司证 照返还纠纷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广东省潮州市枫 溪区人民法院</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《民事裁定书》</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5191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号，裁 定如下：准许原 告广东文化长城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披露法院《关 于公司诉讼 进展的公告》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2021-108）</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集团股份有限公 司撤诉。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北京翡翠教育科 技集团有限公司 与广东文化长城 集团股份有限公 司名誉权纠纷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 露《关于诉讼 事项的进展 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2021-080 </w:t>
            </w:r>
            <w:r>
              <w:rPr>
                <w:rFonts w:ascii="Times New Roman" w:eastAsia="Times New Roman" w:hAnsi="Times New Roman" w:cs="Times New Roman"/>
                <w:color w:val="000000"/>
                <w:spacing w:val="0"/>
                <w:w w:val="100"/>
                <w:position w:val="0"/>
                <w:sz w:val="18"/>
                <w:szCs w:val="18"/>
              </w:rPr>
              <w:t>）</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瑞元资本管理有 限公司与广东文 化长城集团股份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 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驳回起诉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广东省深圳市中 级人民法院民事 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 xml:space="preserve">36331 </w:t>
            </w:r>
            <w:r>
              <w:rPr>
                <w:color w:val="000000"/>
                <w:spacing w:val="0"/>
                <w:w w:val="100"/>
                <w:position w:val="0"/>
              </w:rPr>
              <w:t>号裁定如下：一、 撤销广东省深圳 市福田区人民法 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39843</w:t>
            </w:r>
            <w:r>
              <w:rPr>
                <w:color w:val="000000"/>
                <w:spacing w:val="0"/>
                <w:w w:val="100"/>
                <w:position w:val="0"/>
              </w:rPr>
              <w:t>号民 事裁定；二、本 案指令广东省深 圳市福田区人民 法院审理。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2022-063）</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嘉兴卓智股权投 资合伙企业（有限 合伙）与广东文化 长城集团股份有 限公司股权转让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披露《关于公 司涉及重大 诉讼、仲裁的 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2021-096 </w:t>
            </w: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新余智趣资产管 理合伙企业</w:t>
            </w:r>
            <w:r>
              <w:rPr>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与广东文 化长城集团股份 有限公司、广州隽 隆贸易有限公司 债权人撤销权纠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已撤销起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2021-128 </w:t>
            </w:r>
            <w:r>
              <w:rPr>
                <w:rFonts w:ascii="Times New Roman" w:eastAsia="Times New Roman" w:hAnsi="Times New Roman" w:cs="Times New Roman"/>
                <w:color w:val="000000"/>
                <w:spacing w:val="0"/>
                <w:w w:val="100"/>
                <w:position w:val="0"/>
                <w:sz w:val="18"/>
                <w:szCs w:val="18"/>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广东文化长城集 团股份有限公司， 广东联汛教育科 技有限公司与广 州市天河区行政 审批局行政诉讼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驳回本案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2021-147 </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广东文化长城集 团股份有限公司， 广东联汛教育科 技有限公司与广 州市天河区行政 审批局行政诉讼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驳回本案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2021-147 </w:t>
            </w:r>
            <w:r>
              <w:rPr>
                <w:rFonts w:ascii="Times New Roman" w:eastAsia="Times New Roman" w:hAnsi="Times New Roman" w:cs="Times New Roman"/>
                <w:color w:val="000000"/>
                <w:spacing w:val="0"/>
                <w:w w:val="100"/>
                <w:position w:val="0"/>
                <w:sz w:val="18"/>
                <w:szCs w:val="18"/>
              </w:rPr>
              <w:t>）</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广州银行股份有 限公司纸行支行 与广东联汛教育 科技有限公司，许 高镭，林俏云，广 东文化长城集团 股份有限公司，新 疆联汛展望教育 科技有限公司金 融借款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2021-108）</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广东文化长城集 团股份有限公司 与许高镭，许高 云，雷凡，彭辉， 李东英，广州商融 投资咨询有限公 司股权转让纠纷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54,890.13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 露《关于公司 诉讼事项的 进展公告》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2022-028）</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潘科学、晏廷杰、 司红旺、支才华、 张盼、杨兵、周建 图、孙宇、孙文娟 与广东文化长城 集团股份有限公 司证券虚假陈述 责任纠纷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披露《关于公 司诉讼进展 及新增诉讼 事项的公告》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2021-128 </w:t>
            </w:r>
            <w:r>
              <w:rPr>
                <w:rFonts w:ascii="Times New Roman" w:eastAsia="Times New Roman" w:hAnsi="Times New Roman" w:cs="Times New Roman"/>
                <w:color w:val="000000"/>
                <w:spacing w:val="0"/>
                <w:w w:val="100"/>
                <w:position w:val="0"/>
                <w:sz w:val="18"/>
                <w:szCs w:val="18"/>
              </w:rPr>
              <w:t>）</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广东文化长城集 团股份有限公司 与安卓易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 技有限公司，嘉兴 卓智股权投资合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，新余卓趣资 本管理合伙企业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 创思资产管理合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35214.79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披露《关于公 司诉讼进展、 涉及重大诉 讼的公告》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2021-137 </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59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，天津钰美瑞 科技中心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，新余信公成 长新兴资产管理 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，深圳普方达 源力投资中心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color w:val="000000"/>
                <w:spacing w:val="0"/>
                <w:w w:val="100"/>
                <w:position w:val="0"/>
                <w:sz w:val="18"/>
                <w:szCs w:val="18"/>
              </w:rPr>
              <w:t>）</w:t>
            </w:r>
            <w:r>
              <w:rPr>
                <w:color w:val="000000"/>
                <w:spacing w:val="0"/>
                <w:w w:val="100"/>
                <w:position w:val="0"/>
              </w:rPr>
              <w:t>，共青城 纳隆德投资管理 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，新余邦得投 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color w:val="000000"/>
                <w:spacing w:val="0"/>
                <w:w w:val="100"/>
                <w:position w:val="0"/>
                <w:sz w:val="18"/>
                <w:szCs w:val="18"/>
              </w:rPr>
              <w:t>）</w:t>
            </w:r>
            <w:r>
              <w:rPr>
                <w:color w:val="000000"/>
                <w:spacing w:val="0"/>
                <w:w w:val="100"/>
                <w:position w:val="0"/>
              </w:rPr>
              <w:t>，北京虹佳 龙文化传播有限 公司，宁波梅山 保税港区御泓投 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股权转让纠 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宁波梅山保税港 区御景投资合伙 企业（有限合伙） 与广东文化长城 集团股份有限公 司合同违约纠纷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驳回原告宁波 梅山保税港区御 景投资合伙企业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的诉 讼请求。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2022-040）</w:t>
            </w:r>
          </w:p>
        </w:tc>
      </w:tr>
      <w:tr>
        <w:trPr>
          <w:trHeight w:val="59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深圳长城世家商 贸有限公司与庄 雪彬、第三人广东 文化长城集团股 份有限公司劳动 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已调解结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广东省深圳市福 田区人民法院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《民事调解书》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30094</w:t>
            </w:r>
            <w:r>
              <w:rPr>
                <w:color w:val="000000"/>
                <w:spacing w:val="0"/>
                <w:w w:val="100"/>
                <w:position w:val="0"/>
              </w:rPr>
              <w:t>号， 原告深圳长城世 家商贸有限公司 确认于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日前向被告 庄雪彬支付调解 款</w:t>
            </w:r>
            <w:r>
              <w:rPr>
                <w:rFonts w:ascii="Times New Roman" w:eastAsia="Times New Roman" w:hAnsi="Times New Roman" w:cs="Times New Roman"/>
                <w:color w:val="000000"/>
                <w:spacing w:val="0"/>
                <w:w w:val="100"/>
                <w:position w:val="0"/>
                <w:sz w:val="18"/>
                <w:szCs w:val="18"/>
              </w:rPr>
              <w:t>41000</w:t>
            </w:r>
            <w:r>
              <w:rPr>
                <w:color w:val="000000"/>
                <w:spacing w:val="0"/>
                <w:w w:val="100"/>
                <w:position w:val="0"/>
              </w:rPr>
              <w:t>兀，双 方的权利义务终 止。原告深圳长 城世家商贸有限 公司如逾期支 付，则按照《中 华人民共和国事 诉讼法》第二百 五十三条的规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 披露《关于公 司诉讼进展 及新增诉讼 事项的公告》 </w:t>
            </w:r>
            <w:r>
              <w:rPr>
                <w:rFonts w:ascii="Times New Roman" w:eastAsia="Times New Roman" w:hAnsi="Times New Roman" w:cs="Times New Roman"/>
                <w:color w:val="000000"/>
                <w:spacing w:val="0"/>
                <w:w w:val="100"/>
                <w:position w:val="0"/>
                <w:sz w:val="18"/>
                <w:szCs w:val="18"/>
              </w:rPr>
              <w:t>（2021-128</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定，加倍支付迟 延履行期间债务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深圳长城世家商 贸有限公司与汪 珂劳动合同纠纷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驳回上诉，维持 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8419</w:t>
            </w:r>
            <w:r>
              <w:rPr>
                <w:color w:val="000000"/>
                <w:spacing w:val="0"/>
                <w:w w:val="100"/>
                <w:position w:val="0"/>
              </w:rPr>
              <w:t>号和 深圳市中级人 民法院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民终 </w:t>
            </w:r>
            <w:r>
              <w:rPr>
                <w:rFonts w:ascii="Times New Roman" w:eastAsia="Times New Roman" w:hAnsi="Times New Roman" w:cs="Times New Roman"/>
                <w:color w:val="000000"/>
                <w:spacing w:val="0"/>
                <w:w w:val="100"/>
                <w:position w:val="0"/>
                <w:sz w:val="18"/>
                <w:szCs w:val="18"/>
              </w:rPr>
              <w:t xml:space="preserve">20446 </w:t>
            </w:r>
            <w:r>
              <w:rPr>
                <w:color w:val="000000"/>
                <w:spacing w:val="0"/>
                <w:w w:val="100"/>
                <w:position w:val="0"/>
              </w:rPr>
              <w:t>号民事判决书 执行完毕，本案 予以结案。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2021-129)</w:t>
            </w:r>
          </w:p>
        </w:tc>
      </w:tr>
      <w:tr>
        <w:trPr>
          <w:trHeight w:val="6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深圳长城世家商 贸有限公司与单 佳琼劳动争议纠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一审已判 决</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5" w:val="left"/>
              </w:tabs>
              <w:bidi w:val="0"/>
              <w:spacing w:before="0" w:after="0" w:line="313" w:lineRule="exact"/>
              <w:ind w:left="0" w:right="0" w:firstLine="0"/>
              <w:jc w:val="left"/>
            </w:pPr>
            <w:r>
              <w:rPr>
                <w:color w:val="000000"/>
                <w:spacing w:val="0"/>
                <w:w w:val="100"/>
                <w:position w:val="0"/>
              </w:rPr>
              <w:t>一、</w:t>
              <w:tab/>
              <w:t>原告深圳长 城世家商贸有限 公司应支付被告 单佳琼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月工 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含补</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助</w:t>
            </w:r>
            <w:r>
              <w:rPr>
                <w:rFonts w:ascii="Times New Roman" w:eastAsia="Times New Roman" w:hAnsi="Times New Roman" w:cs="Times New Roman"/>
                <w:color w:val="000000"/>
                <w:spacing w:val="0"/>
                <w:w w:val="100"/>
                <w:position w:val="0"/>
                <w:sz w:val="18"/>
                <w:szCs w:val="18"/>
              </w:rPr>
              <w:t xml:space="preserve">)30179.12 </w:t>
            </w:r>
            <w:r>
              <w:rPr>
                <w:color w:val="000000"/>
                <w:spacing w:val="0"/>
                <w:w w:val="100"/>
                <w:position w:val="0"/>
                <w:sz w:val="17"/>
                <w:szCs w:val="17"/>
              </w:rPr>
              <w:t>元</w:t>
            </w:r>
            <w:r>
              <w:rPr>
                <w:color w:val="000000"/>
                <w:spacing w:val="0"/>
                <w:w w:val="100"/>
                <w:position w:val="0"/>
                <w:sz w:val="18"/>
                <w:szCs w:val="18"/>
              </w:rPr>
              <w:t>；</w:t>
            </w:r>
          </w:p>
          <w:p>
            <w:pPr>
              <w:pStyle w:val="Style2"/>
              <w:keepNext w:val="0"/>
              <w:keepLines w:val="0"/>
              <w:widowControl w:val="0"/>
              <w:shd w:val="clear" w:color="auto" w:fill="auto"/>
              <w:tabs>
                <w:tab w:pos="370" w:val="left"/>
              </w:tabs>
              <w:bidi w:val="0"/>
              <w:spacing w:before="0" w:after="0" w:line="313" w:lineRule="exact"/>
              <w:ind w:left="0" w:right="0" w:firstLine="0"/>
              <w:jc w:val="left"/>
              <w:rPr>
                <w:sz w:val="18"/>
                <w:szCs w:val="18"/>
              </w:rPr>
            </w:pPr>
            <w:r>
              <w:rPr>
                <w:color w:val="000000"/>
                <w:spacing w:val="0"/>
                <w:w w:val="100"/>
                <w:position w:val="0"/>
                <w:sz w:val="17"/>
                <w:szCs w:val="17"/>
              </w:rPr>
              <w:t>二、</w:t>
              <w:tab/>
              <w:t xml:space="preserve">原告深圳长 城世家商贸有限 公司应支付被告 单佳琼解除劳动 合同经济补偿 </w:t>
            </w:r>
            <w:r>
              <w:rPr>
                <w:rFonts w:ascii="Times New Roman" w:eastAsia="Times New Roman" w:hAnsi="Times New Roman" w:cs="Times New Roman"/>
                <w:color w:val="000000"/>
                <w:spacing w:val="0"/>
                <w:w w:val="100"/>
                <w:position w:val="0"/>
                <w:sz w:val="18"/>
                <w:szCs w:val="18"/>
              </w:rPr>
              <w:t xml:space="preserve">49279.34 </w:t>
            </w:r>
            <w:r>
              <w:rPr>
                <w:color w:val="000000"/>
                <w:spacing w:val="0"/>
                <w:w w:val="100"/>
                <w:position w:val="0"/>
                <w:sz w:val="17"/>
                <w:szCs w:val="17"/>
              </w:rPr>
              <w:t>元</w:t>
            </w:r>
            <w:r>
              <w:rPr>
                <w:color w:val="000000"/>
                <w:spacing w:val="0"/>
                <w:w w:val="100"/>
                <w:position w:val="0"/>
                <w:sz w:val="18"/>
                <w:szCs w:val="18"/>
              </w:rPr>
              <w:t>；</w:t>
            </w:r>
          </w:p>
          <w:p>
            <w:pPr>
              <w:pStyle w:val="Style2"/>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三、</w:t>
              <w:tab/>
              <w:t xml:space="preserve">原告深圳长 城世家商贸有限 公司应支付被告 单佳琼律师费 </w:t>
            </w:r>
            <w:r>
              <w:rPr>
                <w:rFonts w:ascii="Times New Roman" w:eastAsia="Times New Roman" w:hAnsi="Times New Roman" w:cs="Times New Roman"/>
                <w:color w:val="000000"/>
                <w:spacing w:val="0"/>
                <w:w w:val="100"/>
                <w:position w:val="0"/>
                <w:sz w:val="18"/>
                <w:szCs w:val="18"/>
              </w:rPr>
              <w:t xml:space="preserve">3683.22 </w:t>
            </w:r>
            <w:r>
              <w:rPr>
                <w:color w:val="000000"/>
                <w:spacing w:val="0"/>
                <w:w w:val="100"/>
                <w:position w:val="0"/>
              </w:rPr>
              <w:t>元</w:t>
            </w:r>
            <w:r>
              <w:rPr>
                <w:color w:val="000000"/>
                <w:spacing w:val="0"/>
                <w:w w:val="100"/>
                <w:position w:val="0"/>
                <w:sz w:val="18"/>
                <w:szCs w:val="18"/>
              </w:rPr>
              <w:t>；</w:t>
            </w:r>
            <w:r>
              <w:rPr>
                <w:color w:val="000000"/>
                <w:spacing w:val="0"/>
                <w:w w:val="100"/>
                <w:position w:val="0"/>
              </w:rPr>
              <w:t>四、 驳回原告深圳长 城世家商贸有 限公司的其他诉 讼请求。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披露《关于诉 讼事项的进 展公告》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2021-129 </w:t>
            </w:r>
            <w:r>
              <w:rPr>
                <w:rFonts w:ascii="Times New Roman" w:eastAsia="Times New Roman" w:hAnsi="Times New Roman" w:cs="Times New Roman"/>
                <w:color w:val="000000"/>
                <w:spacing w:val="0"/>
                <w:w w:val="100"/>
                <w:position w:val="0"/>
                <w:sz w:val="18"/>
                <w:szCs w:val="18"/>
              </w:rPr>
              <w:t>)</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深圳长城世家商 贸有限公司与徐 宁劳动争议纠纷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一、被告深圳长 城世家商贸有 限公司支付原告 徐宁解除劳动合 同的经济补偿 </w:t>
            </w:r>
            <w:r>
              <w:rPr>
                <w:rFonts w:ascii="Times New Roman" w:eastAsia="Times New Roman" w:hAnsi="Times New Roman" w:cs="Times New Roman"/>
                <w:color w:val="000000"/>
                <w:spacing w:val="0"/>
                <w:w w:val="100"/>
                <w:position w:val="0"/>
                <w:sz w:val="18"/>
                <w:szCs w:val="18"/>
              </w:rPr>
              <w:t xml:space="preserve">89007.38 </w:t>
            </w:r>
            <w:r>
              <w:rPr>
                <w:color w:val="000000"/>
                <w:spacing w:val="0"/>
                <w:w w:val="100"/>
                <w:position w:val="0"/>
                <w:sz w:val="17"/>
                <w:szCs w:val="17"/>
              </w:rPr>
              <w:t xml:space="preserve">元；二、 被告深圳长城世 家商贸有限公司 支付原告徐宁律 师费 </w:t>
            </w:r>
            <w:r>
              <w:rPr>
                <w:rFonts w:ascii="Times New Roman" w:eastAsia="Times New Roman" w:hAnsi="Times New Roman" w:cs="Times New Roman"/>
                <w:color w:val="000000"/>
                <w:spacing w:val="0"/>
                <w:w w:val="100"/>
                <w:position w:val="0"/>
                <w:sz w:val="18"/>
                <w:szCs w:val="18"/>
              </w:rPr>
              <w:t>2301.35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披露《关于公 司诉讼进展、 涉及重大诉 讼的公告》</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2021-137 </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3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元；三、被告深 圳长城世家商 贸有限公司向 原告徐宁出具 解除劳动合同 的证明；四、驳 回原告徐宁的 其他诉讼请求； 五、驳回被告深 圳长城世家商 贸有限公司的诉 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深圳长城世家商 贸有限公司与徐 姗劳动合同纠纷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已调解结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一、被申请人深 圳长城世家商 贸有限公司支 付申请人徐姗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日期间 的工资 </w:t>
            </w:r>
            <w:r>
              <w:rPr>
                <w:rFonts w:ascii="Times New Roman" w:eastAsia="Times New Roman" w:hAnsi="Times New Roman" w:cs="Times New Roman"/>
                <w:color w:val="000000"/>
                <w:spacing w:val="0"/>
                <w:w w:val="100"/>
                <w:position w:val="0"/>
                <w:sz w:val="18"/>
                <w:szCs w:val="18"/>
              </w:rPr>
              <w:t xml:space="preserve">190363.04 </w:t>
            </w:r>
            <w:r>
              <w:rPr>
                <w:color w:val="000000"/>
                <w:spacing w:val="0"/>
                <w:w w:val="100"/>
                <w:position w:val="0"/>
              </w:rPr>
              <w:t>元； 二、驳回申请人 徐姗的其他仲裁 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披露《关于公 司诉讼进展 的公告》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2021-108)</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罗轲与广东文化 长城集团股份有 限公司，蔡廷祥， 蔡雪凯，吴淡珠证 券虚假陈述责任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 xml:space="preserve">日 披露《关于公 司诉讼进展 及新增诉讼 事项的公告》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2022-013 </w:t>
            </w:r>
            <w:r>
              <w:rPr>
                <w:rFonts w:ascii="Times New Roman" w:eastAsia="Times New Roman" w:hAnsi="Times New Roman" w:cs="Times New Roman"/>
                <w:color w:val="000000"/>
                <w:spacing w:val="0"/>
                <w:w w:val="100"/>
                <w:position w:val="0"/>
                <w:sz w:val="18"/>
                <w:szCs w:val="18"/>
              </w:rPr>
              <w:t>)</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卓建生与广东文 化长城集团股份 有限公司，蔡廷 祥，蔡雪凯，吴淡 珠证券虚假陈述 责任纠纷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 xml:space="preserve">日 披露《关于公 司诉讼进展 及新增诉讼 事项的公告》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2022-013 </w:t>
            </w:r>
            <w:r>
              <w:rPr>
                <w:rFonts w:ascii="Times New Roman" w:eastAsia="Times New Roman" w:hAnsi="Times New Roman" w:cs="Times New Roman"/>
                <w:color w:val="000000"/>
                <w:spacing w:val="0"/>
                <w:w w:val="100"/>
                <w:position w:val="0"/>
                <w:sz w:val="18"/>
                <w:szCs w:val="18"/>
              </w:rPr>
              <w:t>)</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陈艳芳与广东文 化长城集团股份 有限公司</w:t>
            </w:r>
            <w:r>
              <w:rPr>
                <w:color w:val="000000"/>
                <w:spacing w:val="0"/>
                <w:w w:val="100"/>
                <w:position w:val="0"/>
                <w:sz w:val="18"/>
                <w:szCs w:val="18"/>
              </w:rPr>
              <w:t>，</w:t>
            </w:r>
            <w:r>
              <w:rPr>
                <w:color w:val="000000"/>
                <w:spacing w:val="0"/>
                <w:w w:val="100"/>
                <w:position w:val="0"/>
              </w:rPr>
              <w:t>蔡廷祥、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披露《关于公</w:t>
            </w:r>
          </w:p>
        </w:tc>
      </w:tr>
    </w:tbl>
    <w:p>
      <w:pPr>
        <w:widowControl w:val="0"/>
        <w:spacing w:line="1" w:lineRule="exact"/>
      </w:pPr>
      <w:r>
        <w:br w:type="page"/>
      </w:r>
    </w:p>
    <w:tbl>
      <w:tblPr>
        <w:tblOverlap w:val="never"/>
        <w:jc w:val="center"/>
        <w:tblLayout w:type="fixed"/>
      </w:tblPr>
      <w:tblGrid>
        <w:gridCol w:w="1464"/>
        <w:gridCol w:w="1080"/>
        <w:gridCol w:w="1272"/>
        <w:gridCol w:w="950"/>
        <w:gridCol w:w="1392"/>
        <w:gridCol w:w="1272"/>
        <w:gridCol w:w="1080"/>
        <w:gridCol w:w="109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许高镭、任锋证券 虚假陈述责任纠 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司诉讼事项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的进展公告》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2022-041 </w:t>
            </w:r>
            <w:r>
              <w:rPr>
                <w:rFonts w:ascii="Times New Roman" w:eastAsia="Times New Roman" w:hAnsi="Times New Roman" w:cs="Times New Roman"/>
                <w:color w:val="000000"/>
                <w:spacing w:val="0"/>
                <w:w w:val="100"/>
                <w:position w:val="0"/>
                <w:sz w:val="18"/>
                <w:szCs w:val="18"/>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陈治辉与广东文 化长城集团股份 有限公司</w:t>
            </w:r>
            <w:r>
              <w:rPr>
                <w:color w:val="000000"/>
                <w:spacing w:val="0"/>
                <w:w w:val="100"/>
                <w:position w:val="0"/>
                <w:sz w:val="18"/>
                <w:szCs w:val="18"/>
              </w:rPr>
              <w:t>，</w:t>
            </w:r>
            <w:r>
              <w:rPr>
                <w:color w:val="000000"/>
                <w:spacing w:val="0"/>
                <w:w w:val="100"/>
                <w:position w:val="0"/>
              </w:rPr>
              <w:t>蔡廷祥、 许高镭、任锋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券虚假陈述责任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2022-041 </w:t>
            </w:r>
            <w:r>
              <w:rPr>
                <w:rFonts w:ascii="Times New Roman" w:eastAsia="Times New Roman" w:hAnsi="Times New Roman" w:cs="Times New Roman"/>
                <w:color w:val="000000"/>
                <w:spacing w:val="0"/>
                <w:w w:val="100"/>
                <w:position w:val="0"/>
                <w:sz w:val="18"/>
                <w:szCs w:val="18"/>
              </w:rPr>
              <w:t>）</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新余智趣资产管 理合伙企业（有限 合伙）与广东文化 长城集团股份有 限公司股权转让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披露法院《关 于公司诉讼 事项的进展 暨公司资产 被拍卖的进 展公告》</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2022-023）</w:t>
            </w:r>
          </w:p>
        </w:tc>
      </w:tr>
      <w:tr>
        <w:trPr>
          <w:trHeight w:val="4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北京完美空间教 育科技有限公司 与厦门国际银行 股份有限公司珠 海分行</w:t>
            </w:r>
            <w:r>
              <w:rPr>
                <w:color w:val="000000"/>
                <w:spacing w:val="0"/>
                <w:w w:val="100"/>
                <w:position w:val="0"/>
                <w:sz w:val="18"/>
                <w:szCs w:val="18"/>
              </w:rPr>
              <w:t>，</w:t>
            </w:r>
            <w:r>
              <w:rPr>
                <w:color w:val="000000"/>
                <w:spacing w:val="0"/>
                <w:w w:val="100"/>
                <w:position w:val="0"/>
              </w:rPr>
              <w:t>厦门国际 银行股份有限公 司珠海凤凰北支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招商银行股份 有限公司苏州分 行；追加第三人： 广东文化长城集 团股份有限公司 债权人代位权纠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准许原告北京完 美空间教育科技 有限公司撒回对 被告招商银行股 份有限公司苏州 分行的起诉。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 露法院《关于 公司诉讼事 项的进展公 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2022-057）</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安卓易（北京）科 技有限公司与广 东文化长城集团 股份有限公司</w:t>
            </w:r>
            <w:r>
              <w:rPr>
                <w:color w:val="000000"/>
                <w:spacing w:val="0"/>
                <w:w w:val="100"/>
                <w:position w:val="0"/>
                <w:sz w:val="18"/>
                <w:szCs w:val="18"/>
              </w:rPr>
              <w:t>，</w:t>
            </w:r>
            <w:r>
              <w:rPr>
                <w:color w:val="000000"/>
                <w:spacing w:val="0"/>
                <w:w w:val="100"/>
                <w:position w:val="0"/>
              </w:rPr>
              <w:t>蔡 廷祥合同纠纷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撤回起诉 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披露法院《关 于公司诉讼 事项的进展 公告》</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2022-079）</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嘉兴卓智股权投 资合伙企业（有限 合伙）与广东文化 长城集团股份有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撤回起诉 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披露《关于公 司诉讼事项</w:t>
            </w:r>
          </w:p>
        </w:tc>
      </w:tr>
    </w:tbl>
    <w:p>
      <w:pPr>
        <w:widowControl w:val="0"/>
        <w:spacing w:line="1" w:lineRule="exact"/>
      </w:pPr>
      <w:r>
        <w:br w:type="page"/>
      </w:r>
    </w:p>
    <w:tbl>
      <w:tblPr>
        <w:tblOverlap w:val="never"/>
        <w:jc w:val="center"/>
        <w:tblLayout w:type="fixed"/>
      </w:tblPr>
      <w:tblGrid>
        <w:gridCol w:w="1464"/>
        <w:gridCol w:w="1075"/>
        <w:gridCol w:w="1277"/>
        <w:gridCol w:w="950"/>
        <w:gridCol w:w="1392"/>
        <w:gridCol w:w="1272"/>
        <w:gridCol w:w="1080"/>
        <w:gridCol w:w="109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限公司、蔡廷祥合 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的进展公告》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2022-079）</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新余邦得投资合 伙企业（有限合 伙）与广东文化长 城集团股份有限 公司股权转让纠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披露《关于公 司诉讼事项 的进展公告》</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2022-041）</w:t>
            </w:r>
          </w:p>
        </w:tc>
      </w:tr>
      <w:tr>
        <w:trPr>
          <w:trHeight w:val="22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深圳普方达源力 投资中心（有限合 伙）与广州隽隆贸 易有限公司、广东 文化长城集团股 份有限公司债权 人撤销权纠纷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披露《关于公 司诉讼事项 及其进展公 告》</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2022-066 </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443" w:name="bookmark443"/>
      <w:bookmarkStart w:id="444" w:name="bookmark444"/>
      <w:bookmarkStart w:id="445" w:name="bookmark445"/>
      <w:r>
        <w:rPr>
          <w:color w:val="000000"/>
          <w:spacing w:val="0"/>
          <w:w w:val="100"/>
          <w:position w:val="0"/>
        </w:rPr>
        <w:t>十二、处罚及整改情况</w:t>
      </w:r>
      <w:bookmarkEnd w:id="443"/>
      <w:bookmarkEnd w:id="444"/>
      <w:bookmarkEnd w:id="445"/>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73"/>
        <w:gridCol w:w="1368"/>
        <w:gridCol w:w="1368"/>
        <w:gridCol w:w="1358"/>
        <w:gridCol w:w="13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广东文化长城集 团股份有限公 司、蔡廷祥、罗 晨鹏、佃树钦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广东文化长城集 团股份有限公司 及相关当事人存 在违规行为：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（一）重大会计 差错更正；（二） 业绩预告、业绩 快报披露不准确 且修正不及时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被证券交易所采 取纪律处分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一、对广东文化 长城集团股份有 限公司给予公开 谴责的处分；二、 对广东文化长城 集团股份有限公 司董事长兼总经 理蔡廷祥、时任 财务总监罗晨鹏 给予公开谴责的 处分；三、对广 东文化长城集团 股份有限公司时 任财务总监佃树 钦给予通报批评 的处分。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深交所官网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"http://www.szs" </w:instrText>
            </w:r>
            <w:r>
              <w:fldChar w:fldCharType="separate"/>
            </w:r>
            <w:r>
              <w:rPr>
                <w:rFonts w:ascii="Times New Roman" w:eastAsia="Times New Roman" w:hAnsi="Times New Roman" w:cs="Times New Roman"/>
                <w:color w:val="000000"/>
                <w:spacing w:val="0"/>
                <w:w w:val="100"/>
                <w:position w:val="0"/>
                <w:sz w:val="18"/>
                <w:szCs w:val="18"/>
              </w:rPr>
              <w:t>http://www.szs</w:t>
            </w:r>
            <w:r>
              <w:fldChar w:fldCharType="end"/>
            </w:r>
            <w:r>
              <w:rPr>
                <w:rFonts w:ascii="Times New Roman" w:eastAsia="Times New Roman" w:hAnsi="Times New Roman" w:cs="Times New Roman"/>
                <w:color w:val="000000"/>
                <w:spacing w:val="0"/>
                <w:w w:val="100"/>
                <w:position w:val="0"/>
                <w:sz w:val="18"/>
                <w:szCs w:val="18"/>
              </w:rPr>
              <w:t xml:space="preserve"> e.cn</w:t>
            </w:r>
            <w:r>
              <w:rPr>
                <w:color w:val="000000"/>
                <w:spacing w:val="0"/>
                <w:w w:val="100"/>
                <w:position w:val="0"/>
              </w:rPr>
              <w:t>）</w:t>
            </w:r>
            <w:r>
              <w:rPr>
                <w:color w:val="000000"/>
                <w:spacing w:val="0"/>
                <w:w w:val="100"/>
                <w:position w:val="0"/>
              </w:rPr>
              <w:t>公告的《关 于对广东文化长 城集团股份有限 公司及相关当事 人给予纪律处分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的决定》</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广东文化长城集 团股份有限公 司、蔡廷祥、任 锋、罗晨鹏、佃 树钦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广东文化长城集 团股份有限公司 及相关当事人存 在违规行为：一、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年年报披 露不准确。二、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中国证监会采取 行政监管措施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蔡廷祥作为文化 长城董事长，总 经理，任锋作为 公司时任董事会 秘书，罗晨鹏和 佃树钦作为公司 时任财务总监，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日在指定网 站巨潮资讯网</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）披 露《关于收到广 东证监局行政监</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58"/>
        <w:gridCol w:w="1392"/>
      </w:tblGrid>
      <w:tr>
        <w:trPr>
          <w:trHeight w:val="72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报相关信息披露 不准确、修正不 及时。三、未披 露重大股权交易 进展情况。四、 重大合同相关信 息披露不真实、 不准确。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未按照《上市公 司信息披露管理 办法》第三条的 规定履行勤勉义 务，其中，蔡廷 祥和任锋对公司 上述违规行为负 有主要责任，罗 晨鹏对上述第一 项违规行为负有 主要责任，佃树 钦对上述第二项 违规行为负有主 要责任。根据《上 市公司信息披露 管理办法》第五 十九条的规定， 我局决定对文化 长城、蔡廷祥、 任锋、罗晨鹏、 佃树钦采取出具 警示函的行政监 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管决定书的公 告》（公告编号： </w:t>
            </w: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w:t>
            </w: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广东文化长城集 团股份有限公 司、蔡廷祥、许 高镭、任锋、蔡 雪凯、吴淡珠、 罗晨鹏、谢建歆、 金永丽、陈伟雄、 谢洁、高洪星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经查明，有关当 事人违法的主要 事实如下：一、 文化长城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年度报告、</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年半年度报告未 按规定披露对外 担保，存在重大 遗漏；二、文化 长城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 度报告、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年度报告未按规 定披露控股股东 等关联方非经营 性占用资金的关 联交易情况，存 在重大遗漏；三、 文化长城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年度报告虚增营 业收入及利润，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被中国证监会立</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案调查或行政处 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一对广东文化长 城集团股份有限 公司给予警告， 并处以</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万元罚 款；二对蔡廷祥 给予警告，并处 以</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万元罚款， 其中对其作为直 接负责的主管人 员处以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万元罚 款，对其作为实 际控制人处以</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万元罚款；三、 对许高镭给予警 告，并处以</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 元罚款；四、对 任锋、蔡雪凯给 予警告，并分别 处以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万元罚 款；五、对吴淡 珠、罗晨鹏给予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日在指定网 站巨潮资讯网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）披 露《关于收到中 国证监会广东监 管局《行政处罚 决定书》、《市场 禁入决定书》的 公告》（公告编 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58"/>
        <w:gridCol w:w="1392"/>
      </w:tblGrid>
      <w:tr>
        <w:trPr>
          <w:trHeight w:val="47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存在虚假记载； 四、文化长城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年内部控制 评价报告未如实 披露对翡翠教育 失去控制权情 况，存在虚假记 载；五、文化长 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日对深交所的回 复公告存在虚假 记载；六、文化 长城未及时披露 子公司股权转让 重大变化情况；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警告，并分别处 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万元罚款； 六、对谢建歆、 金永丽、陈伟雄、 谢洁给予警告， 并分别处以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 元罚款；七、对 高洪星给予警 告，并处以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 元罚款；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蔡廷祥、许高镭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经查明，有关当 事人违法的主要 事实如下：一、 文化长城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年度报告、</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年半年度报告未 按规定披露对外 担保，存在重大 遗漏；二、文化 长城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 度报告、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年度报告未按规 定披露控股股东 等关联方非经营 性占用资金的关 联交易情况，存 在重大遗漏；三、 文化长城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年度报告虚增营 业收入及利润， 存在虚假记载； 四、文化长城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年内部控制 评价报告未如实 披露对翡翠教育 失去控制权情 况，存在虚假记 载；五、文化长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被采取市场禁入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根据当事人违法 行为的事实、性 质、情节与社会 危害程度，依据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年《证券法》 第二百三十三条 和《证券市场禁 入规定》</w:t>
            </w:r>
            <w:r>
              <w:rPr>
                <w:color w:val="000000"/>
                <w:spacing w:val="0"/>
                <w:w w:val="100"/>
                <w:position w:val="0"/>
                <w:sz w:val="18"/>
                <w:szCs w:val="18"/>
              </w:rPr>
              <w:t>（</w:t>
            </w:r>
            <w:r>
              <w:rPr>
                <w:color w:val="000000"/>
                <w:spacing w:val="0"/>
                <w:w w:val="100"/>
                <w:position w:val="0"/>
              </w:rPr>
              <w:t>证监会 令第</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 条第一项及第五 条的规定，我局 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一、对蔡廷 祥采取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年证券 市场禁入措施； 二、对许高镭采 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年证券市场 禁入措施。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日在指定网 站巨潮资讯网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nfo.com.cn</w:t>
            </w:r>
            <w:r>
              <w:rPr>
                <w:color w:val="000000"/>
                <w:spacing w:val="0"/>
                <w:w w:val="100"/>
                <w:position w:val="0"/>
              </w:rPr>
              <w:t>）披 露《关于收到中 国证监会广东监 管局《行政处罚 决定书》、《市场 禁入决定书》的 公告》（公告编 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bl>
    <w:p>
      <w:pPr>
        <w:widowControl w:val="0"/>
        <w:spacing w:line="1" w:lineRule="exact"/>
      </w:pPr>
    </w:p>
    <w:tbl>
      <w:tblPr>
        <w:tblOverlap w:val="never"/>
        <w:jc w:val="center"/>
        <w:tblLayout w:type="fixed"/>
      </w:tblPr>
      <w:tblGrid>
        <w:gridCol w:w="1378"/>
        <w:gridCol w:w="1368"/>
        <w:gridCol w:w="1373"/>
        <w:gridCol w:w="1368"/>
        <w:gridCol w:w="1368"/>
        <w:gridCol w:w="1358"/>
        <w:gridCol w:w="1392"/>
      </w:tblGrid>
      <w:tr>
        <w:trPr>
          <w:trHeight w:val="22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日对深交所的回 复公告存在虚假 记载；六、文化 长城未及时披露 子公司股权转让 重大变化情况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以上的股东违规买卖公司股票情况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r>
        <w:rPr>
          <w:color w:val="000000"/>
          <w:spacing w:val="0"/>
          <w:w w:val="100"/>
          <w:position w:val="0"/>
        </w:rPr>
        <w:t>十三、公司及其控股股东、实际控制人的诚信状况</w:t>
      </w:r>
      <w:bookmarkEnd w:id="446"/>
      <w:bookmarkEnd w:id="447"/>
      <w:bookmarkEnd w:id="448"/>
    </w:p>
    <w:p>
      <w:pPr>
        <w:pStyle w:val="Style16"/>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公司及控股股东存在未履行法院生效判决、所负数额较大的债务等情况。</w:t>
      </w:r>
    </w:p>
    <w:p>
      <w:pPr>
        <w:pStyle w:val="Style19"/>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r>
        <w:rPr>
          <w:color w:val="000000"/>
          <w:spacing w:val="0"/>
          <w:w w:val="100"/>
          <w:position w:val="0"/>
        </w:rPr>
        <w:t>十四、重大关联交易</w:t>
      </w:r>
      <w:bookmarkEnd w:id="449"/>
      <w:bookmarkEnd w:id="450"/>
      <w:bookmarkEnd w:id="451"/>
    </w:p>
    <w:p>
      <w:pPr>
        <w:pStyle w:val="Style23"/>
        <w:keepNext/>
        <w:keepLines/>
        <w:widowControl w:val="0"/>
        <w:shd w:val="clear" w:color="auto" w:fill="auto"/>
        <w:tabs>
          <w:tab w:pos="358" w:val="left"/>
        </w:tabs>
        <w:bidi w:val="0"/>
        <w:spacing w:before="0" w:after="22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w:t>
        <w:tab/>
        <w:t>与日常经营相关的关联交易</w:t>
      </w:r>
      <w:bookmarkEnd w:id="452"/>
      <w:bookmarkEnd w:id="453"/>
      <w:bookmarkEnd w:id="455"/>
    </w:p>
    <w:p>
      <w:pPr>
        <w:pStyle w:val="Style1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公司报告期未发生与日常经营相关的关联交易。</w:t>
      </w:r>
    </w:p>
    <w:p>
      <w:pPr>
        <w:pStyle w:val="Style23"/>
        <w:keepNext/>
        <w:keepLines/>
        <w:widowControl w:val="0"/>
        <w:shd w:val="clear" w:color="auto" w:fill="auto"/>
        <w:tabs>
          <w:tab w:pos="368" w:val="left"/>
        </w:tabs>
        <w:bidi w:val="0"/>
        <w:spacing w:before="0" w:after="22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w:t>
        <w:tab/>
        <w:t>资产或股权收购、出售发生的关联交易</w:t>
      </w:r>
      <w:bookmarkEnd w:id="456"/>
      <w:bookmarkEnd w:id="457"/>
      <w:bookmarkEnd w:id="459"/>
    </w:p>
    <w:p>
      <w:pPr>
        <w:pStyle w:val="Style1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公司报告期未发生资产或股权收购、出售的关联交易。</w:t>
      </w:r>
    </w:p>
    <w:p>
      <w:pPr>
        <w:pStyle w:val="Style23"/>
        <w:keepNext/>
        <w:keepLines/>
        <w:widowControl w:val="0"/>
        <w:shd w:val="clear" w:color="auto" w:fill="auto"/>
        <w:tabs>
          <w:tab w:pos="368" w:val="left"/>
        </w:tabs>
        <w:bidi w:val="0"/>
        <w:spacing w:before="0" w:after="22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3</w:t>
      </w:r>
      <w:bookmarkEnd w:id="462"/>
      <w:r>
        <w:rPr>
          <w:color w:val="000000"/>
          <w:spacing w:val="0"/>
          <w:w w:val="100"/>
          <w:position w:val="0"/>
        </w:rPr>
        <w:t>、</w:t>
        <w:tab/>
        <w:t>共同对外投资的关联交易</w:t>
      </w:r>
      <w:bookmarkEnd w:id="460"/>
      <w:bookmarkEnd w:id="461"/>
      <w:bookmarkEnd w:id="463"/>
    </w:p>
    <w:p>
      <w:pPr>
        <w:pStyle w:val="Style16"/>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公司报告期未发生共同对外投资的关联交易。</w:t>
      </w:r>
    </w:p>
    <w:p>
      <w:pPr>
        <w:pStyle w:val="Style23"/>
        <w:keepNext/>
        <w:keepLines/>
        <w:widowControl w:val="0"/>
        <w:shd w:val="clear" w:color="auto" w:fill="auto"/>
        <w:tabs>
          <w:tab w:pos="368" w:val="left"/>
        </w:tabs>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4</w:t>
      </w:r>
      <w:bookmarkEnd w:id="466"/>
      <w:r>
        <w:rPr>
          <w:color w:val="000000"/>
          <w:spacing w:val="0"/>
          <w:w w:val="100"/>
          <w:position w:val="0"/>
        </w:rPr>
        <w:t>、</w:t>
        <w:tab/>
        <w:t>关联债权债务往来</w:t>
      </w:r>
      <w:bookmarkEnd w:id="464"/>
      <w:bookmarkEnd w:id="465"/>
      <w:bookmarkEnd w:id="467"/>
    </w:p>
    <w:p>
      <w:pPr>
        <w:pStyle w:val="Style16"/>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365" w:lineRule="exact"/>
        <w:ind w:left="0" w:right="0" w:firstLine="0"/>
        <w:jc w:val="left"/>
      </w:pPr>
      <w:r>
        <w:rPr>
          <w:color w:val="000000"/>
          <w:spacing w:val="0"/>
          <w:w w:val="100"/>
          <w:position w:val="0"/>
        </w:rPr>
        <w:t>是否存在非经营性关联债权债务往来</w:t>
      </w:r>
    </w:p>
    <w:p>
      <w:pPr>
        <w:pStyle w:val="Style16"/>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60" w:line="365" w:lineRule="exact"/>
        <w:ind w:left="0" w:right="0" w:firstLine="0"/>
        <w:jc w:val="left"/>
      </w:pPr>
      <w:r>
        <w:rPr>
          <w:color w:val="000000"/>
          <w:spacing w:val="0"/>
          <w:w w:val="100"/>
          <w:position w:val="0"/>
        </w:rPr>
        <w:t>应收关联方债权</w:t>
      </w:r>
    </w:p>
    <w:tbl>
      <w:tblPr>
        <w:tblOverlap w:val="never"/>
        <w:jc w:val="center"/>
        <w:tblLayout w:type="fixed"/>
      </w:tblPr>
      <w:tblGrid>
        <w:gridCol w:w="950"/>
        <w:gridCol w:w="931"/>
        <w:gridCol w:w="960"/>
        <w:gridCol w:w="965"/>
        <w:gridCol w:w="965"/>
        <w:gridCol w:w="941"/>
        <w:gridCol w:w="970"/>
        <w:gridCol w:w="955"/>
        <w:gridCol w:w="960"/>
        <w:gridCol w:w="99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经营性资金</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1891"/>
        <w:gridCol w:w="769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p>
      <w:pPr>
        <w:widowControl w:val="0"/>
        <w:spacing w:line="1" w:lineRule="exact"/>
      </w:pPr>
    </w:p>
    <w:tbl>
      <w:tblPr>
        <w:tblOverlap w:val="never"/>
        <w:jc w:val="center"/>
        <w:tblLayout w:type="fixed"/>
      </w:tblPr>
      <w:tblGrid>
        <w:gridCol w:w="1171"/>
        <w:gridCol w:w="1037"/>
        <w:gridCol w:w="1042"/>
        <w:gridCol w:w="1046"/>
        <w:gridCol w:w="1046"/>
        <w:gridCol w:w="1046"/>
        <w:gridCol w:w="1042"/>
        <w:gridCol w:w="1046"/>
        <w:gridCol w:w="11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中联放心酒有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孙光亮先生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向关联方借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3"/>
        <w:keepNext/>
        <w:keepLines/>
        <w:widowControl w:val="0"/>
        <w:shd w:val="clear" w:color="auto" w:fill="auto"/>
        <w:tabs>
          <w:tab w:pos="368" w:val="left"/>
        </w:tabs>
        <w:bidi w:val="0"/>
        <w:spacing w:before="0" w:after="36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5</w:t>
      </w:r>
      <w:bookmarkEnd w:id="470"/>
      <w:r>
        <w:rPr>
          <w:color w:val="000000"/>
          <w:spacing w:val="0"/>
          <w:w w:val="100"/>
          <w:position w:val="0"/>
        </w:rPr>
        <w:t>、</w:t>
        <w:tab/>
        <w:t>与存在关联关系的财务公司的往来情况</w:t>
      </w:r>
      <w:bookmarkEnd w:id="468"/>
      <w:bookmarkEnd w:id="469"/>
      <w:bookmarkEnd w:id="471"/>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23"/>
        <w:keepNext/>
        <w:keepLines/>
        <w:widowControl w:val="0"/>
        <w:shd w:val="clear" w:color="auto" w:fill="auto"/>
        <w:tabs>
          <w:tab w:pos="368" w:val="left"/>
        </w:tabs>
        <w:bidi w:val="0"/>
        <w:spacing w:before="0" w:after="36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6</w:t>
      </w:r>
      <w:bookmarkEnd w:id="474"/>
      <w:r>
        <w:rPr>
          <w:color w:val="000000"/>
          <w:spacing w:val="0"/>
          <w:w w:val="100"/>
          <w:position w:val="0"/>
        </w:rPr>
        <w:t>、</w:t>
        <w:tab/>
        <w:t>公司控股的财务公司与关联方的往来情况</w:t>
      </w:r>
      <w:bookmarkEnd w:id="472"/>
      <w:bookmarkEnd w:id="473"/>
      <w:bookmarkEnd w:id="475"/>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公司控股的财务公司与关联方之间不存在存款、贷款、授信或其他金融业务。</w:t>
      </w:r>
    </w:p>
    <w:p>
      <w:pPr>
        <w:pStyle w:val="Style23"/>
        <w:keepNext/>
        <w:keepLines/>
        <w:widowControl w:val="0"/>
        <w:shd w:val="clear" w:color="auto" w:fill="auto"/>
        <w:tabs>
          <w:tab w:pos="368" w:val="left"/>
        </w:tabs>
        <w:bidi w:val="0"/>
        <w:spacing w:before="0" w:after="360" w:line="240"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7</w:t>
      </w:r>
      <w:bookmarkEnd w:id="478"/>
      <w:r>
        <w:rPr>
          <w:color w:val="000000"/>
          <w:spacing w:val="0"/>
          <w:w w:val="100"/>
          <w:position w:val="0"/>
        </w:rPr>
        <w:t>、</w:t>
        <w:tab/>
        <w:t>其他重大关联交易</w:t>
      </w:r>
      <w:bookmarkEnd w:id="476"/>
      <w:bookmarkEnd w:id="477"/>
      <w:bookmarkEnd w:id="479"/>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19"/>
        <w:keepNext/>
        <w:keepLines/>
        <w:widowControl w:val="0"/>
        <w:shd w:val="clear" w:color="auto" w:fill="auto"/>
        <w:bidi w:val="0"/>
        <w:spacing w:before="0" w:line="240" w:lineRule="auto"/>
        <w:ind w:left="0" w:right="0" w:firstLine="0"/>
        <w:jc w:val="both"/>
      </w:pPr>
      <w:bookmarkStart w:id="480" w:name="bookmark480"/>
      <w:bookmarkStart w:id="481" w:name="bookmark481"/>
      <w:bookmarkStart w:id="482" w:name="bookmark482"/>
      <w:r>
        <w:rPr>
          <w:color w:val="000000"/>
          <w:spacing w:val="0"/>
          <w:w w:val="100"/>
          <w:position w:val="0"/>
        </w:rPr>
        <w:t>十五、重大合同及其履行情况</w:t>
      </w:r>
      <w:bookmarkEnd w:id="480"/>
      <w:bookmarkEnd w:id="481"/>
      <w:bookmarkEnd w:id="482"/>
    </w:p>
    <w:p>
      <w:pPr>
        <w:pStyle w:val="Style23"/>
        <w:keepNext/>
        <w:keepLines/>
        <w:widowControl w:val="0"/>
        <w:shd w:val="clear" w:color="auto" w:fill="auto"/>
        <w:bidi w:val="0"/>
        <w:spacing w:before="0" w:after="360" w:line="240"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、托管、承包、租赁事项情况</w:t>
      </w:r>
      <w:bookmarkEnd w:id="483"/>
      <w:bookmarkEnd w:id="484"/>
      <w:bookmarkEnd w:id="486"/>
    </w:p>
    <w:p>
      <w:pPr>
        <w:pStyle w:val="Style29"/>
        <w:keepNext/>
        <w:keepLines/>
        <w:widowControl w:val="0"/>
        <w:shd w:val="clear" w:color="auto" w:fill="auto"/>
        <w:tabs>
          <w:tab w:pos="483" w:val="left"/>
        </w:tabs>
        <w:bidi w:val="0"/>
        <w:spacing w:before="0" w:after="36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w:t>
      </w:r>
      <w:bookmarkEnd w:id="48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87"/>
      <w:bookmarkEnd w:id="488"/>
      <w:bookmarkEnd w:id="490"/>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9"/>
        <w:keepNext/>
        <w:keepLines/>
        <w:widowControl w:val="0"/>
        <w:shd w:val="clear" w:color="auto" w:fill="auto"/>
        <w:tabs>
          <w:tab w:pos="483" w:val="left"/>
        </w:tabs>
        <w:bidi w:val="0"/>
        <w:spacing w:before="0" w:after="360" w:line="240" w:lineRule="auto"/>
        <w:ind w:left="0" w:right="0" w:firstLine="0"/>
        <w:jc w:val="both"/>
      </w:pPr>
      <w:bookmarkStart w:id="491" w:name="bookmark491"/>
      <w:bookmarkStart w:id="492" w:name="bookmark492"/>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1"/>
      <w:bookmarkEnd w:id="492"/>
      <w:bookmarkEnd w:id="494"/>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9"/>
        <w:keepNext/>
        <w:keepLines/>
        <w:widowControl w:val="0"/>
        <w:shd w:val="clear" w:color="auto" w:fill="auto"/>
        <w:tabs>
          <w:tab w:pos="483" w:val="left"/>
        </w:tabs>
        <w:bidi w:val="0"/>
        <w:spacing w:before="0" w:after="36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95"/>
      <w:bookmarkEnd w:id="496"/>
      <w:bookmarkEnd w:id="498"/>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3"/>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、重大担保</w:t>
      </w:r>
      <w:bookmarkEnd w:id="499"/>
      <w:bookmarkEnd w:id="500"/>
      <w:bookmarkEnd w:id="502"/>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6"/>
        <w:gridCol w:w="566"/>
        <w:gridCol w:w="365"/>
        <w:gridCol w:w="936"/>
        <w:gridCol w:w="922"/>
        <w:gridCol w:w="936"/>
        <w:gridCol w:w="926"/>
        <w:gridCol w:w="672"/>
        <w:gridCol w:w="802"/>
        <w:gridCol w:w="797"/>
        <w:gridCol w:w="802"/>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主债权项 下每个单 项协议签 订之日至 该笔债务 履行期限 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报告期末已审批的担保额度合 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pBdr>
          <w:top w:val="single" w:sz="0" w:space="1" w:color="D3D3D3"/>
          <w:left w:val="single" w:sz="0" w:space="0" w:color="D3D3D3"/>
          <w:bottom w:val="single" w:sz="0" w:space="6" w:color="D3D3D3"/>
          <w:right w:val="single" w:sz="0" w:space="0" w:color="D3D3D3"/>
        </w:pBdr>
        <w:shd w:val="clear" w:color="auto" w:fill="D3D3D3"/>
        <w:bidi w:val="0"/>
        <w:spacing w:before="0" w:after="40" w:line="240" w:lineRule="auto"/>
        <w:ind w:left="0" w:right="0" w:firstLine="0"/>
        <w:jc w:val="left"/>
      </w:pPr>
      <w:r>
        <w:rPr>
          <w:color w:val="000000"/>
          <w:spacing w:val="0"/>
          <w:w w:val="100"/>
          <w:position w:val="0"/>
        </w:rPr>
        <w:t>其中：</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23"/>
        <w:keepNext/>
        <w:keepLines/>
        <w:widowControl w:val="0"/>
        <w:shd w:val="clear" w:color="auto" w:fill="auto"/>
        <w:tabs>
          <w:tab w:pos="368"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委托他人进行现金资产管理情况</w:t>
      </w:r>
      <w:bookmarkEnd w:id="503"/>
      <w:bookmarkEnd w:id="504"/>
      <w:bookmarkEnd w:id="506"/>
    </w:p>
    <w:p>
      <w:pPr>
        <w:pStyle w:val="Style29"/>
        <w:keepNext/>
        <w:keepLines/>
        <w:widowControl w:val="0"/>
        <w:shd w:val="clear" w:color="auto" w:fill="auto"/>
        <w:tabs>
          <w:tab w:pos="483"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w:t>
      </w:r>
      <w:bookmarkEnd w:id="50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7"/>
      <w:bookmarkEnd w:id="508"/>
      <w:bookmarkEnd w:id="51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29"/>
        <w:keepNext/>
        <w:keepLines/>
        <w:widowControl w:val="0"/>
        <w:shd w:val="clear" w:color="auto" w:fill="auto"/>
        <w:tabs>
          <w:tab w:pos="483"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1"/>
      <w:bookmarkEnd w:id="512"/>
      <w:bookmarkEnd w:id="51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3"/>
        <w:keepNext/>
        <w:keepLines/>
        <w:widowControl w:val="0"/>
        <w:shd w:val="clear" w:color="auto" w:fill="auto"/>
        <w:tabs>
          <w:tab w:pos="36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其他重大合同</w:t>
      </w:r>
      <w:bookmarkEnd w:id="515"/>
      <w:bookmarkEnd w:id="516"/>
      <w:bookmarkEnd w:id="518"/>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380" w:line="312" w:lineRule="exact"/>
        <w:ind w:left="0" w:right="0" w:firstLine="0"/>
        <w:jc w:val="left"/>
      </w:pPr>
      <w:bookmarkStart w:id="519" w:name="bookmark519"/>
      <w:bookmarkStart w:id="520" w:name="bookmark520"/>
      <w:bookmarkStart w:id="521" w:name="bookmark521"/>
      <w:r>
        <w:rPr>
          <w:color w:val="000000"/>
          <w:spacing w:val="0"/>
          <w:w w:val="100"/>
          <w:position w:val="0"/>
        </w:rPr>
        <w:t>十六、其他重大事项的说明</w:t>
      </w:r>
      <w:bookmarkEnd w:id="519"/>
      <w:bookmarkEnd w:id="520"/>
      <w:bookmarkEnd w:id="521"/>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日收到中国证监会广东监管局对原董监高及公司出具的《行政处罚决定书》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号。</w:t>
      </w:r>
    </w:p>
    <w:p>
      <w:pPr>
        <w:pStyle w:val="Style19"/>
        <w:keepNext/>
        <w:keepLines/>
        <w:widowControl w:val="0"/>
        <w:shd w:val="clear" w:color="auto" w:fill="auto"/>
        <w:bidi w:val="0"/>
        <w:spacing w:before="0" w:after="380" w:line="312" w:lineRule="exact"/>
        <w:ind w:left="0" w:right="0" w:firstLine="0"/>
        <w:jc w:val="left"/>
      </w:pPr>
      <w:bookmarkStart w:id="522" w:name="bookmark522"/>
      <w:bookmarkStart w:id="523" w:name="bookmark523"/>
      <w:bookmarkStart w:id="524" w:name="bookmark524"/>
      <w:r>
        <w:rPr>
          <w:color w:val="000000"/>
          <w:spacing w:val="0"/>
          <w:w w:val="100"/>
          <w:position w:val="0"/>
        </w:rPr>
        <w:t>十七、公司子公司重大事项</w:t>
      </w:r>
      <w:bookmarkEnd w:id="522"/>
      <w:bookmarkEnd w:id="523"/>
      <w:bookmarkEnd w:id="52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60" w:line="240" w:lineRule="auto"/>
        <w:ind w:left="0" w:right="0" w:firstLine="0"/>
        <w:jc w:val="center"/>
      </w:pPr>
      <w:bookmarkStart w:id="525" w:name="bookmark525"/>
      <w:bookmarkStart w:id="526" w:name="bookmark526"/>
      <w:bookmarkStart w:id="527" w:name="bookmark527"/>
      <w:r>
        <w:rPr>
          <w:color w:val="000000"/>
          <w:spacing w:val="0"/>
          <w:w w:val="100"/>
          <w:position w:val="0"/>
        </w:rPr>
        <w:t>第七节股份变动及股东情况</w:t>
      </w:r>
      <w:bookmarkEnd w:id="525"/>
      <w:bookmarkEnd w:id="526"/>
      <w:bookmarkEnd w:id="527"/>
    </w:p>
    <w:p>
      <w:pPr>
        <w:pStyle w:val="Style19"/>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一</w:t>
      </w:r>
      <w:bookmarkEnd w:id="530"/>
      <w:r>
        <w:rPr>
          <w:color w:val="000000"/>
          <w:spacing w:val="0"/>
          <w:w w:val="100"/>
          <w:position w:val="0"/>
        </w:rPr>
        <w:t>、股份变动情况</w:t>
      </w:r>
      <w:bookmarkEnd w:id="528"/>
      <w:bookmarkEnd w:id="529"/>
      <w:bookmarkEnd w:id="531"/>
    </w:p>
    <w:p>
      <w:pPr>
        <w:pStyle w:val="Style23"/>
        <w:keepNext/>
        <w:keepLines/>
        <w:widowControl w:val="0"/>
        <w:shd w:val="clear" w:color="auto" w:fill="auto"/>
        <w:bidi w:val="0"/>
        <w:spacing w:before="0" w:after="36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、股份变动情况</w:t>
      </w:r>
      <w:bookmarkEnd w:id="532"/>
      <w:bookmarkEnd w:id="533"/>
      <w:bookmarkEnd w:id="53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1"/>
        <w:gridCol w:w="811"/>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199,515,4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-124,085, </w:t>
            </w: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-124,085, </w:t>
            </w: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75,429,93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199,515,4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-124,085, </w:t>
            </w: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-124,085, </w:t>
            </w: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75,429,93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141,439,6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-124,085, </w:t>
            </w: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-124,085, </w:t>
            </w: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281,541,4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405,626,9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281,541,4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405,626,9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股份变动的原因</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40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、限售股份变动情况</w:t>
      </w:r>
      <w:bookmarkEnd w:id="536"/>
      <w:bookmarkEnd w:id="537"/>
      <w:bookmarkEnd w:id="539"/>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9"/>
        <w:gridCol w:w="1493"/>
        <w:gridCol w:w="1488"/>
        <w:gridCol w:w="1488"/>
        <w:gridCol w:w="1493"/>
        <w:gridCol w:w="1200"/>
        <w:gridCol w:w="121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拟解除限售日 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rPr>
              <w:t>曰心么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1,136,153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广州商融投资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新余信公鑫睿 资产管理合伙 企业（有限合 伙）一新余信 公成长新兴资 产管理合伙企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共青城纳隆德 投资管理合伙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深圳普方达源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力投资中心</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3,231,392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安卓易（北京）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嘉兴卓智股权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非公开发行股 份限售股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bl>
    <w:p>
      <w:pPr>
        <w:widowControl w:val="0"/>
        <w:spacing w:line="1" w:lineRule="exact"/>
      </w:pPr>
      <w:r>
        <w:br w:type="page"/>
      </w:r>
    </w:p>
    <w:tbl>
      <w:tblPr>
        <w:tblOverlap w:val="never"/>
        <w:jc w:val="center"/>
        <w:tblLayout w:type="fixed"/>
      </w:tblPr>
      <w:tblGrid>
        <w:gridCol w:w="1219"/>
        <w:gridCol w:w="1493"/>
        <w:gridCol w:w="1488"/>
        <w:gridCol w:w="1488"/>
        <w:gridCol w:w="1493"/>
        <w:gridCol w:w="1200"/>
        <w:gridCol w:w="121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新余创思资产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管理合伙企业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2,154,209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新余卓趣资本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管理合伙企业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宁波梅山保税 港区御泓投资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新余邦得投资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北京虹佳龙文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化传播有限公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按重组协议进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199,515,410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124,085,472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75,429,938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19"/>
        <w:keepNext/>
        <w:keepLines/>
        <w:widowControl w:val="0"/>
        <w:shd w:val="clear" w:color="auto" w:fill="auto"/>
        <w:tabs>
          <w:tab w:pos="517"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二</w:t>
      </w:r>
      <w:bookmarkEnd w:id="542"/>
      <w:r>
        <w:rPr>
          <w:color w:val="000000"/>
          <w:spacing w:val="0"/>
          <w:w w:val="100"/>
          <w:position w:val="0"/>
        </w:rPr>
        <w:t>、</w:t>
        <w:tab/>
        <w:t>证券发行与上市情况</w:t>
      </w:r>
      <w:bookmarkEnd w:id="540"/>
      <w:bookmarkEnd w:id="541"/>
      <w:bookmarkEnd w:id="543"/>
    </w:p>
    <w:p>
      <w:pPr>
        <w:pStyle w:val="Style23"/>
        <w:keepNext/>
        <w:keepLines/>
        <w:widowControl w:val="0"/>
        <w:shd w:val="clear" w:color="auto" w:fill="auto"/>
        <w:tabs>
          <w:tab w:pos="358" w:val="left"/>
        </w:tabs>
        <w:bidi w:val="0"/>
        <w:spacing w:before="0" w:after="36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w:t>
        <w:tab/>
        <w:t>报告期内证券发行（不含优先股）情况</w:t>
      </w:r>
      <w:bookmarkEnd w:id="544"/>
      <w:bookmarkEnd w:id="545"/>
      <w:bookmarkEnd w:id="54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after="36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w:t>
        <w:tab/>
        <w:t>公司股份总数及股东结构的变动、公司资产和负债结构的变动情况说明</w:t>
      </w:r>
      <w:bookmarkEnd w:id="548"/>
      <w:bookmarkEnd w:id="549"/>
      <w:bookmarkEnd w:id="55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after="3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现存的内部职工股情况</w:t>
      </w:r>
      <w:bookmarkEnd w:id="552"/>
      <w:bookmarkEnd w:id="553"/>
      <w:bookmarkEnd w:id="555"/>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三</w:t>
      </w:r>
      <w:bookmarkEnd w:id="558"/>
      <w:r>
        <w:rPr>
          <w:color w:val="000000"/>
          <w:spacing w:val="0"/>
          <w:w w:val="100"/>
          <w:position w:val="0"/>
        </w:rPr>
        <w:t>、</w:t>
        <w:tab/>
        <w:t>股东和实际控制人情况</w:t>
      </w:r>
      <w:bookmarkEnd w:id="556"/>
      <w:bookmarkEnd w:id="557"/>
      <w:bookmarkEnd w:id="559"/>
    </w:p>
    <w:p>
      <w:pPr>
        <w:pStyle w:val="Style23"/>
        <w:keepNext/>
        <w:keepLines/>
        <w:widowControl w:val="0"/>
        <w:shd w:val="clear" w:color="auto" w:fill="auto"/>
        <w:bidi w:val="0"/>
        <w:spacing w:before="0" w:after="36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、公司股东数量及持股情况</w:t>
      </w:r>
      <w:bookmarkEnd w:id="560"/>
      <w:bookmarkEnd w:id="561"/>
      <w:bookmarkEnd w:id="56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84"/>
        <w:gridCol w:w="758"/>
        <w:gridCol w:w="878"/>
        <w:gridCol w:w="864"/>
        <w:gridCol w:w="874"/>
        <w:gridCol w:w="1637"/>
        <w:gridCol w:w="864"/>
        <w:gridCol w:w="864"/>
        <w:gridCol w:w="874"/>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表决权恢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股股东总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持有特别 表决权股 份的股东 总数（如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070"/>
        <w:gridCol w:w="758"/>
        <w:gridCol w:w="878"/>
        <w:gridCol w:w="864"/>
        <w:gridCol w:w="874"/>
        <w:gridCol w:w="1637"/>
        <w:gridCol w:w="874"/>
        <w:gridCol w:w="941"/>
      </w:tblGrid>
      <w:tr>
        <w:trPr>
          <w:trHeight w:val="99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普通股 股东总 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数（如有）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有）</w:t>
            </w: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bl>
      <w:tblPr>
        <w:tblOverlap w:val="never"/>
        <w:jc w:val="center"/>
        <w:tblLayout w:type="fixed"/>
      </w:tblPr>
      <w:tblGrid>
        <w:gridCol w:w="994"/>
        <w:gridCol w:w="984"/>
        <w:gridCol w:w="758"/>
        <w:gridCol w:w="878"/>
        <w:gridCol w:w="864"/>
        <w:gridCol w:w="874"/>
        <w:gridCol w:w="758"/>
        <w:gridCol w:w="1742"/>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数量</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141,199,800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钱小盘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17,364,936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-1883700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17,354,178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17,364,936</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11,302,989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14,850,000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14,850,000</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宁波梅山保 税港区御泓 投资合伙企 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14,186,505</w:t>
            </w:r>
          </w:p>
        </w:tc>
      </w:tr>
      <w:tr>
        <w:trPr>
          <w:trHeight w:val="3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安卓易（北 京）科技有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境内非国有 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11,551,063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11,551,063</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11,551,063</w:t>
            </w: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11475600.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嘉兴卓智股</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权投资合伙 企业（有限 合伙）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11,079,104</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11,079,104</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11,079,104</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11,079,104</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新余信公鑫 睿资产管理 合伙企业</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（有限合 伙）一新余 信公成长新 兴资产管理 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984"/>
        <w:gridCol w:w="758"/>
        <w:gridCol w:w="878"/>
        <w:gridCol w:w="864"/>
        <w:gridCol w:w="874"/>
        <w:gridCol w:w="758"/>
        <w:gridCol w:w="1742"/>
        <w:gridCol w:w="173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公司股东蔡廷祥先生将其持有公司</w:t>
            </w:r>
            <w:r>
              <w:rPr>
                <w:rFonts w:ascii="Times New Roman" w:eastAsia="Times New Roman" w:hAnsi="Times New Roman" w:cs="Times New Roman"/>
                <w:color w:val="000000"/>
                <w:spacing w:val="0"/>
                <w:w w:val="100"/>
                <w:position w:val="0"/>
                <w:sz w:val="18"/>
                <w:szCs w:val="18"/>
              </w:rPr>
              <w:t>29.82%</w:t>
            </w:r>
            <w:r>
              <w:rPr>
                <w:color w:val="000000"/>
                <w:spacing w:val="0"/>
                <w:w w:val="100"/>
                <w:position w:val="0"/>
              </w:rPr>
              <w:t>股权对应的表决权委托给孙光亮先生；蔡廷祥和股东吴 淡珠为夫妻关系。除此之外，公司未知其他股东是否存在关联关系或一致行动关系。</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公司股东蔡廷祥先生将其持有公司</w:t>
            </w:r>
            <w:r>
              <w:rPr>
                <w:rFonts w:ascii="Times New Roman" w:eastAsia="Times New Roman" w:hAnsi="Times New Roman" w:cs="Times New Roman"/>
                <w:color w:val="000000"/>
                <w:spacing w:val="0"/>
                <w:w w:val="100"/>
                <w:position w:val="0"/>
                <w:sz w:val="18"/>
                <w:szCs w:val="18"/>
              </w:rPr>
              <w:t>29.82%</w:t>
            </w:r>
            <w:r>
              <w:rPr>
                <w:color w:val="000000"/>
                <w:spacing w:val="0"/>
                <w:w w:val="100"/>
                <w:position w:val="0"/>
              </w:rPr>
              <w:t>股权对应的表决权委托给孙光亮先生，同时股东吴淡珠 女士放弃表决权；具体情况详见公司于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日披露的《关于公司控股股东、实际控制 人签署《表决权委托协议》暨控股股东、实际控制人拟发生变更事项的公告》（公告编号：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rPr>
              <w:t>）。</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数量</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钱小盘</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18,185,807</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15,577,969</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14,850,000</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11,475,600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4,922,275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史娟华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3,243,005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叶伟波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2,889,844</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戈之铮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2,702,500</w:t>
            </w:r>
          </w:p>
        </w:tc>
      </w:tr>
      <w:tr>
        <w:trPr>
          <w:trHeight w:val="164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公司股东蔡廷祥先生将其持有公司</w:t>
            </w:r>
            <w:r>
              <w:rPr>
                <w:rFonts w:ascii="Times New Roman" w:eastAsia="Times New Roman" w:hAnsi="Times New Roman" w:cs="Times New Roman"/>
                <w:color w:val="000000"/>
                <w:spacing w:val="0"/>
                <w:w w:val="100"/>
                <w:position w:val="0"/>
                <w:sz w:val="18"/>
                <w:szCs w:val="18"/>
              </w:rPr>
              <w:t>29.82%</w:t>
            </w:r>
            <w:r>
              <w:rPr>
                <w:color w:val="000000"/>
                <w:spacing w:val="0"/>
                <w:w w:val="100"/>
                <w:position w:val="0"/>
              </w:rPr>
              <w:t>股权对应的表决权委托给孙光亮先生；股东蔡廷祥和股 东吴淡珠为夫妻关系。除此之外，公司未知其他股东是否存在关联关系或一致行动关系。</w:t>
            </w:r>
          </w:p>
        </w:tc>
      </w:tr>
      <w:tr>
        <w:trPr>
          <w:trHeight w:val="143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参与融资融券业务股东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情况说明（如有）（参见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8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公司股东钱小盘除通过普通证券账户持有</w:t>
            </w:r>
            <w:r>
              <w:rPr>
                <w:rFonts w:ascii="Times New Roman" w:eastAsia="Times New Roman" w:hAnsi="Times New Roman" w:cs="Times New Roman"/>
                <w:color w:val="000000"/>
                <w:spacing w:val="0"/>
                <w:w w:val="100"/>
                <w:position w:val="0"/>
                <w:sz w:val="18"/>
                <w:szCs w:val="18"/>
              </w:rPr>
              <w:t>6989058</w:t>
            </w:r>
            <w:r>
              <w:rPr>
                <w:color w:val="000000"/>
                <w:spacing w:val="0"/>
                <w:w w:val="100"/>
                <w:position w:val="0"/>
              </w:rPr>
              <w:t>股外，还通过东吴证券公司客户信用交易 担保证券账户持有</w:t>
            </w:r>
            <w:r>
              <w:rPr>
                <w:rFonts w:ascii="Times New Roman" w:eastAsia="Times New Roman" w:hAnsi="Times New Roman" w:cs="Times New Roman"/>
                <w:color w:val="000000"/>
                <w:spacing w:val="0"/>
                <w:w w:val="100"/>
                <w:position w:val="0"/>
                <w:sz w:val="18"/>
                <w:szCs w:val="18"/>
              </w:rPr>
              <w:t>11196749</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18185807</w:t>
            </w:r>
            <w:r>
              <w:rPr>
                <w:color w:val="000000"/>
                <w:spacing w:val="0"/>
                <w:w w:val="100"/>
                <w:position w:val="0"/>
              </w:rPr>
              <w:t>股。</w:t>
            </w:r>
          </w:p>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公司股东马劲除通过普通证券账户持有</w:t>
            </w:r>
            <w:r>
              <w:rPr>
                <w:rFonts w:ascii="Times New Roman" w:eastAsia="Times New Roman" w:hAnsi="Times New Roman" w:cs="Times New Roman"/>
                <w:color w:val="000000"/>
                <w:spacing w:val="0"/>
                <w:w w:val="100"/>
                <w:position w:val="0"/>
                <w:sz w:val="18"/>
                <w:szCs w:val="18"/>
              </w:rPr>
              <w:t>439000</w:t>
            </w:r>
            <w:r>
              <w:rPr>
                <w:color w:val="000000"/>
                <w:spacing w:val="0"/>
                <w:w w:val="100"/>
                <w:position w:val="0"/>
              </w:rPr>
              <w:t>股外，还通过国盛证券有限责任公司客户信用 交易担保证券账户持有</w:t>
            </w:r>
            <w:r>
              <w:rPr>
                <w:rFonts w:ascii="Times New Roman" w:eastAsia="Times New Roman" w:hAnsi="Times New Roman" w:cs="Times New Roman"/>
                <w:color w:val="000000"/>
                <w:spacing w:val="0"/>
                <w:w w:val="100"/>
                <w:position w:val="0"/>
                <w:sz w:val="18"/>
                <w:szCs w:val="18"/>
              </w:rPr>
              <w:t>4483275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4922275</w:t>
            </w:r>
            <w:r>
              <w:rPr>
                <w:color w:val="000000"/>
                <w:spacing w:val="0"/>
                <w:w w:val="100"/>
                <w:position w:val="0"/>
              </w:rPr>
              <w:t>股。</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公司是否具有表决权差异安排</w:t>
      </w:r>
    </w:p>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40" w:line="33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3"/>
        <w:keepNext/>
        <w:keepLines/>
        <w:widowControl w:val="0"/>
        <w:shd w:val="clear" w:color="auto" w:fill="auto"/>
        <w:bidi w:val="0"/>
        <w:spacing w:before="0" w:after="2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、公司控股股东情况</w:t>
      </w:r>
      <w:bookmarkEnd w:id="564"/>
      <w:bookmarkEnd w:id="565"/>
      <w:bookmarkEnd w:id="567"/>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80" w:line="336" w:lineRule="exact"/>
        <w:ind w:left="0" w:right="0" w:firstLine="0"/>
        <w:jc w:val="left"/>
      </w:pPr>
      <w:r>
        <w:rPr>
          <w:color w:val="000000"/>
          <w:spacing w:val="0"/>
          <w:w w:val="100"/>
          <w:position w:val="0"/>
        </w:rPr>
        <w:t>控股股东类型：自然人</w:t>
      </w:r>
    </w:p>
    <w:tbl>
      <w:tblPr>
        <w:tblOverlap w:val="never"/>
        <w:jc w:val="center"/>
        <w:tblLayout w:type="fixed"/>
      </w:tblPr>
      <w:tblGrid>
        <w:gridCol w:w="3437"/>
        <w:gridCol w:w="2030"/>
        <w:gridCol w:w="41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蔡廷祥先生曾任公司董事、董事长、总经理。</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公司报告期控股股东未发生变更。</w:t>
      </w:r>
    </w:p>
    <w:p>
      <w:pPr>
        <w:pStyle w:val="Style23"/>
        <w:keepNext/>
        <w:keepLines/>
        <w:widowControl w:val="0"/>
        <w:shd w:val="clear" w:color="auto" w:fill="auto"/>
        <w:bidi w:val="0"/>
        <w:spacing w:before="0" w:after="42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、公司实际控制人及其一致行动人</w:t>
      </w:r>
      <w:bookmarkEnd w:id="568"/>
      <w:bookmarkEnd w:id="569"/>
      <w:bookmarkEnd w:id="571"/>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是否取得其他国家或地区居 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孙光亮先生自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日起任公司董事、董事长。</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孙光亮</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pStyle w:val="Style13"/>
        <w:keepNext w:val="0"/>
        <w:keepLines w:val="0"/>
        <w:widowControl w:val="0"/>
        <w:shd w:val="clear" w:color="auto" w:fill="auto"/>
        <w:tabs>
          <w:tab w:leader="hyphen" w:pos="3606" w:val="left"/>
        </w:tabs>
        <w:bidi w:val="0"/>
        <w:spacing w:before="0" w:after="40" w:line="240" w:lineRule="auto"/>
        <w:ind w:left="2660" w:right="0" w:firstLine="0"/>
        <w:jc w:val="left"/>
        <w:rPr>
          <w:sz w:val="20"/>
          <w:szCs w:val="20"/>
        </w:rPr>
      </w:pPr>
      <w:r>
        <w:rPr>
          <w:b/>
          <w:bCs/>
          <w:color w:val="6C6C6D"/>
          <w:spacing w:val="0"/>
          <w:w w:val="100"/>
          <w:position w:val="0"/>
          <w:sz w:val="20"/>
          <w:szCs w:val="20"/>
        </w:rPr>
        <w:tab/>
      </w:r>
      <w:r>
        <w:rPr>
          <w:b/>
          <w:bCs/>
          <w:color w:val="6C6C6D"/>
          <w:spacing w:val="0"/>
          <w:w w:val="100"/>
          <w:position w:val="0"/>
          <w:sz w:val="20"/>
          <w:szCs w:val="20"/>
          <w:u w:val="single"/>
        </w:rPr>
        <w:t>表决权委托</w:t>
      </w:r>
      <w:r>
        <w:rPr>
          <w:b/>
          <w:bCs/>
          <w:color w:val="A9A9A9"/>
          <w:spacing w:val="0"/>
          <w:w w:val="100"/>
          <w:position w:val="0"/>
          <w:sz w:val="20"/>
          <w:szCs w:val="20"/>
          <w:u w:val="single"/>
        </w:rPr>
        <w:t>、</w:t>
      </w:r>
    </w:p>
    <w:p>
      <w:pPr>
        <w:pStyle w:val="Style13"/>
        <w:keepNext w:val="0"/>
        <w:keepLines w:val="0"/>
        <w:widowControl w:val="0"/>
        <w:shd w:val="clear" w:color="auto" w:fill="auto"/>
        <w:bidi w:val="0"/>
        <w:spacing w:before="0" w:after="560" w:line="240" w:lineRule="auto"/>
        <w:ind w:left="2660" w:right="0" w:firstLine="0"/>
        <w:jc w:val="left"/>
        <w:rPr>
          <w:sz w:val="20"/>
          <w:szCs w:val="20"/>
        </w:rPr>
      </w:pPr>
      <w:r>
        <w:rPr>
          <w:color w:val="565656"/>
          <w:spacing w:val="0"/>
          <w:w w:val="100"/>
          <w:position w:val="0"/>
          <w:sz w:val="20"/>
          <w:szCs w:val="20"/>
        </w:rPr>
        <w:t>蛙廷样</w:t>
      </w:r>
    </w:p>
    <w:p>
      <w:pPr>
        <w:pStyle w:val="Style47"/>
        <w:keepNext w:val="0"/>
        <w:keepLines w:val="0"/>
        <w:widowControl w:val="0"/>
        <w:shd w:val="clear" w:color="auto" w:fill="auto"/>
        <w:bidi w:val="0"/>
        <w:spacing w:before="0" w:line="240" w:lineRule="auto"/>
        <w:ind w:left="0" w:firstLine="0"/>
        <w:jc w:val="right"/>
      </w:pPr>
      <w:r>
        <w:rPr>
          <w:spacing w:val="0"/>
          <w:w w:val="100"/>
          <w:position w:val="0"/>
        </w:rPr>
        <w:t>20.10%</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00" w:line="235" w:lineRule="exact"/>
        <w:ind w:left="0" w:right="0" w:firstLine="0"/>
        <w:jc w:val="center"/>
        <w:rPr>
          <w:sz w:val="20"/>
          <w:szCs w:val="20"/>
        </w:rPr>
      </w:pPr>
      <w:r>
        <w:rPr>
          <w:color w:val="565656"/>
          <w:spacing w:val="0"/>
          <w:w w:val="100"/>
          <w:position w:val="0"/>
          <w:sz w:val="20"/>
          <w:szCs w:val="20"/>
        </w:rPr>
        <w:t>广东文化</w:t>
      </w:r>
      <w:r>
        <w:rPr>
          <w:rFonts w:ascii="Arial" w:eastAsia="Arial" w:hAnsi="Arial" w:cs="Arial"/>
          <w:color w:val="565656"/>
          <w:spacing w:val="0"/>
          <w:w w:val="100"/>
          <w:position w:val="0"/>
          <w:sz w:val="24"/>
          <w:szCs w:val="24"/>
        </w:rPr>
        <w:t>R</w:t>
      </w:r>
      <w:r>
        <w:rPr>
          <w:color w:val="565656"/>
          <w:spacing w:val="0"/>
          <w:w w:val="100"/>
          <w:position w:val="0"/>
          <w:sz w:val="20"/>
          <w:szCs w:val="20"/>
        </w:rPr>
        <w:t>城集团股份</w:t>
        <w:br/>
        <w:t>右限公司</w:t>
      </w:r>
    </w:p>
    <w:p>
      <w:pPr>
        <w:pStyle w:val="Style50"/>
        <w:keepNext w:val="0"/>
        <w:keepLines w:val="0"/>
        <w:widowControl w:val="0"/>
        <w:shd w:val="clear" w:color="auto" w:fill="auto"/>
        <w:bidi w:val="0"/>
        <w:spacing w:before="0" w:after="0"/>
        <w:jc w:val="both"/>
        <w:rPr>
          <w:sz w:val="14"/>
          <w:szCs w:val="14"/>
        </w:rPr>
      </w:pPr>
      <w:r>
        <w:rPr>
          <w:rFonts w:ascii="SimSun" w:eastAsia="SimSun" w:hAnsi="SimSun" w:cs="SimSun"/>
          <w:color w:val="6C6C6D"/>
          <w:spacing w:val="0"/>
          <w:w w:val="100"/>
          <w:position w:val="0"/>
          <w:sz w:val="14"/>
          <w:szCs w:val="14"/>
        </w:rPr>
        <w:t>41</w:t>
      </w:r>
      <w:r>
        <w:rPr>
          <w:spacing w:val="0"/>
          <w:w w:val="100"/>
          <w:position w:val="0"/>
          <w:sz w:val="13"/>
          <w:szCs w:val="13"/>
        </w:rPr>
        <w:t>■司干</w:t>
      </w:r>
      <w:r>
        <w:rPr>
          <w:rFonts w:ascii="SimSun" w:eastAsia="SimSun" w:hAnsi="SimSun" w:cs="SimSun"/>
          <w:color w:val="6C6C6D"/>
          <w:spacing w:val="0"/>
          <w:w w:val="100"/>
          <w:position w:val="0"/>
          <w:sz w:val="14"/>
          <w:szCs w:val="14"/>
        </w:rPr>
        <w:t>I</w:t>
      </w:r>
      <w:r>
        <w:rPr>
          <w:spacing w:val="0"/>
          <w:w w:val="100"/>
          <w:position w:val="0"/>
          <w:sz w:val="13"/>
          <w:szCs w:val="13"/>
        </w:rPr>
        <w:t>年</w:t>
      </w:r>
      <w:r>
        <w:rPr>
          <w:rFonts w:ascii="SimSun" w:eastAsia="SimSun" w:hAnsi="SimSun" w:cs="SimSun"/>
          <w:color w:val="6C6C6D"/>
          <w:spacing w:val="0"/>
          <w:w w:val="100"/>
          <w:position w:val="0"/>
          <w:sz w:val="14"/>
          <w:szCs w:val="14"/>
        </w:rPr>
        <w:t xml:space="preserve">U.qitB </w:t>
      </w:r>
      <w:r>
        <w:rPr>
          <w:rFonts w:ascii="SimSun" w:eastAsia="SimSun" w:hAnsi="SimSun" w:cs="SimSun"/>
          <w:spacing w:val="0"/>
          <w:w w:val="100"/>
          <w:position w:val="0"/>
          <w:sz w:val="14"/>
          <w:szCs w:val="14"/>
        </w:rPr>
        <w:t>H</w:t>
      </w:r>
      <w:r>
        <w:rPr>
          <w:spacing w:val="0"/>
          <w:w w:val="100"/>
          <w:position w:val="0"/>
          <w:sz w:val="13"/>
          <w:szCs w:val="13"/>
        </w:rPr>
        <w:t>跑关于最东防件</w:t>
      </w:r>
      <w:r>
        <w:rPr>
          <w:color w:val="6C6C6D"/>
          <w:spacing w:val="0"/>
          <w:w w:val="100"/>
          <w:position w:val="0"/>
          <w:sz w:val="13"/>
          <w:szCs w:val="13"/>
        </w:rPr>
        <w:t>部甘处</w:t>
      </w:r>
      <w:r>
        <w:rPr>
          <w:color w:val="6C6C6D"/>
          <w:spacing w:val="0"/>
          <w:w w:val="100"/>
          <w:position w:val="0"/>
          <w:sz w:val="13"/>
          <w:szCs w:val="13"/>
        </w:rPr>
        <w:t>E</w:t>
      </w:r>
      <w:r>
        <w:rPr>
          <w:spacing w:val="0"/>
          <w:w w:val="100"/>
          <w:position w:val="0"/>
          <w:sz w:val="13"/>
          <w:szCs w:val="13"/>
        </w:rPr>
        <w:t>限辜节司法拍酣</w:t>
      </w:r>
      <w:r>
        <w:rPr>
          <w:rFonts w:ascii="SimSun" w:eastAsia="SimSun" w:hAnsi="SimSun" w:cs="SimSun"/>
          <w:spacing w:val="0"/>
          <w:w w:val="100"/>
          <w:position w:val="0"/>
          <w:sz w:val="14"/>
          <w:szCs w:val="14"/>
        </w:rPr>
        <w:t>im</w:t>
      </w:r>
      <w:r>
        <w:rPr>
          <w:spacing w:val="0"/>
          <w:w w:val="100"/>
          <w:position w:val="0"/>
          <w:sz w:val="13"/>
          <w:szCs w:val="13"/>
        </w:rPr>
        <w:t>展公告</w:t>
      </w:r>
      <w:r>
        <w:rPr>
          <w:rFonts w:ascii="Arial" w:eastAsia="Arial" w:hAnsi="Arial" w:cs="Arial"/>
          <w:color w:val="6C6C6D"/>
          <w:spacing w:val="0"/>
          <w:w w:val="100"/>
          <w:position w:val="0"/>
          <w:sz w:val="11"/>
          <w:szCs w:val="11"/>
        </w:rPr>
        <w:t>«</w:t>
      </w:r>
      <w:r>
        <w:rPr>
          <w:spacing w:val="0"/>
          <w:w w:val="100"/>
          <w:position w:val="0"/>
          <w:sz w:val="13"/>
          <w:szCs w:val="13"/>
        </w:rPr>
        <w:t>公告沮号</w:t>
      </w:r>
      <w:r>
        <w:rPr>
          <w:color w:val="6C6C6D"/>
          <w:spacing w:val="0"/>
          <w:w w:val="100"/>
          <w:position w:val="0"/>
          <w:sz w:val="13"/>
          <w:szCs w:val="13"/>
        </w:rPr>
        <w:t>：公</w:t>
      </w:r>
      <w:r>
        <w:rPr>
          <w:spacing w:val="0"/>
          <w:w w:val="100"/>
          <w:position w:val="0"/>
          <w:sz w:val="13"/>
          <w:szCs w:val="13"/>
        </w:rPr>
        <w:t>吾目号</w:t>
      </w:r>
      <w:r>
        <w:rPr>
          <w:rFonts w:ascii="SimSun" w:eastAsia="SimSun" w:hAnsi="SimSun" w:cs="SimSun"/>
          <w:color w:val="6C6C6D"/>
          <w:spacing w:val="0"/>
          <w:w w:val="100"/>
          <w:position w:val="0"/>
          <w:sz w:val="14"/>
          <w:szCs w:val="14"/>
        </w:rPr>
        <w:t xml:space="preserve">：202l-14J）. </w:t>
      </w:r>
      <w:r>
        <w:rPr>
          <w:spacing w:val="0"/>
          <w:w w:val="100"/>
          <w:position w:val="0"/>
          <w:sz w:val="13"/>
          <w:szCs w:val="13"/>
        </w:rPr>
        <w:t>菠耻市高新投集团有限公宜谗</w:t>
      </w:r>
      <w:r>
        <w:rPr>
          <w:color w:val="6C6C6D"/>
          <w:spacing w:val="0"/>
          <w:w w:val="100"/>
          <w:position w:val="0"/>
          <w:sz w:val="13"/>
          <w:szCs w:val="13"/>
        </w:rPr>
        <w:t>对箴买号</w:t>
      </w:r>
      <w:r>
        <w:rPr>
          <w:rFonts w:ascii="SimSun" w:eastAsia="SimSun" w:hAnsi="SimSun" w:cs="SimSun"/>
          <w:color w:val="6C6C6D"/>
          <w:spacing w:val="0"/>
          <w:w w:val="100"/>
          <w:position w:val="0"/>
          <w:sz w:val="14"/>
          <w:szCs w:val="14"/>
        </w:rPr>
        <w:t>H01U</w:t>
      </w:r>
      <w:r>
        <w:rPr>
          <w:color w:val="6C6C6D"/>
          <w:spacing w:val="0"/>
          <w:w w:val="100"/>
          <w:position w:val="0"/>
          <w:sz w:val="13"/>
          <w:szCs w:val="13"/>
        </w:rPr>
        <w:t>于</w:t>
      </w:r>
      <w:r>
        <w:rPr>
          <w:rFonts w:ascii="SimSun" w:eastAsia="SimSun" w:hAnsi="SimSun" w:cs="SimSun"/>
          <w:color w:val="898887"/>
          <w:spacing w:val="0"/>
          <w:w w:val="100"/>
          <w:position w:val="0"/>
          <w:sz w:val="14"/>
          <w:szCs w:val="14"/>
        </w:rPr>
        <w:t xml:space="preserve">20211215 </w:t>
      </w:r>
      <w:r>
        <w:rPr>
          <w:rFonts w:ascii="SimSun" w:eastAsia="SimSun" w:hAnsi="SimSun" w:cs="SimSun"/>
          <w:color w:val="6C6C6D"/>
          <w:spacing w:val="0"/>
          <w:w w:val="100"/>
          <w:position w:val="0"/>
          <w:sz w:val="14"/>
          <w:szCs w:val="14"/>
        </w:rPr>
        <w:t xml:space="preserve">14.1 </w:t>
      </w:r>
      <w:r>
        <w:rPr>
          <w:rFonts w:ascii="SimSun" w:eastAsia="SimSun" w:hAnsi="SimSun" w:cs="SimSun"/>
          <w:color w:val="898887"/>
          <w:spacing w:val="0"/>
          <w:w w:val="100"/>
          <w:position w:val="0"/>
          <w:sz w:val="14"/>
          <w:szCs w:val="14"/>
        </w:rPr>
        <w:t>?.&lt;5</w:t>
      </w:r>
      <w:r>
        <w:rPr>
          <w:color w:val="6C6C6D"/>
          <w:spacing w:val="0"/>
          <w:w w:val="100"/>
          <w:position w:val="0"/>
          <w:sz w:val="13"/>
          <w:szCs w:val="13"/>
        </w:rPr>
        <w:t>在广东</w:t>
      </w:r>
      <w:r>
        <w:rPr>
          <w:spacing w:val="0"/>
          <w:w w:val="100"/>
          <w:position w:val="0"/>
          <w:sz w:val="13"/>
          <w:szCs w:val="13"/>
        </w:rPr>
        <w:t>宵</w:t>
      </w:r>
      <w:r>
        <w:rPr>
          <w:rFonts w:ascii="SimSun" w:eastAsia="SimSun" w:hAnsi="SimSun" w:cs="SimSun"/>
          <w:spacing w:val="0"/>
          <w:w w:val="100"/>
          <w:position w:val="0"/>
          <w:sz w:val="14"/>
          <w:szCs w:val="14"/>
        </w:rPr>
        <w:t>S6H</w:t>
      </w:r>
      <w:r>
        <w:rPr>
          <w:color w:val="6C6C6D"/>
          <w:spacing w:val="0"/>
          <w:w w:val="100"/>
          <w:position w:val="0"/>
          <w:sz w:val="13"/>
          <w:szCs w:val="13"/>
        </w:rPr>
        <w:t>怖中眼人</w:t>
      </w:r>
      <w:r>
        <w:rPr>
          <w:spacing w:val="0"/>
          <w:w w:val="100"/>
          <w:position w:val="0"/>
          <w:sz w:val="13"/>
          <w:szCs w:val="13"/>
        </w:rPr>
        <w:t xml:space="preserve">民法院于阿里阳丈平白开展 </w:t>
      </w:r>
      <w:r>
        <w:rPr>
          <w:rFonts w:ascii="SimSun" w:eastAsia="SimSun" w:hAnsi="SimSun" w:cs="SimSun"/>
          <w:color w:val="6C6C6D"/>
          <w:spacing w:val="0"/>
          <w:w w:val="100"/>
          <w:position w:val="0"/>
          <w:sz w:val="14"/>
          <w:szCs w:val="14"/>
        </w:rPr>
        <w:t xml:space="preserve">K </w:t>
      </w:r>
      <w:r>
        <w:rPr>
          <w:rFonts w:ascii="SimSun" w:eastAsia="SimSun" w:hAnsi="SimSun" w:cs="SimSun"/>
          <w:color w:val="6C6C6D"/>
          <w:spacing w:val="0"/>
          <w:w w:val="100"/>
          <w:position w:val="0"/>
          <w:sz w:val="14"/>
          <w:szCs w:val="14"/>
          <w:vertAlign w:val="superscript"/>
        </w:rPr>
        <w:t>J</w:t>
      </w:r>
      <w:r>
        <w:rPr>
          <w:rFonts w:ascii="SimSun" w:eastAsia="SimSun" w:hAnsi="SimSun" w:cs="SimSun"/>
          <w:color w:val="6C6C6D"/>
          <w:spacing w:val="0"/>
          <w:w w:val="100"/>
          <w:position w:val="0"/>
          <w:sz w:val="14"/>
          <w:szCs w:val="14"/>
        </w:rPr>
        <w:t xml:space="preserve"> ?T</w:t>
      </w:r>
      <w:r>
        <w:rPr>
          <w:rFonts w:ascii="SimSun" w:eastAsia="SimSun" w:hAnsi="SimSun" w:cs="SimSun"/>
          <w:i/>
          <w:iCs/>
          <w:spacing w:val="0"/>
          <w:w w:val="100"/>
          <w:position w:val="0"/>
          <w:sz w:val="14"/>
          <w:szCs w:val="14"/>
        </w:rPr>
        <w:t>文</w:t>
      </w:r>
      <w:r>
        <w:rPr>
          <w:rFonts w:ascii="SimSun" w:eastAsia="SimSun" w:hAnsi="SimSun" w:cs="SimSun"/>
          <w:spacing w:val="0"/>
          <w:w w:val="100"/>
          <w:position w:val="0"/>
          <w:sz w:val="14"/>
          <w:szCs w:val="14"/>
        </w:rPr>
        <w:t xml:space="preserve">It </w:t>
      </w:r>
      <w:r>
        <w:rPr>
          <w:color w:val="6C6C6D"/>
          <w:spacing w:val="0"/>
          <w:w w:val="100"/>
          <w:position w:val="0"/>
          <w:sz w:val="13"/>
          <w:szCs w:val="13"/>
        </w:rPr>
        <w:t>”涎</w:t>
      </w:r>
      <w:r>
        <w:rPr>
          <w:rFonts w:ascii="SimSun" w:eastAsia="SimSun" w:hAnsi="SimSun" w:cs="SimSun"/>
          <w:spacing w:val="0"/>
          <w:w w:val="100"/>
          <w:position w:val="0"/>
          <w:sz w:val="14"/>
          <w:szCs w:val="14"/>
        </w:rPr>
        <w:t>S?</w:t>
      </w:r>
      <w:r>
        <w:rPr>
          <w:color w:val="6C6C6D"/>
          <w:spacing w:val="0"/>
          <w:w w:val="100"/>
          <w:position w:val="0"/>
          <w:sz w:val="13"/>
          <w:szCs w:val="13"/>
        </w:rPr>
        <w:t>代招:</w:t>
      </w:r>
      <w:r>
        <w:rPr>
          <w:color w:val="898887"/>
          <w:spacing w:val="0"/>
          <w:w w:val="100"/>
          <w:position w:val="0"/>
          <w:sz w:val="13"/>
          <w:szCs w:val="13"/>
        </w:rPr>
        <w:t>却雌部</w:t>
      </w:r>
      <w:r>
        <w:rPr>
          <w:rFonts w:ascii="SimSun" w:eastAsia="SimSun" w:hAnsi="SimSun" w:cs="SimSun"/>
          <w:color w:val="6C6C6D"/>
          <w:spacing w:val="0"/>
          <w:w w:val="100"/>
          <w:position w:val="0"/>
          <w:sz w:val="14"/>
          <w:szCs w:val="14"/>
        </w:rPr>
        <w:t>1</w:t>
      </w:r>
      <w:r>
        <w:rPr>
          <w:color w:val="6C6C6D"/>
          <w:spacing w:val="0"/>
          <w:w w:val="100"/>
          <w:position w:val="0"/>
          <w:sz w:val="13"/>
          <w:szCs w:val="13"/>
        </w:rPr>
        <w:t>叫万</w:t>
      </w:r>
      <w:r>
        <w:rPr>
          <w:spacing w:val="0"/>
          <w:w w:val="100"/>
          <w:position w:val="0"/>
          <w:sz w:val="13"/>
          <w:szCs w:val="13"/>
        </w:rPr>
        <w:t>股无用</w:t>
      </w:r>
      <w:r>
        <w:rPr>
          <w:i/>
          <w:iCs/>
          <w:spacing w:val="0"/>
          <w:w w:val="100"/>
          <w:position w:val="0"/>
          <w:sz w:val="13"/>
          <w:szCs w:val="13"/>
        </w:rPr>
        <w:t>S^.A^.</w:t>
      </w:r>
      <w:r>
        <w:rPr>
          <w:spacing w:val="0"/>
          <w:w w:val="100"/>
          <w:position w:val="0"/>
          <w:sz w:val="13"/>
          <w:szCs w:val="13"/>
        </w:rPr>
        <w:t>职票</w:t>
      </w:r>
      <w:r>
        <w:rPr>
          <w:color w:val="6C6C6D"/>
          <w:spacing w:val="0"/>
          <w:w w:val="100"/>
          <w:position w:val="0"/>
          <w:sz w:val="13"/>
          <w:szCs w:val="13"/>
        </w:rPr>
        <w:t>'族目</w:t>
      </w:r>
      <w:r>
        <w:rPr>
          <w:color w:val="898887"/>
          <w:spacing w:val="0"/>
          <w:w w:val="100"/>
          <w:position w:val="0"/>
          <w:sz w:val="13"/>
          <w:szCs w:val="13"/>
        </w:rPr>
        <w:t>业</w:t>
      </w:r>
      <w:r>
        <w:rPr>
          <w:color w:val="6C6C6D"/>
          <w:spacing w:val="0"/>
          <w:w w:val="100"/>
          <w:position w:val="0"/>
          <w:sz w:val="13"/>
          <w:szCs w:val="13"/>
        </w:rPr>
        <w:t>开曲札以</w:t>
      </w:r>
      <w:r>
        <w:rPr>
          <w:spacing w:val="0"/>
          <w:w w:val="100"/>
          <w:position w:val="0"/>
          <w:sz w:val="13"/>
          <w:szCs w:val="13"/>
        </w:rPr>
        <w:t>最离应</w:t>
      </w:r>
      <w:r>
        <w:rPr>
          <w:color w:val="6C6C6D"/>
          <w:spacing w:val="0"/>
          <w:w w:val="100"/>
          <w:position w:val="0"/>
          <w:sz w:val="13"/>
          <w:szCs w:val="13"/>
        </w:rPr>
        <w:t>忻金出-</w:t>
      </w:r>
      <w:r>
        <w:rPr>
          <w:rFonts w:ascii="SimSun" w:eastAsia="SimSun" w:hAnsi="SimSun" w:cs="SimSun"/>
          <w:color w:val="A9A9A9"/>
          <w:spacing w:val="0"/>
          <w:w w:val="100"/>
          <w:position w:val="0"/>
          <w:sz w:val="14"/>
          <w:szCs w:val="14"/>
        </w:rPr>
        <w:t>f</w:t>
      </w:r>
    </w:p>
    <w:p>
      <w:pPr>
        <w:pStyle w:val="Style50"/>
        <w:keepNext w:val="0"/>
        <w:keepLines w:val="0"/>
        <w:widowControl w:val="0"/>
        <w:shd w:val="clear" w:color="auto" w:fill="auto"/>
        <w:bidi w:val="0"/>
        <w:spacing w:before="0" w:after="0"/>
        <w:jc w:val="both"/>
      </w:pPr>
      <w:r>
        <w:rPr>
          <w:color w:val="6C6C6D"/>
          <w:spacing w:val="0"/>
          <w:w w:val="100"/>
          <w:position w:val="0"/>
        </w:rPr>
        <w:t>公司干</w:t>
      </w:r>
      <w:r>
        <w:rPr>
          <w:rFonts w:ascii="Arial" w:eastAsia="Arial" w:hAnsi="Arial" w:cs="Arial"/>
          <w:smallCaps/>
          <w:color w:val="898887"/>
          <w:spacing w:val="0"/>
          <w:w w:val="100"/>
          <w:position w:val="0"/>
          <w:sz w:val="18"/>
          <w:szCs w:val="18"/>
        </w:rPr>
        <w:t>mm</w:t>
      </w:r>
      <w:r>
        <w:rPr>
          <w:spacing w:val="0"/>
          <w:w w:val="100"/>
          <w:position w:val="0"/>
        </w:rPr>
        <w:t>年</w:t>
      </w:r>
      <w:r>
        <w:rPr>
          <w:rFonts w:ascii="SimSun" w:eastAsia="SimSun" w:hAnsi="SimSun" w:cs="SimSun"/>
          <w:color w:val="898887"/>
          <w:spacing w:val="0"/>
          <w:w w:val="100"/>
          <w:position w:val="0"/>
          <w:sz w:val="14"/>
          <w:szCs w:val="14"/>
        </w:rPr>
        <w:t>12</w:t>
      </w:r>
      <w:r>
        <w:rPr>
          <w:color w:val="898887"/>
          <w:spacing w:val="0"/>
          <w:w w:val="100"/>
          <w:position w:val="0"/>
        </w:rPr>
        <w:t>月胡日</w:t>
      </w:r>
      <w:r>
        <w:rPr>
          <w:spacing w:val="0"/>
          <w:w w:val="100"/>
          <w:position w:val="0"/>
        </w:rPr>
        <w:t>折也*尹于必司脸本</w:t>
      </w:r>
      <w:r>
        <w:rPr>
          <w:color w:val="6C6C6D"/>
          <w:spacing w:val="0"/>
          <w:w w:val="100"/>
          <w:position w:val="0"/>
        </w:rPr>
        <w:t>商博助</w:t>
      </w:r>
      <w:r>
        <w:rPr>
          <w:spacing w:val="0"/>
          <w:w w:val="100"/>
          <w:position w:val="0"/>
        </w:rPr>
        <w:t>司限耐嗣他拍卖的通腐</w:t>
      </w:r>
      <w:r>
        <w:rPr>
          <w:color w:val="6C6C6D"/>
          <w:spacing w:val="0"/>
          <w:w w:val="100"/>
          <w:position w:val="0"/>
        </w:rPr>
        <w:t>公</w:t>
      </w:r>
      <w:r>
        <w:rPr>
          <w:spacing w:val="0"/>
          <w:w w:val="100"/>
          <w:position w:val="0"/>
        </w:rPr>
        <w:t>告）</w:t>
      </w:r>
      <w:r>
        <w:rPr>
          <w:rFonts w:ascii="Arial" w:eastAsia="Arial" w:hAnsi="Arial" w:cs="Arial"/>
          <w:smallCaps/>
          <w:color w:val="6C6C6D"/>
          <w:spacing w:val="0"/>
          <w:w w:val="100"/>
          <w:position w:val="0"/>
          <w:sz w:val="18"/>
          <w:szCs w:val="18"/>
        </w:rPr>
        <w:t>k</w:t>
      </w:r>
      <w:r>
        <w:rPr>
          <w:color w:val="6C6C6D"/>
          <w:spacing w:val="0"/>
          <w:w w:val="100"/>
          <w:position w:val="0"/>
        </w:rPr>
        <w:t>勃告！</w:t>
      </w:r>
      <w:r>
        <w:rPr>
          <w:rFonts w:ascii="SimSun" w:eastAsia="SimSun" w:hAnsi="SimSun" w:cs="SimSun"/>
          <w:spacing w:val="0"/>
          <w:w w:val="100"/>
          <w:position w:val="0"/>
          <w:sz w:val="14"/>
          <w:szCs w:val="14"/>
        </w:rPr>
        <w:t>a</w:t>
      </w:r>
      <w:r>
        <w:rPr>
          <w:spacing w:val="0"/>
          <w:w w:val="100"/>
          <w:position w:val="0"/>
        </w:rPr>
        <w:t>号：</w:t>
      </w:r>
      <w:r>
        <w:rPr>
          <w:rFonts w:ascii="SimSun" w:eastAsia="SimSun" w:hAnsi="SimSun" w:cs="SimSun"/>
          <w:color w:val="898887"/>
          <w:spacing w:val="0"/>
          <w:w w:val="100"/>
          <w:position w:val="0"/>
          <w:sz w:val="14"/>
          <w:szCs w:val="14"/>
        </w:rPr>
        <w:t>zm-i#?，</w:t>
      </w:r>
      <w:r>
        <w:rPr>
          <w:spacing w:val="0"/>
          <w:w w:val="100"/>
          <w:position w:val="0"/>
        </w:rPr>
        <w:t xml:space="preserve">广东 </w:t>
      </w:r>
      <w:r>
        <w:rPr>
          <w:color w:val="6C6C6D"/>
          <w:spacing w:val="0"/>
          <w:w w:val="100"/>
          <w:position w:val="0"/>
        </w:rPr>
        <w:t>肖剖顺</w:t>
      </w:r>
      <w:r>
        <w:rPr>
          <w:spacing w:val="0"/>
          <w:w w:val="100"/>
          <w:position w:val="0"/>
        </w:rPr>
        <w:t>｛中叛入民法住*执行驻定书</w:t>
      </w:r>
      <w:r>
        <w:rPr>
          <w:color w:val="898887"/>
          <w:spacing w:val="0"/>
          <w:w w:val="100"/>
          <w:position w:val="0"/>
        </w:rPr>
        <w:t xml:space="preserve">■ </w:t>
      </w:r>
      <w:r>
        <w:rPr>
          <w:rFonts w:ascii="SimSun" w:eastAsia="SimSun" w:hAnsi="SimSun" w:cs="SimSun"/>
          <w:color w:val="6C6C6D"/>
          <w:spacing w:val="0"/>
          <w:w w:val="100"/>
          <w:position w:val="0"/>
          <w:sz w:val="14"/>
          <w:szCs w:val="14"/>
        </w:rPr>
        <w:t>OH" 4JI</w:t>
      </w:r>
      <w:r>
        <w:rPr>
          <w:spacing w:val="0"/>
          <w:w w:val="100"/>
          <w:position w:val="0"/>
        </w:rPr>
        <w:t>执</w:t>
      </w:r>
      <w:r>
        <w:rPr>
          <w:rFonts w:ascii="SimSun" w:eastAsia="SimSun" w:hAnsi="SimSun" w:cs="SimSun"/>
          <w:color w:val="6C6C6D"/>
          <w:spacing w:val="0"/>
          <w:w w:val="100"/>
          <w:position w:val="0"/>
          <w:sz w:val="14"/>
          <w:szCs w:val="14"/>
        </w:rPr>
        <w:t>9</w:t>
      </w:r>
      <w:r>
        <w:rPr>
          <w:color w:val="6C6C6D"/>
          <w:spacing w:val="0"/>
          <w:w w:val="100"/>
          <w:position w:val="0"/>
        </w:rPr>
        <w:t>号之二</w:t>
      </w:r>
      <w:r>
        <w:rPr>
          <w:spacing w:val="0"/>
          <w:w w:val="100"/>
          <w:position w:val="0"/>
        </w:rPr>
        <w:t>慧定，版版■行</w:t>
      </w:r>
      <w:r>
        <w:rPr>
          <w:rFonts w:ascii="SimSun" w:eastAsia="SimSun" w:hAnsi="SimSun" w:cs="SimSun"/>
          <w:color w:val="6C6C6D"/>
          <w:spacing w:val="0"/>
          <w:w w:val="100"/>
          <w:position w:val="0"/>
          <w:sz w:val="14"/>
          <w:szCs w:val="14"/>
        </w:rPr>
        <w:t>A</w:t>
      </w:r>
      <w:r>
        <w:rPr>
          <w:color w:val="6C6C6D"/>
          <w:spacing w:val="0"/>
          <w:w w:val="100"/>
          <w:position w:val="0"/>
        </w:rPr>
        <w:t>荼延</w:t>
      </w:r>
      <w:r>
        <w:rPr>
          <w:spacing w:val="0"/>
          <w:w w:val="100"/>
          <w:position w:val="0"/>
        </w:rPr>
        <w:t>禅待有</w:t>
      </w:r>
      <w:r>
        <w:rPr>
          <w:color w:val="6C6C6D"/>
          <w:spacing w:val="0"/>
          <w:w w:val="100"/>
          <w:position w:val="0"/>
        </w:rPr>
        <w:t>的广东艾</w:t>
      </w:r>
      <w:r>
        <w:rPr>
          <w:spacing w:val="0"/>
          <w:w w:val="100"/>
          <w:position w:val="0"/>
        </w:rPr>
        <w:t>化伽集团</w:t>
      </w:r>
      <w:r>
        <w:rPr>
          <w:color w:val="6C6C6D"/>
          <w:spacing w:val="0"/>
          <w:w w:val="100"/>
          <w:position w:val="0"/>
        </w:rPr>
        <w:t xml:space="preserve">照恂有 </w:t>
      </w:r>
      <w:r>
        <w:rPr>
          <w:spacing w:val="0"/>
          <w:w w:val="100"/>
          <w:position w:val="0"/>
        </w:rPr>
        <w:t>中</w:t>
      </w:r>
      <w:r>
        <w:rPr>
          <w:color w:val="6C6C6D"/>
          <w:spacing w:val="0"/>
          <w:w w:val="100"/>
          <w:position w:val="0"/>
        </w:rPr>
        <w:t>娶可用</w:t>
      </w:r>
      <w:r>
        <w:rPr>
          <w:i/>
          <w:iCs/>
          <w:color w:val="898887"/>
          <w:spacing w:val="0"/>
          <w:w w:val="100"/>
          <w:position w:val="0"/>
        </w:rPr>
        <w:t>gw</w:t>
      </w:r>
      <w:r>
        <w:rPr>
          <w:rFonts w:ascii="SimSun" w:eastAsia="SimSun" w:hAnsi="SimSun" w:cs="SimSun"/>
          <w:color w:val="898887"/>
          <w:spacing w:val="0"/>
          <w:w w:val="100"/>
          <w:position w:val="0"/>
          <w:sz w:val="14"/>
          <w:szCs w:val="14"/>
        </w:rPr>
        <w:t xml:space="preserve"> </w:t>
      </w:r>
      <w:r>
        <w:rPr>
          <w:rFonts w:ascii="SimSun" w:eastAsia="SimSun" w:hAnsi="SimSun" w:cs="SimSun"/>
          <w:color w:val="6C6C6D"/>
          <w:spacing w:val="0"/>
          <w:w w:val="100"/>
          <w:position w:val="0"/>
          <w:sz w:val="14"/>
          <w:szCs w:val="14"/>
        </w:rPr>
        <w:t>KJEJSfftniJJlSIM'!^ 3Efd</w:t>
      </w:r>
      <w:r>
        <w:rPr>
          <w:spacing w:val="0"/>
          <w:w w:val="100"/>
          <w:position w:val="0"/>
        </w:rPr>
        <w:t>申请捐</w:t>
      </w:r>
      <w:r>
        <w:rPr>
          <w:color w:val="6C6C6D"/>
          <w:spacing w:val="0"/>
          <w:w w:val="100"/>
          <w:position w:val="0"/>
        </w:rPr>
        <w:t>行人东</w:t>
      </w:r>
      <w:r>
        <w:rPr>
          <w:spacing w:val="0"/>
          <w:w w:val="100"/>
          <w:position w:val="0"/>
        </w:rPr>
        <w:t>方还井</w:t>
      </w:r>
      <w:r>
        <w:rPr>
          <w:rFonts w:ascii="SimSun" w:eastAsia="SimSun" w:hAnsi="SimSun" w:cs="SimSun"/>
          <w:spacing w:val="0"/>
          <w:w w:val="100"/>
          <w:position w:val="0"/>
          <w:sz w:val="14"/>
          <w:szCs w:val="14"/>
        </w:rPr>
        <w:t>JKIH</w:t>
      </w:r>
      <w:r>
        <w:rPr>
          <w:spacing w:val="0"/>
          <w:w w:val="100"/>
          <w:position w:val="0"/>
        </w:rPr>
        <w:t>肖陶</w:t>
      </w:r>
      <w:r>
        <w:rPr>
          <w:color w:val="6C6C6D"/>
          <w:spacing w:val="0"/>
          <w:w w:val="100"/>
          <w:position w:val="0"/>
        </w:rPr>
        <w:t>公司</w:t>
      </w:r>
      <w:r>
        <w:rPr>
          <w:rFonts w:ascii="Arial" w:eastAsia="Arial" w:hAnsi="Arial" w:cs="Arial"/>
          <w:spacing w:val="0"/>
          <w:w w:val="100"/>
          <w:position w:val="0"/>
          <w:sz w:val="11"/>
          <w:szCs w:val="11"/>
        </w:rPr>
        <w:t>£</w:t>
      </w:r>
      <w:r>
        <w:rPr>
          <w:spacing w:val="0"/>
          <w:w w:val="100"/>
          <w:position w:val="0"/>
        </w:rPr>
        <w:t>他本案</w:t>
      </w:r>
      <w:r>
        <w:rPr>
          <w:rFonts w:ascii="SimSun" w:eastAsia="SimSun" w:hAnsi="SimSun" w:cs="SimSun"/>
          <w:spacing w:val="0"/>
          <w:w w:val="100"/>
          <w:position w:val="0"/>
          <w:sz w:val="14"/>
          <w:szCs w:val="14"/>
        </w:rPr>
        <w:t>M</w:t>
      </w:r>
      <w:r>
        <w:rPr>
          <w:spacing w:val="0"/>
          <w:w w:val="100"/>
          <w:position w:val="0"/>
        </w:rPr>
        <w:t>针</w:t>
      </w:r>
      <w:r>
        <w:rPr>
          <w:rFonts w:ascii="SimSun" w:eastAsia="SimSun" w:hAnsi="SimSun" w:cs="SimSun"/>
          <w:spacing w:val="0"/>
          <w:w w:val="100"/>
          <w:position w:val="0"/>
          <w:sz w:val="14"/>
          <w:szCs w:val="14"/>
        </w:rPr>
        <w:t>6</w:t>
      </w:r>
      <w:r>
        <w:rPr>
          <w:color w:val="6C6C6D"/>
          <w:spacing w:val="0"/>
          <w:w w:val="100"/>
          <w:position w:val="0"/>
        </w:rPr>
        <w:t>（身</w:t>
      </w:r>
      <w:r>
        <w:rPr>
          <w:spacing w:val="0"/>
          <w:w w:val="100"/>
          <w:position w:val="0"/>
        </w:rPr>
        <w:t xml:space="preserve">，舞莅般累所有 </w:t>
      </w:r>
      <w:r>
        <w:rPr>
          <w:rFonts w:ascii="SimSun" w:eastAsia="SimSun" w:hAnsi="SimSun" w:cs="SimSun"/>
          <w:spacing w:val="0"/>
          <w:w w:val="100"/>
          <w:position w:val="0"/>
          <w:sz w:val="14"/>
          <w:szCs w:val="14"/>
        </w:rPr>
        <w:t>R</w:t>
      </w:r>
      <w:r>
        <w:rPr>
          <w:spacing w:val="0"/>
          <w:w w:val="100"/>
          <w:position w:val="0"/>
        </w:rPr>
        <w:t>自市敏定透</w:t>
      </w:r>
      <w:r>
        <w:rPr>
          <w:color w:val="6C6C6D"/>
          <w:spacing w:val="0"/>
          <w:w w:val="100"/>
          <w:position w:val="0"/>
        </w:rPr>
        <w:t>诂</w:t>
      </w:r>
      <w:r>
        <w:rPr>
          <w:spacing w:val="0"/>
          <w:w w:val="100"/>
          <w:position w:val="0"/>
        </w:rPr>
        <w:t>申</w:t>
      </w:r>
      <w:r>
        <w:rPr>
          <w:color w:val="6C6C6D"/>
          <w:spacing w:val="0"/>
          <w:w w:val="100"/>
          <w:position w:val="0"/>
        </w:rPr>
        <w:t>由次</w:t>
      </w:r>
      <w:r>
        <w:rPr>
          <w:color w:val="898887"/>
          <w:spacing w:val="0"/>
          <w:w w:val="100"/>
          <w:position w:val="0"/>
        </w:rPr>
        <w:t>■行</w:t>
      </w:r>
      <w:r>
        <w:rPr>
          <w:color w:val="6C6C6D"/>
          <w:spacing w:val="0"/>
          <w:w w:val="100"/>
          <w:position w:val="0"/>
        </w:rPr>
        <w:t>人东方还</w:t>
      </w:r>
      <w:r>
        <w:rPr>
          <w:spacing w:val="0"/>
          <w:w w:val="100"/>
          <w:position w:val="0"/>
        </w:rPr>
        <w:t>券眼仰有用公</w:t>
      </w:r>
      <w:r>
        <w:rPr>
          <w:color w:val="6C6C6D"/>
          <w:spacing w:val="0"/>
          <w:w w:val="100"/>
          <w:position w:val="0"/>
        </w:rPr>
        <w:t>句</w:t>
      </w:r>
      <w:r>
        <w:rPr>
          <w:spacing w:val="0"/>
          <w:w w:val="100"/>
          <w:position w:val="0"/>
        </w:rPr>
        <w:t>时归申诅</w:t>
      </w:r>
      <w:r>
        <w:rPr>
          <w:color w:val="6C6C6D"/>
          <w:spacing w:val="0"/>
          <w:w w:val="100"/>
          <w:position w:val="0"/>
        </w:rPr>
        <w:t>也行</w:t>
      </w:r>
      <w:r>
        <w:rPr>
          <w:spacing w:val="0"/>
          <w:w w:val="100"/>
          <w:position w:val="0"/>
        </w:rPr>
        <w:t>人东</w:t>
      </w:r>
      <w:r>
        <w:rPr>
          <w:color w:val="6C6C6D"/>
          <w:spacing w:val="0"/>
          <w:w w:val="100"/>
          <w:position w:val="0"/>
        </w:rPr>
        <w:t>方口</w:t>
      </w:r>
      <w:r>
        <w:rPr>
          <w:spacing w:val="0"/>
          <w:w w:val="100"/>
          <w:position w:val="0"/>
        </w:rPr>
        <w:t>券原</w:t>
      </w:r>
      <w:r>
        <w:rPr>
          <w:rFonts w:ascii="SimSun" w:eastAsia="SimSun" w:hAnsi="SimSun" w:cs="SimSun"/>
          <w:color w:val="898887"/>
          <w:spacing w:val="0"/>
          <w:w w:val="100"/>
          <w:position w:val="0"/>
          <w:sz w:val="14"/>
          <w:szCs w:val="14"/>
        </w:rPr>
        <w:t>Iff</w:t>
      </w:r>
      <w:r>
        <w:rPr>
          <w:spacing w:val="0"/>
          <w:w w:val="100"/>
          <w:position w:val="0"/>
        </w:rPr>
        <w:t>有职</w:t>
      </w:r>
      <w:r>
        <w:rPr>
          <w:color w:val="6C6C6D"/>
          <w:spacing w:val="0"/>
          <w:w w:val="100"/>
          <w:position w:val="0"/>
        </w:rPr>
        <w:t>处司</w:t>
      </w:r>
      <w:r>
        <w:rPr>
          <w:i/>
          <w:iCs/>
          <w:spacing w:val="0"/>
          <w:w w:val="100"/>
          <w:position w:val="0"/>
        </w:rPr>
        <w:t>毓</w:t>
      </w:r>
      <w:r>
        <w:rPr>
          <w:spacing w:val="0"/>
          <w:w w:val="100"/>
          <w:position w:val="0"/>
        </w:rPr>
        <w:t>.</w:t>
      </w:r>
      <w:r>
        <w:rPr>
          <w:color w:val="6C6C6D"/>
          <w:spacing w:val="0"/>
          <w:w w:val="100"/>
          <w:position w:val="0"/>
        </w:rPr>
        <w:t>以</w:t>
      </w:r>
      <w:r>
        <w:rPr>
          <w:spacing w:val="0"/>
          <w:w w:val="100"/>
          <w:position w:val="0"/>
        </w:rPr>
        <w:t>相柢抵莎成痕</w:t>
      </w:r>
      <w:r>
        <w:rPr>
          <w:rFonts w:ascii="Arial" w:eastAsia="Arial" w:hAnsi="Arial" w:cs="Arial"/>
          <w:spacing w:val="0"/>
          <w:w w:val="100"/>
          <w:position w:val="0"/>
          <w:sz w:val="11"/>
          <w:szCs w:val="11"/>
        </w:rPr>
        <w:t>®</w:t>
      </w:r>
      <w:r>
        <w:rPr>
          <w:spacing w:val="0"/>
          <w:w w:val="100"/>
          <w:position w:val="0"/>
        </w:rPr>
        <w:t>由</w:t>
      </w:r>
      <w:r>
        <w:rPr>
          <w:rFonts w:ascii="SimSun" w:eastAsia="SimSun" w:hAnsi="SimSun" w:cs="SimSun"/>
          <w:spacing w:val="0"/>
          <w:w w:val="100"/>
          <w:position w:val="0"/>
          <w:sz w:val="14"/>
          <w:szCs w:val="14"/>
        </w:rPr>
        <w:t xml:space="preserve">S </w:t>
      </w:r>
      <w:r>
        <w:rPr>
          <w:spacing w:val="0"/>
          <w:w w:val="100"/>
          <w:position w:val="0"/>
        </w:rPr>
        <w:t>蔺由行人括方证分展竹有副</w:t>
      </w:r>
      <w:r>
        <w:rPr>
          <w:color w:val="6C6C6D"/>
          <w:spacing w:val="0"/>
          <w:w w:val="100"/>
          <w:position w:val="0"/>
        </w:rPr>
        <w:t>公司</w:t>
      </w:r>
      <w:r>
        <w:rPr>
          <w:spacing w:val="0"/>
          <w:w w:val="100"/>
          <w:position w:val="0"/>
        </w:rPr>
        <w:t>承担，</w:t>
      </w:r>
      <w:r>
        <w:rPr>
          <w:color w:val="A9A9A9"/>
          <w:spacing w:val="0"/>
          <w:w w:val="100"/>
          <w:position w:val="0"/>
        </w:rPr>
        <w:t>-</w:t>
      </w:r>
    </w:p>
    <w:p>
      <w:pPr>
        <w:pStyle w:val="Style50"/>
        <w:keepNext w:val="0"/>
        <w:keepLines w:val="0"/>
        <w:widowControl w:val="0"/>
        <w:shd w:val="clear" w:color="auto" w:fill="auto"/>
        <w:bidi w:val="0"/>
        <w:spacing w:before="0" w:after="500"/>
        <w:ind w:left="1780" w:right="0" w:firstLine="0"/>
        <w:jc w:val="left"/>
      </w:pPr>
      <w:r>
        <w:rPr>
          <w:spacing w:val="0"/>
          <w:w w:val="100"/>
          <w:position w:val="0"/>
        </w:rPr>
        <w:t>供止</w:t>
      </w:r>
      <w:r>
        <w:rPr>
          <w:rFonts w:ascii="SimSun" w:eastAsia="SimSun" w:hAnsi="SimSun" w:cs="SimSun"/>
          <w:color w:val="6C6C6D"/>
          <w:spacing w:val="0"/>
          <w:w w:val="100"/>
          <w:position w:val="0"/>
          <w:sz w:val="14"/>
          <w:szCs w:val="14"/>
        </w:rPr>
        <w:t>1022</w:t>
      </w:r>
      <w:r>
        <w:rPr>
          <w:color w:val="6C6C6D"/>
          <w:spacing w:val="0"/>
          <w:w w:val="100"/>
          <w:position w:val="0"/>
        </w:rPr>
        <w:t>年</w:t>
      </w:r>
      <w:r>
        <w:rPr>
          <w:rFonts w:ascii="SimSun" w:eastAsia="SimSun" w:hAnsi="SimSun" w:cs="SimSun"/>
          <w:color w:val="898887"/>
          <w:spacing w:val="0"/>
          <w:w w:val="100"/>
          <w:position w:val="0"/>
          <w:sz w:val="14"/>
          <w:szCs w:val="14"/>
        </w:rPr>
        <w:t>4</w:t>
      </w:r>
      <w:r>
        <w:rPr>
          <w:color w:val="6C6C6D"/>
          <w:spacing w:val="0"/>
          <w:w w:val="100"/>
          <w:position w:val="0"/>
        </w:rPr>
        <w:t>月</w:t>
      </w:r>
      <w:r>
        <w:rPr>
          <w:rFonts w:ascii="SimSun" w:eastAsia="SimSun" w:hAnsi="SimSun" w:cs="SimSun"/>
          <w:color w:val="6C6C6D"/>
          <w:spacing w:val="0"/>
          <w:w w:val="100"/>
          <w:position w:val="0"/>
          <w:sz w:val="14"/>
          <w:szCs w:val="14"/>
        </w:rPr>
        <w:t>1</w:t>
      </w:r>
      <w:r>
        <w:rPr>
          <w:color w:val="6C6C6D"/>
          <w:spacing w:val="0"/>
          <w:w w:val="100"/>
          <w:position w:val="0"/>
        </w:rPr>
        <w:t>曰，上谜</w:t>
      </w:r>
      <w:r>
        <w:rPr>
          <w:spacing w:val="0"/>
          <w:w w:val="100"/>
          <w:position w:val="0"/>
        </w:rPr>
        <w:t>眼票</w:t>
      </w:r>
      <w:r>
        <w:rPr>
          <w:color w:val="6C6C6D"/>
          <w:spacing w:val="0"/>
          <w:w w:val="100"/>
          <w:position w:val="0"/>
        </w:rPr>
        <w:t>均末壳</w:t>
      </w:r>
      <w:r>
        <w:rPr>
          <w:rFonts w:ascii="SimSun" w:eastAsia="SimSun" w:hAnsi="SimSun" w:cs="SimSun"/>
          <w:color w:val="6C6C6D"/>
          <w:spacing w:val="0"/>
          <w:w w:val="100"/>
          <w:position w:val="0"/>
          <w:sz w:val="14"/>
          <w:szCs w:val="14"/>
        </w:rPr>
        <w:t>8：</w:t>
      </w:r>
      <w:r>
        <w:rPr>
          <w:color w:val="6C6C6D"/>
          <w:spacing w:val="0"/>
          <w:w w:val="100"/>
          <w:position w:val="0"/>
        </w:rPr>
        <w:t>过户…</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4</w:t>
      </w:r>
      <w:bookmarkEnd w:id="574"/>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72"/>
      <w:bookmarkEnd w:id="573"/>
      <w:bookmarkEnd w:id="575"/>
    </w:p>
    <w:p>
      <w:pPr>
        <w:pStyle w:val="Style1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90"/>
        <w:gridCol w:w="1200"/>
        <w:gridCol w:w="1205"/>
        <w:gridCol w:w="1195"/>
        <w:gridCol w:w="1190"/>
        <w:gridCol w:w="1200"/>
        <w:gridCol w:w="120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是否影响公司 控制权稳定</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93,310.75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个人融资需求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部分质押股票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被拍卖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3"/>
        <w:keepNext/>
        <w:keepLines/>
        <w:widowControl w:val="0"/>
        <w:shd w:val="clear" w:color="auto" w:fill="auto"/>
        <w:tabs>
          <w:tab w:pos="368" w:val="left"/>
        </w:tabs>
        <w:bidi w:val="0"/>
        <w:spacing w:before="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5</w:t>
      </w:r>
      <w:bookmarkEnd w:id="57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6"/>
      <w:bookmarkEnd w:id="577"/>
      <w:bookmarkEnd w:id="579"/>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368" w:val="left"/>
        </w:tabs>
        <w:bidi w:val="0"/>
        <w:spacing w:before="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6</w:t>
      </w:r>
      <w:bookmarkEnd w:id="582"/>
      <w:r>
        <w:rPr>
          <w:color w:val="000000"/>
          <w:spacing w:val="0"/>
          <w:w w:val="100"/>
          <w:position w:val="0"/>
        </w:rPr>
        <w:t>、</w:t>
        <w:tab/>
        <w:t>控股股东、实际控制人、重组方及其他承诺主体股份限制减持情况</w:t>
      </w:r>
      <w:bookmarkEnd w:id="580"/>
      <w:bookmarkEnd w:id="581"/>
      <w:bookmarkEnd w:id="583"/>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四</w:t>
      </w:r>
      <w:bookmarkEnd w:id="586"/>
      <w:r>
        <w:rPr>
          <w:color w:val="000000"/>
          <w:spacing w:val="0"/>
          <w:w w:val="100"/>
          <w:position w:val="0"/>
        </w:rPr>
        <w:t>、股份回购在报告期的具体实施情况</w:t>
      </w:r>
      <w:bookmarkEnd w:id="584"/>
      <w:bookmarkEnd w:id="585"/>
      <w:bookmarkEnd w:id="58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2702560</wp:posOffset>
                </wp:positionH>
                <wp:positionV relativeFrom="paragraph">
                  <wp:posOffset>0</wp:posOffset>
                </wp:positionV>
                <wp:extent cx="2179320" cy="250190"/>
                <wp:wrapTopAndBottom/>
                <wp:docPr id="1" name="Shape 1"/>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369" w:name="bookmark369"/>
                            <w:bookmarkStart w:id="370" w:name="bookmark370"/>
                            <w:bookmarkStart w:id="371" w:name="bookmark371"/>
                            <w:r>
                              <w:rPr>
                                <w:color w:val="000000"/>
                                <w:spacing w:val="0"/>
                                <w:w w:val="100"/>
                                <w:position w:val="0"/>
                              </w:rPr>
                              <w:t>第八节优先股相关情况</w:t>
                            </w:r>
                            <w:bookmarkEnd w:id="369"/>
                            <w:bookmarkEnd w:id="370"/>
                            <w:bookmarkEnd w:id="37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2.80000000000001pt;margin-top:0;width:171.59999999999999pt;height:19.6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369" w:name="bookmark369"/>
                      <w:bookmarkStart w:id="370" w:name="bookmark370"/>
                      <w:bookmarkStart w:id="371" w:name="bookmark371"/>
                      <w:r>
                        <w:rPr>
                          <w:color w:val="000000"/>
                          <w:spacing w:val="0"/>
                          <w:w w:val="100"/>
                          <w:position w:val="0"/>
                        </w:rPr>
                        <w:t>第八节优先股相关情况</w:t>
                      </w:r>
                      <w:bookmarkEnd w:id="369"/>
                      <w:bookmarkEnd w:id="370"/>
                      <w:bookmarkEnd w:id="371"/>
                    </w:p>
                  </w:txbxContent>
                </v:textbox>
                <w10:wrap type="topAndBottom" anchorx="page"/>
              </v:shape>
            </w:pict>
          </mc:Fallback>
        </mc:AlternateConten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0" w:right="1082" w:bottom="1414" w:left="1016"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588" w:name="bookmark588"/>
      <w:bookmarkStart w:id="589" w:name="bookmark589"/>
      <w:bookmarkStart w:id="590" w:name="bookmark590"/>
      <w:r>
        <w:rPr>
          <w:color w:val="000000"/>
          <w:spacing w:val="0"/>
          <w:w w:val="100"/>
          <w:position w:val="0"/>
        </w:rPr>
        <w:t>第九节债券相关情况</w:t>
      </w:r>
      <w:bookmarkEnd w:id="588"/>
      <w:bookmarkEnd w:id="589"/>
      <w:bookmarkEnd w:id="590"/>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540" w:after="520" w:line="240" w:lineRule="auto"/>
        <w:ind w:left="0" w:right="0" w:firstLine="0"/>
        <w:jc w:val="center"/>
      </w:pPr>
      <w:bookmarkStart w:id="594" w:name="bookmark594"/>
      <w:bookmarkStart w:id="595" w:name="bookmark595"/>
      <w:bookmarkStart w:id="596" w:name="bookmark596"/>
      <w:r>
        <w:rPr>
          <w:color w:val="000000"/>
          <w:spacing w:val="0"/>
          <w:w w:val="100"/>
          <w:position w:val="0"/>
        </w:rPr>
        <w:t>第十节财务报告</w:t>
      </w:r>
      <w:bookmarkEnd w:id="594"/>
      <w:bookmarkEnd w:id="595"/>
      <w:bookmarkEnd w:id="596"/>
    </w:p>
    <w:p>
      <w:pPr>
        <w:pStyle w:val="Style32"/>
        <w:keepNext w:val="0"/>
        <w:keepLines w:val="0"/>
        <w:widowControl w:val="0"/>
        <w:shd w:val="clear" w:color="auto" w:fill="auto"/>
        <w:bidi w:val="0"/>
        <w:spacing w:before="0" w:after="0" w:line="240" w:lineRule="auto"/>
        <w:ind w:left="0" w:right="0" w:firstLine="0"/>
        <w:jc w:val="left"/>
        <w:rPr>
          <w:sz w:val="22"/>
          <w:szCs w:val="22"/>
        </w:rPr>
      </w:pPr>
      <w:bookmarkStart w:id="597" w:name="bookmark597"/>
      <w:r>
        <w:rPr>
          <w:b/>
          <w:bCs/>
          <w:color w:val="000000"/>
          <w:spacing w:val="0"/>
          <w:w w:val="100"/>
          <w:position w:val="0"/>
          <w:sz w:val="22"/>
          <w:szCs w:val="22"/>
        </w:rPr>
        <w:t>一、审计报告</w:t>
      </w:r>
      <w:bookmarkEnd w:id="597"/>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无法表示意见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希会审字</w:t>
            </w:r>
            <w:r>
              <w:rPr>
                <w:rFonts w:ascii="Times New Roman" w:eastAsia="Times New Roman" w:hAnsi="Times New Roman" w:cs="Times New Roman"/>
                <w:color w:val="000000"/>
                <w:spacing w:val="0"/>
                <w:w w:val="100"/>
                <w:position w:val="0"/>
                <w:sz w:val="18"/>
                <w:szCs w:val="18"/>
              </w:rPr>
              <w:t>（2022）3831</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朱琳徐伟</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39" w:line="1" w:lineRule="exact"/>
      </w:pPr>
    </w:p>
    <w:p>
      <w:pPr>
        <w:pStyle w:val="Style13"/>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广东文化长城集团股份有限公司全体股东：</w:t>
      </w:r>
    </w:p>
    <w:p>
      <w:pPr>
        <w:pStyle w:val="Style13"/>
        <w:keepNext w:val="0"/>
        <w:keepLines w:val="0"/>
        <w:widowControl w:val="0"/>
        <w:shd w:val="clear" w:color="auto" w:fill="auto"/>
        <w:tabs>
          <w:tab w:pos="1025" w:val="left"/>
        </w:tabs>
        <w:bidi w:val="0"/>
        <w:spacing w:before="0" w:after="140" w:line="314" w:lineRule="exact"/>
        <w:ind w:left="0" w:right="0" w:firstLine="480"/>
        <w:jc w:val="both"/>
      </w:pPr>
      <w:bookmarkStart w:id="598" w:name="bookmark598"/>
      <w:r>
        <w:rPr>
          <w:b/>
          <w:bCs/>
          <w:color w:val="000000"/>
          <w:spacing w:val="0"/>
          <w:w w:val="100"/>
          <w:position w:val="0"/>
        </w:rPr>
        <w:t>一</w:t>
      </w:r>
      <w:bookmarkEnd w:id="598"/>
      <w:r>
        <w:rPr>
          <w:b/>
          <w:bCs/>
          <w:color w:val="000000"/>
          <w:spacing w:val="0"/>
          <w:w w:val="100"/>
          <w:position w:val="0"/>
        </w:rPr>
        <w:t>、</w:t>
        <w:tab/>
        <w:t>无法表示意见</w:t>
      </w:r>
    </w:p>
    <w:p>
      <w:pPr>
        <w:pStyle w:val="Style1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我们接受委托，审计广东文化长城集团股份有限公司（以下简称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文化长城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）财务报表， 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年度的合并及母公司利润表、合并及 母公司现金流量表、合并及母公司股东权益变动表以及相关财务报表附注。</w:t>
      </w:r>
    </w:p>
    <w:p>
      <w:pPr>
        <w:pStyle w:val="Style13"/>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我们不对后附的文化长城合并及母公司的财务报表发表审计意见。由于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形成无法表示意 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部分所述事项的重要性，我们无法获取充分、适当的审计证据以作为对财务报表发 表审计意见的基础。</w:t>
      </w:r>
    </w:p>
    <w:p>
      <w:pPr>
        <w:pStyle w:val="Style13"/>
        <w:keepNext w:val="0"/>
        <w:keepLines w:val="0"/>
        <w:widowControl w:val="0"/>
        <w:shd w:val="clear" w:color="auto" w:fill="auto"/>
        <w:tabs>
          <w:tab w:pos="1025" w:val="left"/>
        </w:tabs>
        <w:bidi w:val="0"/>
        <w:spacing w:before="0" w:after="140" w:line="314" w:lineRule="exact"/>
        <w:ind w:left="0" w:right="0" w:firstLine="480"/>
        <w:jc w:val="both"/>
      </w:pPr>
      <w:bookmarkStart w:id="599" w:name="bookmark599"/>
      <w:r>
        <w:rPr>
          <w:b/>
          <w:bCs/>
          <w:color w:val="000000"/>
          <w:spacing w:val="0"/>
          <w:w w:val="100"/>
          <w:position w:val="0"/>
        </w:rPr>
        <w:t>二</w:t>
      </w:r>
      <w:bookmarkEnd w:id="599"/>
      <w:r>
        <w:rPr>
          <w:b/>
          <w:bCs/>
          <w:color w:val="000000"/>
          <w:spacing w:val="0"/>
          <w:w w:val="100"/>
          <w:position w:val="0"/>
        </w:rPr>
        <w:t>、</w:t>
        <w:tab/>
        <w:t>形成无法表示意见的基础</w:t>
      </w:r>
    </w:p>
    <w:p>
      <w:pPr>
        <w:pStyle w:val="Style13"/>
        <w:keepNext w:val="0"/>
        <w:keepLines w:val="0"/>
        <w:widowControl w:val="0"/>
        <w:shd w:val="clear" w:color="auto" w:fill="auto"/>
        <w:tabs>
          <w:tab w:pos="1126" w:val="left"/>
        </w:tabs>
        <w:bidi w:val="0"/>
        <w:spacing w:before="0" w:after="0" w:line="317" w:lineRule="exact"/>
        <w:ind w:left="0" w:right="0" w:firstLine="480"/>
        <w:jc w:val="both"/>
      </w:pPr>
      <w:bookmarkStart w:id="600" w:name="bookmark600"/>
      <w:r>
        <w:rPr>
          <w:b/>
          <w:bCs/>
          <w:color w:val="000000"/>
          <w:spacing w:val="0"/>
          <w:w w:val="100"/>
          <w:position w:val="0"/>
        </w:rPr>
        <w:t>（</w:t>
      </w:r>
      <w:bookmarkEnd w:id="600"/>
      <w:r>
        <w:rPr>
          <w:b/>
          <w:bCs/>
          <w:color w:val="000000"/>
          <w:spacing w:val="0"/>
          <w:w w:val="100"/>
          <w:position w:val="0"/>
        </w:rPr>
        <w:t>一）</w:t>
        <w:tab/>
        <w:t>持续经营存在不确定性</w:t>
      </w:r>
    </w:p>
    <w:p>
      <w:pPr>
        <w:pStyle w:val="Style1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文化长城营业收入大幅下滑</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年度营业总收入为</w:t>
      </w:r>
      <w:r>
        <w:rPr>
          <w:rFonts w:ascii="Times New Roman" w:eastAsia="Times New Roman" w:hAnsi="Times New Roman" w:cs="Times New Roman"/>
          <w:color w:val="000000"/>
          <w:spacing w:val="0"/>
          <w:w w:val="100"/>
          <w:position w:val="0"/>
          <w:sz w:val="24"/>
          <w:szCs w:val="24"/>
        </w:rPr>
        <w:t>7,577.12</w:t>
      </w:r>
      <w:r>
        <w:rPr>
          <w:color w:val="000000"/>
          <w:spacing w:val="0"/>
          <w:w w:val="100"/>
          <w:position w:val="0"/>
        </w:rPr>
        <w:t>万元、较上期下降</w:t>
      </w:r>
      <w:r>
        <w:rPr>
          <w:rFonts w:ascii="Times New Roman" w:eastAsia="Times New Roman" w:hAnsi="Times New Roman" w:cs="Times New Roman"/>
          <w:color w:val="000000"/>
          <w:spacing w:val="0"/>
          <w:w w:val="100"/>
          <w:position w:val="0"/>
          <w:sz w:val="24"/>
          <w:szCs w:val="24"/>
        </w:rPr>
        <w:t>40.13%</w:t>
      </w:r>
      <w:r>
        <w:rPr>
          <w:color w:val="000000"/>
          <w:spacing w:val="0"/>
          <w:w w:val="100"/>
          <w:position w:val="0"/>
        </w:rPr>
        <w:t>， 归属于母公司净利润为</w:t>
      </w:r>
      <w:r>
        <w:rPr>
          <w:rFonts w:ascii="Times New Roman" w:eastAsia="Times New Roman" w:hAnsi="Times New Roman" w:cs="Times New Roman"/>
          <w:color w:val="000000"/>
          <w:spacing w:val="0"/>
          <w:w w:val="100"/>
          <w:position w:val="0"/>
          <w:sz w:val="24"/>
          <w:szCs w:val="24"/>
        </w:rPr>
        <w:t>-40,062.50</w:t>
      </w:r>
      <w:r>
        <w:rPr>
          <w:color w:val="000000"/>
          <w:spacing w:val="0"/>
          <w:w w:val="100"/>
          <w:position w:val="0"/>
        </w:rPr>
        <w:t>万元，已连续四年亏损；截止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日归属于母公司 股东权益合计为</w:t>
      </w:r>
      <w:r>
        <w:rPr>
          <w:rFonts w:ascii="Times New Roman" w:eastAsia="Times New Roman" w:hAnsi="Times New Roman" w:cs="Times New Roman"/>
          <w:color w:val="000000"/>
          <w:spacing w:val="0"/>
          <w:w w:val="100"/>
          <w:position w:val="0"/>
          <w:sz w:val="24"/>
          <w:szCs w:val="24"/>
        </w:rPr>
        <w:t>-28,598.83</w:t>
      </w:r>
      <w:r>
        <w:rPr>
          <w:color w:val="000000"/>
          <w:spacing w:val="0"/>
          <w:w w:val="100"/>
          <w:position w:val="0"/>
        </w:rPr>
        <w:t>万元，尚有</w:t>
      </w:r>
      <w:r>
        <w:rPr>
          <w:rFonts w:ascii="Times New Roman" w:eastAsia="Times New Roman" w:hAnsi="Times New Roman" w:cs="Times New Roman"/>
          <w:color w:val="000000"/>
          <w:spacing w:val="0"/>
          <w:w w:val="100"/>
          <w:position w:val="0"/>
          <w:sz w:val="24"/>
          <w:szCs w:val="24"/>
        </w:rPr>
        <w:t>86,136.50</w:t>
      </w:r>
      <w:r>
        <w:rPr>
          <w:color w:val="000000"/>
          <w:spacing w:val="0"/>
          <w:w w:val="100"/>
          <w:position w:val="0"/>
        </w:rPr>
        <w:t>万元债务本息逾期未归还；因债务逾期、子公 司失控等事项，文化长城涉及多起诉讼，部分银行账户以及部分子公司股权被司法冻结。</w:t>
      </w:r>
    </w:p>
    <w:p>
      <w:pPr>
        <w:pStyle w:val="Style1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如财务报表附注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二、财务报表的编制基础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（二）持续经营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所述，文化长城管理层 计划采取措施改善公司的经营状况和财务状况，但文化长城的持续经营仍存在不确定性。</w:t>
      </w:r>
    </w:p>
    <w:p>
      <w:pPr>
        <w:pStyle w:val="Style1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我们无法获取充分、适当的审计证据，以判断文化长城在持续经营假设的基础上编制财 务报表是否恰当。</w:t>
      </w:r>
    </w:p>
    <w:p>
      <w:pPr>
        <w:pStyle w:val="Style13"/>
        <w:keepNext w:val="0"/>
        <w:keepLines w:val="0"/>
        <w:widowControl w:val="0"/>
        <w:shd w:val="clear" w:color="auto" w:fill="auto"/>
        <w:tabs>
          <w:tab w:pos="1126" w:val="left"/>
        </w:tabs>
        <w:bidi w:val="0"/>
        <w:spacing w:before="0" w:after="0" w:line="314" w:lineRule="exact"/>
        <w:ind w:left="0" w:right="0" w:firstLine="480"/>
        <w:jc w:val="both"/>
      </w:pPr>
      <w:bookmarkStart w:id="601" w:name="bookmark601"/>
      <w:r>
        <w:rPr>
          <w:b/>
          <w:bCs/>
          <w:color w:val="000000"/>
          <w:spacing w:val="0"/>
          <w:w w:val="100"/>
          <w:position w:val="0"/>
        </w:rPr>
        <w:t>（</w:t>
      </w:r>
      <w:bookmarkEnd w:id="601"/>
      <w:r>
        <w:rPr>
          <w:b/>
          <w:bCs/>
          <w:color w:val="000000"/>
          <w:spacing w:val="0"/>
          <w:w w:val="100"/>
          <w:position w:val="0"/>
        </w:rPr>
        <w:t>二）</w:t>
        <w:tab/>
        <w:t>海外销售业务的真实性、应收账款及信用减值的准确性</w:t>
      </w:r>
    </w:p>
    <w:p>
      <w:pPr>
        <w:pStyle w:val="Style1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如财务报表附注五、（二）所述，截至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日海外应收账款原值</w:t>
      </w:r>
      <w:r>
        <w:rPr>
          <w:rFonts w:ascii="Times New Roman" w:eastAsia="Times New Roman" w:hAnsi="Times New Roman" w:cs="Times New Roman"/>
          <w:color w:val="000000"/>
          <w:spacing w:val="0"/>
          <w:w w:val="100"/>
          <w:position w:val="0"/>
          <w:sz w:val="24"/>
          <w:szCs w:val="24"/>
        </w:rPr>
        <w:t>25,148.38</w:t>
      </w:r>
      <w:r>
        <w:rPr>
          <w:color w:val="000000"/>
          <w:spacing w:val="0"/>
          <w:w w:val="100"/>
          <w:position w:val="0"/>
        </w:rPr>
        <w:t>万元、 坏账准备</w:t>
      </w:r>
      <w:r>
        <w:rPr>
          <w:rFonts w:ascii="Times New Roman" w:eastAsia="Times New Roman" w:hAnsi="Times New Roman" w:cs="Times New Roman"/>
          <w:color w:val="000000"/>
          <w:spacing w:val="0"/>
          <w:w w:val="100"/>
          <w:position w:val="0"/>
          <w:sz w:val="24"/>
          <w:szCs w:val="24"/>
        </w:rPr>
        <w:t>22,500.42</w:t>
      </w:r>
      <w:r>
        <w:rPr>
          <w:color w:val="000000"/>
          <w:spacing w:val="0"/>
          <w:w w:val="100"/>
          <w:position w:val="0"/>
        </w:rPr>
        <w:t>万元。按照审计准则的要求，我们对上述应收账款设计并执行函证程序， 其中已发出</w:t>
      </w:r>
      <w:r>
        <w:rPr>
          <w:rFonts w:ascii="Times New Roman" w:eastAsia="Times New Roman" w:hAnsi="Times New Roman" w:cs="Times New Roman"/>
          <w:color w:val="000000"/>
          <w:spacing w:val="0"/>
          <w:w w:val="100"/>
          <w:position w:val="0"/>
          <w:sz w:val="24"/>
          <w:szCs w:val="24"/>
        </w:rPr>
        <w:t>131</w:t>
      </w:r>
      <w:r>
        <w:rPr>
          <w:color w:val="000000"/>
          <w:spacing w:val="0"/>
          <w:w w:val="100"/>
          <w:position w:val="0"/>
        </w:rPr>
        <w:t>份询证函中，收回的函证中有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份回函金额不符，涉及金额</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,251.48</w:t>
      </w:r>
      <w:r>
        <w:rPr>
          <w:color w:val="000000"/>
          <w:spacing w:val="0"/>
          <w:w w:val="100"/>
          <w:position w:val="0"/>
        </w:rPr>
        <w:t>万元；尚 有</w:t>
      </w:r>
      <w:r>
        <w:rPr>
          <w:rFonts w:ascii="Times New Roman" w:eastAsia="Times New Roman" w:hAnsi="Times New Roman" w:cs="Times New Roman"/>
          <w:color w:val="000000"/>
          <w:spacing w:val="0"/>
          <w:w w:val="100"/>
          <w:position w:val="0"/>
          <w:sz w:val="24"/>
          <w:szCs w:val="24"/>
        </w:rPr>
        <w:t>116</w:t>
      </w:r>
      <w:r>
        <w:rPr>
          <w:color w:val="000000"/>
          <w:spacing w:val="0"/>
          <w:w w:val="100"/>
          <w:position w:val="0"/>
        </w:rPr>
        <w:t>份询证函未收到回函，涉及金额</w:t>
      </w:r>
      <w:r>
        <w:rPr>
          <w:rFonts w:ascii="Times New Roman" w:eastAsia="Times New Roman" w:hAnsi="Times New Roman" w:cs="Times New Roman"/>
          <w:color w:val="000000"/>
          <w:spacing w:val="0"/>
          <w:w w:val="100"/>
          <w:position w:val="0"/>
          <w:sz w:val="24"/>
          <w:szCs w:val="24"/>
        </w:rPr>
        <w:t>9,509.71</w:t>
      </w:r>
      <w:r>
        <w:rPr>
          <w:color w:val="000000"/>
          <w:spacing w:val="0"/>
          <w:w w:val="100"/>
          <w:position w:val="0"/>
        </w:rPr>
        <w:t>万元。另外由于文化长城未能提供确切的函证 地址与联系人等原因，共有</w:t>
      </w:r>
      <w:r>
        <w:rPr>
          <w:rFonts w:ascii="Times New Roman" w:eastAsia="Times New Roman" w:hAnsi="Times New Roman" w:cs="Times New Roman"/>
          <w:color w:val="000000"/>
          <w:spacing w:val="0"/>
          <w:w w:val="100"/>
          <w:position w:val="0"/>
          <w:sz w:val="24"/>
          <w:szCs w:val="24"/>
        </w:rPr>
        <w:t>235</w:t>
      </w:r>
      <w:r>
        <w:rPr>
          <w:color w:val="000000"/>
          <w:spacing w:val="0"/>
          <w:w w:val="100"/>
          <w:position w:val="0"/>
        </w:rPr>
        <w:t>份询证函无法发出，涉及金额</w:t>
      </w:r>
      <w:r>
        <w:rPr>
          <w:rFonts w:ascii="Times New Roman" w:eastAsia="Times New Roman" w:hAnsi="Times New Roman" w:cs="Times New Roman"/>
          <w:color w:val="000000"/>
          <w:spacing w:val="0"/>
          <w:w w:val="100"/>
          <w:position w:val="0"/>
          <w:sz w:val="24"/>
          <w:szCs w:val="24"/>
        </w:rPr>
        <w:t>14,254.53</w:t>
      </w:r>
      <w:r>
        <w:rPr>
          <w:color w:val="000000"/>
          <w:spacing w:val="0"/>
          <w:w w:val="100"/>
          <w:position w:val="0"/>
        </w:rPr>
        <w:t>万元。我们执行的审计 程序不能为发表审计意见提供充分、适当的审计证据，因此我们无法判断文化长城财务报表 与海外销售业务相关的应收账款形成的原因，以确认海外应收账款期初余额的真实性、以及 应收账款的信用减值准备的准确性。</w:t>
      </w:r>
    </w:p>
    <w:p>
      <w:pPr>
        <w:pStyle w:val="Style13"/>
        <w:keepNext w:val="0"/>
        <w:keepLines w:val="0"/>
        <w:widowControl w:val="0"/>
        <w:shd w:val="clear" w:color="auto" w:fill="auto"/>
        <w:tabs>
          <w:tab w:pos="1126" w:val="left"/>
        </w:tabs>
        <w:bidi w:val="0"/>
        <w:spacing w:before="0" w:after="140" w:line="314" w:lineRule="exact"/>
        <w:ind w:left="0" w:right="0" w:firstLine="480"/>
        <w:jc w:val="both"/>
      </w:pPr>
      <w:bookmarkStart w:id="602" w:name="bookmark602"/>
      <w:r>
        <w:rPr>
          <w:b/>
          <w:bCs/>
          <w:color w:val="000000"/>
          <w:spacing w:val="0"/>
          <w:w w:val="100"/>
          <w:position w:val="0"/>
        </w:rPr>
        <w:t>（</w:t>
      </w:r>
      <w:bookmarkEnd w:id="602"/>
      <w:r>
        <w:rPr>
          <w:b/>
          <w:bCs/>
          <w:color w:val="000000"/>
          <w:spacing w:val="0"/>
          <w:w w:val="100"/>
          <w:position w:val="0"/>
        </w:rPr>
        <w:t>三）</w:t>
        <w:tab/>
        <w:t>非经营性占用资金尚未全部归还</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根据中国证券监督管理委员会广东监管局（以下简称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广东监管局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月的《行政 处罚决定》认定，文化长城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年期间存在向原控股股东蔡廷祥等关联方提供非经 营性资金约</w:t>
      </w:r>
      <w:r>
        <w:rPr>
          <w:rFonts w:ascii="Times New Roman" w:eastAsia="Times New Roman" w:hAnsi="Times New Roman" w:cs="Times New Roman"/>
          <w:color w:val="000000"/>
          <w:spacing w:val="0"/>
          <w:w w:val="100"/>
          <w:position w:val="0"/>
          <w:sz w:val="24"/>
          <w:szCs w:val="24"/>
        </w:rPr>
        <w:t>45,383.00</w:t>
      </w:r>
      <w:r>
        <w:rPr>
          <w:color w:val="000000"/>
          <w:spacing w:val="0"/>
          <w:w w:val="100"/>
          <w:position w:val="0"/>
        </w:rPr>
        <w:t>万元。文化长城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年度已自查整改，但上述非经营性占用资金尚未全 部归还。</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如附注十三、（二）所述，截至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日，资金占用涉及的潮州市名源陶瓷有限 公司（蔡廷祥等关联方）、潮州市枫溪区锦汇陶瓷原料厂（蔡廷祥等关联方）、潮州市源发 陶瓷有限公司（蔡廷祥等关联方）（以下简称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蔡廷祥等关联方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）的资金占用仍未全部归还，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年度仅由文化长城现实际控制人孙光亮先生代偿</w:t>
      </w:r>
      <w:r>
        <w:rPr>
          <w:rFonts w:ascii="Times New Roman" w:eastAsia="Times New Roman" w:hAnsi="Times New Roman" w:cs="Times New Roman"/>
          <w:color w:val="000000"/>
          <w:spacing w:val="0"/>
          <w:w w:val="100"/>
          <w:position w:val="0"/>
          <w:sz w:val="24"/>
          <w:szCs w:val="24"/>
        </w:rPr>
        <w:t>4,221.43</w:t>
      </w:r>
      <w:r>
        <w:rPr>
          <w:color w:val="000000"/>
          <w:spacing w:val="0"/>
          <w:w w:val="100"/>
          <w:position w:val="0"/>
        </w:rPr>
        <w:t>万元，孙光亮先生代偿后其他应 收款资金占用账面原值</w:t>
      </w:r>
      <w:r>
        <w:rPr>
          <w:rFonts w:ascii="Times New Roman" w:eastAsia="Times New Roman" w:hAnsi="Times New Roman" w:cs="Times New Roman"/>
          <w:color w:val="000000"/>
          <w:spacing w:val="0"/>
          <w:w w:val="100"/>
          <w:position w:val="0"/>
          <w:sz w:val="24"/>
          <w:szCs w:val="24"/>
        </w:rPr>
        <w:t>27,111.9</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万元、减值准备余额</w:t>
      </w:r>
      <w:r>
        <w:rPr>
          <w:rFonts w:ascii="Times New Roman" w:eastAsia="Times New Roman" w:hAnsi="Times New Roman" w:cs="Times New Roman"/>
          <w:color w:val="000000"/>
          <w:spacing w:val="0"/>
          <w:w w:val="100"/>
          <w:position w:val="0"/>
          <w:sz w:val="24"/>
          <w:szCs w:val="24"/>
        </w:rPr>
        <w:t>12,827.18</w:t>
      </w:r>
      <w:r>
        <w:rPr>
          <w:color w:val="000000"/>
          <w:spacing w:val="0"/>
          <w:w w:val="100"/>
          <w:position w:val="0"/>
        </w:rPr>
        <w:t>万元。截至审计报告日，由于 蔡廷祥等关联方并未按照公司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年度报告披露的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其他应收款解决方案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承诺在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前偿还占用文化长城资金</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,679.99</w:t>
      </w:r>
      <w:r>
        <w:rPr>
          <w:color w:val="000000"/>
          <w:spacing w:val="0"/>
          <w:w w:val="100"/>
          <w:position w:val="0"/>
        </w:rPr>
        <w:t>万元，文化长城已提起诉讼追偿。由于案件尚未受理，我 们无法判断上述蔡廷祥等关联方资金占用款项减值准备计提金额的准确性。</w:t>
      </w:r>
    </w:p>
    <w:p>
      <w:pPr>
        <w:pStyle w:val="Style13"/>
        <w:keepNext w:val="0"/>
        <w:keepLines w:val="0"/>
        <w:widowControl w:val="0"/>
        <w:shd w:val="clear" w:color="auto" w:fill="auto"/>
        <w:bidi w:val="0"/>
        <w:spacing w:before="0" w:after="0" w:line="313" w:lineRule="exact"/>
        <w:ind w:left="0" w:right="0" w:firstLine="500"/>
        <w:jc w:val="left"/>
      </w:pPr>
      <w:bookmarkStart w:id="603" w:name="bookmark603"/>
      <w:r>
        <w:rPr>
          <w:b/>
          <w:bCs/>
          <w:color w:val="000000"/>
          <w:spacing w:val="0"/>
          <w:w w:val="100"/>
          <w:position w:val="0"/>
        </w:rPr>
        <w:t>（</w:t>
      </w:r>
      <w:bookmarkEnd w:id="603"/>
      <w:r>
        <w:rPr>
          <w:b/>
          <w:bCs/>
          <w:color w:val="000000"/>
          <w:spacing w:val="0"/>
          <w:w w:val="100"/>
          <w:position w:val="0"/>
        </w:rPr>
        <w:t>四）失控的子公司无法实施审计程序，相关的股权投资减值金额的准确性无法确认</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如财务报表附注十四、其他重要事项（二）所述，文化长城在并购北京翡翠教育科技集 团有限公司（以下简称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翡翠教育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）、广东联汛教育科技有限公司（以下简称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联汛教育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时，与业绩承诺人签署了相关的《盈利及减值补偿协议》，根据广东监管局《行政处罚决定 书》对联汛教育虚增营业收入、营业利润的事实和翡翠教育失控时间的认定，以及因联汛管 理层违规导致文化长城对联汛教育的失控，文化长城已对翡翠教育、联汛教育提起因业绩对 赌未完成应向公司进行赔偿的民事诉讼。深圳中院、潮州中院已分别于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日受理了文化长城对翡翠教育、联汛教育的民事赔偿诉讼。又因翡翠教育相关人员 在公司并购翡翠教育过程中涉嫌合同诈骗，文化长城已经向公安机关报案并于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月收到 刑事立案通知书；截至审计报告日，上述民事诉讼尚未判决，刑事案件尚未侦查完毕。文化 长城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年对翡翠教育、联汛教育的长期股权投资分别计提减值准备</w:t>
      </w:r>
      <w:r>
        <w:rPr>
          <w:rFonts w:ascii="Times New Roman" w:eastAsia="Times New Roman" w:hAnsi="Times New Roman" w:cs="Times New Roman"/>
          <w:color w:val="000000"/>
          <w:spacing w:val="0"/>
          <w:w w:val="100"/>
          <w:position w:val="0"/>
          <w:sz w:val="24"/>
          <w:szCs w:val="24"/>
        </w:rPr>
        <w:t>57,882.54</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 xml:space="preserve">62,597.15 </w:t>
      </w:r>
      <w:r>
        <w:rPr>
          <w:color w:val="000000"/>
          <w:spacing w:val="0"/>
          <w:w w:val="100"/>
          <w:position w:val="0"/>
        </w:rPr>
        <w:t>万元，剩余的股权价值</w:t>
      </w:r>
      <w:r>
        <w:rPr>
          <w:rFonts w:ascii="Times New Roman" w:eastAsia="Times New Roman" w:hAnsi="Times New Roman" w:cs="Times New Roman"/>
          <w:color w:val="000000"/>
          <w:spacing w:val="0"/>
          <w:w w:val="100"/>
          <w:position w:val="0"/>
          <w:sz w:val="24"/>
          <w:szCs w:val="24"/>
        </w:rPr>
        <w:t>79,829.19</w:t>
      </w:r>
      <w:r>
        <w:rPr>
          <w:color w:val="000000"/>
          <w:spacing w:val="0"/>
          <w:w w:val="100"/>
          <w:position w:val="0"/>
        </w:rPr>
        <w:t>万元在其他权益工具投资核算。</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文化长城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日发布《关于首次公开发行股票募集资金投资项目河南长城绿色 瓷艺科技有限公司股权转让的公告》，以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日为基准日，以经评估确定的转让价格 </w:t>
      </w:r>
      <w:r>
        <w:rPr>
          <w:rFonts w:ascii="Times New Roman" w:eastAsia="Times New Roman" w:hAnsi="Times New Roman" w:cs="Times New Roman"/>
          <w:color w:val="000000"/>
          <w:spacing w:val="0"/>
          <w:w w:val="100"/>
          <w:position w:val="0"/>
          <w:sz w:val="24"/>
          <w:szCs w:val="24"/>
        </w:rPr>
        <w:t>18,291.17</w:t>
      </w:r>
      <w:r>
        <w:rPr>
          <w:color w:val="000000"/>
          <w:spacing w:val="0"/>
          <w:w w:val="100"/>
          <w:position w:val="0"/>
        </w:rPr>
        <w:t>万元将子公司河南长城绿色瓷艺科技有限公司（以下简称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长城瓷艺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股权转 让给深圳市东方置地集团有限公司（以下简称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东方置地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日与东方置地、 广州隽隆贸易有限公司（以下简称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隽隆贸易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）签订的就转让子公司长城瓷艺股权事项签订 的《债务转让协议书》，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 xml:space="preserve">日经广东自由贸易区南沙片区人民法院民事判决书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）粤</w:t>
      </w:r>
      <w:r>
        <w:rPr>
          <w:rFonts w:ascii="Times New Roman" w:eastAsia="Times New Roman" w:hAnsi="Times New Roman" w:cs="Times New Roman"/>
          <w:color w:val="000000"/>
          <w:spacing w:val="0"/>
          <w:w w:val="100"/>
          <w:position w:val="0"/>
          <w:sz w:val="24"/>
          <w:szCs w:val="24"/>
        </w:rPr>
        <w:t>0191</w:t>
      </w:r>
      <w:r>
        <w:rPr>
          <w:color w:val="000000"/>
          <w:spacing w:val="0"/>
          <w:w w:val="100"/>
          <w:position w:val="0"/>
        </w:rPr>
        <w:t>民初</w:t>
      </w:r>
      <w:r>
        <w:rPr>
          <w:rFonts w:ascii="Times New Roman" w:eastAsia="Times New Roman" w:hAnsi="Times New Roman" w:cs="Times New Roman"/>
          <w:color w:val="000000"/>
          <w:spacing w:val="0"/>
          <w:w w:val="100"/>
          <w:position w:val="0"/>
          <w:sz w:val="24"/>
          <w:szCs w:val="24"/>
        </w:rPr>
        <w:t>12537</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判决不成立。在法院判决《债务转让协议书》不成立的情况下， 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月处置长城瓷艺股权事项已失去交易基础，与股权处置相关的交易事项不应确 认。文化长城对长城瓷艺股权投资</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年分别计提的减值准备</w:t>
      </w:r>
      <w:r>
        <w:rPr>
          <w:rFonts w:ascii="Times New Roman" w:eastAsia="Times New Roman" w:hAnsi="Times New Roman" w:cs="Times New Roman"/>
          <w:color w:val="000000"/>
          <w:spacing w:val="0"/>
          <w:w w:val="100"/>
          <w:position w:val="0"/>
          <w:sz w:val="24"/>
          <w:szCs w:val="24"/>
        </w:rPr>
        <w:t>3,708.83</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 xml:space="preserve">5,932.95 </w:t>
      </w:r>
      <w:r>
        <w:rPr>
          <w:color w:val="000000"/>
          <w:spacing w:val="0"/>
          <w:w w:val="100"/>
          <w:position w:val="0"/>
        </w:rPr>
        <w:t>万元。因长城瓷艺的股权于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日已变更登记为隽隆贸易，文化长城对长城瓷艺失去 控制。截至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日，文化长城在其他权益工具投资科目列报长城瓷艺投资</w:t>
      </w:r>
      <w:r>
        <w:rPr>
          <w:rFonts w:ascii="Times New Roman" w:eastAsia="Times New Roman" w:hAnsi="Times New Roman" w:cs="Times New Roman"/>
          <w:color w:val="000000"/>
          <w:spacing w:val="0"/>
          <w:w w:val="100"/>
          <w:position w:val="0"/>
          <w:sz w:val="24"/>
          <w:szCs w:val="24"/>
        </w:rPr>
        <w:t xml:space="preserve">12,358.22 </w:t>
      </w:r>
      <w:r>
        <w:rPr>
          <w:color w:val="000000"/>
          <w:spacing w:val="0"/>
          <w:w w:val="100"/>
          <w:position w:val="0"/>
        </w:rPr>
        <w:t>万元，在其他综合收益科目列报公允价值变动损失</w:t>
      </w:r>
      <w:r>
        <w:rPr>
          <w:rFonts w:ascii="Times New Roman" w:eastAsia="Times New Roman" w:hAnsi="Times New Roman" w:cs="Times New Roman"/>
          <w:color w:val="000000"/>
          <w:spacing w:val="0"/>
          <w:w w:val="100"/>
          <w:position w:val="0"/>
          <w:sz w:val="24"/>
          <w:szCs w:val="24"/>
        </w:rPr>
        <w:t>9,641.78</w:t>
      </w:r>
      <w:r>
        <w:rPr>
          <w:color w:val="000000"/>
          <w:spacing w:val="0"/>
          <w:w w:val="100"/>
          <w:position w:val="0"/>
        </w:rPr>
        <w:t>万元。</w:t>
      </w:r>
    </w:p>
    <w:p>
      <w:pPr>
        <w:pStyle w:val="Style13"/>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年由于三家子公司仍处于继续失控的状态，审计范围受到限制，我们未能获取充分、 适当的审计证据，无法判断相关的其他权益工具投资期初、期末余额以及其他综合收益列报 的公允价值变动余额是否准确；同时截止审计报告出具日，针对联汛教育、翡翠教育的民事 诉讼及刑事立案尚未审理或侦查完毕，相关案件的结果对财务报表可能产生的影响存在不确 定性。</w:t>
      </w:r>
    </w:p>
    <w:p>
      <w:pPr>
        <w:pStyle w:val="Style13"/>
        <w:keepNext w:val="0"/>
        <w:keepLines w:val="0"/>
        <w:widowControl w:val="0"/>
        <w:shd w:val="clear" w:color="auto" w:fill="auto"/>
        <w:bidi w:val="0"/>
        <w:spacing w:before="0" w:after="0" w:line="313" w:lineRule="exact"/>
        <w:ind w:left="0" w:right="0" w:firstLine="500"/>
        <w:jc w:val="both"/>
      </w:pPr>
      <w:bookmarkStart w:id="604" w:name="bookmark604"/>
      <w:r>
        <w:rPr>
          <w:b/>
          <w:bCs/>
          <w:color w:val="000000"/>
          <w:spacing w:val="0"/>
          <w:w w:val="100"/>
          <w:position w:val="0"/>
        </w:rPr>
        <w:t>三</w:t>
      </w:r>
      <w:bookmarkEnd w:id="604"/>
      <w:r>
        <w:rPr>
          <w:b/>
          <w:bCs/>
          <w:color w:val="000000"/>
          <w:spacing w:val="0"/>
          <w:w w:val="100"/>
          <w:position w:val="0"/>
        </w:rPr>
        <w:t>、管理层和治理层对财务报表的责任</w:t>
      </w:r>
    </w:p>
    <w:p>
      <w:pPr>
        <w:pStyle w:val="Style1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文化长城管理层（以下简称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）负责按照企业会计准则的规定编制财务报表，使 其实现公允反映，并设计、执行和维护必要的内部控制，以使财务报表不存在由于舞弊或错</w:t>
        <w:br w:type="page"/>
      </w:r>
      <w:r>
        <w:rPr>
          <w:color w:val="000000"/>
          <w:spacing w:val="0"/>
          <w:w w:val="100"/>
          <w:position w:val="0"/>
        </w:rPr>
        <w:t>误导致的重大错报。</w:t>
      </w:r>
    </w:p>
    <w:p>
      <w:pPr>
        <w:pStyle w:val="Style1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在编制财务报表时，管理层负责评估文化长城的持续经营能力，披露与持续经营相关的 事项（如适用），并运用持续经营假设，除非管理层计划清算文化长城、终止运营或别无其 他现实的选择。</w:t>
      </w:r>
    </w:p>
    <w:p>
      <w:pPr>
        <w:pStyle w:val="Style13"/>
        <w:keepNext w:val="0"/>
        <w:keepLines w:val="0"/>
        <w:widowControl w:val="0"/>
        <w:shd w:val="clear" w:color="auto" w:fill="auto"/>
        <w:bidi w:val="0"/>
        <w:spacing w:before="0" w:after="160" w:line="310" w:lineRule="exact"/>
        <w:ind w:left="0" w:right="0" w:firstLine="480"/>
        <w:jc w:val="both"/>
      </w:pPr>
      <w:r>
        <w:rPr>
          <w:color w:val="000000"/>
          <w:spacing w:val="0"/>
          <w:w w:val="100"/>
          <w:position w:val="0"/>
        </w:rPr>
        <w:t>治理层负责监督文化长城的财务报告过程。</w:t>
      </w:r>
    </w:p>
    <w:p>
      <w:pPr>
        <w:pStyle w:val="Style13"/>
        <w:keepNext w:val="0"/>
        <w:keepLines w:val="0"/>
        <w:widowControl w:val="0"/>
        <w:shd w:val="clear" w:color="auto" w:fill="auto"/>
        <w:bidi w:val="0"/>
        <w:spacing w:before="0" w:after="160" w:line="312" w:lineRule="exact"/>
        <w:ind w:left="0" w:right="0" w:firstLine="480"/>
        <w:jc w:val="both"/>
      </w:pPr>
      <w:bookmarkStart w:id="605" w:name="bookmark605"/>
      <w:r>
        <w:rPr>
          <w:b/>
          <w:bCs/>
          <w:color w:val="000000"/>
          <w:spacing w:val="0"/>
          <w:w w:val="100"/>
          <w:position w:val="0"/>
        </w:rPr>
        <w:t>四</w:t>
      </w:r>
      <w:bookmarkEnd w:id="605"/>
      <w:r>
        <w:rPr>
          <w:b/>
          <w:bCs/>
          <w:color w:val="000000"/>
          <w:spacing w:val="0"/>
          <w:w w:val="100"/>
          <w:position w:val="0"/>
        </w:rPr>
        <w:t>、注册会计师对财务报表审计的责任</w:t>
      </w:r>
    </w:p>
    <w:p>
      <w:pPr>
        <w:pStyle w:val="Style1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我们的责任是按照中国注册会计师审计准则的规定，对文化长城的财务报表执行审计工 作，以出具审计报告。但由于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形成无法表示意见的基础，，部分所述的事项，我们无法获取充 分、适当的审计证据以作为发表审计意见的基础。</w:t>
      </w:r>
    </w:p>
    <w:p>
      <w:pPr>
        <w:pStyle w:val="Style13"/>
        <w:keepNext w:val="0"/>
        <w:keepLines w:val="0"/>
        <w:widowControl w:val="0"/>
        <w:shd w:val="clear" w:color="auto" w:fill="auto"/>
        <w:bidi w:val="0"/>
        <w:spacing w:before="0" w:after="1300" w:line="314" w:lineRule="exact"/>
        <w:ind w:left="0" w:right="0" w:firstLine="480"/>
        <w:jc w:val="both"/>
      </w:pPr>
      <w:r>
        <w:rPr>
          <w:color w:val="000000"/>
          <w:spacing w:val="0"/>
          <w:w w:val="100"/>
          <w:position w:val="0"/>
        </w:rPr>
        <w:t>按照中国注册会计师职业道德守则，我们独立于文化长城，并履行了职业道德方面的其 他责任。</w:t>
      </w:r>
    </w:p>
    <w:p>
      <w:pPr>
        <w:pStyle w:val="Style19"/>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r>
        <w:rPr>
          <w:color w:val="000000"/>
          <w:spacing w:val="0"/>
          <w:w w:val="100"/>
          <w:position w:val="0"/>
        </w:rPr>
        <w:t>二、财务报表</w:t>
      </w:r>
      <w:bookmarkEnd w:id="606"/>
      <w:bookmarkEnd w:id="607"/>
      <w:bookmarkEnd w:id="60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3"/>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、合并资产负债表</w:t>
      </w:r>
      <w:bookmarkEnd w:id="609"/>
      <w:bookmarkEnd w:id="610"/>
      <w:bookmarkEnd w:id="612"/>
    </w:p>
    <w:p>
      <w:pPr>
        <w:pStyle w:val="Style1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6391275</wp:posOffset>
                </wp:positionH>
                <wp:positionV relativeFrom="paragraph">
                  <wp:posOffset>444500</wp:posOffset>
                </wp:positionV>
                <wp:extent cx="478790" cy="143510"/>
                <wp:wrapSquare wrapText="bothSides"/>
                <wp:docPr id="3" name="Shape 3"/>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29" type="#_x0000_t202" style="position:absolute;margin-left:503.25pt;margin-top:35.pt;width:37.700000000000003pt;height:11.300000000000001pt;z-index:-125829373;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编制单位：广东文化长城集团股份有限公司</w:t>
      </w:r>
    </w:p>
    <w:tbl>
      <w:tblPr>
        <w:tblOverlap w:val="never"/>
        <w:jc w:val="left"/>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D3D3D3"/>
            <w:vAlign w:val="top"/>
          </w:tcPr>
          <w:p>
            <w:pPr>
              <w:framePr w:w="9590" w:h="6058" w:hSpace="5" w:vSpace="614" w:wrap="notBeside" w:vAnchor="text" w:hAnchor="text" w:x="119" w:y="615"/>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9,897,177.72</w:t>
            </w:r>
          </w:p>
        </w:tc>
        <w:tc>
          <w:tcPr>
            <w:tcBorders>
              <w:top w:val="single" w:sz="4"/>
              <w:left w:val="single" w:sz="4"/>
              <w:righ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9,315,271.57</w:t>
            </w:r>
          </w:p>
        </w:tc>
      </w:tr>
      <w:tr>
        <w:trPr>
          <w:trHeight w:val="39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44,940,733.41</w:t>
            </w:r>
          </w:p>
        </w:tc>
        <w:tc>
          <w:tcPr>
            <w:tcBorders>
              <w:top w:val="single" w:sz="4"/>
              <w:left w:val="single" w:sz="4"/>
              <w:righ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133,757,780.01</w:t>
            </w:r>
          </w:p>
        </w:tc>
      </w:tr>
      <w:tr>
        <w:trPr>
          <w:trHeight w:val="394"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2,655,198.87</w:t>
            </w:r>
          </w:p>
        </w:tc>
        <w:tc>
          <w:tcPr>
            <w:tcBorders>
              <w:top w:val="single" w:sz="4"/>
              <w:left w:val="single" w:sz="4"/>
              <w:righ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2,936,187.79</w:t>
            </w:r>
          </w:p>
        </w:tc>
      </w:tr>
      <w:tr>
        <w:trPr>
          <w:trHeight w:val="394"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90" w:h="6058" w:hSpace="5" w:vSpace="614" w:wrap="notBeside" w:vAnchor="text" w:hAnchor="text" w:x="119" w:y="615"/>
              <w:widowControl w:val="0"/>
              <w:rPr>
                <w:sz w:val="10"/>
                <w:szCs w:val="10"/>
              </w:rPr>
            </w:pPr>
          </w:p>
        </w:tc>
        <w:tc>
          <w:tcPr>
            <w:tcBorders>
              <w:top w:val="single" w:sz="4"/>
              <w:left w:val="single" w:sz="4"/>
              <w:right w:val="single" w:sz="4"/>
            </w:tcBorders>
            <w:shd w:val="clear" w:color="auto" w:fill="FFFFFF"/>
            <w:vAlign w:val="top"/>
          </w:tcPr>
          <w:p>
            <w:pPr>
              <w:framePr w:w="9590" w:h="6058" w:hSpace="5" w:vSpace="614" w:wrap="notBeside" w:vAnchor="text" w:hAnchor="text" w:x="119" w:y="615"/>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158,005,531.92</w:t>
            </w:r>
          </w:p>
        </w:tc>
        <w:tc>
          <w:tcPr>
            <w:tcBorders>
              <w:top w:val="single" w:sz="4"/>
              <w:left w:val="single" w:sz="4"/>
              <w:bottom w:val="single" w:sz="4"/>
              <w:right w:val="single" w:sz="4"/>
            </w:tcBorders>
            <w:shd w:val="clear" w:color="auto" w:fill="FFFFFF"/>
            <w:vAlign w:val="center"/>
          </w:tcPr>
          <w:p>
            <w:pPr>
              <w:pStyle w:val="Style2"/>
              <w:keepNext w:val="0"/>
              <w:keepLines w:val="0"/>
              <w:framePr w:w="9590" w:h="6058" w:hSpace="5" w:vSpace="614" w:wrap="notBeside" w:vAnchor="text" w:hAnchor="text" w:x="119"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208,922,067.75</w:t>
            </w:r>
          </w:p>
        </w:tc>
      </w:tr>
    </w:tbl>
    <w:p>
      <w:pPr>
        <w:pStyle w:val="Style32"/>
        <w:keepNext w:val="0"/>
        <w:keepLines w:val="0"/>
        <w:framePr w:w="5587" w:h="206" w:hSpace="113" w:wrap="notBeside" w:vAnchor="text" w:hAnchor="text" w:x="114"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24,012,305.50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30,811,418.58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2,695,298.04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244,142,994.12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388,438,023.74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2,121,443.21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60,360,480.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60,376,507.01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921,994,145.25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922,052,564.56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122,521,470.94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204,780,617.44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23,035,320.78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124,206,608.13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126,689,486.08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188,780,214.08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16,109,459.28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3,035,366.18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517,580.85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1,268,823,504.21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1,507,836,198.56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1,512,966,498.33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1,896,274222.30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366,337,268.90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4,354,999.97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6,040,180.80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44,107,393.53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8,624,342.09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8,623,388.05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5,480,923.47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10,686,635.46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3,455,450.35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3,601,006.78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1,020,658,678.86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899,480,550.40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138,007,030.47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60,733,036.58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369,336,637.72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724,909,096.72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1,079,059.80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1,780,558,755.96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1,696,842,130.71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18,097,466.35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84,082,964.11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18,097,466.35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1,798,656222.31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1,780,925,094.82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-1,314,094,672.83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-1,314,036253.52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-834,972,423.35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-434,347,430.56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-285,988,304.90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114,695,107.20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298,580.92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654,020.28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-285,689,723.98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115,349,127.48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1,512,966,498.33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1,896,274222.30</w:t>
            </w:r>
          </w:p>
        </w:tc>
      </w:tr>
    </w:tbl>
    <w:p>
      <w:pPr>
        <w:pStyle w:val="Style2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71770" simplePos="0" relativeHeight="125829382" behindDoc="0" locked="0" layoutInCell="1" allowOverlap="1">
                <wp:simplePos x="0" y="0"/>
                <wp:positionH relativeFrom="page">
                  <wp:posOffset>705485</wp:posOffset>
                </wp:positionH>
                <wp:positionV relativeFrom="margin">
                  <wp:posOffset>5111750</wp:posOffset>
                </wp:positionV>
                <wp:extent cx="938530" cy="149225"/>
                <wp:wrapTopAndBottom/>
                <wp:docPr id="5" name="Shape 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法定代表人：徐阳</w:t>
                            </w:r>
                          </w:p>
                        </w:txbxContent>
                      </wps:txbx>
                      <wps:bodyPr wrap="none" lIns="0" tIns="0" rIns="0" bIns="0">
                        <a:noAutoFit/>
                      </wps:bodyPr>
                    </wps:wsp>
                  </a:graphicData>
                </a:graphic>
              </wp:anchor>
            </w:drawing>
          </mc:Choice>
          <mc:Fallback>
            <w:pict>
              <v:shape id="_x0000_s1031" type="#_x0000_t202" style="position:absolute;margin-left:55.550000000000004pt;margin-top:402.5pt;width:73.900000000000006pt;height:11.75pt;z-index:-125829371;mso-wrap-distance-left:9.pt;mso-wrap-distance-top:12.pt;mso-wrap-distance-right:415.10000000000002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法定代表人：徐阳</w:t>
                      </w:r>
                    </w:p>
                  </w:txbxContent>
                </v:textbox>
                <w10:wrap type="topAndBottom" anchorx="page" anchory="margin"/>
              </v:shape>
            </w:pict>
          </mc:Fallback>
        </mc:AlternateContent>
      </w:r>
      <w:r>
        <mc:AlternateContent>
          <mc:Choice Requires="wps">
            <w:drawing>
              <wp:anchor distT="152400" distB="3175" distL="2299970" distR="2515870" simplePos="0" relativeHeight="125829384" behindDoc="0" locked="0" layoutInCell="1" allowOverlap="1">
                <wp:simplePos x="0" y="0"/>
                <wp:positionH relativeFrom="page">
                  <wp:posOffset>2891155</wp:posOffset>
                </wp:positionH>
                <wp:positionV relativeFrom="margin">
                  <wp:posOffset>5111750</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主管会计工作负责人：裴瑞欣</w:t>
                            </w:r>
                          </w:p>
                        </w:txbxContent>
                      </wps:txbx>
                      <wps:bodyPr wrap="none" lIns="0" tIns="0" rIns="0" bIns="0">
                        <a:noAutoFit/>
                      </wps:bodyPr>
                    </wps:wsp>
                  </a:graphicData>
                </a:graphic>
              </wp:anchor>
            </w:drawing>
          </mc:Choice>
          <mc:Fallback>
            <w:pict>
              <v:shape id="_x0000_s1033" type="#_x0000_t202" style="position:absolute;margin-left:227.65000000000001pt;margin-top:402.5pt;width:118.8pt;height:11.5pt;z-index:-125829369;mso-wrap-distance-left:181.09999999999999pt;mso-wrap-distance-top:12.pt;mso-wrap-distance-right:198.0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主管会计工作负责人：裴瑞欣</w:t>
                      </w:r>
                    </w:p>
                  </w:txbxContent>
                </v:textbox>
                <w10:wrap type="topAndBottom" anchorx="page" anchory="margin"/>
              </v:shape>
            </w:pict>
          </mc:Fallback>
        </mc:AlternateContent>
      </w:r>
      <w:r>
        <mc:AlternateContent>
          <mc:Choice Requires="wps">
            <w:drawing>
              <wp:anchor distT="152400" distB="0" distL="5039995" distR="114300" simplePos="0" relativeHeight="125829386" behindDoc="0" locked="0" layoutInCell="1" allowOverlap="1">
                <wp:simplePos x="0" y="0"/>
                <wp:positionH relativeFrom="page">
                  <wp:posOffset>5631180</wp:posOffset>
                </wp:positionH>
                <wp:positionV relativeFrom="margin">
                  <wp:posOffset>5111750</wp:posOffset>
                </wp:positionV>
                <wp:extent cx="1170305" cy="149225"/>
                <wp:wrapTopAndBottom/>
                <wp:docPr id="9" name="Shape 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35" type="#_x0000_t202" style="position:absolute;margin-left:443.40000000000003pt;margin-top:402.5pt;width:92.150000000000006pt;height:11.75pt;z-index:-125829367;mso-wrap-distance-left:396.85000000000002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、母公司资产负债表</w:t>
      </w:r>
      <w:bookmarkEnd w:id="613"/>
      <w:bookmarkEnd w:id="614"/>
      <w:bookmarkEnd w:id="61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553,910.23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20,486,671.75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427,521,726.65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446,898,139.54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52,873,670.09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36,766,388.57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3,831,411.37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153,083.17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484,884,942.45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504,969,075.26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350,460,694.54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640,244,521.41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753,879,867.02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753,938,286.33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71239,790.40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75,355,345.90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3,068,365.19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3,180,208.02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1,178,648,717.15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1,472,718,361.66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1,663,533,659.60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1,977,687,436.92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343,137,268.90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709,909,096.72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591,347.56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171,946.73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251,197.01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150,380.00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1,483,976.58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105,279.18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546,845.04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1,065,984282.30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975,091,114.78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1,774,296,195.18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1,687,906233.30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1,774,296,195.18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1,771,989,197.41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481,056,870.00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-1,314,094,672.83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-1,314,036253.52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-659,746,654.03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-343,344,298.25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-110,762,535.58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205,698,239.51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1,663,533,659.60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1,977,687,436.92</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、合并利润表</w:t>
      </w:r>
      <w:bookmarkEnd w:id="617"/>
      <w:bookmarkEnd w:id="618"/>
      <w:bookmarkEnd w:id="62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221,705,539.33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238,720,821.49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52,555,586.28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65,624258.15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1,309,634.99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1,629,810.97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27,661,535.40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28,846242.23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47,835,073.96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47,170,063.61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4,805,999.45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7,062,596.81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87,537,709.25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88,387,849.72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75,400,169.30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69,491292.16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1,692,247.29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2,795,439.83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6,963,954.24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-5,215,973.90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-1,488,030.19</w:t>
            </w:r>
          </w:p>
        </w:tc>
      </w:tr>
    </w:tbl>
    <w:p>
      <w:pPr>
        <w:widowControl w:val="0"/>
        <w:spacing w:line="1" w:lineRule="exact"/>
      </w:pPr>
      <w:r>
        <w:br w:type="page"/>
      </w:r>
    </w:p>
    <w:tbl>
      <w:tblPr>
        <w:tblOverlap w:val="never"/>
        <w:jc w:val="center"/>
        <w:tblLayout w:type="fixed"/>
      </w:tblPr>
      <w:tblGrid>
        <w:gridCol w:w="309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6,979,981.11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-42,081,694.08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-84,653,471.96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-215,079,133.46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-13,358,584.71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-394,539,314.68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-212,611,586.31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1,015,886.64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598,326.79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7,272,814.45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4,263,430.03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-400,796,242.49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-216,276,689.55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184,189.66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-400,980,432.15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-217,138,069.18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-400,980,432.15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-217,138,069.18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-400,624,992.79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-216,626,904.45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-511,164.73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-60,027,555.52</w:t>
            </w: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-401,038,851.46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-277,165,624.70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-400,683,412.10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-276,479,668.34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-685,956.36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6"/>
        <w:keepNext w:val="0"/>
        <w:keepLines w:val="0"/>
        <w:widowControl w:val="0"/>
        <w:shd w:val="clear" w:color="auto" w:fill="auto"/>
        <w:tabs>
          <w:tab w:pos="3437" w:val="left"/>
          <w:tab w:pos="7752" w:val="left"/>
        </w:tabs>
        <w:bidi w:val="0"/>
        <w:spacing w:before="0" w:after="380" w:line="240" w:lineRule="auto"/>
        <w:ind w:left="0" w:right="0" w:firstLine="0"/>
        <w:jc w:val="left"/>
      </w:pPr>
      <w:r>
        <w:rPr>
          <w:color w:val="000000"/>
          <w:spacing w:val="0"/>
          <w:w w:val="100"/>
          <w:position w:val="0"/>
        </w:rPr>
        <w:t>法定代表人：徐阳</w:t>
        <w:tab/>
        <w:t>主管会计工作负责人：裴瑞欣</w:t>
        <w:tab/>
        <w:t>会计机构负责人：杨榕</w:t>
      </w:r>
    </w:p>
    <w:p>
      <w:pPr>
        <w:pStyle w:val="Style23"/>
        <w:keepNext/>
        <w:keepLines/>
        <w:widowControl w:val="0"/>
        <w:shd w:val="clear" w:color="auto" w:fill="auto"/>
        <w:bidi w:val="0"/>
        <w:spacing w:before="0" w:after="42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、母公司利润表</w:t>
      </w:r>
      <w:bookmarkEnd w:id="621"/>
      <w:bookmarkEnd w:id="622"/>
      <w:bookmarkEnd w:id="624"/>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7"/>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4,920,921.29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5,635,306.30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4,456,639.26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4,310,850.69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816,463.70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709,839.75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212,444.50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16,564,045.94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11,818,362.03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451,630.74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1,002,404.60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73,757,975.33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71270266.78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71,153,524.</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65,649,373.75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64,603,954.24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2,291,969.81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-1,488,030.19</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2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-9,475,670.16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-12,763,915.12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-273,417,893.18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-310,129,475.37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-93,680,431.31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364,759.09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6,637,639.50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4,081,279.50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-316,402,355.78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-97,361,710.58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-316,402,355.78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-97,361,710.58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-316,402,355.78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-97,361,710.58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-60,027,555.52</w:t>
            </w: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-316,460,775.09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-157,389,266.10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、合并现金流量表</w:t>
      </w:r>
      <w:bookmarkEnd w:id="625"/>
      <w:bookmarkEnd w:id="626"/>
      <w:bookmarkEnd w:id="62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98,935,093.74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105,789,359.47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4,685,493.13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60,846,633.60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16,896224.68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160,105,068.99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127,371,077.28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54209,933.25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33,723,904.44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28,596,071.89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28,784,743.37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4,163,384.02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1,530,800.00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58,813,343.96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78,483,576.80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145,782,733.12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142,523,024.61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14,322,335.87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-15,151,947.33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532,586.41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3,437,937.32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11,007,724.00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3,582,292.32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13240,310.41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12,514296.67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1,084,288.93</w:t>
            </w: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1,168,859.53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10,939,088.07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13,683,156.20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12,023,377.00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-10,100,863.88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1,216,933.41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308,950,000.00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6,154,999.97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314,640,654.14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1,319,396.65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3,627,456.68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6,159,435.11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13,633,831.73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318,268,110.82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-3,633,831.73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-9,318,110.82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-23,424,815.37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8,354,945.35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31,779,760.72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8,903,960.02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8,354,945.35</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6</w:t>
      </w:r>
      <w:bookmarkEnd w:id="631"/>
      <w:r>
        <w:rPr>
          <w:color w:val="000000"/>
          <w:spacing w:val="0"/>
          <w:w w:val="100"/>
          <w:position w:val="0"/>
        </w:rPr>
        <w:t>、母公司现金流量表</w:t>
      </w:r>
      <w:bookmarkEnd w:id="629"/>
      <w:bookmarkEnd w:id="630"/>
      <w:bookmarkEnd w:id="6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971,139.52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8,770,611.77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971,139.52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8,785,578.78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1,935,348.48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491,486.70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362,164.99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989,965.33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19,979233.85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989,965.33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22,768234.02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-18,825.81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-13,982,655.24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237,017.00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237,017.00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1,462,983.00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292,976,999.12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5,556,381.72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298,533,380.84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7,416,619.16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-5,102,836.24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5,121,673.54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18,837.30</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7</w:t>
      </w:r>
      <w:bookmarkEnd w:id="635"/>
      <w:r>
        <w:rPr>
          <w:color w:val="000000"/>
          <w:spacing w:val="0"/>
          <w:w w:val="100"/>
          <w:position w:val="0"/>
        </w:rPr>
        <w:t>、合并所有者权益变动表</w:t>
      </w:r>
      <w:bookmarkEnd w:id="633"/>
      <w:bookmarkEnd w:id="634"/>
      <w:bookmarkEnd w:id="63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-1,314, </w:t>
            </w:r>
            <w:r>
              <w:rPr>
                <w:rFonts w:ascii="Times New Roman" w:eastAsia="Times New Roman" w:hAnsi="Times New Roman" w:cs="Times New Roman"/>
                <w:color w:val="000000"/>
                <w:spacing w:val="0"/>
                <w:w w:val="100"/>
                <w:position w:val="0"/>
                <w:sz w:val="18"/>
                <w:szCs w:val="18"/>
              </w:rPr>
              <w:t>036,25</w:t>
            </w:r>
          </w:p>
          <w:p>
            <w:pPr>
              <w:pStyle w:val="Style2"/>
              <w:keepNext w:val="0"/>
              <w:keepLines w:val="0"/>
              <w:widowControl w:val="0"/>
              <w:shd w:val="clear" w:color="auto" w:fill="auto"/>
              <w:bidi w:val="0"/>
              <w:spacing w:before="0" w:after="0" w:line="35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654,02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-1,314, </w:t>
            </w:r>
            <w:r>
              <w:rPr>
                <w:rFonts w:ascii="Times New Roman" w:eastAsia="Times New Roman" w:hAnsi="Times New Roman" w:cs="Times New Roman"/>
                <w:color w:val="000000"/>
                <w:spacing w:val="0"/>
                <w:w w:val="100"/>
                <w:position w:val="0"/>
                <w:sz w:val="18"/>
                <w:szCs w:val="18"/>
              </w:rPr>
              <w:t>036,25</w:t>
            </w:r>
          </w:p>
          <w:p>
            <w:pPr>
              <w:pStyle w:val="Style2"/>
              <w:keepNext w:val="0"/>
              <w:keepLines w:val="0"/>
              <w:widowControl w:val="0"/>
              <w:shd w:val="clear" w:color="auto" w:fill="auto"/>
              <w:bidi w:val="0"/>
              <w:spacing w:before="0" w:after="0" w:line="36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654,02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1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-1,314, </w:t>
            </w:r>
            <w:r>
              <w:rPr>
                <w:rFonts w:ascii="Times New Roman" w:eastAsia="Times New Roman" w:hAnsi="Times New Roman" w:cs="Times New Roman"/>
                <w:color w:val="000000"/>
                <w:spacing w:val="0"/>
                <w:w w:val="100"/>
                <w:position w:val="0"/>
                <w:sz w:val="18"/>
                <w:szCs w:val="18"/>
              </w:rPr>
              <w:t>036,25</w:t>
            </w:r>
          </w:p>
          <w:p>
            <w:pPr>
              <w:pStyle w:val="Style2"/>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331,32 </w:t>
            </w:r>
            <w:r>
              <w:rPr>
                <w:rFonts w:ascii="Times New Roman" w:eastAsia="Times New Roman" w:hAnsi="Times New Roman" w:cs="Times New Roman"/>
                <w:color w:val="000000"/>
                <w:spacing w:val="0"/>
                <w:w w:val="100"/>
                <w:position w:val="0"/>
                <w:sz w:val="18"/>
                <w:szCs w:val="18"/>
              </w:rPr>
              <w:t>2,011.</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2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-1,314, </w:t>
            </w:r>
            <w:r>
              <w:rPr>
                <w:rFonts w:ascii="Times New Roman" w:eastAsia="Times New Roman" w:hAnsi="Times New Roman" w:cs="Times New Roman"/>
                <w:color w:val="000000"/>
                <w:spacing w:val="0"/>
                <w:w w:val="100"/>
                <w:position w:val="0"/>
                <w:sz w:val="18"/>
                <w:szCs w:val="18"/>
              </w:rPr>
              <w:t>036,25</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-511,16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-511,16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-1,314, </w:t>
            </w:r>
            <w:r>
              <w:rPr>
                <w:rFonts w:ascii="Times New Roman" w:eastAsia="Times New Roman" w:hAnsi="Times New Roman" w:cs="Times New Roman"/>
                <w:color w:val="000000"/>
                <w:spacing w:val="0"/>
                <w:w w:val="100"/>
                <w:position w:val="0"/>
                <w:sz w:val="18"/>
                <w:szCs w:val="18"/>
              </w:rPr>
              <w:t>036,25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w:t>
            </w:r>
          </w:p>
        </w:tc>
      </w:tr>
    </w:tbl>
    <w:p>
      <w:pPr>
        <w:spacing w:lineRule="exact" w:line="1"/>
        <w:rPr>
          <w:sz w:val="2"/>
          <w:szCs w:val="2"/>
        </w:rPr>
      </w:pPr>
      <w:r>
        <w:br w:type="page"/>
      </w:r>
    </w:p>
    <w:p>
      <w:pPr>
        <w:pStyle w:val="Style23"/>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8</w:t>
      </w:r>
      <w:bookmarkEnd w:id="639"/>
      <w:r>
        <w:rPr>
          <w:color w:val="000000"/>
          <w:spacing w:val="0"/>
          <w:w w:val="100"/>
          <w:position w:val="0"/>
        </w:rPr>
        <w:t>、母公司所有者权益变动表</w:t>
      </w:r>
      <w:bookmarkEnd w:id="637"/>
      <w:bookmarkEnd w:id="638"/>
      <w:bookmarkEnd w:id="640"/>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481,05 </w:t>
            </w:r>
            <w:r>
              <w:rPr>
                <w:rFonts w:ascii="Times New Roman" w:eastAsia="Times New Roman" w:hAnsi="Times New Roman" w:cs="Times New Roman"/>
                <w:color w:val="000000"/>
                <w:spacing w:val="0"/>
                <w:w w:val="100"/>
                <w:position w:val="0"/>
                <w:sz w:val="18"/>
                <w:szCs w:val="18"/>
              </w:rPr>
              <w:t xml:space="preserve">6,870.0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481,05 </w:t>
            </w:r>
            <w:r>
              <w:rPr>
                <w:rFonts w:ascii="Times New Roman" w:eastAsia="Times New Roman" w:hAnsi="Times New Roman" w:cs="Times New Roman"/>
                <w:color w:val="000000"/>
                <w:spacing w:val="0"/>
                <w:w w:val="100"/>
                <w:position w:val="0"/>
                <w:sz w:val="18"/>
                <w:szCs w:val="18"/>
              </w:rPr>
              <w:t xml:space="preserve">6,870.0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481,05 </w:t>
            </w:r>
            <w:r>
              <w:rPr>
                <w:rFonts w:ascii="Times New Roman" w:eastAsia="Times New Roman" w:hAnsi="Times New Roman" w:cs="Times New Roman"/>
                <w:color w:val="000000"/>
                <w:spacing w:val="0"/>
                <w:w w:val="100"/>
                <w:position w:val="0"/>
                <w:sz w:val="18"/>
                <w:szCs w:val="18"/>
              </w:rPr>
              <w:t xml:space="preserve">6,870.0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76"/>
        <w:gridCol w:w="686"/>
        <w:gridCol w:w="686"/>
        <w:gridCol w:w="682"/>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-245,982,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both"/>
      </w:pPr>
      <w:bookmarkStart w:id="641" w:name="bookmark641"/>
      <w:bookmarkStart w:id="642" w:name="bookmark642"/>
      <w:bookmarkStart w:id="643" w:name="bookmark643"/>
      <w:r>
        <w:rPr>
          <w:color w:val="000000"/>
          <w:spacing w:val="0"/>
          <w:w w:val="100"/>
          <w:position w:val="0"/>
        </w:rPr>
        <w:t>三、公司基本情况</w:t>
      </w:r>
      <w:bookmarkEnd w:id="641"/>
      <w:bookmarkEnd w:id="642"/>
      <w:bookmarkEnd w:id="643"/>
    </w:p>
    <w:p>
      <w:pPr>
        <w:pStyle w:val="Style13"/>
        <w:keepNext w:val="0"/>
        <w:keepLines w:val="0"/>
        <w:widowControl w:val="0"/>
        <w:numPr>
          <w:ilvl w:val="0"/>
          <w:numId w:val="13"/>
        </w:numPr>
        <w:shd w:val="clear" w:color="auto" w:fill="auto"/>
        <w:bidi w:val="0"/>
        <w:spacing w:before="0" w:after="0" w:line="314" w:lineRule="exact"/>
        <w:ind w:left="0" w:right="0" w:firstLine="0"/>
        <w:jc w:val="both"/>
        <w:rPr>
          <w:sz w:val="20"/>
          <w:szCs w:val="20"/>
        </w:rPr>
      </w:pPr>
      <w:bookmarkStart w:id="644" w:name="bookmark644"/>
      <w:bookmarkEnd w:id="644"/>
      <w:r>
        <w:rPr>
          <w:b/>
          <w:bCs/>
          <w:color w:val="000000"/>
          <w:spacing w:val="0"/>
          <w:w w:val="100"/>
          <w:position w:val="0"/>
          <w:sz w:val="20"/>
          <w:szCs w:val="20"/>
        </w:rPr>
        <w:t>公司注册地、组织形式和总部地址</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广东文化长城集团股份有限公司（以下简称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）前身为广东长城集团有限公司，于</w:t>
      </w:r>
      <w:r>
        <w:rPr>
          <w:rFonts w:ascii="Times New Roman" w:eastAsia="Times New Roman" w:hAnsi="Times New Roman" w:cs="Times New Roman"/>
          <w:color w:val="000000"/>
          <w:spacing w:val="0"/>
          <w:w w:val="100"/>
          <w:position w:val="0"/>
          <w:sz w:val="20"/>
          <w:szCs w:val="20"/>
        </w:rPr>
        <w:t>1996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 在潮州市工商行政管理局注册成立。</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日，根据广东长城集团有限公司股东会决议和广东长城集团股份有限公司发起人协议书， 广东长城集团有限公司原股东作为发起人，以发起方式将广东长城集团有限公司整体变更为广东长城集团 股份有限公司。</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日经中国证券监督管理委员会核准（证监许可</w:t>
      </w:r>
      <w:r>
        <w:rPr>
          <w:rFonts w:ascii="Times New Roman" w:eastAsia="Times New Roman" w:hAnsi="Times New Roman" w:cs="Times New Roman"/>
          <w:color w:val="000000"/>
          <w:spacing w:val="0"/>
          <w:w w:val="100"/>
          <w:position w:val="0"/>
          <w:sz w:val="20"/>
          <w:szCs w:val="20"/>
        </w:rPr>
        <w:t>[2010]754</w:t>
      </w:r>
      <w:r>
        <w:rPr>
          <w:color w:val="000000"/>
          <w:spacing w:val="0"/>
          <w:w w:val="100"/>
          <w:position w:val="0"/>
          <w:sz w:val="20"/>
          <w:szCs w:val="20"/>
        </w:rPr>
        <w:t>号），公司向社会公开发行</w:t>
      </w:r>
      <w:r>
        <w:rPr>
          <w:rFonts w:ascii="Times New Roman" w:eastAsia="Times New Roman" w:hAnsi="Times New Roman" w:cs="Times New Roman"/>
          <w:color w:val="000000"/>
          <w:spacing w:val="0"/>
          <w:w w:val="100"/>
          <w:position w:val="0"/>
          <w:sz w:val="20"/>
          <w:szCs w:val="20"/>
        </w:rPr>
        <w:t xml:space="preserve">2,500 </w:t>
      </w:r>
      <w:r>
        <w:rPr>
          <w:color w:val="000000"/>
          <w:spacing w:val="0"/>
          <w:w w:val="100"/>
          <w:position w:val="0"/>
          <w:sz w:val="20"/>
          <w:szCs w:val="20"/>
        </w:rPr>
        <w:t>万股，股本变更为</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万股，公司股票于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日在深圳证券交易所挂牌上市交易，股票代码为 </w:t>
      </w:r>
      <w:r>
        <w:rPr>
          <w:rFonts w:ascii="Times New Roman" w:eastAsia="Times New Roman" w:hAnsi="Times New Roman" w:cs="Times New Roman"/>
          <w:color w:val="000000"/>
          <w:spacing w:val="0"/>
          <w:w w:val="100"/>
          <w:position w:val="0"/>
          <w:sz w:val="20"/>
          <w:szCs w:val="20"/>
        </w:rPr>
        <w:t>300089</w:t>
      </w:r>
      <w:r>
        <w:rPr>
          <w:color w:val="000000"/>
          <w:spacing w:val="0"/>
          <w:w w:val="100"/>
          <w:position w:val="0"/>
          <w:sz w:val="20"/>
          <w:szCs w:val="20"/>
        </w:rPr>
        <w:t>。</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日，根据公司召开的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年年度股东大会决议及公司章程规定，公司以截至</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100,000,000</w:t>
      </w:r>
      <w:r>
        <w:rPr>
          <w:color w:val="000000"/>
          <w:spacing w:val="0"/>
          <w:w w:val="100"/>
          <w:position w:val="0"/>
          <w:sz w:val="20"/>
          <w:szCs w:val="20"/>
        </w:rPr>
        <w:t>股为基数，以资本公积向全体股东每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股，变更后公司注册资本及股本为 </w:t>
      </w:r>
      <w:r>
        <w:rPr>
          <w:rFonts w:ascii="Times New Roman" w:eastAsia="Times New Roman" w:hAnsi="Times New Roman" w:cs="Times New Roman"/>
          <w:color w:val="000000"/>
          <w:spacing w:val="0"/>
          <w:w w:val="100"/>
          <w:position w:val="0"/>
          <w:sz w:val="20"/>
          <w:szCs w:val="20"/>
        </w:rPr>
        <w:t>150,000,000.00</w:t>
      </w:r>
      <w:r>
        <w:rPr>
          <w:color w:val="000000"/>
          <w:spacing w:val="0"/>
          <w:w w:val="100"/>
          <w:position w:val="0"/>
          <w:sz w:val="20"/>
          <w:szCs w:val="20"/>
        </w:rPr>
        <w:t>元。</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日，根据公司召开的</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年年度股东大会审议通过了《关于变更公司名称的议案》，公 司中文名称由原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广东长城集团股份有限公司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广东文化长城集团股份有限公司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日，根据公司召开的</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年年度股东大会决议及公司章程规定，公司以截至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150,000,000</w:t>
      </w:r>
      <w:r>
        <w:rPr>
          <w:color w:val="000000"/>
          <w:spacing w:val="0"/>
          <w:w w:val="100"/>
          <w:position w:val="0"/>
          <w:sz w:val="20"/>
          <w:szCs w:val="20"/>
        </w:rPr>
        <w:t>股为基数，以资本公积金向全体股东每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股，合计转增股份</w:t>
      </w:r>
      <w:r>
        <w:rPr>
          <w:rFonts w:ascii="Times New Roman" w:eastAsia="Times New Roman" w:hAnsi="Times New Roman" w:cs="Times New Roman"/>
          <w:color w:val="000000"/>
          <w:spacing w:val="0"/>
          <w:w w:val="100"/>
          <w:position w:val="0"/>
          <w:sz w:val="20"/>
          <w:szCs w:val="20"/>
        </w:rPr>
        <w:t>225,000,000</w:t>
      </w:r>
      <w:r>
        <w:rPr>
          <w:color w:val="000000"/>
          <w:spacing w:val="0"/>
          <w:w w:val="100"/>
          <w:position w:val="0"/>
          <w:sz w:val="20"/>
          <w:szCs w:val="20"/>
        </w:rPr>
        <w:t>股， 变更后公司注册资本及股本为</w:t>
      </w:r>
      <w:r>
        <w:rPr>
          <w:rFonts w:ascii="Times New Roman" w:eastAsia="Times New Roman" w:hAnsi="Times New Roman" w:cs="Times New Roman"/>
          <w:color w:val="000000"/>
          <w:spacing w:val="0"/>
          <w:w w:val="100"/>
          <w:position w:val="0"/>
          <w:sz w:val="20"/>
          <w:szCs w:val="20"/>
        </w:rPr>
        <w:t>375,000,000.</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日，根据公司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年第一次临时股东大会审议通过的《关于公司符合向特定对象发行股份 及支付现金购买资产并募集配套资金条件的议案》，并经中国证券监督管理委员会《关于核准广东文化长 城集团股份有限公司向许高镭等发行股份购买资产并募集配套资金的批复》（证监许可</w:t>
      </w:r>
      <w:r>
        <w:rPr>
          <w:rFonts w:ascii="Times New Roman" w:eastAsia="Times New Roman" w:hAnsi="Times New Roman" w:cs="Times New Roman"/>
          <w:color w:val="000000"/>
          <w:spacing w:val="0"/>
          <w:w w:val="100"/>
          <w:position w:val="0"/>
          <w:sz w:val="20"/>
          <w:szCs w:val="20"/>
        </w:rPr>
        <w:t>[2016]1612</w:t>
      </w:r>
      <w:r>
        <w:rPr>
          <w:color w:val="000000"/>
          <w:spacing w:val="0"/>
          <w:w w:val="100"/>
          <w:position w:val="0"/>
          <w:sz w:val="20"/>
          <w:szCs w:val="20"/>
        </w:rPr>
        <w:t>号）核 准，公司向许高镭发行</w:t>
      </w:r>
      <w:r>
        <w:rPr>
          <w:rFonts w:ascii="Times New Roman" w:eastAsia="Times New Roman" w:hAnsi="Times New Roman" w:cs="Times New Roman"/>
          <w:color w:val="000000"/>
          <w:spacing w:val="0"/>
          <w:w w:val="100"/>
          <w:position w:val="0"/>
          <w:sz w:val="20"/>
          <w:szCs w:val="20"/>
        </w:rPr>
        <w:t>23,772,847</w:t>
      </w:r>
      <w:r>
        <w:rPr>
          <w:color w:val="000000"/>
          <w:spacing w:val="0"/>
          <w:w w:val="100"/>
          <w:position w:val="0"/>
          <w:sz w:val="20"/>
          <w:szCs w:val="20"/>
        </w:rPr>
        <w:t>股股份、向广州商融投资咨询有限公司发行</w:t>
      </w:r>
      <w:r>
        <w:rPr>
          <w:rFonts w:ascii="Times New Roman" w:eastAsia="Times New Roman" w:hAnsi="Times New Roman" w:cs="Times New Roman"/>
          <w:color w:val="000000"/>
          <w:spacing w:val="0"/>
          <w:w w:val="100"/>
          <w:position w:val="0"/>
          <w:sz w:val="20"/>
          <w:szCs w:val="20"/>
        </w:rPr>
        <w:t>3,038,634</w:t>
      </w:r>
      <w:r>
        <w:rPr>
          <w:color w:val="000000"/>
          <w:spacing w:val="0"/>
          <w:w w:val="100"/>
          <w:position w:val="0"/>
          <w:sz w:val="20"/>
          <w:szCs w:val="20"/>
        </w:rPr>
        <w:t>股股份，每股面值</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元，每股发行价格为</w:t>
      </w:r>
      <w:r>
        <w:rPr>
          <w:rFonts w:ascii="Times New Roman" w:eastAsia="Times New Roman" w:hAnsi="Times New Roman" w:cs="Times New Roman"/>
          <w:color w:val="000000"/>
          <w:spacing w:val="0"/>
          <w:w w:val="100"/>
          <w:position w:val="0"/>
          <w:sz w:val="20"/>
          <w:szCs w:val="20"/>
        </w:rPr>
        <w:t>12.89</w:t>
      </w:r>
      <w:r>
        <w:rPr>
          <w:color w:val="000000"/>
          <w:spacing w:val="0"/>
          <w:w w:val="100"/>
          <w:position w:val="0"/>
          <w:sz w:val="20"/>
          <w:szCs w:val="20"/>
        </w:rPr>
        <w:t>元，发行股份后公司注册资本及股本变更为</w:t>
      </w:r>
      <w:r>
        <w:rPr>
          <w:rFonts w:ascii="Times New Roman" w:eastAsia="Times New Roman" w:hAnsi="Times New Roman" w:cs="Times New Roman"/>
          <w:color w:val="000000"/>
          <w:spacing w:val="0"/>
          <w:w w:val="100"/>
          <w:position w:val="0"/>
          <w:sz w:val="20"/>
          <w:szCs w:val="20"/>
        </w:rPr>
        <w:t>401,811,481.00</w:t>
      </w:r>
      <w:r>
        <w:rPr>
          <w:color w:val="000000"/>
          <w:spacing w:val="0"/>
          <w:w w:val="100"/>
          <w:position w:val="0"/>
          <w:sz w:val="20"/>
          <w:szCs w:val="20"/>
        </w:rPr>
        <w:t>元。</w:t>
      </w:r>
    </w:p>
    <w:p>
      <w:pPr>
        <w:pStyle w:val="Style13"/>
        <w:keepNext w:val="0"/>
        <w:keepLines w:val="0"/>
        <w:widowControl w:val="0"/>
        <w:shd w:val="clear" w:color="auto" w:fill="auto"/>
        <w:bidi w:val="0"/>
        <w:spacing w:before="0" w:after="30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日，根据公司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年第一次临时股东大会审议通过的《关于公司符合向特定对象发行股份 及支付现金购买资产并募集配套资金条件的议案》，并经中国证券监督管理委员会《关于核准广东文化长 城集团股份有限公司向许高镭等发行股份购买资产并募集配套资金的批复》（证监许可</w:t>
      </w:r>
      <w:r>
        <w:rPr>
          <w:rFonts w:ascii="Times New Roman" w:eastAsia="Times New Roman" w:hAnsi="Times New Roman" w:cs="Times New Roman"/>
          <w:color w:val="000000"/>
          <w:spacing w:val="0"/>
          <w:w w:val="100"/>
          <w:position w:val="0"/>
          <w:sz w:val="20"/>
          <w:szCs w:val="20"/>
        </w:rPr>
        <w:t>[2016]1612</w:t>
      </w:r>
      <w:r>
        <w:rPr>
          <w:color w:val="000000"/>
          <w:spacing w:val="0"/>
          <w:w w:val="100"/>
          <w:position w:val="0"/>
          <w:sz w:val="20"/>
          <w:szCs w:val="20"/>
        </w:rPr>
        <w:t>号）核 准，公司向符合中国证监会相关规定条件的特定投资者发行人民币普通股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32,988,659</w:t>
      </w:r>
      <w:r>
        <w:rPr>
          <w:color w:val="000000"/>
          <w:spacing w:val="0"/>
          <w:w w:val="100"/>
          <w:position w:val="0"/>
          <w:sz w:val="20"/>
          <w:szCs w:val="20"/>
        </w:rPr>
        <w:t>股，每股发行 价格为人民币</w:t>
      </w:r>
      <w:r>
        <w:rPr>
          <w:rFonts w:ascii="Times New Roman" w:eastAsia="Times New Roman" w:hAnsi="Times New Roman" w:cs="Times New Roman"/>
          <w:color w:val="000000"/>
          <w:spacing w:val="0"/>
          <w:w w:val="100"/>
          <w:position w:val="0"/>
          <w:sz w:val="20"/>
          <w:szCs w:val="20"/>
        </w:rPr>
        <w:t>14.99</w:t>
      </w:r>
      <w:r>
        <w:rPr>
          <w:color w:val="000000"/>
          <w:spacing w:val="0"/>
          <w:w w:val="100"/>
          <w:position w:val="0"/>
          <w:sz w:val="20"/>
          <w:szCs w:val="20"/>
        </w:rPr>
        <w:t>元，发行股份后公司注册资本及股本变更为</w:t>
      </w:r>
      <w:r>
        <w:rPr>
          <w:rFonts w:ascii="Times New Roman" w:eastAsia="Times New Roman" w:hAnsi="Times New Roman" w:cs="Times New Roman"/>
          <w:color w:val="000000"/>
          <w:spacing w:val="0"/>
          <w:w w:val="100"/>
          <w:position w:val="0"/>
          <w:sz w:val="20"/>
          <w:szCs w:val="20"/>
        </w:rPr>
        <w:t>434,800,140.00</w:t>
      </w:r>
      <w:r>
        <w:rPr>
          <w:color w:val="000000"/>
          <w:spacing w:val="0"/>
          <w:w w:val="100"/>
          <w:position w:val="0"/>
          <w:sz w:val="20"/>
          <w:szCs w:val="20"/>
        </w:rPr>
        <w:t>元。</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日，根据公司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年第二次临时股东大会审议通过的《关于公司符合向特定对象发行股 份及支付现金购买资产并募集配套资金条件的议案》，并经中国证券监督管理委员会《关于核准广东文化 长城集团股份有限公司向安卓易（北京）科技有限公司等发行股份购买资产并募集配套资金的批复》（证 监许可</w:t>
      </w:r>
      <w:r>
        <w:rPr>
          <w:rFonts w:ascii="Times New Roman" w:eastAsia="Times New Roman" w:hAnsi="Times New Roman" w:cs="Times New Roman"/>
          <w:color w:val="000000"/>
          <w:spacing w:val="0"/>
          <w:w w:val="100"/>
          <w:position w:val="0"/>
          <w:sz w:val="20"/>
          <w:szCs w:val="20"/>
        </w:rPr>
        <w:t>[2018]394</w:t>
      </w:r>
      <w:r>
        <w:rPr>
          <w:color w:val="000000"/>
          <w:spacing w:val="0"/>
          <w:w w:val="100"/>
          <w:position w:val="0"/>
          <w:sz w:val="20"/>
          <w:szCs w:val="20"/>
        </w:rPr>
        <w:t>号）核准，公司向符合中国证监会相关规定条件的特定投资者发行人民币普通股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 xml:space="preserve">股） </w:t>
      </w:r>
      <w:r>
        <w:rPr>
          <w:rFonts w:ascii="Times New Roman" w:eastAsia="Times New Roman" w:hAnsi="Times New Roman" w:cs="Times New Roman"/>
          <w:color w:val="000000"/>
          <w:spacing w:val="0"/>
          <w:w w:val="100"/>
          <w:position w:val="0"/>
          <w:sz w:val="20"/>
          <w:szCs w:val="20"/>
        </w:rPr>
        <w:t>55,037,126</w:t>
      </w:r>
      <w:r>
        <w:rPr>
          <w:color w:val="000000"/>
          <w:spacing w:val="0"/>
          <w:w w:val="100"/>
          <w:position w:val="0"/>
          <w:sz w:val="20"/>
          <w:szCs w:val="20"/>
        </w:rPr>
        <w:t>股。发行股份后公司注册资本及股本变更为</w:t>
      </w:r>
      <w:r>
        <w:rPr>
          <w:rFonts w:ascii="Times New Roman" w:eastAsia="Times New Roman" w:hAnsi="Times New Roman" w:cs="Times New Roman"/>
          <w:color w:val="000000"/>
          <w:spacing w:val="0"/>
          <w:w w:val="100"/>
          <w:position w:val="0"/>
          <w:sz w:val="20"/>
          <w:szCs w:val="20"/>
        </w:rPr>
        <w:t>489,837,266.</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日，根据公司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年第一次临时股东大会决议，审议通过了《关于以集中竞价交易方式回 购公司股份的议案》，以货币资金方式回购公司股份共计</w:t>
      </w:r>
      <w:r>
        <w:rPr>
          <w:rFonts w:ascii="Times New Roman" w:eastAsia="Times New Roman" w:hAnsi="Times New Roman" w:cs="Times New Roman"/>
          <w:color w:val="000000"/>
          <w:spacing w:val="0"/>
          <w:w w:val="100"/>
          <w:position w:val="0"/>
          <w:sz w:val="20"/>
          <w:szCs w:val="20"/>
        </w:rPr>
        <w:t>8,780,390</w:t>
      </w:r>
      <w:r>
        <w:rPr>
          <w:color w:val="000000"/>
          <w:spacing w:val="0"/>
          <w:w w:val="100"/>
          <w:position w:val="0"/>
          <w:sz w:val="20"/>
          <w:szCs w:val="20"/>
        </w:rPr>
        <w:t>股，减少注册资本</w:t>
      </w:r>
      <w:r>
        <w:rPr>
          <w:rFonts w:ascii="Times New Roman" w:eastAsia="Times New Roman" w:hAnsi="Times New Roman" w:cs="Times New Roman"/>
          <w:color w:val="000000"/>
          <w:spacing w:val="0"/>
          <w:w w:val="100"/>
          <w:position w:val="0"/>
          <w:sz w:val="20"/>
          <w:szCs w:val="20"/>
        </w:rPr>
        <w:t>8,780,390.00</w:t>
      </w:r>
      <w:r>
        <w:rPr>
          <w:color w:val="000000"/>
          <w:spacing w:val="0"/>
          <w:w w:val="100"/>
          <w:position w:val="0"/>
          <w:sz w:val="20"/>
          <w:szCs w:val="20"/>
        </w:rPr>
        <w:t>元。股本 变更已于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日完成工商变更登记，回购股份后公司的注册资本及股本变更为</w:t>
      </w:r>
      <w:r>
        <w:rPr>
          <w:rFonts w:ascii="Times New Roman" w:eastAsia="Times New Roman" w:hAnsi="Times New Roman" w:cs="Times New Roman"/>
          <w:color w:val="000000"/>
          <w:spacing w:val="0"/>
          <w:w w:val="100"/>
          <w:position w:val="0"/>
          <w:sz w:val="20"/>
          <w:szCs w:val="20"/>
        </w:rPr>
        <w:t>481,056,870.00</w:t>
      </w:r>
      <w:r>
        <w:rPr>
          <w:color w:val="000000"/>
          <w:spacing w:val="0"/>
          <w:w w:val="100"/>
          <w:position w:val="0"/>
          <w:sz w:val="20"/>
          <w:szCs w:val="20"/>
        </w:rPr>
        <w:t>元。</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经过历年的转增股本及增发新股，截至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日，公司注册资本为</w:t>
      </w:r>
      <w:r>
        <w:rPr>
          <w:rFonts w:ascii="Times New Roman" w:eastAsia="Times New Roman" w:hAnsi="Times New Roman" w:cs="Times New Roman"/>
          <w:color w:val="000000"/>
          <w:spacing w:val="0"/>
          <w:w w:val="100"/>
          <w:position w:val="0"/>
          <w:sz w:val="20"/>
          <w:szCs w:val="20"/>
        </w:rPr>
        <w:t>481,056,870.00</w:t>
      </w:r>
      <w:r>
        <w:rPr>
          <w:color w:val="000000"/>
          <w:spacing w:val="0"/>
          <w:w w:val="100"/>
          <w:position w:val="0"/>
          <w:sz w:val="20"/>
          <w:szCs w:val="20"/>
        </w:rPr>
        <w:t xml:space="preserve">元，股本为 </w:t>
      </w:r>
      <w:r>
        <w:rPr>
          <w:rFonts w:ascii="Times New Roman" w:eastAsia="Times New Roman" w:hAnsi="Times New Roman" w:cs="Times New Roman"/>
          <w:color w:val="000000"/>
          <w:spacing w:val="0"/>
          <w:w w:val="100"/>
          <w:position w:val="0"/>
          <w:sz w:val="20"/>
          <w:szCs w:val="20"/>
        </w:rPr>
        <w:t>481,056,870.00</w:t>
      </w:r>
      <w:r>
        <w:rPr>
          <w:color w:val="000000"/>
          <w:spacing w:val="0"/>
          <w:w w:val="100"/>
          <w:position w:val="0"/>
          <w:sz w:val="20"/>
          <w:szCs w:val="20"/>
        </w:rPr>
        <w:t>元。公司统一社会信用代码为</w:t>
      </w:r>
      <w:r>
        <w:rPr>
          <w:rFonts w:ascii="Times New Roman" w:eastAsia="Times New Roman" w:hAnsi="Times New Roman" w:cs="Times New Roman"/>
          <w:color w:val="000000"/>
          <w:spacing w:val="0"/>
          <w:w w:val="100"/>
          <w:position w:val="0"/>
          <w:sz w:val="20"/>
          <w:szCs w:val="20"/>
        </w:rPr>
        <w:t>9144510023113011XF</w:t>
      </w:r>
      <w:r>
        <w:rPr>
          <w:color w:val="000000"/>
          <w:spacing w:val="0"/>
          <w:w w:val="100"/>
          <w:position w:val="0"/>
          <w:sz w:val="20"/>
          <w:szCs w:val="20"/>
        </w:rPr>
        <w:t>，法定代表人为蔡廷祥，注册地址为： 广东省潮州市枫溪区蔡陇大道，总部地址为：广东省潮州市枫溪区蔡陇大道。</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日，本公司原实际控制人蔡廷祥与孙光亮先生签署了《表决权委托协议》，约定蔡廷祥 将其持有的上市公司</w:t>
      </w:r>
      <w:r>
        <w:rPr>
          <w:rFonts w:ascii="Times New Roman" w:eastAsia="Times New Roman" w:hAnsi="Times New Roman" w:cs="Times New Roman"/>
          <w:color w:val="000000"/>
          <w:spacing w:val="0"/>
          <w:w w:val="100"/>
          <w:position w:val="0"/>
          <w:sz w:val="20"/>
          <w:szCs w:val="20"/>
        </w:rPr>
        <w:t>143,437,500</w:t>
      </w:r>
      <w:r>
        <w:rPr>
          <w:color w:val="000000"/>
          <w:spacing w:val="0"/>
          <w:w w:val="100"/>
          <w:position w:val="0"/>
          <w:sz w:val="20"/>
          <w:szCs w:val="20"/>
        </w:rPr>
        <w:t>股股份（占上市公司现有表决权股份总数</w:t>
      </w:r>
      <w:r>
        <w:rPr>
          <w:rFonts w:ascii="Times New Roman" w:eastAsia="Times New Roman" w:hAnsi="Times New Roman" w:cs="Times New Roman"/>
          <w:color w:val="000000"/>
          <w:spacing w:val="0"/>
          <w:w w:val="100"/>
          <w:position w:val="0"/>
          <w:sz w:val="20"/>
          <w:szCs w:val="20"/>
        </w:rPr>
        <w:t>29.82%</w:t>
      </w:r>
      <w:r>
        <w:rPr>
          <w:color w:val="000000"/>
          <w:spacing w:val="0"/>
          <w:w w:val="100"/>
          <w:position w:val="0"/>
          <w:sz w:val="20"/>
          <w:szCs w:val="20"/>
        </w:rPr>
        <w:t>）所对应的表决权独家 且不可撤销地委托给孙光亮行使。本次表决权委托等事项完成后，孙光亮先生拥有上市公司</w:t>
      </w:r>
      <w:r>
        <w:rPr>
          <w:rFonts w:ascii="Times New Roman" w:eastAsia="Times New Roman" w:hAnsi="Times New Roman" w:cs="Times New Roman"/>
          <w:color w:val="000000"/>
          <w:spacing w:val="0"/>
          <w:w w:val="100"/>
          <w:position w:val="0"/>
          <w:sz w:val="20"/>
          <w:szCs w:val="20"/>
        </w:rPr>
        <w:t>143,437,500</w:t>
      </w:r>
      <w:r>
        <w:rPr>
          <w:color w:val="000000"/>
          <w:spacing w:val="0"/>
          <w:w w:val="100"/>
          <w:position w:val="0"/>
          <w:sz w:val="20"/>
          <w:szCs w:val="20"/>
        </w:rPr>
        <w:t>股 股份的表决权，占上市公司有表决权股份的</w:t>
      </w:r>
      <w:r>
        <w:rPr>
          <w:rFonts w:ascii="Times New Roman" w:eastAsia="Times New Roman" w:hAnsi="Times New Roman" w:cs="Times New Roman"/>
          <w:color w:val="000000"/>
          <w:spacing w:val="0"/>
          <w:w w:val="100"/>
          <w:position w:val="0"/>
          <w:sz w:val="20"/>
          <w:szCs w:val="20"/>
        </w:rPr>
        <w:t>29.82%</w:t>
      </w:r>
      <w:r>
        <w:rPr>
          <w:color w:val="000000"/>
          <w:spacing w:val="0"/>
          <w:w w:val="100"/>
          <w:position w:val="0"/>
          <w:sz w:val="20"/>
          <w:szCs w:val="20"/>
        </w:rPr>
        <w:t>。此外，蔡廷祥之妻吴淡珠女士出具了《放弃表决权 的承诺函》，承诺在《表决权委托协议》有效且表决权委托的期限内，承诺放弃所持文化长城</w:t>
      </w:r>
      <w:r>
        <w:rPr>
          <w:rFonts w:ascii="Times New Roman" w:eastAsia="Times New Roman" w:hAnsi="Times New Roman" w:cs="Times New Roman"/>
          <w:color w:val="000000"/>
          <w:spacing w:val="0"/>
          <w:w w:val="100"/>
          <w:position w:val="0"/>
          <w:sz w:val="20"/>
          <w:szCs w:val="20"/>
        </w:rPr>
        <w:t xml:space="preserve">14,850,000 </w:t>
      </w:r>
      <w:r>
        <w:rPr>
          <w:color w:val="000000"/>
          <w:spacing w:val="0"/>
          <w:w w:val="100"/>
          <w:position w:val="0"/>
          <w:sz w:val="20"/>
          <w:szCs w:val="20"/>
        </w:rPr>
        <w:t>股股份的表决权。本次委托后，蔡廷祥及其一致行动人吴淡珠女士合计持有上市公司表决权降低至</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，本 公司的实际控制人自委托之日起变更为孙光亮先生。</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公司属陶瓷制品行业，主要产品为日用陶瓷、艺术陶瓷；</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公司的全资子公司河南智游臻龙教育科技有限公司属软件和信息技术服务业，主要从事教育信息化、 教育信息咨询；非学历短期培训等。</w:t>
      </w:r>
    </w:p>
    <w:p>
      <w:pPr>
        <w:pStyle w:val="Style13"/>
        <w:keepNext w:val="0"/>
        <w:keepLines w:val="0"/>
        <w:widowControl w:val="0"/>
        <w:numPr>
          <w:ilvl w:val="0"/>
          <w:numId w:val="13"/>
        </w:numPr>
        <w:shd w:val="clear" w:color="auto" w:fill="auto"/>
        <w:bidi w:val="0"/>
        <w:spacing w:before="0" w:after="0" w:line="313" w:lineRule="exact"/>
        <w:ind w:left="0" w:right="0" w:firstLine="0"/>
        <w:jc w:val="left"/>
        <w:rPr>
          <w:sz w:val="20"/>
          <w:szCs w:val="20"/>
        </w:rPr>
      </w:pPr>
      <w:bookmarkStart w:id="645" w:name="bookmark645"/>
      <w:bookmarkEnd w:id="645"/>
      <w:r>
        <w:rPr>
          <w:b/>
          <w:bCs/>
          <w:color w:val="000000"/>
          <w:spacing w:val="0"/>
          <w:w w:val="100"/>
          <w:position w:val="0"/>
          <w:sz w:val="20"/>
          <w:szCs w:val="20"/>
        </w:rPr>
        <w:t>公司的业务性质和主要经营活动</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本公司经营范围：生产、销售：工艺陶瓷、骨质瓷、抗菌镁质瓷、电子功能陶瓷（电感陶瓷、电阻陶 瓷、电容陶瓷、光纤连接器陶瓷插芯、陶瓷基板、新能源陶瓷、结构陶瓷）及其它各类陶瓷产品，电子产 品（不含电子出版物），包装制品（不含印刷）及陶瓷相关配套的藤、竹、木、铁、布、革、树脂、聚酯、 橡胶、玻璃、五金、塑料、不锈钢制品；手机、计算机软件开发、销售；销售：机械设备（不含汽车）， 五金交电，化工产品（不含危险化学品），家具，建筑材料，针、纺织品，金属材料，家居用品，日用百 货，文化艺术品（不含文物）；设计、策划、代理、发布各类广告；商务信息咨询（不含限制项目）；市 场建设项目投资与资产管理；货物进出口、技术进出口。</w:t>
      </w:r>
      <w:r>
        <w:rPr>
          <w:color w:val="000000"/>
          <w:spacing w:val="0"/>
          <w:w w:val="100"/>
          <w:position w:val="0"/>
          <w:sz w:val="20"/>
          <w:szCs w:val="20"/>
        </w:rPr>
        <w:t>（</w:t>
      </w:r>
      <w:r>
        <w:rPr>
          <w:color w:val="000000"/>
          <w:spacing w:val="0"/>
          <w:w w:val="100"/>
          <w:position w:val="0"/>
          <w:sz w:val="20"/>
          <w:szCs w:val="20"/>
        </w:rPr>
        <w:t>依法须经批准的项目，经相关部门批准后方可开 展经营活动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3"/>
        <w:keepNext w:val="0"/>
        <w:keepLines w:val="0"/>
        <w:widowControl w:val="0"/>
        <w:shd w:val="clear" w:color="auto" w:fill="auto"/>
        <w:bidi w:val="0"/>
        <w:spacing w:before="0" w:after="700" w:line="293" w:lineRule="exact"/>
        <w:ind w:left="0" w:right="0" w:firstLine="0"/>
        <w:jc w:val="both"/>
        <w:rPr>
          <w:sz w:val="20"/>
          <w:szCs w:val="20"/>
        </w:rPr>
      </w:pPr>
      <w:r>
        <w:rPr>
          <w:b/>
          <w:bCs/>
          <w:color w:val="000000"/>
          <w:spacing w:val="0"/>
          <w:w w:val="100"/>
          <w:position w:val="0"/>
          <w:sz w:val="20"/>
          <w:szCs w:val="20"/>
        </w:rPr>
        <w:t>合并报表范围：本公司</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年度纳入合并范围的子公司共</w:t>
      </w: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 xml:space="preserve">户，本公司本年度合并范围与上年度相比增加 </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户，详见本附注六</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合并范围的变更气</w:t>
      </w:r>
    </w:p>
    <w:p>
      <w:pPr>
        <w:pStyle w:val="Style19"/>
        <w:keepNext/>
        <w:keepLines/>
        <w:widowControl w:val="0"/>
        <w:shd w:val="clear" w:color="auto" w:fill="auto"/>
        <w:bidi w:val="0"/>
        <w:spacing w:before="0" w:line="240" w:lineRule="auto"/>
        <w:ind w:left="0" w:right="0" w:firstLine="0"/>
        <w:jc w:val="both"/>
      </w:pPr>
      <w:bookmarkStart w:id="646" w:name="bookmark646"/>
      <w:bookmarkStart w:id="647" w:name="bookmark647"/>
      <w:bookmarkStart w:id="648" w:name="bookmark648"/>
      <w:bookmarkStart w:id="649" w:name="bookmark649"/>
      <w:r>
        <w:rPr>
          <w:color w:val="000000"/>
          <w:spacing w:val="0"/>
          <w:w w:val="100"/>
          <w:position w:val="0"/>
        </w:rPr>
        <w:t>四</w:t>
      </w:r>
      <w:bookmarkEnd w:id="648"/>
      <w:r>
        <w:rPr>
          <w:color w:val="000000"/>
          <w:spacing w:val="0"/>
          <w:w w:val="100"/>
          <w:position w:val="0"/>
        </w:rPr>
        <w:t>、财务报表的编制基础</w:t>
      </w:r>
      <w:bookmarkEnd w:id="646"/>
      <w:bookmarkEnd w:id="647"/>
      <w:bookmarkEnd w:id="649"/>
    </w:p>
    <w:p>
      <w:pPr>
        <w:pStyle w:val="Style23"/>
        <w:keepNext/>
        <w:keepLines/>
        <w:widowControl w:val="0"/>
        <w:shd w:val="clear" w:color="auto" w:fill="auto"/>
        <w:bidi w:val="0"/>
        <w:spacing w:before="0" w:after="180" w:line="326"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、编制基础</w:t>
      </w:r>
      <w:bookmarkEnd w:id="650"/>
      <w:bookmarkEnd w:id="651"/>
      <w:bookmarkEnd w:id="653"/>
    </w:p>
    <w:p>
      <w:pPr>
        <w:pStyle w:val="Style13"/>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 及以后颁布的《企业会计准则一基本准则》和各项具体会计准则、企业会计准则应用指南、企业会计准 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以及参照中国证券监督管理委员会《公开发行证券的 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号——财务报告的一般规定》的披露规定编制</w:t>
      </w:r>
    </w:p>
    <w:p>
      <w:pPr>
        <w:pStyle w:val="Style13"/>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根据企业会计准则的相关规定，本公司会计核算以权责发生制为基础。除某些金融工具外，本财务报 表均以历史成本为计量基础。资产如果发生减值，则按照相关规定计提相应的减值准备。</w:t>
      </w:r>
    </w:p>
    <w:p>
      <w:pPr>
        <w:pStyle w:val="Style23"/>
        <w:keepNext/>
        <w:keepLines/>
        <w:widowControl w:val="0"/>
        <w:shd w:val="clear" w:color="auto" w:fill="auto"/>
        <w:bidi w:val="0"/>
        <w:spacing w:before="0" w:after="280" w:line="315" w:lineRule="exact"/>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、持续经营</w:t>
      </w:r>
      <w:bookmarkEnd w:id="654"/>
      <w:bookmarkEnd w:id="655"/>
      <w:bookmarkEnd w:id="657"/>
    </w:p>
    <w:p>
      <w:pPr>
        <w:pStyle w:val="Style13"/>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公司报告期营业收入大幅下滑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年度营业总收入为</w:t>
      </w:r>
      <w:r>
        <w:rPr>
          <w:rFonts w:ascii="Times New Roman" w:eastAsia="Times New Roman" w:hAnsi="Times New Roman" w:cs="Times New Roman"/>
          <w:color w:val="000000"/>
          <w:spacing w:val="0"/>
          <w:w w:val="100"/>
          <w:position w:val="0"/>
          <w:sz w:val="20"/>
          <w:szCs w:val="20"/>
        </w:rPr>
        <w:t>7,577.</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万元、较上期下降</w:t>
      </w:r>
      <w:r>
        <w:rPr>
          <w:rFonts w:ascii="Times New Roman" w:eastAsia="Times New Roman" w:hAnsi="Times New Roman" w:cs="Times New Roman"/>
          <w:color w:val="000000"/>
          <w:spacing w:val="0"/>
          <w:w w:val="100"/>
          <w:position w:val="0"/>
          <w:sz w:val="20"/>
          <w:szCs w:val="20"/>
        </w:rPr>
        <w:t>40.13%</w:t>
      </w:r>
      <w:r>
        <w:rPr>
          <w:color w:val="000000"/>
          <w:spacing w:val="0"/>
          <w:w w:val="100"/>
          <w:position w:val="0"/>
          <w:sz w:val="20"/>
          <w:szCs w:val="20"/>
        </w:rPr>
        <w:t>，归属于母公 司净利润为</w:t>
      </w:r>
      <w:r>
        <w:rPr>
          <w:rFonts w:ascii="Times New Roman" w:eastAsia="Times New Roman" w:hAnsi="Times New Roman" w:cs="Times New Roman"/>
          <w:color w:val="000000"/>
          <w:spacing w:val="0"/>
          <w:w w:val="100"/>
          <w:position w:val="0"/>
          <w:sz w:val="20"/>
          <w:szCs w:val="20"/>
        </w:rPr>
        <w:t>-40,061.18</w:t>
      </w:r>
      <w:r>
        <w:rPr>
          <w:color w:val="000000"/>
          <w:spacing w:val="0"/>
          <w:w w:val="100"/>
          <w:position w:val="0"/>
          <w:sz w:val="20"/>
          <w:szCs w:val="20"/>
        </w:rPr>
        <w:t>万元，已连续四年亏损；截止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日归属于母公司股东权益合计为</w:t>
      </w:r>
      <w:r>
        <w:rPr>
          <w:rFonts w:ascii="Times New Roman" w:eastAsia="Times New Roman" w:hAnsi="Times New Roman" w:cs="Times New Roman"/>
          <w:color w:val="000000"/>
          <w:spacing w:val="0"/>
          <w:w w:val="100"/>
          <w:position w:val="0"/>
          <w:sz w:val="20"/>
          <w:szCs w:val="20"/>
        </w:rPr>
        <w:t xml:space="preserve">-28,597.51 </w:t>
      </w:r>
      <w:r>
        <w:rPr>
          <w:color w:val="000000"/>
          <w:spacing w:val="0"/>
          <w:w w:val="100"/>
          <w:position w:val="0"/>
          <w:sz w:val="20"/>
          <w:szCs w:val="20"/>
        </w:rPr>
        <w:t>万元，尚有</w:t>
      </w:r>
      <w:r>
        <w:rPr>
          <w:rFonts w:ascii="Times New Roman" w:eastAsia="Times New Roman" w:hAnsi="Times New Roman" w:cs="Times New Roman"/>
          <w:color w:val="000000"/>
          <w:spacing w:val="0"/>
          <w:w w:val="100"/>
          <w:position w:val="0"/>
          <w:sz w:val="20"/>
          <w:szCs w:val="20"/>
        </w:rPr>
        <w:t>86,136.5</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万元债务本息逾期未归还；因债务逾期、子公司失控等事项，本公司涉及多起诉讼， 部分银行账户以及部分子公司股权被司法冻结，公司的持续经营存在不确定性。</w:t>
      </w:r>
    </w:p>
    <w:p>
      <w:pPr>
        <w:pStyle w:val="Style13"/>
        <w:keepNext w:val="0"/>
        <w:keepLines w:val="0"/>
        <w:widowControl w:val="0"/>
        <w:shd w:val="clear" w:color="auto" w:fill="auto"/>
        <w:bidi w:val="0"/>
        <w:spacing w:before="0" w:after="680" w:line="315" w:lineRule="exact"/>
        <w:ind w:left="0" w:right="0" w:firstLine="440"/>
        <w:jc w:val="both"/>
        <w:rPr>
          <w:sz w:val="20"/>
          <w:szCs w:val="20"/>
        </w:rPr>
      </w:pPr>
      <w:r>
        <w:rPr>
          <w:color w:val="000000"/>
          <w:spacing w:val="0"/>
          <w:w w:val="100"/>
          <w:position w:val="0"/>
          <w:sz w:val="20"/>
          <w:szCs w:val="20"/>
        </w:rPr>
        <w:t>但自本公司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年度完成董事换届、新一届董事会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月份正式接管公司后，新的实际控制人孙 光亮先生及其关联企业在资金（流动性）、诉讼、逾期债务、原业务梳理、新业务拓展、技术引进、人才 引进等几个主要方面已有序推进【具体改善措施详见本附注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十四、（三）改善公司持续经营的措施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所述】， 因此本公司认为</w:t>
      </w:r>
      <w:r>
        <w:rPr>
          <w:color w:val="FF0000"/>
          <w:spacing w:val="0"/>
          <w:w w:val="100"/>
          <w:position w:val="0"/>
          <w:sz w:val="20"/>
          <w:szCs w:val="20"/>
        </w:rPr>
        <w:t>本期</w:t>
      </w:r>
      <w:r>
        <w:rPr>
          <w:color w:val="000000"/>
          <w:spacing w:val="0"/>
          <w:w w:val="100"/>
          <w:position w:val="0"/>
          <w:sz w:val="20"/>
          <w:szCs w:val="20"/>
        </w:rPr>
        <w:t>财务报表仍可以持续经营为基础列报，本公司自报告期末起至少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个月具有持续经营 能力。</w:t>
      </w:r>
    </w:p>
    <w:p>
      <w:pPr>
        <w:pStyle w:val="Style19"/>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五</w:t>
      </w:r>
      <w:bookmarkEnd w:id="660"/>
      <w:r>
        <w:rPr>
          <w:color w:val="000000"/>
          <w:spacing w:val="0"/>
          <w:w w:val="100"/>
          <w:position w:val="0"/>
        </w:rPr>
        <w:t>、重要会计政策及会计估计</w:t>
      </w:r>
      <w:bookmarkEnd w:id="658"/>
      <w:bookmarkEnd w:id="659"/>
      <w:bookmarkEnd w:id="661"/>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20" w:line="322"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、遵循企业会计准则的声明</w:t>
      </w:r>
      <w:bookmarkEnd w:id="662"/>
      <w:bookmarkEnd w:id="663"/>
      <w:bookmarkEnd w:id="665"/>
    </w:p>
    <w:p>
      <w:pPr>
        <w:pStyle w:val="Style13"/>
        <w:keepNext w:val="0"/>
        <w:keepLines w:val="0"/>
        <w:widowControl w:val="0"/>
        <w:shd w:val="clear" w:color="auto" w:fill="auto"/>
        <w:bidi w:val="0"/>
        <w:spacing w:before="0" w:after="640" w:line="307" w:lineRule="exact"/>
        <w:ind w:left="0" w:right="0" w:firstLine="440"/>
        <w:jc w:val="both"/>
        <w:rPr>
          <w:sz w:val="20"/>
          <w:szCs w:val="20"/>
        </w:rPr>
      </w:pPr>
      <w:r>
        <w:rPr>
          <w:color w:val="000000"/>
          <w:spacing w:val="0"/>
          <w:w w:val="100"/>
          <w:position w:val="0"/>
          <w:sz w:val="20"/>
          <w:szCs w:val="20"/>
        </w:rPr>
        <w:t>本财务报表符合企业会计准则的要求，真实、完整地反映了本公司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日的合并及公司财务 状况以及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年度的合并及公司经营成果和现金流量。</w:t>
      </w:r>
    </w:p>
    <w:p>
      <w:pPr>
        <w:pStyle w:val="Style23"/>
        <w:keepNext/>
        <w:keepLines/>
        <w:widowControl w:val="0"/>
        <w:shd w:val="clear" w:color="auto" w:fill="auto"/>
        <w:bidi w:val="0"/>
        <w:spacing w:before="0" w:after="280" w:line="302" w:lineRule="exact"/>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、会计期间</w:t>
      </w:r>
      <w:bookmarkEnd w:id="666"/>
      <w:bookmarkEnd w:id="667"/>
      <w:bookmarkEnd w:id="669"/>
    </w:p>
    <w:p>
      <w:pPr>
        <w:pStyle w:val="Style13"/>
        <w:keepNext w:val="0"/>
        <w:keepLines w:val="0"/>
        <w:widowControl w:val="0"/>
        <w:shd w:val="clear" w:color="auto" w:fill="auto"/>
        <w:bidi w:val="0"/>
        <w:spacing w:before="0" w:after="920" w:line="302" w:lineRule="exact"/>
        <w:ind w:left="0" w:right="0" w:firstLine="440"/>
        <w:jc w:val="both"/>
        <w:rPr>
          <w:sz w:val="20"/>
          <w:szCs w:val="20"/>
        </w:rPr>
      </w:pPr>
      <w:r>
        <w:rPr>
          <w:color w:val="000000"/>
          <w:spacing w:val="0"/>
          <w:w w:val="100"/>
          <w:position w:val="0"/>
          <w:sz w:val="20"/>
          <w:szCs w:val="2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23"/>
        <w:keepNext/>
        <w:keepLines/>
        <w:widowControl w:val="0"/>
        <w:shd w:val="clear" w:color="auto" w:fill="auto"/>
        <w:bidi w:val="0"/>
        <w:spacing w:before="0" w:after="280" w:line="322" w:lineRule="exact"/>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3</w:t>
      </w:r>
      <w:bookmarkEnd w:id="672"/>
      <w:r>
        <w:rPr>
          <w:color w:val="000000"/>
          <w:spacing w:val="0"/>
          <w:w w:val="100"/>
          <w:position w:val="0"/>
        </w:rPr>
        <w:t>、营业周期</w:t>
      </w:r>
      <w:bookmarkEnd w:id="670"/>
      <w:bookmarkEnd w:id="671"/>
      <w:bookmarkEnd w:id="673"/>
    </w:p>
    <w:p>
      <w:pPr>
        <w:pStyle w:val="Style13"/>
        <w:keepNext w:val="0"/>
        <w:keepLines w:val="0"/>
        <w:widowControl w:val="0"/>
        <w:shd w:val="clear" w:color="auto" w:fill="auto"/>
        <w:bidi w:val="0"/>
        <w:spacing w:before="0" w:after="980" w:line="322" w:lineRule="exact"/>
        <w:ind w:left="0" w:right="0" w:firstLine="440"/>
        <w:jc w:val="both"/>
        <w:rPr>
          <w:sz w:val="20"/>
          <w:szCs w:val="20"/>
        </w:rPr>
      </w:pPr>
      <w:r>
        <w:rPr>
          <w:color w:val="000000"/>
          <w:spacing w:val="0"/>
          <w:w w:val="100"/>
          <w:position w:val="0"/>
          <w:sz w:val="20"/>
          <w:szCs w:val="2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作为一个营业周期，并以其作为资产和负债的流动性划分标准。</w:t>
      </w:r>
    </w:p>
    <w:p>
      <w:pPr>
        <w:pStyle w:val="Style23"/>
        <w:keepNext/>
        <w:keepLines/>
        <w:widowControl w:val="0"/>
        <w:shd w:val="clear" w:color="auto" w:fill="auto"/>
        <w:bidi w:val="0"/>
        <w:spacing w:before="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bookmarkEnd w:id="676"/>
      <w:r>
        <w:rPr>
          <w:color w:val="000000"/>
          <w:spacing w:val="0"/>
          <w:w w:val="100"/>
          <w:position w:val="0"/>
        </w:rPr>
        <w:t>、记账本位币</w:t>
      </w:r>
      <w:bookmarkEnd w:id="674"/>
      <w:bookmarkEnd w:id="675"/>
      <w:bookmarkEnd w:id="677"/>
    </w:p>
    <w:p>
      <w:pPr>
        <w:pStyle w:val="Style13"/>
        <w:keepNext w:val="0"/>
        <w:keepLines w:val="0"/>
        <w:widowControl w:val="0"/>
        <w:shd w:val="clear" w:color="auto" w:fill="auto"/>
        <w:bidi w:val="0"/>
        <w:spacing w:before="0" w:after="380" w:line="240" w:lineRule="auto"/>
        <w:ind w:left="0" w:right="0" w:firstLine="440"/>
        <w:jc w:val="both"/>
        <w:rPr>
          <w:sz w:val="20"/>
          <w:szCs w:val="20"/>
        </w:rPr>
      </w:pPr>
      <w:r>
        <w:rPr>
          <w:color w:val="000000"/>
          <w:spacing w:val="0"/>
          <w:w w:val="100"/>
          <w:position w:val="0"/>
          <w:sz w:val="20"/>
          <w:szCs w:val="20"/>
        </w:rPr>
        <w:t>本公司以人民币为记账本位币。</w:t>
      </w:r>
    </w:p>
    <w:p>
      <w:pPr>
        <w:pStyle w:val="Style23"/>
        <w:keepNext/>
        <w:keepLines/>
        <w:widowControl w:val="0"/>
        <w:shd w:val="clear" w:color="auto" w:fill="auto"/>
        <w:bidi w:val="0"/>
        <w:spacing w:before="0" w:after="280" w:line="313" w:lineRule="exact"/>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5</w:t>
      </w:r>
      <w:bookmarkEnd w:id="680"/>
      <w:r>
        <w:rPr>
          <w:color w:val="000000"/>
          <w:spacing w:val="0"/>
          <w:w w:val="100"/>
          <w:position w:val="0"/>
        </w:rPr>
        <w:t>、同一控制下和非同一控制下企业合并的会计处理方法</w:t>
      </w:r>
      <w:bookmarkEnd w:id="678"/>
      <w:bookmarkEnd w:id="679"/>
      <w:bookmarkEnd w:id="681"/>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13"/>
        <w:keepNext w:val="0"/>
        <w:keepLines w:val="0"/>
        <w:widowControl w:val="0"/>
        <w:shd w:val="clear" w:color="auto" w:fill="auto"/>
        <w:tabs>
          <w:tab w:pos="718" w:val="left"/>
        </w:tabs>
        <w:bidi w:val="0"/>
        <w:spacing w:before="0" w:after="0" w:line="313" w:lineRule="exact"/>
        <w:ind w:left="0" w:right="0" w:firstLine="420"/>
        <w:jc w:val="both"/>
        <w:rPr>
          <w:sz w:val="20"/>
          <w:szCs w:val="20"/>
        </w:rPr>
      </w:pPr>
      <w:bookmarkStart w:id="682" w:name="bookmark682"/>
      <w:r>
        <w:rPr>
          <w:rFonts w:ascii="Times New Roman" w:eastAsia="Times New Roman" w:hAnsi="Times New Roman" w:cs="Times New Roman"/>
          <w:b/>
          <w:bCs/>
          <w:color w:val="000000"/>
          <w:spacing w:val="0"/>
          <w:w w:val="100"/>
          <w:position w:val="0"/>
          <w:sz w:val="20"/>
          <w:szCs w:val="20"/>
        </w:rPr>
        <w:t>1</w:t>
      </w:r>
      <w:bookmarkEnd w:id="682"/>
      <w:r>
        <w:rPr>
          <w:b/>
          <w:bCs/>
          <w:color w:val="000000"/>
          <w:spacing w:val="0"/>
          <w:w w:val="100"/>
          <w:position w:val="0"/>
          <w:sz w:val="20"/>
          <w:szCs w:val="20"/>
        </w:rPr>
        <w:t>、</w:t>
        <w:tab/>
        <w:t>同一控制下企业合并</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合并日，是指合并方实际取得对被合并方控制权的日期。合并方取得的资产和负债均按合并日在被合 并方的账面价值计量。合并方取得的净资产账面价值与支付的合并对价账面价值（或发行股份面值总额） 的差额，调整资本公积（股本溢价）；资本公积（股本溢价）不足以冲减的，调整留存收益。</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合并方为进行企业合并发生的各项直接费用，于发生时计入当期损益。</w:t>
      </w:r>
    </w:p>
    <w:p>
      <w:pPr>
        <w:pStyle w:val="Style13"/>
        <w:keepNext w:val="0"/>
        <w:keepLines w:val="0"/>
        <w:widowControl w:val="0"/>
        <w:shd w:val="clear" w:color="auto" w:fill="auto"/>
        <w:tabs>
          <w:tab w:pos="700" w:val="left"/>
        </w:tabs>
        <w:bidi w:val="0"/>
        <w:spacing w:before="0" w:after="0" w:line="313" w:lineRule="exact"/>
        <w:ind w:left="0" w:right="0" w:firstLine="380"/>
        <w:jc w:val="both"/>
        <w:rPr>
          <w:sz w:val="20"/>
          <w:szCs w:val="20"/>
        </w:rPr>
      </w:pPr>
      <w:bookmarkStart w:id="683" w:name="bookmark683"/>
      <w:r>
        <w:rPr>
          <w:rFonts w:ascii="Times New Roman" w:eastAsia="Times New Roman" w:hAnsi="Times New Roman" w:cs="Times New Roman"/>
          <w:b/>
          <w:bCs/>
          <w:color w:val="000000"/>
          <w:spacing w:val="0"/>
          <w:w w:val="100"/>
          <w:position w:val="0"/>
          <w:sz w:val="20"/>
          <w:szCs w:val="20"/>
        </w:rPr>
        <w:t>2</w:t>
      </w:r>
      <w:bookmarkEnd w:id="683"/>
      <w:r>
        <w:rPr>
          <w:b/>
          <w:bCs/>
          <w:color w:val="000000"/>
          <w:spacing w:val="0"/>
          <w:w w:val="100"/>
          <w:position w:val="0"/>
          <w:sz w:val="20"/>
          <w:szCs w:val="20"/>
        </w:rPr>
        <w:t>、</w:t>
        <w:tab/>
        <w:t>非同一控制下企业合并</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13"/>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对于非同一控制下的企业合并，合并成本包含购买日购买方为取得对被购买方的控制权而付出的资产、发 生或承担的负债以及发行的权益性证券的公允价值，为企业合并发生的审计、法律服务、评估咨询等中介 费用以及其他管理费用于发生时计入当期损益。购买方作为合并对价发行的权益性证券或债务性证券的交 易费用，计入权益性证券或债务性证券的初始确认金额。所涉及的或有对价按其在购买日的公允价值计入 合并成本，购买日后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个月内出现对购买日已存在情况的新的或进一步证据而需要调整或有对价的，相应 调整合并商誉。购买方发生的合并成本及在合并中取得的可辨认净资产按购买日的公允价值计量。合并成 本大于合并中取得的被购买方于购买日可辨认净资产公允价值份额的差额，确认为商誉。合并成本小于合 并中取得的被购买方可辨认净资产公允价值份额的，首先对取得的被购买方各项可辨认资产、负债及或有 负债的公允价值以及合并成本的计量进行复核，复核后合并成本仍小于合并中取得的被购买方可辨认净资 产公允价值份额的，其差额计入当期损益。</w:t>
      </w:r>
    </w:p>
    <w:p>
      <w:pPr>
        <w:pStyle w:val="Style13"/>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13"/>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号的 通知》（财会〔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号）和《企业会计准则第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号——合并财务报表》第五十一条关于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的判断标准（参见本附注三、（十四）），判断该多次交易是否属于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 参考本部分前面各段描述及本附注三、（十四）长期股权投资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的，区 分个别财务报表和合并财务报表进行相关会计处理：</w:t>
      </w:r>
    </w:p>
    <w:p>
      <w:pPr>
        <w:pStyle w:val="Style13"/>
        <w:keepNext w:val="0"/>
        <w:keepLines w:val="0"/>
        <w:widowControl w:val="0"/>
        <w:shd w:val="clear" w:color="auto" w:fill="auto"/>
        <w:bidi w:val="0"/>
        <w:spacing w:before="0" w:after="0" w:line="314" w:lineRule="exact"/>
        <w:ind w:left="0" w:right="0" w:firstLine="420"/>
        <w:jc w:val="left"/>
        <w:rPr>
          <w:sz w:val="20"/>
          <w:szCs w:val="20"/>
        </w:rPr>
      </w:pPr>
      <w:r>
        <w:rPr>
          <w:color w:val="000000"/>
          <w:spacing w:val="0"/>
          <w:w w:val="100"/>
          <w:position w:val="0"/>
          <w:sz w:val="20"/>
          <w:szCs w:val="2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13"/>
        <w:keepNext w:val="0"/>
        <w:keepLines w:val="0"/>
        <w:widowControl w:val="0"/>
        <w:shd w:val="clear" w:color="auto" w:fill="auto"/>
        <w:bidi w:val="0"/>
        <w:spacing w:before="0" w:after="600" w:line="314" w:lineRule="exact"/>
        <w:ind w:left="0" w:right="0" w:firstLine="420"/>
        <w:jc w:val="left"/>
        <w:rPr>
          <w:sz w:val="20"/>
          <w:szCs w:val="20"/>
        </w:rPr>
      </w:pPr>
      <w:r>
        <w:rPr>
          <w:color w:val="000000"/>
          <w:spacing w:val="0"/>
          <w:w w:val="100"/>
          <w:position w:val="0"/>
          <w:sz w:val="20"/>
          <w:szCs w:val="20"/>
        </w:rPr>
        <w:t xml:space="preserve">在合并财务报表中，对于购买日之前持有的被购买方的股权，按照该股权在购买日的公允价值进行重 </w:t>
      </w:r>
      <w:r>
        <w:rPr>
          <w:color w:val="000000"/>
          <w:spacing w:val="0"/>
          <w:w w:val="100"/>
          <w:position w:val="0"/>
          <w:sz w:val="20"/>
          <w:szCs w:val="20"/>
        </w:rPr>
        <w:t>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23"/>
        <w:keepNext/>
        <w:keepLines/>
        <w:widowControl w:val="0"/>
        <w:shd w:val="clear" w:color="auto" w:fill="auto"/>
        <w:bidi w:val="0"/>
        <w:spacing w:before="0" w:after="300" w:line="313" w:lineRule="exact"/>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、合并财务报表的编制方法</w:t>
      </w:r>
      <w:bookmarkEnd w:id="684"/>
      <w:bookmarkEnd w:id="685"/>
      <w:bookmarkEnd w:id="687"/>
    </w:p>
    <w:p>
      <w:pPr>
        <w:pStyle w:val="Style23"/>
        <w:keepNext/>
        <w:keepLines/>
        <w:widowControl w:val="0"/>
        <w:shd w:val="clear" w:color="auto" w:fill="auto"/>
        <w:tabs>
          <w:tab w:pos="374" w:val="left"/>
        </w:tabs>
        <w:bidi w:val="0"/>
        <w:spacing w:before="0" w:after="0" w:line="313" w:lineRule="exact"/>
        <w:ind w:left="0" w:right="0" w:firstLine="0"/>
        <w:jc w:val="both"/>
      </w:pPr>
      <w:bookmarkStart w:id="684" w:name="bookmark684"/>
      <w:bookmarkStart w:id="685" w:name="bookmark685"/>
      <w:bookmarkStart w:id="688" w:name="bookmark688"/>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合并财务报表范围的确定原则</w:t>
      </w:r>
      <w:bookmarkEnd w:id="684"/>
      <w:bookmarkEnd w:id="685"/>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一旦相关事实和情况的变化导致上述控制定义涉及的相关要素发生了变化，本公司将进行重新评估。</w:t>
      </w:r>
    </w:p>
    <w:p>
      <w:pPr>
        <w:pStyle w:val="Style13"/>
        <w:keepNext w:val="0"/>
        <w:keepLines w:val="0"/>
        <w:widowControl w:val="0"/>
        <w:shd w:val="clear" w:color="auto" w:fill="auto"/>
        <w:tabs>
          <w:tab w:pos="374" w:val="left"/>
        </w:tabs>
        <w:bidi w:val="0"/>
        <w:spacing w:before="0" w:after="0" w:line="313" w:lineRule="exact"/>
        <w:ind w:left="0" w:right="0" w:firstLine="0"/>
        <w:jc w:val="left"/>
        <w:rPr>
          <w:sz w:val="20"/>
          <w:szCs w:val="20"/>
        </w:rPr>
      </w:pPr>
      <w:bookmarkStart w:id="689" w:name="bookmark689"/>
      <w:r>
        <w:rPr>
          <w:rFonts w:ascii="Times New Roman" w:eastAsia="Times New Roman" w:hAnsi="Times New Roman" w:cs="Times New Roman"/>
          <w:b/>
          <w:bCs/>
          <w:color w:val="000000"/>
          <w:spacing w:val="0"/>
          <w:w w:val="100"/>
          <w:position w:val="0"/>
          <w:sz w:val="20"/>
          <w:szCs w:val="20"/>
        </w:rPr>
        <w:t>2</w:t>
      </w:r>
      <w:bookmarkEnd w:id="689"/>
      <w:r>
        <w:rPr>
          <w:b/>
          <w:bCs/>
          <w:color w:val="000000"/>
          <w:spacing w:val="0"/>
          <w:w w:val="100"/>
          <w:position w:val="0"/>
          <w:sz w:val="20"/>
          <w:szCs w:val="20"/>
        </w:rPr>
        <w:t>、</w:t>
        <w:tab/>
        <w:t>合并财务报表编制的方法</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公司内往来余额、交易及未实现利润在合并财务报表编制时予以抵销。</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项目列示。少数股东分担的子公司的亏损超过了少数股东在 该子公司期初股东权益中所享有的份额，仍冲减少数股东权益。</w:t>
      </w:r>
    </w:p>
    <w:p>
      <w:pPr>
        <w:pStyle w:val="Style13"/>
        <w:keepNext w:val="0"/>
        <w:keepLines w:val="0"/>
        <w:widowControl w:val="0"/>
        <w:shd w:val="clear" w:color="auto" w:fill="auto"/>
        <w:bidi w:val="0"/>
        <w:spacing w:before="0" w:after="380" w:line="313" w:lineRule="exact"/>
        <w:ind w:left="0" w:right="0" w:firstLine="440"/>
        <w:jc w:val="both"/>
        <w:rPr>
          <w:sz w:val="20"/>
          <w:szCs w:val="20"/>
        </w:rPr>
      </w:pPr>
      <w:r>
        <w:rPr>
          <w:color w:val="000000"/>
          <w:spacing w:val="0"/>
          <w:w w:val="100"/>
          <w:position w:val="0"/>
          <w:sz w:val="20"/>
          <w:szCs w:val="2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号——长期股权投资》 或《企业会计准则第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号——金融工具确认和计量》等相关规定进行后续计量。详见本附注三、（十四） 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或本附注三、（十）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。本公司通过多次交易分步处置对子公司股权投资直至丧失 控制权的，需区分处置对子公司股权投资直至丧失控制权的各项交易是否属于一揽子交易。处置对子公司 股权投资的各项交易的条款、条件以及经济影响符合以下一种或多种情况，通常表明应将多次交易事项作 为一揽子交易进行会计处理：①这些交易是同时或者在考虑了彼此影响的情况下订立的；②这些交易整体 才能达成一项完整的商业结果；③一项交易的发生取决于其他至少一项交易的发生；④一项交易单独看是 不经济的，但是和其他交易一并考虑时是经济的。不属于一揽子交易的，对其中的每一项交易视情况分别 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不丧失控制权的情况下部分处置对子公司的长期股权投资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’（详见本附注三、（十四）（</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）④）和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因 处置部分股权投资或其他原因丧失了对原有子公司的控制权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（详见前段）适用的原则进行会计处理。处 </w:t>
      </w:r>
      <w:r>
        <w:rPr>
          <w:color w:val="000000"/>
          <w:spacing w:val="0"/>
          <w:w w:val="100"/>
          <w:position w:val="0"/>
          <w:sz w:val="20"/>
          <w:szCs w:val="20"/>
        </w:rPr>
        <w:t>置对子公司股权投资直至丧失控制权的各项交易属于一揽子交易的，将各项交易作为一项处置子公司并丧 失控制权的交易进行会计处理；但是，在丧失控制权之前每一次处置价款与处置投资对应的享有该子公司 净资产份额的差额，在合并财务报表中确认为其他综合收益，在丧失控制权时一并转入丧失控制权当期的 损益。</w:t>
      </w:r>
    </w:p>
    <w:p>
      <w:pPr>
        <w:pStyle w:val="Style23"/>
        <w:keepNext/>
        <w:keepLines/>
        <w:widowControl w:val="0"/>
        <w:shd w:val="clear" w:color="auto" w:fill="auto"/>
        <w:bidi w:val="0"/>
        <w:spacing w:before="0" w:after="200" w:line="326" w:lineRule="auto"/>
        <w:ind w:left="0" w:right="0" w:firstLine="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7</w:t>
      </w:r>
      <w:bookmarkEnd w:id="692"/>
      <w:r>
        <w:rPr>
          <w:color w:val="000000"/>
          <w:spacing w:val="0"/>
          <w:w w:val="100"/>
          <w:position w:val="0"/>
        </w:rPr>
        <w:t>、合营安排分类及共同经营会计处理方法</w:t>
      </w:r>
      <w:bookmarkEnd w:id="690"/>
      <w:bookmarkEnd w:id="691"/>
      <w:bookmarkEnd w:id="693"/>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本公司对合营企业的投资采用权益法核算，按照本附注三、（十四）（</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权益法核算的长期股权 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中所述的会计政策处理。</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13"/>
        <w:keepNext w:val="0"/>
        <w:keepLines w:val="0"/>
        <w:widowControl w:val="0"/>
        <w:shd w:val="clear" w:color="auto" w:fill="auto"/>
        <w:bidi w:val="0"/>
        <w:spacing w:before="0" w:after="920" w:line="322" w:lineRule="exact"/>
        <w:ind w:left="0" w:right="0" w:firstLine="440"/>
        <w:jc w:val="both"/>
        <w:rPr>
          <w:sz w:val="20"/>
          <w:szCs w:val="20"/>
        </w:rPr>
      </w:pPr>
      <w:r>
        <w:rPr>
          <w:color w:val="000000"/>
          <w:spacing w:val="0"/>
          <w:w w:val="100"/>
          <w:position w:val="0"/>
          <w:sz w:val="20"/>
          <w:szCs w:val="2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号——资产减值》等规定的资产减值损失的，对于由本公 司向共同经营投出或出售资产的情况，本公司全额确认该损失；对于本公司自共同经营购买资产的情况， 本公司按承担的份额确认该损失。</w:t>
      </w:r>
    </w:p>
    <w:p>
      <w:pPr>
        <w:pStyle w:val="Style23"/>
        <w:keepNext/>
        <w:keepLines/>
        <w:widowControl w:val="0"/>
        <w:shd w:val="clear" w:color="auto" w:fill="auto"/>
        <w:bidi w:val="0"/>
        <w:spacing w:before="0" w:after="280" w:line="312"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8</w:t>
      </w:r>
      <w:bookmarkEnd w:id="696"/>
      <w:r>
        <w:rPr>
          <w:color w:val="000000"/>
          <w:spacing w:val="0"/>
          <w:w w:val="100"/>
          <w:position w:val="0"/>
        </w:rPr>
        <w:t>、现金及现金等价物的确定标准</w:t>
      </w:r>
      <w:bookmarkEnd w:id="694"/>
      <w:bookmarkEnd w:id="695"/>
      <w:bookmarkEnd w:id="697"/>
    </w:p>
    <w:p>
      <w:pPr>
        <w:pStyle w:val="Style13"/>
        <w:keepNext w:val="0"/>
        <w:keepLines w:val="0"/>
        <w:widowControl w:val="0"/>
        <w:shd w:val="clear" w:color="auto" w:fill="auto"/>
        <w:bidi w:val="0"/>
        <w:spacing w:before="0" w:after="920" w:line="312" w:lineRule="exact"/>
        <w:ind w:left="0" w:right="0" w:firstLine="440"/>
        <w:jc w:val="both"/>
        <w:rPr>
          <w:sz w:val="20"/>
          <w:szCs w:val="20"/>
        </w:rPr>
      </w:pPr>
      <w:r>
        <w:rPr>
          <w:color w:val="000000"/>
          <w:spacing w:val="0"/>
          <w:w w:val="100"/>
          <w:position w:val="0"/>
          <w:sz w:val="20"/>
          <w:szCs w:val="2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23"/>
        <w:keepNext/>
        <w:keepLines/>
        <w:widowControl w:val="0"/>
        <w:shd w:val="clear" w:color="auto" w:fill="auto"/>
        <w:bidi w:val="0"/>
        <w:spacing w:before="0" w:line="312" w:lineRule="exact"/>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9</w:t>
      </w:r>
      <w:bookmarkEnd w:id="700"/>
      <w:r>
        <w:rPr>
          <w:color w:val="000000"/>
          <w:spacing w:val="0"/>
          <w:w w:val="100"/>
          <w:position w:val="0"/>
        </w:rPr>
        <w:t>、外币业务和外币报表折算</w:t>
      </w:r>
      <w:bookmarkEnd w:id="698"/>
      <w:bookmarkEnd w:id="699"/>
      <w:bookmarkEnd w:id="701"/>
    </w:p>
    <w:p>
      <w:pPr>
        <w:pStyle w:val="Style23"/>
        <w:keepNext/>
        <w:keepLines/>
        <w:widowControl w:val="0"/>
        <w:numPr>
          <w:ilvl w:val="0"/>
          <w:numId w:val="15"/>
        </w:numPr>
        <w:shd w:val="clear" w:color="auto" w:fill="auto"/>
        <w:tabs>
          <w:tab w:pos="760" w:val="left"/>
        </w:tabs>
        <w:bidi w:val="0"/>
        <w:spacing w:before="0" w:after="0" w:line="326" w:lineRule="auto"/>
        <w:ind w:left="0" w:right="0" w:firstLine="440"/>
        <w:jc w:val="both"/>
      </w:pPr>
      <w:bookmarkStart w:id="698" w:name="bookmark698"/>
      <w:bookmarkStart w:id="699" w:name="bookmark699"/>
      <w:bookmarkStart w:id="702" w:name="bookmark702"/>
      <w:bookmarkEnd w:id="702"/>
      <w:r>
        <w:rPr>
          <w:color w:val="000000"/>
          <w:spacing w:val="0"/>
          <w:w w:val="100"/>
          <w:position w:val="0"/>
        </w:rPr>
        <w:t>外币交易的折算方法</w:t>
      </w:r>
      <w:bookmarkEnd w:id="698"/>
      <w:bookmarkEnd w:id="699"/>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本公司发生的外币交易在初始确认时，按交易日的即期汇率折算为记账本位币金额，但公司发生的外 币兑换业务或涉及外币兑换的交易事项，按照实际采用的汇率折算为记账本位币金额。、</w:t>
      </w:r>
    </w:p>
    <w:p>
      <w:pPr>
        <w:pStyle w:val="Style13"/>
        <w:keepNext w:val="0"/>
        <w:keepLines w:val="0"/>
        <w:widowControl w:val="0"/>
        <w:numPr>
          <w:ilvl w:val="0"/>
          <w:numId w:val="15"/>
        </w:numPr>
        <w:shd w:val="clear" w:color="auto" w:fill="auto"/>
        <w:tabs>
          <w:tab w:pos="769" w:val="left"/>
        </w:tabs>
        <w:bidi w:val="0"/>
        <w:spacing w:before="0" w:after="0" w:line="312" w:lineRule="exact"/>
        <w:ind w:left="0" w:right="0" w:firstLine="440"/>
        <w:jc w:val="both"/>
        <w:rPr>
          <w:sz w:val="20"/>
          <w:szCs w:val="20"/>
        </w:rPr>
      </w:pPr>
      <w:bookmarkStart w:id="703" w:name="bookmark703"/>
      <w:bookmarkEnd w:id="703"/>
      <w:r>
        <w:rPr>
          <w:b/>
          <w:bCs/>
          <w:color w:val="000000"/>
          <w:spacing w:val="0"/>
          <w:w w:val="100"/>
          <w:position w:val="0"/>
          <w:sz w:val="20"/>
          <w:szCs w:val="20"/>
        </w:rPr>
        <w:t>对于外币货币性项目和外币非货币性项目的折算方法</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资产负债表日，对于外币货币性项目采用资产负债表日即期汇率折算。为购建符合借款费用资本化条 件的资产而借入的外币专门借款产生的汇兑差额，在资本化期间内予以资本化。</w:t>
      </w:r>
    </w:p>
    <w:p>
      <w:pPr>
        <w:pStyle w:val="Style1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以历史成本计量的外币非货币性项目，仍采用交易发生日的即期汇率折算的记账本位币金额</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计量。以公允价值计量的外币非货币性项目，采用公允价值确定日的即期汇率折算，折算后的记账本 位币金额与原记账本位币金额的差额，作为公允价值变动（含汇率变动）处理，计入当期损益或确认为其 他综合收益。</w:t>
      </w:r>
    </w:p>
    <w:p>
      <w:pPr>
        <w:pStyle w:val="Style13"/>
        <w:keepNext w:val="0"/>
        <w:keepLines w:val="0"/>
        <w:widowControl w:val="0"/>
        <w:numPr>
          <w:ilvl w:val="0"/>
          <w:numId w:val="15"/>
        </w:numPr>
        <w:shd w:val="clear" w:color="auto" w:fill="auto"/>
        <w:tabs>
          <w:tab w:pos="769" w:val="left"/>
        </w:tabs>
        <w:bidi w:val="0"/>
        <w:spacing w:before="0" w:after="240" w:line="312" w:lineRule="exact"/>
        <w:ind w:left="0" w:right="0" w:firstLine="440"/>
        <w:jc w:val="both"/>
        <w:rPr>
          <w:sz w:val="20"/>
          <w:szCs w:val="20"/>
        </w:rPr>
      </w:pPr>
      <w:bookmarkStart w:id="704" w:name="bookmark704"/>
      <w:bookmarkEnd w:id="704"/>
      <w:r>
        <w:rPr>
          <w:b/>
          <w:bCs/>
          <w:color w:val="000000"/>
          <w:spacing w:val="0"/>
          <w:w w:val="100"/>
          <w:position w:val="0"/>
          <w:sz w:val="20"/>
          <w:szCs w:val="20"/>
        </w:rPr>
        <w:t>外币财务报表的折算方法</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项目外，其他项目采用发生时的即期汇率折算。 利润表中的收入和费用项目，采用交易发生日的即期汇率折算。年初未分配利润为上一年折算后的年末未 分配利润；年末未分配利润按折算后的利润分配各项目计算列示；折算后资产类项目与负债类项目和股东 权益类项目合计数的差额，作为外币报表折算差额，确认为其他综合收益。处置境外经营并丧失控制权时， 将资产负债表中股东权益项目下列示的、与该境外经营相关的外币报表折算差额，全部或按处置该境外经 营的比例转入处置当期损益。</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外币现金流量</w:t>
      </w:r>
      <w:r>
        <w:rPr>
          <w:color w:val="0000FF"/>
          <w:spacing w:val="0"/>
          <w:w w:val="100"/>
          <w:position w:val="0"/>
          <w:sz w:val="20"/>
          <w:szCs w:val="20"/>
        </w:rPr>
        <w:t>，</w:t>
      </w:r>
      <w:r>
        <w:rPr>
          <w:color w:val="000000"/>
          <w:spacing w:val="0"/>
          <w:w w:val="100"/>
          <w:position w:val="0"/>
          <w:sz w:val="20"/>
          <w:szCs w:val="20"/>
        </w:rPr>
        <w:t>采用现金流量发生日的即期汇率折算。汇率变动对现金的影响额作为调节项目，在现 金流量表中单独列报。</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在处置本公司在境外经营的全部所有者权益或因处置部分股权投资或其他原因丧失了对境外经营控 制权时，将资产负债表中所有者权益项目下列示的、与该境外经营相关的归属于母公司所有者权益的外币 报表折算差额，全部转入处置当期损益。</w:t>
      </w:r>
    </w:p>
    <w:p>
      <w:pPr>
        <w:pStyle w:val="Style13"/>
        <w:keepNext w:val="0"/>
        <w:keepLines w:val="0"/>
        <w:widowControl w:val="0"/>
        <w:shd w:val="clear" w:color="auto" w:fill="auto"/>
        <w:bidi w:val="0"/>
        <w:spacing w:before="0" w:after="920" w:line="312" w:lineRule="exact"/>
        <w:ind w:left="0" w:right="0" w:firstLine="440"/>
        <w:jc w:val="both"/>
        <w:rPr>
          <w:sz w:val="20"/>
          <w:szCs w:val="20"/>
        </w:rPr>
      </w:pPr>
      <w:r>
        <w:rPr>
          <w:color w:val="000000"/>
          <w:spacing w:val="0"/>
          <w:w w:val="100"/>
          <w:position w:val="0"/>
          <w:sz w:val="20"/>
          <w:szCs w:val="2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23"/>
        <w:keepNext/>
        <w:keepLines/>
        <w:widowControl w:val="0"/>
        <w:shd w:val="clear" w:color="auto" w:fill="auto"/>
        <w:bidi w:val="0"/>
        <w:spacing w:before="0" w:after="300" w:line="313" w:lineRule="exact"/>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5"/>
      <w:bookmarkEnd w:id="706"/>
      <w:bookmarkEnd w:id="708"/>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金融工具，是指形成一方的金融资产并形成其他方的金融负债或权益工具的合同。当本公司成为金融 工具合同的一方时，确认相关的金融资产或金融负债。</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金融资产和金融负债在初始确认时以公允价值计量：①对于以公允价值计量且其变动计入当期损益的 金融资产和金融负债，相关交易费用直接计入当期损益；②对于其他类别的金融资产和金融负债，相关交 易费用计入初始确认金额。金融资产和金融负债的后续计量取决于其分类。</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金融资产或金融负债满足下列条件之一的，表明持有目的是交易性的：①取得相关金融资产或承担相 关金融负债的目的，主要是为了近期内出售或回购；②初始确认时属于集中管理的可辨认金融工具组合的 一部分，且有客观证据表明近期实际存在短期获利模式；③属于衍生工具，但符合财务担保合同定义的衍 生工具以及被指定为有效套期工具的衍生工具除外。</w:t>
      </w:r>
    </w:p>
    <w:p>
      <w:pPr>
        <w:pStyle w:val="Style13"/>
        <w:keepNext w:val="0"/>
        <w:keepLines w:val="0"/>
        <w:widowControl w:val="0"/>
        <w:shd w:val="clear" w:color="auto" w:fill="auto"/>
        <w:bidi w:val="0"/>
        <w:spacing w:before="0" w:after="0" w:line="313" w:lineRule="exact"/>
        <w:ind w:left="0" w:right="0" w:firstLine="440"/>
        <w:jc w:val="both"/>
        <w:rPr>
          <w:sz w:val="20"/>
          <w:szCs w:val="20"/>
        </w:rPr>
      </w:pPr>
      <w:bookmarkStart w:id="709" w:name="bookmark709"/>
      <w:r>
        <w:rPr>
          <w:color w:val="000000"/>
          <w:spacing w:val="0"/>
          <w:w w:val="100"/>
          <w:position w:val="0"/>
          <w:sz w:val="20"/>
          <w:szCs w:val="20"/>
        </w:rPr>
        <w:t>（</w:t>
      </w:r>
      <w:bookmarkEnd w:id="7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）债务工具</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债务工具是指从发行方角度分析符合金融负债定义的工具。债务工具的分类和后续计量取决于本公司 管理金融资产的业务模式，以及金融资产的合同现金流量特征。不能通过现金流量特征测试的，直接分类 为以公允价值计量且其变动计入当期损益的金融资产；能够通过现金流量特征测试的，其分类取决于管理 金融资产的业务模式，以及是否将其指定为以公允价值计量且其变动计入当期损益的金融资产。</w:t>
      </w:r>
    </w:p>
    <w:p>
      <w:pPr>
        <w:pStyle w:val="Style13"/>
        <w:keepNext w:val="0"/>
        <w:keepLines w:val="0"/>
        <w:widowControl w:val="0"/>
        <w:numPr>
          <w:ilvl w:val="0"/>
          <w:numId w:val="17"/>
        </w:numPr>
        <w:shd w:val="clear" w:color="auto" w:fill="auto"/>
        <w:tabs>
          <w:tab w:pos="759" w:val="left"/>
        </w:tabs>
        <w:bidi w:val="0"/>
        <w:spacing w:before="0" w:after="0" w:line="313" w:lineRule="exact"/>
        <w:ind w:left="0" w:right="0" w:firstLine="440"/>
        <w:jc w:val="both"/>
        <w:rPr>
          <w:sz w:val="20"/>
          <w:szCs w:val="20"/>
        </w:rPr>
      </w:pPr>
      <w:bookmarkStart w:id="710" w:name="bookmark710"/>
      <w:bookmarkEnd w:id="710"/>
      <w:r>
        <w:rPr>
          <w:color w:val="000000"/>
          <w:spacing w:val="0"/>
          <w:w w:val="100"/>
          <w:position w:val="0"/>
          <w:sz w:val="20"/>
          <w:szCs w:val="20"/>
        </w:rPr>
        <w:t>以摊余成本计量。本公司管理此类金融资产的业务模式为以收取合同现金流量为目标，且此类金融 资产的合同现金流量特征与基本借贷安排相一致，即在特定日期产生的现金流量，仅为对本金和以未偿付 本金金额为基础的利息的支付，同时并未指定此类金融资产为以公允价值计量且其变动计入当期损益。本 公司对于此类金融资产按照实际利率法确认利息收入。此类金融资产因终止确认产生的利得或损失以及因 减值导致的损失直接计入当期损益。</w:t>
      </w:r>
    </w:p>
    <w:p>
      <w:pPr>
        <w:pStyle w:val="Style13"/>
        <w:keepNext w:val="0"/>
        <w:keepLines w:val="0"/>
        <w:widowControl w:val="0"/>
        <w:numPr>
          <w:ilvl w:val="0"/>
          <w:numId w:val="17"/>
        </w:numPr>
        <w:shd w:val="clear" w:color="auto" w:fill="auto"/>
        <w:tabs>
          <w:tab w:pos="754" w:val="left"/>
        </w:tabs>
        <w:bidi w:val="0"/>
        <w:spacing w:before="0" w:after="0" w:line="313" w:lineRule="exact"/>
        <w:ind w:left="0" w:right="0" w:firstLine="440"/>
        <w:jc w:val="both"/>
        <w:rPr>
          <w:sz w:val="20"/>
          <w:szCs w:val="20"/>
        </w:rPr>
      </w:pPr>
      <w:bookmarkStart w:id="711" w:name="bookmark711"/>
      <w:bookmarkEnd w:id="711"/>
      <w:r>
        <w:rPr>
          <w:color w:val="000000"/>
          <w:spacing w:val="0"/>
          <w:w w:val="100"/>
          <w:position w:val="0"/>
          <w:sz w:val="20"/>
          <w:szCs w:val="20"/>
        </w:rPr>
        <w:t xml:space="preserve">以公允价值计量且其变动计入其他综合收益。本公司管理此类金融资产的业务模式为既以收取合同 现金流量为目标又以出售为目标，且此类金融资产的合同现金流量特征与基本借贷安排相一致，即在特定 日期产生的现金流量，仅为对本金和以未偿付本金金额为基础的利息的支付，同时并未指定此类金融资产 为以公允价值计量且其变动计入当期损益。此类金融资产按照公允价值计量且其变动计入其他综合收益， </w:t>
      </w:r>
      <w:r>
        <w:rPr>
          <w:color w:val="000000"/>
          <w:spacing w:val="0"/>
          <w:w w:val="100"/>
          <w:position w:val="0"/>
          <w:sz w:val="20"/>
          <w:szCs w:val="20"/>
        </w:rPr>
        <w:t>但减值损失或利得、汇兑损益和按照实际利率法计算的利息收入计入当期损益。此类金融资产终止确认时， 累计计入其他综合收益的公允价值变动将结转计入当期损益。此类金融资产列示为其他债权投资。</w:t>
      </w:r>
    </w:p>
    <w:p>
      <w:pPr>
        <w:pStyle w:val="Style13"/>
        <w:keepNext w:val="0"/>
        <w:keepLines w:val="0"/>
        <w:widowControl w:val="0"/>
        <w:numPr>
          <w:ilvl w:val="0"/>
          <w:numId w:val="17"/>
        </w:numPr>
        <w:shd w:val="clear" w:color="auto" w:fill="auto"/>
        <w:bidi w:val="0"/>
        <w:spacing w:before="0" w:after="0" w:line="312" w:lineRule="exact"/>
        <w:ind w:left="0" w:right="0" w:firstLine="440"/>
        <w:jc w:val="both"/>
        <w:rPr>
          <w:sz w:val="20"/>
          <w:szCs w:val="20"/>
        </w:rPr>
      </w:pPr>
      <w:bookmarkStart w:id="712" w:name="bookmark712"/>
      <w:bookmarkEnd w:id="712"/>
      <w:r>
        <w:rPr>
          <w:color w:val="000000"/>
          <w:spacing w:val="0"/>
          <w:w w:val="100"/>
          <w:position w:val="0"/>
          <w:sz w:val="20"/>
          <w:szCs w:val="20"/>
        </w:rPr>
        <w:t>以公允价值计量且其变动计入当期损益。本公司将持有的未划分为以摊余成本计量和以公允价值计 量且其变动计入其他综合收益的债务工具，以公允价值计量且其变动计入当期损益，分类为以公允价值计 量且其变动计入当期损益的金融资产，列示为交易性金融资产或其他非流动金融资产。</w:t>
      </w:r>
    </w:p>
    <w:p>
      <w:pPr>
        <w:pStyle w:val="Style13"/>
        <w:keepNext w:val="0"/>
        <w:keepLines w:val="0"/>
        <w:widowControl w:val="0"/>
        <w:shd w:val="clear" w:color="auto" w:fill="auto"/>
        <w:tabs>
          <w:tab w:pos="918" w:val="left"/>
        </w:tabs>
        <w:bidi w:val="0"/>
        <w:spacing w:before="0" w:after="0" w:line="312" w:lineRule="exact"/>
        <w:ind w:left="0" w:right="0" w:firstLine="440"/>
        <w:jc w:val="both"/>
        <w:rPr>
          <w:sz w:val="20"/>
          <w:szCs w:val="20"/>
        </w:rPr>
      </w:pPr>
      <w:bookmarkStart w:id="713" w:name="bookmark713"/>
      <w:r>
        <w:rPr>
          <w:color w:val="000000"/>
          <w:spacing w:val="0"/>
          <w:w w:val="100"/>
          <w:position w:val="0"/>
          <w:sz w:val="20"/>
          <w:szCs w:val="20"/>
        </w:rPr>
        <w:t>（</w:t>
      </w:r>
      <w:bookmarkEnd w:id="7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权益工具</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权益工具是指从发行方角度分析符合权益工具定义的工具。权益工具投资以公允价值计量且其变动计 入当期损益，列示为交易性金融资产，但本公司管理层指定为以公允价值计量且其变动计入其他综合收益 除外。指定为以公允价值计量且其变动计入综合收益的，列示为其他权益工具投资，相关公允价值变动不 得结转至当期损益，且该指定一经作出不得撤销。相关股利收入计入当期损益。其他权益工具投资不计提 减值准备，终止确认时，之前计入其他综合收益的累计利得或损失从其他综合收益转出，计入留存收益。</w:t>
      </w:r>
    </w:p>
    <w:p>
      <w:pPr>
        <w:pStyle w:val="Style13"/>
        <w:keepNext w:val="0"/>
        <w:keepLines w:val="0"/>
        <w:widowControl w:val="0"/>
        <w:shd w:val="clear" w:color="auto" w:fill="auto"/>
        <w:tabs>
          <w:tab w:pos="918" w:val="left"/>
        </w:tabs>
        <w:bidi w:val="0"/>
        <w:spacing w:before="0" w:after="0" w:line="312" w:lineRule="exact"/>
        <w:ind w:left="0" w:right="0" w:firstLine="440"/>
        <w:jc w:val="both"/>
        <w:rPr>
          <w:sz w:val="20"/>
          <w:szCs w:val="20"/>
        </w:rPr>
      </w:pPr>
      <w:bookmarkStart w:id="714" w:name="bookmark714"/>
      <w:r>
        <w:rPr>
          <w:color w:val="000000"/>
          <w:spacing w:val="0"/>
          <w:w w:val="100"/>
          <w:position w:val="0"/>
          <w:sz w:val="20"/>
          <w:szCs w:val="20"/>
        </w:rPr>
        <w:t>（</w:t>
      </w:r>
      <w:bookmarkEnd w:id="7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金融负债</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金融负债于初始确认时分类为以公允价值计量且其变动计入当期损益的金融负债及其他金融负债。</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以公允价值计量且其变动计入当期损益的金融负债，包括交易性金融负债和指定为以公允价值计量且 其变动计入当期损益的金融负债。满足以下条件之一时，金融负债可在初始计量时指定为以公允价值计量 且其变动计入当期损益的金融负债：①该项指定能够消除或显著减少会计错配；②根据正式书面文件载明 的风险管理或投资策略，以公允价值为基础对金融负债组合或金融资产和金融负债组合进行管理和业绩评 价，并在公司内部以此为基础向关键管理人员报告。该指定一经作出，不得撤销。</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指定为以公允价值计量且变动计入当期损益的金融负债，由公司自身信用风险变动引起的公允价值的 变动金额，计入其他综合收益；其他公允价值变动，计入当期损益。该金融负债终止确认时，之前计入其 他综合收益的累计利得或损失从其他综合收益转出，计入留存收益。</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本公司其他金融负债主要包括短期借款。对于此类金融负债，采用实际利率法，按照摊余成本进行后 续计量。</w:t>
      </w:r>
    </w:p>
    <w:p>
      <w:pPr>
        <w:pStyle w:val="Style13"/>
        <w:keepNext w:val="0"/>
        <w:keepLines w:val="0"/>
        <w:widowControl w:val="0"/>
        <w:shd w:val="clear" w:color="auto" w:fill="auto"/>
        <w:tabs>
          <w:tab w:pos="918" w:val="left"/>
        </w:tabs>
        <w:bidi w:val="0"/>
        <w:spacing w:before="0" w:after="0" w:line="312" w:lineRule="exact"/>
        <w:ind w:left="0" w:right="0" w:firstLine="440"/>
        <w:jc w:val="both"/>
        <w:rPr>
          <w:sz w:val="20"/>
          <w:szCs w:val="20"/>
        </w:rPr>
      </w:pPr>
      <w:bookmarkStart w:id="715" w:name="bookmark715"/>
      <w:r>
        <w:rPr>
          <w:color w:val="000000"/>
          <w:spacing w:val="0"/>
          <w:w w:val="100"/>
          <w:position w:val="0"/>
          <w:sz w:val="20"/>
          <w:szCs w:val="20"/>
        </w:rPr>
        <w:t>（</w:t>
      </w:r>
      <w:bookmarkEnd w:id="71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金融资产和金融负债的终止确认</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金融资产满足下列条件之一的，予以终止确认：</w:t>
      </w:r>
    </w:p>
    <w:p>
      <w:pPr>
        <w:pStyle w:val="Style13"/>
        <w:keepNext w:val="0"/>
        <w:keepLines w:val="0"/>
        <w:widowControl w:val="0"/>
        <w:numPr>
          <w:ilvl w:val="0"/>
          <w:numId w:val="19"/>
        </w:numPr>
        <w:shd w:val="clear" w:color="auto" w:fill="auto"/>
        <w:tabs>
          <w:tab w:pos="826" w:val="left"/>
        </w:tabs>
        <w:bidi w:val="0"/>
        <w:spacing w:before="0" w:after="0" w:line="312" w:lineRule="exact"/>
        <w:ind w:left="0" w:right="0" w:firstLine="440"/>
        <w:jc w:val="both"/>
        <w:rPr>
          <w:sz w:val="20"/>
          <w:szCs w:val="20"/>
        </w:rPr>
      </w:pPr>
      <w:bookmarkStart w:id="716" w:name="bookmark716"/>
      <w:bookmarkEnd w:id="716"/>
      <w:r>
        <w:rPr>
          <w:color w:val="000000"/>
          <w:spacing w:val="0"/>
          <w:w w:val="100"/>
          <w:position w:val="0"/>
          <w:sz w:val="20"/>
          <w:szCs w:val="20"/>
        </w:rPr>
        <w:t>收取该金融资产现金流量的合同权利终止；</w:t>
      </w:r>
    </w:p>
    <w:p>
      <w:pPr>
        <w:pStyle w:val="Style13"/>
        <w:keepNext w:val="0"/>
        <w:keepLines w:val="0"/>
        <w:widowControl w:val="0"/>
        <w:numPr>
          <w:ilvl w:val="0"/>
          <w:numId w:val="19"/>
        </w:numPr>
        <w:shd w:val="clear" w:color="auto" w:fill="auto"/>
        <w:tabs>
          <w:tab w:pos="831" w:val="left"/>
        </w:tabs>
        <w:bidi w:val="0"/>
        <w:spacing w:before="0" w:after="0" w:line="312" w:lineRule="exact"/>
        <w:ind w:left="0" w:right="0" w:firstLine="440"/>
        <w:jc w:val="both"/>
        <w:rPr>
          <w:sz w:val="20"/>
          <w:szCs w:val="20"/>
        </w:rPr>
      </w:pPr>
      <w:bookmarkStart w:id="717" w:name="bookmark717"/>
      <w:bookmarkEnd w:id="717"/>
      <w:r>
        <w:rPr>
          <w:color w:val="000000"/>
          <w:spacing w:val="0"/>
          <w:w w:val="100"/>
          <w:position w:val="0"/>
          <w:sz w:val="20"/>
          <w:szCs w:val="20"/>
        </w:rPr>
        <w:t>该金融资产已转移，且本公司将金融资产所有权上几乎所有的风险和报酬转移给转入方；</w:t>
      </w:r>
    </w:p>
    <w:p>
      <w:pPr>
        <w:pStyle w:val="Style13"/>
        <w:keepNext w:val="0"/>
        <w:keepLines w:val="0"/>
        <w:widowControl w:val="0"/>
        <w:numPr>
          <w:ilvl w:val="0"/>
          <w:numId w:val="19"/>
        </w:numPr>
        <w:shd w:val="clear" w:color="auto" w:fill="auto"/>
        <w:tabs>
          <w:tab w:pos="809" w:val="left"/>
        </w:tabs>
        <w:bidi w:val="0"/>
        <w:spacing w:before="0" w:after="0" w:line="312" w:lineRule="exact"/>
        <w:ind w:left="0" w:right="0" w:firstLine="440"/>
        <w:jc w:val="both"/>
        <w:rPr>
          <w:sz w:val="20"/>
          <w:szCs w:val="20"/>
        </w:rPr>
      </w:pPr>
      <w:bookmarkStart w:id="718" w:name="bookmark718"/>
      <w:bookmarkEnd w:id="718"/>
      <w:r>
        <w:rPr>
          <w:color w:val="000000"/>
          <w:spacing w:val="0"/>
          <w:w w:val="100"/>
          <w:position w:val="0"/>
          <w:sz w:val="20"/>
          <w:szCs w:val="20"/>
        </w:rPr>
        <w:t>该金融资产已转移，虽然本公司既没有转移也没有保留金融资产所有权上几乎所有的风险和报酬， 但是放弃了对该金融资产的控制。</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金融负债（或其一部分）的现时义务已经解除的，本公司终止确认该金融负债（或该部分金融负债）。</w:t>
      </w:r>
    </w:p>
    <w:p>
      <w:pPr>
        <w:pStyle w:val="Style13"/>
        <w:keepNext w:val="0"/>
        <w:keepLines w:val="0"/>
        <w:widowControl w:val="0"/>
        <w:shd w:val="clear" w:color="auto" w:fill="auto"/>
        <w:tabs>
          <w:tab w:pos="918" w:val="left"/>
        </w:tabs>
        <w:bidi w:val="0"/>
        <w:spacing w:before="0" w:after="0" w:line="312" w:lineRule="exact"/>
        <w:ind w:left="0" w:right="0" w:firstLine="440"/>
        <w:jc w:val="both"/>
        <w:rPr>
          <w:sz w:val="20"/>
          <w:szCs w:val="20"/>
        </w:rPr>
      </w:pPr>
      <w:bookmarkStart w:id="719" w:name="bookmark719"/>
      <w:r>
        <w:rPr>
          <w:color w:val="000000"/>
          <w:spacing w:val="0"/>
          <w:w w:val="100"/>
          <w:position w:val="0"/>
          <w:sz w:val="20"/>
          <w:szCs w:val="20"/>
        </w:rPr>
        <w:t>（</w:t>
      </w:r>
      <w:bookmarkEnd w:id="719"/>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金融工具的减值</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本公司以预期信用损失为基础进行金融工具减值会计处理并确认损失准备。预期信用损失，是指以发 生违约的风险为权重的金融工具信用损失的加权平均值。信用损失，是指按照原实际利率折现的、根据合 同应收的所有合同现金流量与预期收取的所有现金流量之间的差额，即全部现金短缺的现值。</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去事项、当前状况以及未来经济状况预测的合理且有依据的信息。本公司按照下列方法确定相关金融工具 的预期信用损失：</w:t>
      </w:r>
    </w:p>
    <w:p>
      <w:pPr>
        <w:pStyle w:val="Style13"/>
        <w:keepNext w:val="0"/>
        <w:keepLines w:val="0"/>
        <w:widowControl w:val="0"/>
        <w:numPr>
          <w:ilvl w:val="0"/>
          <w:numId w:val="21"/>
        </w:numPr>
        <w:shd w:val="clear" w:color="auto" w:fill="auto"/>
        <w:tabs>
          <w:tab w:pos="826" w:val="left"/>
        </w:tabs>
        <w:bidi w:val="0"/>
        <w:spacing w:before="0" w:after="0" w:line="312" w:lineRule="exact"/>
        <w:ind w:left="0" w:right="0" w:firstLine="440"/>
        <w:jc w:val="both"/>
        <w:rPr>
          <w:sz w:val="20"/>
          <w:szCs w:val="20"/>
        </w:rPr>
      </w:pPr>
      <w:bookmarkStart w:id="720" w:name="bookmark720"/>
      <w:bookmarkEnd w:id="720"/>
      <w:r>
        <w:rPr>
          <w:color w:val="000000"/>
          <w:spacing w:val="0"/>
          <w:w w:val="100"/>
          <w:position w:val="0"/>
          <w:sz w:val="20"/>
          <w:szCs w:val="20"/>
        </w:rPr>
        <w:t>对于金融资产，信用损失为本公司应收取的合同现金流量与预期收取的现金流量之间差额的现值；</w:t>
      </w:r>
    </w:p>
    <w:p>
      <w:pPr>
        <w:pStyle w:val="Style13"/>
        <w:keepNext w:val="0"/>
        <w:keepLines w:val="0"/>
        <w:widowControl w:val="0"/>
        <w:numPr>
          <w:ilvl w:val="0"/>
          <w:numId w:val="21"/>
        </w:numPr>
        <w:shd w:val="clear" w:color="auto" w:fill="auto"/>
        <w:tabs>
          <w:tab w:pos="809" w:val="left"/>
        </w:tabs>
        <w:bidi w:val="0"/>
        <w:spacing w:before="0" w:after="0" w:line="312" w:lineRule="exact"/>
        <w:ind w:left="0" w:right="0" w:firstLine="440"/>
        <w:jc w:val="both"/>
        <w:rPr>
          <w:sz w:val="20"/>
          <w:szCs w:val="20"/>
        </w:rPr>
      </w:pPr>
      <w:bookmarkStart w:id="721" w:name="bookmark721"/>
      <w:bookmarkEnd w:id="721"/>
      <w:r>
        <w:rPr>
          <w:color w:val="000000"/>
          <w:spacing w:val="0"/>
          <w:w w:val="100"/>
          <w:position w:val="0"/>
          <w:sz w:val="20"/>
          <w:szCs w:val="20"/>
        </w:rPr>
        <w:t>对于租赁应收款项，信用损失为本公司应收取的合同现金流量与预期收取的现金流量之间差额的现 值；</w:t>
      </w:r>
    </w:p>
    <w:p>
      <w:pPr>
        <w:pStyle w:val="Style13"/>
        <w:keepNext w:val="0"/>
        <w:keepLines w:val="0"/>
        <w:widowControl w:val="0"/>
        <w:numPr>
          <w:ilvl w:val="0"/>
          <w:numId w:val="21"/>
        </w:numPr>
        <w:shd w:val="clear" w:color="auto" w:fill="auto"/>
        <w:tabs>
          <w:tab w:pos="809" w:val="left"/>
        </w:tabs>
        <w:bidi w:val="0"/>
        <w:spacing w:before="0" w:after="0" w:line="312" w:lineRule="exact"/>
        <w:ind w:left="0" w:right="0" w:firstLine="440"/>
        <w:jc w:val="both"/>
        <w:rPr>
          <w:sz w:val="20"/>
          <w:szCs w:val="20"/>
        </w:rPr>
      </w:pPr>
      <w:bookmarkStart w:id="722" w:name="bookmark722"/>
      <w:bookmarkEnd w:id="722"/>
      <w:r>
        <w:rPr>
          <w:color w:val="000000"/>
          <w:spacing w:val="0"/>
          <w:w w:val="100"/>
          <w:position w:val="0"/>
          <w:sz w:val="20"/>
          <w:szCs w:val="20"/>
        </w:rPr>
        <w:t>对于未提用的贷款承诺，信用损失为在贷款承诺持有人提用相应贷款的情况下，本公司应收取的合 同现金流量与预期收取的现金流量之间差额的现值。本公司对贷款承诺预期信用损失的估计，与其对该贷 款承诺提用情况的预期保持一致；</w:t>
      </w:r>
    </w:p>
    <w:p>
      <w:pPr>
        <w:pStyle w:val="Style13"/>
        <w:keepNext w:val="0"/>
        <w:keepLines w:val="0"/>
        <w:widowControl w:val="0"/>
        <w:numPr>
          <w:ilvl w:val="0"/>
          <w:numId w:val="21"/>
        </w:numPr>
        <w:shd w:val="clear" w:color="auto" w:fill="auto"/>
        <w:tabs>
          <w:tab w:pos="784" w:val="left"/>
        </w:tabs>
        <w:bidi w:val="0"/>
        <w:spacing w:before="0" w:after="0" w:line="313" w:lineRule="exact"/>
        <w:ind w:left="0" w:right="0" w:firstLine="440"/>
        <w:jc w:val="both"/>
        <w:rPr>
          <w:sz w:val="20"/>
          <w:szCs w:val="20"/>
        </w:rPr>
      </w:pPr>
      <w:bookmarkStart w:id="723" w:name="bookmark723"/>
      <w:bookmarkEnd w:id="723"/>
      <w:r>
        <w:rPr>
          <w:color w:val="000000"/>
          <w:spacing w:val="0"/>
          <w:w w:val="100"/>
          <w:position w:val="0"/>
          <w:sz w:val="20"/>
          <w:szCs w:val="20"/>
        </w:rPr>
        <w:t>对于财务担保合同，信用损失为本公司就该合同持有人发生的信用损失向其做出赔付的预计付款 额，减去本公司预期向该合同持有人、债务人或任何其他方收取的金额之间差额的现值；</w:t>
      </w:r>
    </w:p>
    <w:p>
      <w:pPr>
        <w:pStyle w:val="Style13"/>
        <w:keepNext w:val="0"/>
        <w:keepLines w:val="0"/>
        <w:widowControl w:val="0"/>
        <w:numPr>
          <w:ilvl w:val="0"/>
          <w:numId w:val="21"/>
        </w:numPr>
        <w:shd w:val="clear" w:color="auto" w:fill="auto"/>
        <w:tabs>
          <w:tab w:pos="779" w:val="left"/>
        </w:tabs>
        <w:bidi w:val="0"/>
        <w:spacing w:before="0" w:after="0" w:line="313" w:lineRule="exact"/>
        <w:ind w:left="0" w:right="0" w:firstLine="440"/>
        <w:jc w:val="both"/>
        <w:rPr>
          <w:sz w:val="20"/>
          <w:szCs w:val="20"/>
        </w:rPr>
      </w:pPr>
      <w:bookmarkStart w:id="724" w:name="bookmark724"/>
      <w:bookmarkEnd w:id="724"/>
      <w:r>
        <w:rPr>
          <w:color w:val="000000"/>
          <w:spacing w:val="0"/>
          <w:w w:val="100"/>
          <w:position w:val="0"/>
          <w:sz w:val="20"/>
          <w:szCs w:val="20"/>
        </w:rPr>
        <w:t>对于资产负债表日已发生信用减值但并非购买或源生已发生信用减值的金融资产，信用损失为该金 融资产账面余额与按原实际利率折现的估计未来现金流量的现值之间的差额。</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对于购买或源生的未发生信用减值的金融工具，每个资产负债表日，考虑合理且有依据的信息（包括 前瞻性信息），评估其信用风险自初始确认后是否显著增加，按照三阶段分别确认预期信用损失。信用风 险自初始确认后未显著增加的，处于第一阶段，按照该金融工具未来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个月内的预期信用损失计量损失准 备；信用风险自初始确认后已显著增加但尚未发生信用减值的，处于第二阶段，按照该金融工具整个存续 期的预期信用损失计量损失准备；自初始确认后已经发生信用减值的，处于第三阶段，按照该金融工具整 个存续期的预期信用损失计量损失准备。处于第一阶段和第二阶段的金融工具，按照其账面余额和实际利 率计算利息收入；处于第三阶段的金融工具，按照其摊余成本和实际利率计算确定利息收入。</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对于购买或源生的已发生信用减值的金融资产，在资产负债表日仅将自初始确认后整个存续期内预期 信用损失的累计变动确认为损失准备，其利息收入按照金融资产的摊余成本和经信用调整的实际利率计算 确定。</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损失准备的增加或转回，作为减值损失或利得，计入当期损益。对于持有的以公允价值计量且其变动 计入其他综合收益的债务工具，减值损失或利得计入当期损益的同时调整其他综合收益。</w:t>
      </w:r>
    </w:p>
    <w:p>
      <w:pPr>
        <w:pStyle w:val="Style13"/>
        <w:keepNext w:val="0"/>
        <w:keepLines w:val="0"/>
        <w:widowControl w:val="0"/>
        <w:numPr>
          <w:ilvl w:val="0"/>
          <w:numId w:val="23"/>
        </w:numPr>
        <w:shd w:val="clear" w:color="auto" w:fill="auto"/>
        <w:bidi w:val="0"/>
        <w:spacing w:before="0" w:after="0" w:line="313" w:lineRule="exact"/>
        <w:ind w:left="0" w:right="0" w:firstLine="440"/>
        <w:jc w:val="both"/>
        <w:rPr>
          <w:sz w:val="20"/>
          <w:szCs w:val="20"/>
        </w:rPr>
      </w:pPr>
      <w:bookmarkStart w:id="725" w:name="bookmark725"/>
      <w:bookmarkEnd w:id="725"/>
      <w:r>
        <w:rPr>
          <w:color w:val="000000"/>
          <w:spacing w:val="0"/>
          <w:w w:val="100"/>
          <w:position w:val="0"/>
          <w:sz w:val="20"/>
          <w:szCs w:val="20"/>
        </w:rPr>
        <w:t>对于应收票据和应收账款，无论是否存在重大融资成分，本公司均按照整个存续期的预期信用损失 计量损失准备。</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当单项应收票据和应收账款无法以合理成本取得评估预期信用损失的信息时，本公司依据信用风险特 征，将应收票据和应收账款划分为若干组合，在组合基础上计算预期信用损失。</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对于划分为组合的应收票据，本公司参考历史信用损失经验，结合当前状况以及对未来经济状况的预 测，通过违约风险敞口和整个存续期预期信用损失率，计算预期信用损失。确定组合的依据如下：</w:t>
      </w:r>
    </w:p>
    <w:p>
      <w:pPr>
        <w:pStyle w:val="Style13"/>
        <w:keepNext w:val="0"/>
        <w:keepLines w:val="0"/>
        <w:widowControl w:val="0"/>
        <w:shd w:val="clear" w:color="auto" w:fill="auto"/>
        <w:tabs>
          <w:tab w:pos="2086" w:val="left"/>
        </w:tabs>
        <w:bidi w:val="0"/>
        <w:spacing w:before="0" w:after="0" w:line="313" w:lineRule="exact"/>
        <w:ind w:left="0" w:right="0" w:firstLine="440"/>
        <w:jc w:val="both"/>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商业承兑汇票</w:t>
      </w:r>
    </w:p>
    <w:p>
      <w:pPr>
        <w:pStyle w:val="Style13"/>
        <w:keepNext w:val="0"/>
        <w:keepLines w:val="0"/>
        <w:widowControl w:val="0"/>
        <w:shd w:val="clear" w:color="auto" w:fill="auto"/>
        <w:tabs>
          <w:tab w:pos="2086" w:val="left"/>
        </w:tabs>
        <w:bidi w:val="0"/>
        <w:spacing w:before="0" w:after="0" w:line="313" w:lineRule="exact"/>
        <w:ind w:left="0" w:right="0" w:firstLine="440"/>
        <w:jc w:val="both"/>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银行承兑汇票</w:t>
      </w:r>
    </w:p>
    <w:p>
      <w:pPr>
        <w:pStyle w:val="Style32"/>
        <w:keepNext w:val="0"/>
        <w:keepLines w:val="0"/>
        <w:widowControl w:val="0"/>
        <w:shd w:val="clear" w:color="auto" w:fill="auto"/>
        <w:bidi w:val="0"/>
        <w:spacing w:before="0" w:after="0" w:line="307" w:lineRule="exact"/>
        <w:ind w:left="0" w:right="0" w:firstLine="0"/>
        <w:jc w:val="right"/>
        <w:rPr>
          <w:sz w:val="20"/>
          <w:szCs w:val="20"/>
        </w:rPr>
      </w:pPr>
      <w:r>
        <w:rPr>
          <w:color w:val="000000"/>
          <w:spacing w:val="0"/>
          <w:w w:val="100"/>
          <w:position w:val="0"/>
          <w:sz w:val="20"/>
          <w:szCs w:val="20"/>
        </w:rPr>
        <w:t>对于划分为组合的应收账款，本公司参考历史信用损失经验，结合当前状况以及对未来经济状况的预 测，编制应收账款账龄与整个存续期预期信用损失率对照表，计算预期信用损失。确定组合的依据如下：</w:t>
      </w:r>
    </w:p>
    <w:tbl>
      <w:tblPr>
        <w:tblOverlap w:val="never"/>
        <w:jc w:val="center"/>
        <w:tblLayout w:type="fixed"/>
      </w:tblPr>
      <w:tblGrid>
        <w:gridCol w:w="3442"/>
        <w:gridCol w:w="624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的预测，通过违约风险敞口和整个存续期预期信用损失率， 计算预期信用损失</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合并范围内的关联方组合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的预测，通过违约风险敞口和整个存续期预期信用损失率。</w:t>
            </w:r>
          </w:p>
        </w:tc>
      </w:tr>
      <w:tr>
        <w:trPr>
          <w:trHeight w:val="64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当单项其他应收款无法以合理成本取得评估预期信用损失的信息时，本公司依据信用风险特征将其 他应收款划分为若干组合，在组合基础上计算预期信用损失。确定组合的依据如下：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计提方法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w:t>
            </w:r>
            <w:r>
              <w:rPr>
                <w:color w:val="000000"/>
                <w:spacing w:val="0"/>
                <w:w w:val="100"/>
                <w:position w:val="0"/>
                <w:sz w:val="20"/>
                <w:szCs w:val="20"/>
              </w:rPr>
              <w:t>应收股利组合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 期信用损失率，计算预期信用损失。</w:t>
            </w:r>
          </w:p>
        </w:tc>
      </w:tr>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应收利息组合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 期信用损失率，计算预期信用损失。</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一一</w:t>
            </w:r>
            <w:r>
              <w:rPr>
                <w:color w:val="000000"/>
                <w:spacing w:val="0"/>
                <w:w w:val="100"/>
                <w:position w:val="0"/>
                <w:sz w:val="20"/>
                <w:szCs w:val="20"/>
              </w:rPr>
              <w:t>合并范围内关联方组 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参考历史信用损失经验，结合当前状况以及对未来经济状况 的预测，通过违约风险敞口和未来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w:t>
            </w:r>
          </w:p>
        </w:tc>
      </w:tr>
    </w:tbl>
    <w:p>
      <w:pPr>
        <w:pStyle w:val="Style13"/>
        <w:keepNext w:val="0"/>
        <w:keepLines w:val="0"/>
        <w:widowControl w:val="0"/>
        <w:shd w:val="clear" w:color="auto" w:fill="auto"/>
        <w:bidi w:val="0"/>
        <w:spacing w:before="0" w:after="0" w:line="314" w:lineRule="exact"/>
        <w:ind w:left="3460" w:right="0" w:firstLine="0"/>
        <w:jc w:val="left"/>
        <w:rPr>
          <w:sz w:val="20"/>
          <w:szCs w:val="20"/>
        </w:rPr>
      </w:pPr>
      <w:r>
        <w:rPr>
          <w:color w:val="000000"/>
          <w:spacing w:val="0"/>
          <w:w w:val="100"/>
          <w:position w:val="0"/>
          <w:sz w:val="20"/>
          <w:szCs w:val="20"/>
        </w:rPr>
        <w:t>期信用损失率。</w:t>
      </w:r>
    </w:p>
    <w:p>
      <w:pPr>
        <w:pStyle w:val="Style13"/>
        <w:keepNext w:val="0"/>
        <w:keepLines w:val="0"/>
        <w:widowControl w:val="0"/>
        <w:shd w:val="clear" w:color="auto" w:fill="auto"/>
        <w:tabs>
          <w:tab w:pos="3403" w:val="left"/>
        </w:tabs>
        <w:bidi w:val="0"/>
        <w:spacing w:before="0" w:after="0" w:line="314" w:lineRule="exact"/>
        <w:ind w:left="0" w:right="0" w:firstLine="0"/>
        <w:jc w:val="both"/>
        <w:rPr>
          <w:sz w:val="20"/>
          <w:szCs w:val="20"/>
        </w:rPr>
      </w:pPr>
      <w:r>
        <w:rPr>
          <w:color w:val="000000"/>
          <w:spacing w:val="0"/>
          <w:w w:val="100"/>
          <w:position w:val="0"/>
          <w:sz w:val="20"/>
          <w:szCs w:val="20"/>
        </w:rPr>
        <w:t>其他应收款一账龄组合</w:t>
        <w:tab/>
        <w:t>参考历史信用损失经验，结合当前状况以及对未来经济状况</w:t>
      </w:r>
    </w:p>
    <w:p>
      <w:pPr>
        <w:pStyle w:val="Style13"/>
        <w:keepNext w:val="0"/>
        <w:keepLines w:val="0"/>
        <w:widowControl w:val="0"/>
        <w:shd w:val="clear" w:color="auto" w:fill="auto"/>
        <w:bidi w:val="0"/>
        <w:spacing w:before="0" w:after="0" w:line="331" w:lineRule="exact"/>
        <w:ind w:left="3460" w:right="0" w:firstLine="0"/>
        <w:jc w:val="left"/>
        <w:rPr>
          <w:sz w:val="20"/>
          <w:szCs w:val="20"/>
        </w:rPr>
      </w:pPr>
      <w:r>
        <w:rPr>
          <w:color w:val="000000"/>
          <w:spacing w:val="0"/>
          <w:w w:val="100"/>
          <w:position w:val="0"/>
          <w:sz w:val="20"/>
          <w:szCs w:val="20"/>
        </w:rPr>
        <w:t>的预测，通过违约风险敞口和未来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 期信用损失率，计算预期信用损失。</w:t>
      </w:r>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726" w:name="bookmark726"/>
      <w:r>
        <w:rPr>
          <w:color w:val="000000"/>
          <w:spacing w:val="0"/>
          <w:w w:val="100"/>
          <w:position w:val="0"/>
          <w:sz w:val="20"/>
          <w:szCs w:val="20"/>
        </w:rPr>
        <w:t>（</w:t>
      </w:r>
      <w:bookmarkEnd w:id="726"/>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衍生工具及嵌入衍生工具</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本公司衍生工具主要包括远期合同、期货合同、互换合同。衍生工具初始以衍生交易合同签订当日的 公允价值进行计量，并以其公允价值进行后续计量。本公司衍生工具公允价值变动而产生的利得或损失， 直接计入当期损益。</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嵌入衍生工具是指嵌入到非衍生工具（即主合同）中的衍生工具，与主合同构成混合合同。混合合同 包含的主合同属于金融工具准则规范的资产的，本公司不从该混合合同中分拆嵌入衍生工具，而是将该混 合合同作为一个整体适用金融工具准则关于金融资产分类的相关规定。</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混合合同包含的主合同不属于金融工具准则规范的资产，且同时符合下列条件的，本公司从主合同中 分拆嵌入衍生工具，将其作为单独存在的衍生工具进行处理：</w:t>
      </w:r>
    </w:p>
    <w:p>
      <w:pPr>
        <w:pStyle w:val="Style13"/>
        <w:keepNext w:val="0"/>
        <w:keepLines w:val="0"/>
        <w:widowControl w:val="0"/>
        <w:numPr>
          <w:ilvl w:val="0"/>
          <w:numId w:val="25"/>
        </w:numPr>
        <w:shd w:val="clear" w:color="auto" w:fill="auto"/>
        <w:tabs>
          <w:tab w:pos="837" w:val="left"/>
        </w:tabs>
        <w:bidi w:val="0"/>
        <w:spacing w:before="0" w:after="0" w:line="314" w:lineRule="exact"/>
        <w:ind w:left="0" w:right="0" w:firstLine="440"/>
        <w:jc w:val="both"/>
        <w:rPr>
          <w:sz w:val="20"/>
          <w:szCs w:val="20"/>
        </w:rPr>
      </w:pPr>
      <w:bookmarkStart w:id="727" w:name="bookmark727"/>
      <w:bookmarkEnd w:id="727"/>
      <w:r>
        <w:rPr>
          <w:color w:val="000000"/>
          <w:spacing w:val="0"/>
          <w:w w:val="100"/>
          <w:position w:val="0"/>
          <w:sz w:val="20"/>
          <w:szCs w:val="20"/>
        </w:rPr>
        <w:t>嵌入衍生工具的经济特征和风险与主合同的经济特征和风险不紧密相关；</w:t>
      </w:r>
    </w:p>
    <w:p>
      <w:pPr>
        <w:pStyle w:val="Style13"/>
        <w:keepNext w:val="0"/>
        <w:keepLines w:val="0"/>
        <w:widowControl w:val="0"/>
        <w:numPr>
          <w:ilvl w:val="0"/>
          <w:numId w:val="25"/>
        </w:numPr>
        <w:shd w:val="clear" w:color="auto" w:fill="auto"/>
        <w:tabs>
          <w:tab w:pos="842" w:val="left"/>
        </w:tabs>
        <w:bidi w:val="0"/>
        <w:spacing w:before="0" w:after="0" w:line="314" w:lineRule="exact"/>
        <w:ind w:left="0" w:right="0" w:firstLine="440"/>
        <w:jc w:val="both"/>
        <w:rPr>
          <w:sz w:val="20"/>
          <w:szCs w:val="20"/>
        </w:rPr>
      </w:pPr>
      <w:bookmarkStart w:id="728" w:name="bookmark728"/>
      <w:bookmarkEnd w:id="728"/>
      <w:r>
        <w:rPr>
          <w:color w:val="000000"/>
          <w:spacing w:val="0"/>
          <w:w w:val="100"/>
          <w:position w:val="0"/>
          <w:sz w:val="20"/>
          <w:szCs w:val="20"/>
        </w:rPr>
        <w:t>与嵌入衍生工具具有相关条款的单独工具符合衍生工具的定义；</w:t>
      </w:r>
    </w:p>
    <w:p>
      <w:pPr>
        <w:pStyle w:val="Style13"/>
        <w:keepNext w:val="0"/>
        <w:keepLines w:val="0"/>
        <w:widowControl w:val="0"/>
        <w:numPr>
          <w:ilvl w:val="0"/>
          <w:numId w:val="25"/>
        </w:numPr>
        <w:shd w:val="clear" w:color="auto" w:fill="auto"/>
        <w:tabs>
          <w:tab w:pos="842" w:val="left"/>
        </w:tabs>
        <w:bidi w:val="0"/>
        <w:spacing w:before="0" w:after="0" w:line="314" w:lineRule="exact"/>
        <w:ind w:left="0" w:right="0" w:firstLine="440"/>
        <w:jc w:val="both"/>
        <w:rPr>
          <w:sz w:val="20"/>
          <w:szCs w:val="20"/>
        </w:rPr>
      </w:pPr>
      <w:bookmarkStart w:id="729" w:name="bookmark729"/>
      <w:bookmarkEnd w:id="729"/>
      <w:r>
        <w:rPr>
          <w:color w:val="000000"/>
          <w:spacing w:val="0"/>
          <w:w w:val="100"/>
          <w:position w:val="0"/>
          <w:sz w:val="20"/>
          <w:szCs w:val="20"/>
        </w:rPr>
        <w:t>该混合合同不是以公允价值计量且其变动计入当期损益进行会计处理。</w:t>
      </w:r>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730" w:name="bookmark730"/>
      <w:r>
        <w:rPr>
          <w:color w:val="000000"/>
          <w:spacing w:val="0"/>
          <w:w w:val="100"/>
          <w:position w:val="0"/>
          <w:sz w:val="20"/>
          <w:szCs w:val="20"/>
        </w:rPr>
        <w:t>（</w:t>
      </w:r>
      <w:bookmarkEnd w:id="730"/>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金融资产和金融负债的抵销</w:t>
      </w:r>
    </w:p>
    <w:p>
      <w:pPr>
        <w:pStyle w:val="Style13"/>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13"/>
        <w:keepNext w:val="0"/>
        <w:keepLines w:val="0"/>
        <w:widowControl w:val="0"/>
        <w:shd w:val="clear" w:color="auto" w:fill="auto"/>
        <w:tabs>
          <w:tab w:pos="928" w:val="left"/>
        </w:tabs>
        <w:bidi w:val="0"/>
        <w:spacing w:before="0" w:after="0" w:line="319" w:lineRule="exact"/>
        <w:ind w:left="0" w:right="0" w:firstLine="440"/>
        <w:jc w:val="both"/>
        <w:rPr>
          <w:sz w:val="20"/>
          <w:szCs w:val="20"/>
        </w:rPr>
      </w:pPr>
      <w:bookmarkStart w:id="731" w:name="bookmark731"/>
      <w:r>
        <w:rPr>
          <w:color w:val="000000"/>
          <w:spacing w:val="0"/>
          <w:w w:val="100"/>
          <w:position w:val="0"/>
          <w:sz w:val="20"/>
          <w:szCs w:val="20"/>
        </w:rPr>
        <w:t>（</w:t>
      </w:r>
      <w:bookmarkEnd w:id="731"/>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金融工具的公允价值确定</w:t>
      </w:r>
    </w:p>
    <w:p>
      <w:pPr>
        <w:pStyle w:val="Style13"/>
        <w:keepNext w:val="0"/>
        <w:keepLines w:val="0"/>
        <w:widowControl w:val="0"/>
        <w:shd w:val="clear" w:color="auto" w:fill="auto"/>
        <w:bidi w:val="0"/>
        <w:spacing w:before="0" w:after="920" w:line="319" w:lineRule="exact"/>
        <w:ind w:left="0" w:right="0" w:firstLine="440"/>
        <w:jc w:val="both"/>
        <w:rPr>
          <w:sz w:val="20"/>
          <w:szCs w:val="20"/>
        </w:rPr>
      </w:pPr>
      <w:r>
        <w:rPr>
          <w:color w:val="000000"/>
          <w:spacing w:val="0"/>
          <w:w w:val="100"/>
          <w:position w:val="0"/>
          <w:sz w:val="20"/>
          <w:szCs w:val="20"/>
        </w:rPr>
        <w:t>存在活跃市场的金融工具，以市场参与者在计量日发生的有序交易中，出售一项资产所能收到或者转 移一项负债所需支付的价格确定其公允价值。不存在活跃市场的金融工具，采用估值技术确定其公允价值。 在估值时，本公司采用在当前情况下适用并且有足够可利用数据和其他信息支持的估值技术，选择与市场 参与者在相关资产或负债的交易中所考虑的资产或负债特征相一致的输入值，并尽可能优先使用相关可观 察输入值。在相关可观察输入值无法取得或取得不切实可行时，使用不可观察输入值。</w:t>
      </w:r>
    </w:p>
    <w:p>
      <w:pPr>
        <w:pStyle w:val="Style23"/>
        <w:keepNext/>
        <w:keepLines/>
        <w:widowControl w:val="0"/>
        <w:shd w:val="clear" w:color="auto" w:fill="auto"/>
        <w:tabs>
          <w:tab w:pos="469" w:val="left"/>
        </w:tabs>
        <w:bidi w:val="0"/>
        <w:spacing w:before="0" w:after="300" w:line="312" w:lineRule="exact"/>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32"/>
      <w:bookmarkEnd w:id="733"/>
      <w:bookmarkEnd w:id="735"/>
    </w:p>
    <w:p>
      <w:pPr>
        <w:pStyle w:val="Style23"/>
        <w:keepNext/>
        <w:keepLines/>
        <w:widowControl w:val="0"/>
        <w:shd w:val="clear" w:color="auto" w:fill="auto"/>
        <w:tabs>
          <w:tab w:pos="469" w:val="left"/>
        </w:tabs>
        <w:bidi w:val="0"/>
        <w:spacing w:before="0" w:after="300" w:line="312" w:lineRule="exact"/>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36"/>
      <w:bookmarkEnd w:id="737"/>
      <w:bookmarkEnd w:id="739"/>
    </w:p>
    <w:p>
      <w:pPr>
        <w:pStyle w:val="Style23"/>
        <w:keepNext/>
        <w:keepLines/>
        <w:widowControl w:val="0"/>
        <w:shd w:val="clear" w:color="auto" w:fill="auto"/>
        <w:tabs>
          <w:tab w:pos="469" w:val="left"/>
        </w:tabs>
        <w:bidi w:val="0"/>
        <w:spacing w:before="0" w:after="400" w:line="312" w:lineRule="exact"/>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740"/>
      <w:bookmarkEnd w:id="741"/>
      <w:bookmarkEnd w:id="743"/>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其他应收款的预期信用损失的确定方法及会计处理方法</w:t>
      </w:r>
    </w:p>
    <w:p>
      <w:pPr>
        <w:pStyle w:val="Style23"/>
        <w:keepNext/>
        <w:keepLines/>
        <w:widowControl w:val="0"/>
        <w:shd w:val="clear" w:color="auto" w:fill="auto"/>
        <w:tabs>
          <w:tab w:pos="469" w:val="left"/>
        </w:tabs>
        <w:bidi w:val="0"/>
        <w:spacing w:before="0" w:after="300" w:line="312" w:lineRule="exact"/>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744"/>
      <w:bookmarkEnd w:id="745"/>
      <w:bookmarkEnd w:id="747"/>
    </w:p>
    <w:p>
      <w:pPr>
        <w:pStyle w:val="Style13"/>
        <w:keepNext w:val="0"/>
        <w:keepLines w:val="0"/>
        <w:widowControl w:val="0"/>
        <w:shd w:val="clear" w:color="auto" w:fill="auto"/>
        <w:bidi w:val="0"/>
        <w:spacing w:before="0" w:after="0" w:line="312" w:lineRule="exact"/>
        <w:ind w:left="0" w:right="0" w:firstLine="440"/>
        <w:jc w:val="both"/>
        <w:rPr>
          <w:sz w:val="20"/>
          <w:szCs w:val="20"/>
        </w:rPr>
      </w:pPr>
      <w:bookmarkStart w:id="748" w:name="bookmark748"/>
      <w:r>
        <w:rPr>
          <w:color w:val="000000"/>
          <w:spacing w:val="0"/>
          <w:w w:val="100"/>
          <w:position w:val="0"/>
          <w:sz w:val="20"/>
          <w:szCs w:val="20"/>
        </w:rPr>
        <w:t>（</w:t>
      </w:r>
      <w:bookmarkEnd w:id="74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）存货的分类</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本公司存货分为原材料、库存商品、周转材料等。</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存货取得和发出的计价方法</w:t>
      </w:r>
    </w:p>
    <w:p>
      <w:pPr>
        <w:pStyle w:val="Style13"/>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本公司存货盘存制度采用永续盘存制，存货取得时按实际成本计价。原材料、库存商品、发出商品等 发出时采用加权平均法计价</w:t>
      </w:r>
    </w:p>
    <w:p>
      <w:pPr>
        <w:pStyle w:val="Style13"/>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低值易耗品领用时采用一次转销法摊销；周转用包装物按照预计的使用次数分次计入成本费用。</w:t>
      </w:r>
    </w:p>
    <w:p>
      <w:pPr>
        <w:pStyle w:val="Style13"/>
        <w:keepNext w:val="0"/>
        <w:keepLines w:val="0"/>
        <w:widowControl w:val="0"/>
        <w:shd w:val="clear" w:color="auto" w:fill="auto"/>
        <w:tabs>
          <w:tab w:pos="870" w:val="left"/>
        </w:tabs>
        <w:bidi w:val="0"/>
        <w:spacing w:before="0" w:after="0" w:line="312" w:lineRule="exact"/>
        <w:ind w:left="0" w:right="0" w:firstLine="440"/>
        <w:jc w:val="both"/>
        <w:rPr>
          <w:sz w:val="20"/>
          <w:szCs w:val="20"/>
        </w:rPr>
      </w:pPr>
      <w:bookmarkStart w:id="749" w:name="bookmark749"/>
      <w:r>
        <w:rPr>
          <w:color w:val="000000"/>
          <w:spacing w:val="0"/>
          <w:w w:val="100"/>
          <w:position w:val="0"/>
          <w:sz w:val="20"/>
          <w:szCs w:val="20"/>
        </w:rPr>
        <w:t>（</w:t>
      </w:r>
      <w:bookmarkEnd w:id="74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存货跌价准备计提方法</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本公司期末存货成本高于其可变现净值的，计提存货跌价准备。本公司通常按照类别存货项目计提存 货跌价准备，期末，以前减记存货价值的影响因素已经消失的，存货跌价准备在原已计提的金额内转回。</w:t>
      </w:r>
    </w:p>
    <w:p>
      <w:pPr>
        <w:pStyle w:val="Style13"/>
        <w:keepNext w:val="0"/>
        <w:keepLines w:val="0"/>
        <w:widowControl w:val="0"/>
        <w:shd w:val="clear" w:color="auto" w:fill="auto"/>
        <w:tabs>
          <w:tab w:pos="870" w:val="left"/>
        </w:tabs>
        <w:bidi w:val="0"/>
        <w:spacing w:before="0" w:after="0" w:line="312" w:lineRule="exact"/>
        <w:ind w:left="0" w:right="0" w:firstLine="440"/>
        <w:jc w:val="both"/>
        <w:rPr>
          <w:sz w:val="20"/>
          <w:szCs w:val="20"/>
        </w:rPr>
      </w:pPr>
      <w:bookmarkStart w:id="750" w:name="bookmark750"/>
      <w:r>
        <w:rPr>
          <w:color w:val="000000"/>
          <w:spacing w:val="0"/>
          <w:w w:val="100"/>
          <w:position w:val="0"/>
          <w:sz w:val="20"/>
          <w:szCs w:val="20"/>
        </w:rPr>
        <w:t>（</w:t>
      </w:r>
      <w:bookmarkEnd w:id="75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存货可变现净值的确认方法</w:t>
      </w:r>
    </w:p>
    <w:p>
      <w:pPr>
        <w:pStyle w:val="Style13"/>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存货可变现净值是按存货的估计售价减去至完工时估计将要发生的成本、估计的销售费用以及相关税 费后的金额。</w:t>
      </w:r>
    </w:p>
    <w:p>
      <w:pPr>
        <w:pStyle w:val="Style23"/>
        <w:keepNext/>
        <w:keepLines/>
        <w:widowControl w:val="0"/>
        <w:shd w:val="clear" w:color="auto" w:fill="auto"/>
        <w:tabs>
          <w:tab w:pos="415" w:val="left"/>
        </w:tabs>
        <w:bidi w:val="0"/>
        <w:spacing w:before="0" w:after="300" w:line="313" w:lineRule="exact"/>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751"/>
      <w:bookmarkEnd w:id="752"/>
      <w:bookmarkEnd w:id="754"/>
    </w:p>
    <w:p>
      <w:pPr>
        <w:pStyle w:val="Style13"/>
        <w:keepNext w:val="0"/>
        <w:keepLines w:val="0"/>
        <w:widowControl w:val="0"/>
        <w:shd w:val="clear" w:color="auto" w:fill="auto"/>
        <w:bidi w:val="0"/>
        <w:spacing w:before="0" w:after="300" w:line="310" w:lineRule="exact"/>
        <w:ind w:left="0" w:right="0" w:firstLine="440"/>
        <w:jc w:val="both"/>
        <w:rPr>
          <w:sz w:val="20"/>
          <w:szCs w:val="20"/>
        </w:rPr>
      </w:pPr>
      <w:r>
        <w:rPr>
          <w:color w:val="000000"/>
          <w:spacing w:val="0"/>
          <w:w w:val="100"/>
          <w:position w:val="0"/>
          <w:sz w:val="20"/>
          <w:szCs w:val="20"/>
        </w:rPr>
        <w:t>合同资产按照预期信用损失法计提减值准备。无论是否包含重大融资成分，本公司在资产负债表日均 按照整个存续期内预期信用损失的金额计量其损失准备，如果该预期信用损失大于当前合同资产减值准备 的账面金额，将其差额确认为减值损失，反之则确认为减值利得。实际发生减值损失，认定相关合同资产 无法收回，经批准予以核销。</w:t>
      </w:r>
    </w:p>
    <w:p>
      <w:pPr>
        <w:pStyle w:val="Style23"/>
        <w:keepNext/>
        <w:keepLines/>
        <w:widowControl w:val="0"/>
        <w:shd w:val="clear" w:color="auto" w:fill="auto"/>
        <w:tabs>
          <w:tab w:pos="415" w:val="left"/>
        </w:tabs>
        <w:bidi w:val="0"/>
        <w:spacing w:before="0" w:after="300" w:line="313" w:lineRule="exact"/>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755"/>
      <w:bookmarkEnd w:id="756"/>
      <w:bookmarkEnd w:id="758"/>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本公司将通过出售（包括具有商业实质的非货币性资产交换，下同）而非持续使用一项非流动资产或 处置组收回其账面价值，并同时满足以下两个条件的，划分为持有待售类别：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某项非流动资产或处置组 根据类似交易中出售此类资产或处置组的惯例，在当前状况下即可立即出售；</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本公司已经就出售计划作 出决议且获得确定的购买承诺，预计出售将在一年内完成。（有关规定要求相关权力机构或者监管部门批 准后方可出售的，已经获得批准。）</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本公司将专为转售而取得的非流动资产或处置组，在取得日满足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预计出售将在一年内完成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的规定条 件，且短期（通常为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个月）内很可能满足持有待售类别的其他划分条件的，在取得日划分为持有待售类 别。</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号——持有待 售的非流动资产、处置组和终止经营》计量规定的各项非流动资产账面价值所占比重，按比例抵减其账面 价值。</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有待售类别前确认的资产减值损失不转回。持有待售的处置组以前减记的金额应当予以恢复，并在划分为 持有待售类别后适用《企业会计准则第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号一持有待售的非流动资产、处置组和终止经营》计量规定的 非流动资产确认的资产减值损失金额内转回，转回金额计入当期损益。已抵减的商誉账面价值，以及适用 《企业会计准则第</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号一持有待售的非流动资产、处置组和终止经营》计量规定的非流动资产在划分为 持有待售类别前确认的资产减值损失不得转回。</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持有待售的非流动资产或处置组中的非流动资产不计提折旧或摊销，持有待售的处置组中负债的利息 和其他费用继续予以确认。</w:t>
      </w:r>
    </w:p>
    <w:p>
      <w:pPr>
        <w:pStyle w:val="Style13"/>
        <w:keepNext w:val="0"/>
        <w:keepLines w:val="0"/>
        <w:widowControl w:val="0"/>
        <w:shd w:val="clear" w:color="auto" w:fill="auto"/>
        <w:bidi w:val="0"/>
        <w:spacing w:before="0" w:after="60" w:line="313" w:lineRule="exact"/>
        <w:ind w:left="0" w:right="0" w:firstLine="440"/>
        <w:jc w:val="both"/>
        <w:rPr>
          <w:sz w:val="20"/>
          <w:szCs w:val="20"/>
        </w:rPr>
      </w:pPr>
      <w:r>
        <w:rPr>
          <w:color w:val="000000"/>
          <w:spacing w:val="0"/>
          <w:w w:val="100"/>
          <w:position w:val="0"/>
          <w:sz w:val="20"/>
          <w:szCs w:val="20"/>
        </w:rPr>
        <w:t>非流动资产或处置组因不再满足持有待售类别的划分条件时，本公司不再将其继续划分为持有待售类 别或非流动资产从持有待售的处置组中移除，并按照以下两者孰低计量：（</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color w:val="000000"/>
          <w:spacing w:val="0"/>
          <w:w w:val="100"/>
          <w:position w:val="0"/>
          <w:sz w:val="20"/>
          <w:szCs w:val="20"/>
        </w:rPr>
        <w:t>可收回金额。</w:t>
      </w:r>
    </w:p>
    <w:p>
      <w:pPr>
        <w:pStyle w:val="Style13"/>
        <w:keepNext w:val="0"/>
        <w:keepLines w:val="0"/>
        <w:widowControl w:val="0"/>
        <w:shd w:val="clear" w:color="auto" w:fill="auto"/>
        <w:bidi w:val="0"/>
        <w:spacing w:before="0" w:after="600" w:line="240" w:lineRule="auto"/>
        <w:ind w:left="0" w:right="0" w:firstLine="440"/>
        <w:jc w:val="left"/>
        <w:rPr>
          <w:sz w:val="20"/>
          <w:szCs w:val="20"/>
        </w:rPr>
      </w:pPr>
      <w:r>
        <w:rPr>
          <w:color w:val="000000"/>
          <w:spacing w:val="0"/>
          <w:w w:val="100"/>
          <w:position w:val="0"/>
          <w:sz w:val="20"/>
          <w:szCs w:val="20"/>
        </w:rPr>
        <w:t>终止确认持有待售的非流动资产或处置组时，本公司将尚未确认的利得或损失计入当期损益。</w:t>
      </w:r>
    </w:p>
    <w:p>
      <w:pPr>
        <w:pStyle w:val="Style23"/>
        <w:keepNext/>
        <w:keepLines/>
        <w:widowControl w:val="0"/>
        <w:shd w:val="clear" w:color="auto" w:fill="auto"/>
        <w:tabs>
          <w:tab w:pos="409" w:val="left"/>
        </w:tabs>
        <w:bidi w:val="0"/>
        <w:spacing w:before="0" w:after="300" w:line="312" w:lineRule="exact"/>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7</w:t>
      </w:r>
      <w:r>
        <w:rPr>
          <w:color w:val="000000"/>
          <w:spacing w:val="0"/>
          <w:w w:val="100"/>
          <w:position w:val="0"/>
        </w:rPr>
        <w:t>、</w:t>
        <w:tab/>
        <w:t>债权投资</w:t>
      </w:r>
      <w:bookmarkEnd w:id="759"/>
      <w:bookmarkEnd w:id="760"/>
      <w:bookmarkEnd w:id="762"/>
    </w:p>
    <w:p>
      <w:pPr>
        <w:pStyle w:val="Style23"/>
        <w:keepNext/>
        <w:keepLines/>
        <w:widowControl w:val="0"/>
        <w:shd w:val="clear" w:color="auto" w:fill="auto"/>
        <w:tabs>
          <w:tab w:pos="409" w:val="left"/>
        </w:tabs>
        <w:bidi w:val="0"/>
        <w:spacing w:before="0" w:after="300" w:line="312" w:lineRule="exact"/>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8</w:t>
      </w:r>
      <w:r>
        <w:rPr>
          <w:color w:val="000000"/>
          <w:spacing w:val="0"/>
          <w:w w:val="100"/>
          <w:position w:val="0"/>
        </w:rPr>
        <w:t>、</w:t>
        <w:tab/>
        <w:t>其他债权投资</w:t>
      </w:r>
      <w:bookmarkEnd w:id="763"/>
      <w:bookmarkEnd w:id="764"/>
      <w:bookmarkEnd w:id="766"/>
    </w:p>
    <w:p>
      <w:pPr>
        <w:pStyle w:val="Style23"/>
        <w:keepNext/>
        <w:keepLines/>
        <w:widowControl w:val="0"/>
        <w:shd w:val="clear" w:color="auto" w:fill="auto"/>
        <w:tabs>
          <w:tab w:pos="409" w:val="left"/>
        </w:tabs>
        <w:bidi w:val="0"/>
        <w:spacing w:before="0" w:after="300" w:line="312" w:lineRule="exact"/>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9</w:t>
      </w:r>
      <w:r>
        <w:rPr>
          <w:color w:val="000000"/>
          <w:spacing w:val="0"/>
          <w:w w:val="100"/>
          <w:position w:val="0"/>
        </w:rPr>
        <w:t>、</w:t>
        <w:tab/>
        <w:t>长期应收款</w:t>
      </w:r>
      <w:bookmarkEnd w:id="767"/>
      <w:bookmarkEnd w:id="768"/>
      <w:bookmarkEnd w:id="770"/>
    </w:p>
    <w:p>
      <w:pPr>
        <w:pStyle w:val="Style23"/>
        <w:keepNext/>
        <w:keepLines/>
        <w:widowControl w:val="0"/>
        <w:shd w:val="clear" w:color="auto" w:fill="auto"/>
        <w:tabs>
          <w:tab w:pos="418" w:val="left"/>
        </w:tabs>
        <w:bidi w:val="0"/>
        <w:spacing w:before="0" w:after="300" w:line="312" w:lineRule="exact"/>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771"/>
      <w:bookmarkEnd w:id="772"/>
      <w:bookmarkEnd w:id="774"/>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本部分所指的长期股权投资，是指本公司对被投资单位具有控制、共同控制或重大影响的长期股权投 资。本公司对被投资单位不具有控制、共同控制或重大影响的长期股权投资，作为交易性金融资产或其他 权益工具投资核算，其会计政策详见附注三、</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金融工具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13"/>
        <w:keepNext w:val="0"/>
        <w:keepLines w:val="0"/>
        <w:widowControl w:val="0"/>
        <w:shd w:val="clear" w:color="auto" w:fill="auto"/>
        <w:bidi w:val="0"/>
        <w:spacing w:before="0" w:after="0" w:line="312" w:lineRule="exact"/>
        <w:ind w:left="0" w:right="0" w:firstLine="440"/>
        <w:jc w:val="both"/>
        <w:rPr>
          <w:sz w:val="20"/>
          <w:szCs w:val="20"/>
        </w:rPr>
      </w:pPr>
      <w:bookmarkStart w:id="775" w:name="bookmark775"/>
      <w:r>
        <w:rPr>
          <w:color w:val="000000"/>
          <w:spacing w:val="0"/>
          <w:w w:val="100"/>
          <w:position w:val="0"/>
          <w:sz w:val="20"/>
          <w:szCs w:val="20"/>
        </w:rPr>
        <w:t>（</w:t>
      </w:r>
      <w:bookmarkEnd w:id="77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）投资成本的确定</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对于同一控制下的企业合并取得的长期股权投资，在合并日按照被合并方股东权益或所有者权益在最 终控制方合并财务报表中的账面价值的份额作为长期股权投资的初始投资成本。长期股权投资初始投资成 本与支付的现金、转让的非现金资产以及所承担债务账面价值之间的差额，调整资本公积；资本公积不足 冲减的，调整留存收益。以发行权益性证券作为合并对价的，在合并日按照被合并方股东权益或所有者权 益在最终控制方合并财务报表中的账面价值的份额作为长期股权投资的初始投资成本，按照发行股份的面 值总额作为股本，长期股权投资初始投资成本与所发行股份面值总额之间的差额，调整资本公积；资本公 积不足冲减的，调整留存收益。通过多次交易分步取得同一控制下被合并方的股权，最终形成同一控制下 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的，将各项交易作为一项取得控 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的，在合并日按照应享有被合并方股东权益或所有者权益 在最终控制方合并财务报表中的账面价值的份额作为长期股权投资的初始投资成本，长期股权投资初始投 资成本与达到合并前的长期股权投资账面价值加上合并日进一步取得股份新支付对价的账面价值之和的 差额，调整资本公积；资本公积不足冲减的，调整留存收益。</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对于非同一控制下的企业合并取得的长期股权投资，在购买日按照合并成本作为长期股权投资的初始 投资成本，合并成本包括包括购买方付出的资产、发生或承担的负债、发行的权益性证券的公允价值之和。 通过多次交易分步取得被购买方的股权，最终形成非同一控制下的企业合并的，应分别是否属于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 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 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的，按照原持有被购买方的股权投资账面价值加上新增投资成本之和，作为改按成本法核算的 长期股权投资的初始投资成本。原持有的股权采用权益法核算的，相关其他综合收益暂不进行会计处理。</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合并方或购买方为企业合并发生的审计、法律服务、评估咨询等中介费用以及其他相关管理费用，于 发生时计入当期损益。</w:t>
      </w:r>
    </w:p>
    <w:p>
      <w:pPr>
        <w:pStyle w:val="Style1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除企业合并形成的长期股权投资外的其他股权投资，按成本进行初始计量，该成本视长期股权投资取得方 式的不同，分别按照本公司实际支付的现金购买价款、本公司发行的权益性证券的公允价值、投资合同或 协议约定的价值、非货币性资产交换交易中换出资产的公允价值或原账面价值、该项长期股权投资自身的 公允价值等方式确定。与取得长期股权投资直接相关的费用、税金及其他必要支出也计入投资成本。对于 因追加投资能够对被投资单位实施重大影响或实施共同控制但不构成控制的，长期股权投资成本为按照 </w:t>
      </w:r>
      <w:r>
        <w:rPr>
          <w:color w:val="000000"/>
          <w:spacing w:val="0"/>
          <w:w w:val="100"/>
          <w:position w:val="0"/>
          <w:sz w:val="20"/>
          <w:szCs w:val="20"/>
        </w:rPr>
        <w:t>《企业会计准则第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号——金融工具确认和计量》确定的原持有股权投资的公允价值加上新增投资成本之 和。</w:t>
      </w:r>
    </w:p>
    <w:p>
      <w:pPr>
        <w:pStyle w:val="Style13"/>
        <w:keepNext w:val="0"/>
        <w:keepLines w:val="0"/>
        <w:widowControl w:val="0"/>
        <w:shd w:val="clear" w:color="auto" w:fill="auto"/>
        <w:bidi w:val="0"/>
        <w:spacing w:before="0" w:after="0" w:line="312" w:lineRule="exact"/>
        <w:ind w:left="0" w:right="0" w:firstLine="440"/>
        <w:jc w:val="both"/>
        <w:rPr>
          <w:sz w:val="20"/>
          <w:szCs w:val="20"/>
        </w:rPr>
      </w:pPr>
      <w:bookmarkStart w:id="776" w:name="bookmark776"/>
      <w:r>
        <w:rPr>
          <w:color w:val="000000"/>
          <w:spacing w:val="0"/>
          <w:w w:val="100"/>
          <w:position w:val="0"/>
          <w:sz w:val="20"/>
          <w:szCs w:val="20"/>
        </w:rPr>
        <w:t>（</w:t>
      </w:r>
      <w:bookmarkEnd w:id="77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）后续计量及损益确认方法</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对被投资单位具有共同控制（构成共同经营者除外）或重大影响的长期股权投资，采用权益法核算。 此外，公司财务报表采用成本法核算能够对被投资单位实施控制的长期股权投资。</w:t>
      </w:r>
    </w:p>
    <w:p>
      <w:pPr>
        <w:pStyle w:val="Style13"/>
        <w:keepNext w:val="0"/>
        <w:keepLines w:val="0"/>
        <w:widowControl w:val="0"/>
        <w:numPr>
          <w:ilvl w:val="0"/>
          <w:numId w:val="27"/>
        </w:numPr>
        <w:shd w:val="clear" w:color="auto" w:fill="auto"/>
        <w:tabs>
          <w:tab w:pos="777" w:val="left"/>
        </w:tabs>
        <w:bidi w:val="0"/>
        <w:spacing w:before="0" w:after="0" w:line="312" w:lineRule="exact"/>
        <w:ind w:left="0" w:right="0" w:firstLine="440"/>
        <w:jc w:val="both"/>
        <w:rPr>
          <w:sz w:val="20"/>
          <w:szCs w:val="20"/>
        </w:rPr>
      </w:pPr>
      <w:bookmarkStart w:id="777" w:name="bookmark777"/>
      <w:bookmarkEnd w:id="777"/>
      <w:r>
        <w:rPr>
          <w:color w:val="000000"/>
          <w:spacing w:val="0"/>
          <w:w w:val="100"/>
          <w:position w:val="0"/>
          <w:sz w:val="20"/>
          <w:szCs w:val="20"/>
        </w:rPr>
        <w:t>成本法核算的长期股权投资</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13"/>
        <w:keepNext w:val="0"/>
        <w:keepLines w:val="0"/>
        <w:widowControl w:val="0"/>
        <w:numPr>
          <w:ilvl w:val="0"/>
          <w:numId w:val="27"/>
        </w:numPr>
        <w:shd w:val="clear" w:color="auto" w:fill="auto"/>
        <w:tabs>
          <w:tab w:pos="782" w:val="left"/>
        </w:tabs>
        <w:bidi w:val="0"/>
        <w:spacing w:before="0" w:after="0" w:line="312" w:lineRule="exact"/>
        <w:ind w:left="0" w:right="0" w:firstLine="440"/>
        <w:jc w:val="both"/>
        <w:rPr>
          <w:sz w:val="20"/>
          <w:szCs w:val="20"/>
        </w:rPr>
      </w:pPr>
      <w:bookmarkStart w:id="778" w:name="bookmark778"/>
      <w:bookmarkEnd w:id="778"/>
      <w:r>
        <w:rPr>
          <w:color w:val="000000"/>
          <w:spacing w:val="0"/>
          <w:w w:val="100"/>
          <w:position w:val="0"/>
          <w:sz w:val="20"/>
          <w:szCs w:val="20"/>
        </w:rPr>
        <w:t>权益法核算的长期股权投资</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号——企业合并》的规定进行会计处理，全额 确认与交易相关的利得或损失。</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13"/>
        <w:keepNext w:val="0"/>
        <w:keepLines w:val="0"/>
        <w:widowControl w:val="0"/>
        <w:shd w:val="clear" w:color="auto" w:fill="auto"/>
        <w:bidi w:val="0"/>
        <w:spacing w:before="0" w:after="0" w:line="350" w:lineRule="exact"/>
        <w:ind w:left="0" w:right="0" w:firstLine="440"/>
        <w:jc w:val="both"/>
        <w:rPr>
          <w:sz w:val="20"/>
          <w:szCs w:val="20"/>
        </w:rPr>
      </w:pPr>
      <w:r>
        <w:rPr>
          <w:color w:val="000000"/>
          <w:spacing w:val="0"/>
          <w:w w:val="100"/>
          <w:position w:val="0"/>
          <w:sz w:val="20"/>
          <w:szCs w:val="20"/>
        </w:rPr>
        <w:t>对于本公司首次执行新会计准则之前已经持有的对联营企业和合营企业的长期股权投资，如存在与该 投资相关的股权投资借方差额，按原剩余期限直线摊销的金额计入当期损益。</w:t>
      </w:r>
    </w:p>
    <w:p>
      <w:pPr>
        <w:pStyle w:val="Style13"/>
        <w:keepNext w:val="0"/>
        <w:keepLines w:val="0"/>
        <w:widowControl w:val="0"/>
        <w:numPr>
          <w:ilvl w:val="0"/>
          <w:numId w:val="27"/>
        </w:numPr>
        <w:shd w:val="clear" w:color="auto" w:fill="auto"/>
        <w:tabs>
          <w:tab w:pos="782" w:val="left"/>
        </w:tabs>
        <w:bidi w:val="0"/>
        <w:spacing w:before="0" w:after="0" w:line="310" w:lineRule="exact"/>
        <w:ind w:left="0" w:right="0" w:firstLine="440"/>
        <w:jc w:val="both"/>
        <w:rPr>
          <w:sz w:val="20"/>
          <w:szCs w:val="20"/>
        </w:rPr>
      </w:pPr>
      <w:bookmarkStart w:id="779" w:name="bookmark779"/>
      <w:bookmarkEnd w:id="779"/>
      <w:r>
        <w:rPr>
          <w:color w:val="000000"/>
          <w:spacing w:val="0"/>
          <w:w w:val="100"/>
          <w:position w:val="0"/>
          <w:sz w:val="20"/>
          <w:szCs w:val="20"/>
        </w:rPr>
        <w:t>收购少数股权</w:t>
      </w:r>
    </w:p>
    <w:p>
      <w:pPr>
        <w:pStyle w:val="Style13"/>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13"/>
        <w:keepNext w:val="0"/>
        <w:keepLines w:val="0"/>
        <w:widowControl w:val="0"/>
        <w:numPr>
          <w:ilvl w:val="0"/>
          <w:numId w:val="27"/>
        </w:numPr>
        <w:shd w:val="clear" w:color="auto" w:fill="auto"/>
        <w:tabs>
          <w:tab w:pos="782" w:val="left"/>
        </w:tabs>
        <w:bidi w:val="0"/>
        <w:spacing w:before="0" w:after="0" w:line="310" w:lineRule="exact"/>
        <w:ind w:left="0" w:right="0" w:firstLine="440"/>
        <w:jc w:val="both"/>
        <w:rPr>
          <w:sz w:val="20"/>
          <w:szCs w:val="20"/>
        </w:rPr>
      </w:pPr>
      <w:bookmarkStart w:id="780" w:name="bookmark780"/>
      <w:bookmarkEnd w:id="780"/>
      <w:r>
        <w:rPr>
          <w:color w:val="000000"/>
          <w:spacing w:val="0"/>
          <w:w w:val="100"/>
          <w:position w:val="0"/>
          <w:sz w:val="20"/>
          <w:szCs w:val="20"/>
        </w:rPr>
        <w:t>处置长期股权投资</w:t>
      </w:r>
    </w:p>
    <w:p>
      <w:pPr>
        <w:pStyle w:val="Style13"/>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资导致丧失对子公司控制权的，按本附注三、（六）、</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合并财务报表编制的方法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中所述的相关会计政策 处理。</w:t>
      </w:r>
    </w:p>
    <w:p>
      <w:pPr>
        <w:pStyle w:val="Style13"/>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 xml:space="preserve">其他情形下的长期股权投资处置，对于处置的股权，其账面价值与实际取得价款的差额，计入当期损 </w:t>
      </w:r>
      <w:r>
        <w:rPr>
          <w:color w:val="000000"/>
          <w:spacing w:val="0"/>
          <w:w w:val="100"/>
          <w:position w:val="0"/>
          <w:sz w:val="20"/>
          <w:szCs w:val="20"/>
        </w:rPr>
        <w:t>益。</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 本公司因处置部分股权投资丧失了对被投资单位的控制的，在编制个别财务报表时，处置后的剩余股权能 够对被投资单位实施共同控制或施加重大影响的，改按权益法核算，并对该剩余股权视同自取得时即采用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具确认和计量准则的有关规定进行会计处理，其在丧失控制之日的公允价值与账面价值之间的差额计入当 期损益。对于本公司取得对被投资单位的控制之前，因采用权益法核算或金融工具确认和计量准则核算而 确认的其他综合收益，在丧失对被投资单位控</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制时采用与被投资单位直接处置相关资产或负债相同的基础进行会计处理，因采用权益法核算而确认 的被投资单位净资产中除净损益、其他综合收益和利润分配以外的其他所有者权益变动在丧失对被投资单 位控制时结转入当期损益。其中，处置后的剩余股权采用权益法核算的，其他综合收益和其他所有者权益 按比例结转；处置后的剩余股权改按金融工具确认和计量准则进行会计处理的，其他综合收益和其他所有 者权益全部结转。</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13"/>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23"/>
        <w:keepNext/>
        <w:keepLines/>
        <w:widowControl w:val="0"/>
        <w:shd w:val="clear" w:color="auto" w:fill="auto"/>
        <w:tabs>
          <w:tab w:pos="418" w:val="left"/>
        </w:tabs>
        <w:bidi w:val="0"/>
        <w:spacing w:before="0" w:after="400" w:line="317"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w:t>
      </w:r>
      <w:bookmarkEnd w:id="781"/>
      <w:bookmarkEnd w:id="782"/>
      <w:bookmarkEnd w:id="784"/>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13"/>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本公司投资性房地产采用成本模式进行后续计量，并按照固定资产或无形资产的有关规定，按期计提 折旧或摊销。</w:t>
      </w:r>
    </w:p>
    <w:p>
      <w:pPr>
        <w:pStyle w:val="Style23"/>
        <w:keepNext/>
        <w:keepLines/>
        <w:widowControl w:val="0"/>
        <w:shd w:val="clear" w:color="auto" w:fill="auto"/>
        <w:tabs>
          <w:tab w:pos="418" w:val="left"/>
        </w:tabs>
        <w:bidi w:val="0"/>
        <w:spacing w:before="0" w:after="280" w:line="317"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固定资产</w:t>
      </w:r>
      <w:bookmarkEnd w:id="785"/>
      <w:bookmarkEnd w:id="786"/>
      <w:bookmarkEnd w:id="788"/>
    </w:p>
    <w:p>
      <w:pPr>
        <w:pStyle w:val="Style29"/>
        <w:keepNext/>
        <w:keepLines/>
        <w:widowControl w:val="0"/>
        <w:shd w:val="clear" w:color="auto" w:fill="auto"/>
        <w:bidi w:val="0"/>
        <w:spacing w:before="0" w:after="400" w:line="317" w:lineRule="exact"/>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9"/>
      <w:bookmarkEnd w:id="790"/>
      <w:bookmarkEnd w:id="79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固定资产的确认条件 </w:t>
      </w:r>
      <w:r>
        <w:rPr>
          <w:color w:val="000000"/>
          <w:spacing w:val="0"/>
          <w:w w:val="100"/>
          <w:position w:val="0"/>
        </w:rPr>
        <w:t>本公司固定资产是指为生产商品、提供劳务、出租或经营管理而持有的，使用寿命超过一个会计年度的有形资产。</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与该固定资产有关的经济利益很可能流入企业，并且该固定资产的成本能够可靠地计量时，固定资产才能予以确认。</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本公司固定资产按照取得时的实际成本进行初始计量。</w:t>
      </w:r>
    </w:p>
    <w:p>
      <w:pPr>
        <w:pStyle w:val="Style29"/>
        <w:keepNext/>
        <w:keepLines/>
        <w:widowControl w:val="0"/>
        <w:shd w:val="clear" w:color="auto" w:fill="auto"/>
        <w:bidi w:val="0"/>
        <w:spacing w:before="0" w:after="360" w:line="240" w:lineRule="auto"/>
        <w:ind w:left="0" w:right="0" w:firstLine="0"/>
        <w:jc w:val="both"/>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3"/>
      <w:bookmarkEnd w:id="794"/>
      <w:bookmarkEnd w:id="796"/>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办公家具及器具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bl>
    <w:p>
      <w:pPr>
        <w:pStyle w:val="Style1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其中，已计提减值准备的固定资产，还应扣除已计提的固定资产减值准备累计金额计算确定折旧率。</w:t>
      </w:r>
    </w:p>
    <w:p>
      <w:pPr>
        <w:pStyle w:val="Style13"/>
        <w:keepNext w:val="0"/>
        <w:keepLines w:val="0"/>
        <w:widowControl w:val="0"/>
        <w:shd w:val="clear" w:color="auto" w:fill="auto"/>
        <w:bidi w:val="0"/>
        <w:spacing w:before="0" w:after="280" w:line="307" w:lineRule="exact"/>
        <w:ind w:left="0" w:right="0" w:firstLine="440"/>
        <w:jc w:val="both"/>
        <w:rPr>
          <w:sz w:val="20"/>
          <w:szCs w:val="20"/>
        </w:rPr>
      </w:pPr>
      <w:r>
        <w:rPr>
          <w:color w:val="000000"/>
          <w:spacing w:val="0"/>
          <w:w w:val="100"/>
          <w:position w:val="0"/>
          <w:sz w:val="20"/>
          <w:szCs w:val="20"/>
        </w:rPr>
        <w:t>每年年度终了，本公司对固定资产的使用寿命、预计净残值和折旧方法进行复核。使用寿命预计数与 原先估计数有差异的，调整固定资产使用寿命；预计净残值预计数与原先估计数有差异的，调整预计净残 值。</w:t>
      </w:r>
    </w:p>
    <w:p>
      <w:pPr>
        <w:pStyle w:val="Style29"/>
        <w:keepNext/>
        <w:keepLines/>
        <w:widowControl w:val="0"/>
        <w:shd w:val="clear" w:color="auto" w:fill="auto"/>
        <w:bidi w:val="0"/>
        <w:spacing w:before="0" w:after="280" w:line="313" w:lineRule="exact"/>
        <w:ind w:left="0" w:right="0" w:firstLine="140"/>
        <w:jc w:val="left"/>
      </w:pPr>
      <w:bookmarkStart w:id="797" w:name="bookmark797"/>
      <w:bookmarkStart w:id="798" w:name="bookmark798"/>
      <w:bookmarkStart w:id="799" w:name="bookmark799"/>
      <w:r>
        <w:rPr>
          <w:color w:val="000000"/>
          <w:spacing w:val="0"/>
          <w:w w:val="100"/>
          <w:position w:val="0"/>
        </w:rPr>
        <w:t>⑶融资租入固定资产的认定依据、计价和折旧方法</w:t>
      </w:r>
      <w:bookmarkEnd w:id="797"/>
      <w:bookmarkEnd w:id="798"/>
      <w:bookmarkEnd w:id="799"/>
    </w:p>
    <w:p>
      <w:pPr>
        <w:pStyle w:val="Style16"/>
        <w:keepNext w:val="0"/>
        <w:keepLines w:val="0"/>
        <w:widowControl w:val="0"/>
        <w:shd w:val="clear" w:color="auto" w:fill="auto"/>
        <w:bidi w:val="0"/>
        <w:spacing w:before="0" w:after="0" w:line="334" w:lineRule="exact"/>
        <w:ind w:left="0" w:right="0" w:firstLine="0"/>
        <w:jc w:val="both"/>
      </w:pPr>
      <w:r>
        <w:rPr>
          <w:color w:val="000000"/>
          <w:spacing w:val="0"/>
          <w:w w:val="100"/>
          <w:position w:val="0"/>
        </w:rPr>
        <w:t>本公司租入的固定资产符合下列一项或数项标准时，确认为融资租入固定资产：</w:t>
      </w:r>
    </w:p>
    <w:p>
      <w:pPr>
        <w:pStyle w:val="Style16"/>
        <w:keepNext w:val="0"/>
        <w:keepLines w:val="0"/>
        <w:widowControl w:val="0"/>
        <w:numPr>
          <w:ilvl w:val="0"/>
          <w:numId w:val="29"/>
        </w:numPr>
        <w:shd w:val="clear" w:color="auto" w:fill="auto"/>
        <w:tabs>
          <w:tab w:pos="373" w:val="left"/>
        </w:tabs>
        <w:bidi w:val="0"/>
        <w:spacing w:before="0" w:after="0" w:line="334" w:lineRule="exact"/>
        <w:ind w:left="0" w:right="0" w:firstLine="0"/>
        <w:jc w:val="both"/>
      </w:pPr>
      <w:bookmarkStart w:id="800" w:name="bookmark800"/>
      <w:bookmarkEnd w:id="800"/>
      <w:r>
        <w:rPr>
          <w:color w:val="000000"/>
          <w:spacing w:val="0"/>
          <w:w w:val="100"/>
          <w:position w:val="0"/>
        </w:rPr>
        <w:t>在租赁期届满时，租赁资产的所有权转移给本公司。</w:t>
      </w:r>
    </w:p>
    <w:p>
      <w:pPr>
        <w:pStyle w:val="Style16"/>
        <w:keepNext w:val="0"/>
        <w:keepLines w:val="0"/>
        <w:widowControl w:val="0"/>
        <w:numPr>
          <w:ilvl w:val="0"/>
          <w:numId w:val="29"/>
        </w:numPr>
        <w:shd w:val="clear" w:color="auto" w:fill="auto"/>
        <w:tabs>
          <w:tab w:pos="373" w:val="left"/>
        </w:tabs>
        <w:bidi w:val="0"/>
        <w:spacing w:before="0" w:after="0" w:line="341" w:lineRule="exact"/>
        <w:ind w:left="0" w:right="0" w:firstLine="0"/>
        <w:jc w:val="both"/>
      </w:pPr>
      <w:bookmarkStart w:id="801" w:name="bookmark801"/>
      <w:bookmarkEnd w:id="801"/>
      <w:r>
        <w:rPr>
          <w:color w:val="000000"/>
          <w:spacing w:val="0"/>
          <w:w w:val="100"/>
          <w:position w:val="0"/>
        </w:rPr>
        <w:t>本公司有购买租赁资产的选择权，所订立的购买价款预计将远低于行使选择权时租赁资产的公允价值，因而在租赁开始日 就可以合理确定本公司将会行使这种选择权。</w:t>
      </w:r>
    </w:p>
    <w:p>
      <w:pPr>
        <w:pStyle w:val="Style16"/>
        <w:keepNext w:val="0"/>
        <w:keepLines w:val="0"/>
        <w:widowControl w:val="0"/>
        <w:numPr>
          <w:ilvl w:val="0"/>
          <w:numId w:val="29"/>
        </w:numPr>
        <w:shd w:val="clear" w:color="auto" w:fill="auto"/>
        <w:tabs>
          <w:tab w:pos="373" w:val="left"/>
        </w:tabs>
        <w:bidi w:val="0"/>
        <w:spacing w:before="0" w:after="0" w:line="334" w:lineRule="exact"/>
        <w:ind w:left="0" w:right="0" w:firstLine="0"/>
        <w:jc w:val="both"/>
      </w:pPr>
      <w:bookmarkStart w:id="802" w:name="bookmark802"/>
      <w:bookmarkEnd w:id="802"/>
      <w:r>
        <w:rPr>
          <w:color w:val="000000"/>
          <w:spacing w:val="0"/>
          <w:w w:val="100"/>
          <w:position w:val="0"/>
        </w:rPr>
        <w:t>即使资产的所有权不转移，但租赁期占租赁资产使用寿命的大部分。</w:t>
      </w:r>
    </w:p>
    <w:p>
      <w:pPr>
        <w:pStyle w:val="Style16"/>
        <w:keepNext w:val="0"/>
        <w:keepLines w:val="0"/>
        <w:widowControl w:val="0"/>
        <w:numPr>
          <w:ilvl w:val="0"/>
          <w:numId w:val="29"/>
        </w:numPr>
        <w:shd w:val="clear" w:color="auto" w:fill="auto"/>
        <w:tabs>
          <w:tab w:pos="373" w:val="left"/>
        </w:tabs>
        <w:bidi w:val="0"/>
        <w:spacing w:before="0" w:after="0" w:line="334" w:lineRule="exact"/>
        <w:ind w:left="0" w:right="0" w:firstLine="0"/>
        <w:jc w:val="both"/>
      </w:pPr>
      <w:bookmarkStart w:id="803" w:name="bookmark803"/>
      <w:bookmarkEnd w:id="803"/>
      <w:r>
        <w:rPr>
          <w:color w:val="000000"/>
          <w:spacing w:val="0"/>
          <w:w w:val="100"/>
          <w:position w:val="0"/>
        </w:rPr>
        <w:t>本公司在租赁开始日的最低租赁付款额现值，几乎相当于租赁开始日租赁资产公允价值。</w:t>
      </w:r>
    </w:p>
    <w:p>
      <w:pPr>
        <w:pStyle w:val="Style16"/>
        <w:keepNext w:val="0"/>
        <w:keepLines w:val="0"/>
        <w:widowControl w:val="0"/>
        <w:numPr>
          <w:ilvl w:val="0"/>
          <w:numId w:val="29"/>
        </w:numPr>
        <w:shd w:val="clear" w:color="auto" w:fill="auto"/>
        <w:tabs>
          <w:tab w:pos="373" w:val="left"/>
        </w:tabs>
        <w:bidi w:val="0"/>
        <w:spacing w:before="0" w:after="0" w:line="326" w:lineRule="exact"/>
        <w:ind w:left="0" w:right="0" w:firstLine="0"/>
        <w:jc w:val="both"/>
      </w:pPr>
      <w:bookmarkStart w:id="804" w:name="bookmark804"/>
      <w:bookmarkEnd w:id="804"/>
      <w:r>
        <w:rPr>
          <w:color w:val="000000"/>
          <w:spacing w:val="0"/>
          <w:w w:val="100"/>
          <w:position w:val="0"/>
        </w:rPr>
        <w:t>租赁资产性质特殊，如果不作较大改造，只有本公司才能使用。</w:t>
      </w:r>
    </w:p>
    <w:p>
      <w:pPr>
        <w:pStyle w:val="Style16"/>
        <w:keepNext w:val="0"/>
        <w:keepLines w:val="0"/>
        <w:widowControl w:val="0"/>
        <w:shd w:val="clear" w:color="auto" w:fill="auto"/>
        <w:bidi w:val="0"/>
        <w:spacing w:before="0" w:after="360" w:line="326" w:lineRule="exact"/>
        <w:ind w:left="0" w:right="0" w:firstLine="0"/>
        <w:jc w:val="both"/>
      </w:pPr>
      <w:r>
        <w:rPr>
          <w:color w:val="000000"/>
          <w:spacing w:val="0"/>
          <w:w w:val="100"/>
          <w:position w:val="0"/>
        </w:rPr>
        <w:t>融资租入的固定资产，能够合理确定租赁期届满时将会取得租赁资产所有权的，在租赁资产尚可使用年限内计提折旧；无法 合理确定租赁期届满时能够取得租赁资产所有权的，在租赁期与租赁资产尚可使用年限两者中较短的期间内计提折旧。</w:t>
      </w:r>
    </w:p>
    <w:p>
      <w:pPr>
        <w:pStyle w:val="Style23"/>
        <w:keepNext/>
        <w:keepLines/>
        <w:widowControl w:val="0"/>
        <w:shd w:val="clear" w:color="auto" w:fill="auto"/>
        <w:tabs>
          <w:tab w:pos="478" w:val="left"/>
        </w:tabs>
        <w:bidi w:val="0"/>
        <w:spacing w:before="0" w:after="220" w:line="326"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805"/>
      <w:bookmarkEnd w:id="806"/>
      <w:bookmarkEnd w:id="808"/>
    </w:p>
    <w:p>
      <w:pPr>
        <w:pStyle w:val="Style13"/>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本公司在建工程成本按实际工程支出确定，包括在建期间发生的各项必要工程支出、工程达到预定可 使用状态前的应予资本化的借款费用以及其他相关费用等。在建工程在达到预定可使用状态时转入固定资 产。</w:t>
      </w:r>
    </w:p>
    <w:p>
      <w:pPr>
        <w:pStyle w:val="Style23"/>
        <w:keepNext/>
        <w:keepLines/>
        <w:widowControl w:val="0"/>
        <w:shd w:val="clear" w:color="auto" w:fill="auto"/>
        <w:tabs>
          <w:tab w:pos="478" w:val="left"/>
        </w:tabs>
        <w:bidi w:val="0"/>
        <w:spacing w:before="0" w:after="220" w:line="326"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809"/>
      <w:bookmarkEnd w:id="810"/>
      <w:bookmarkEnd w:id="812"/>
    </w:p>
    <w:p>
      <w:pPr>
        <w:pStyle w:val="Style13"/>
        <w:keepNext w:val="0"/>
        <w:keepLines w:val="0"/>
        <w:widowControl w:val="0"/>
        <w:shd w:val="clear" w:color="auto" w:fill="auto"/>
        <w:bidi w:val="0"/>
        <w:spacing w:before="0" w:after="180" w:line="313" w:lineRule="exact"/>
        <w:ind w:left="0" w:right="0" w:firstLine="440"/>
        <w:jc w:val="both"/>
        <w:rPr>
          <w:sz w:val="20"/>
          <w:szCs w:val="20"/>
        </w:rPr>
      </w:pPr>
      <w:r>
        <w:rPr>
          <w:color w:val="000000"/>
          <w:spacing w:val="0"/>
          <w:w w:val="100"/>
          <w:position w:val="0"/>
          <w:sz w:val="20"/>
          <w:szCs w:val="2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资本化期间内，外币专门借款的汇兑差额全部予以资本化；外币一般借款的汇兑差额计入当期损益。</w:t>
      </w:r>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符合资本化条件的资产指需要经过相当长时间的购建或者生产活动才能达到预定可使用或可销售状 态的固定资产、投资性房地产和存货等资产。</w:t>
      </w:r>
    </w:p>
    <w:p>
      <w:pPr>
        <w:pStyle w:val="Style13"/>
        <w:keepNext w:val="0"/>
        <w:keepLines w:val="0"/>
        <w:widowControl w:val="0"/>
        <w:shd w:val="clear" w:color="auto" w:fill="auto"/>
        <w:bidi w:val="0"/>
        <w:spacing w:before="0" w:after="360" w:line="316" w:lineRule="exact"/>
        <w:ind w:left="0" w:right="0" w:firstLine="440"/>
        <w:jc w:val="both"/>
        <w:rPr>
          <w:sz w:val="20"/>
          <w:szCs w:val="20"/>
        </w:rPr>
      </w:pPr>
      <w:r>
        <w:rPr>
          <w:color w:val="000000"/>
          <w:spacing w:val="0"/>
          <w:w w:val="100"/>
          <w:position w:val="0"/>
          <w:sz w:val="20"/>
          <w:szCs w:val="2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 暂停借款费用的资本化，直至资产的购建或生产活动重新开始。</w:t>
      </w:r>
    </w:p>
    <w:p>
      <w:pPr>
        <w:pStyle w:val="Style23"/>
        <w:keepNext/>
        <w:keepLines/>
        <w:widowControl w:val="0"/>
        <w:shd w:val="clear" w:color="auto" w:fill="auto"/>
        <w:tabs>
          <w:tab w:pos="445" w:val="left"/>
        </w:tabs>
        <w:bidi w:val="0"/>
        <w:spacing w:before="0" w:after="200" w:line="329"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813"/>
      <w:bookmarkEnd w:id="814"/>
      <w:bookmarkEnd w:id="816"/>
    </w:p>
    <w:p>
      <w:pPr>
        <w:pStyle w:val="Style29"/>
        <w:keepNext/>
        <w:keepLines/>
        <w:widowControl w:val="0"/>
        <w:shd w:val="clear" w:color="auto" w:fill="auto"/>
        <w:bidi w:val="0"/>
        <w:spacing w:before="0" w:after="280" w:line="314" w:lineRule="exact"/>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 计价方法、使用寿命、减值测试</w:t>
      </w:r>
      <w:bookmarkEnd w:id="817"/>
      <w:bookmarkEnd w:id="818"/>
      <w:bookmarkEnd w:id="820"/>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13"/>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本公司于每年年度终了，对使用寿命有限的无形资产的使用寿命及摊销方法进行复核，与以前估计不 同的，调整原先估计数，并按会计估计变更处理。</w:t>
      </w:r>
    </w:p>
    <w:p>
      <w:pPr>
        <w:pStyle w:val="Style13"/>
        <w:keepNext w:val="0"/>
        <w:keepLines w:val="0"/>
        <w:widowControl w:val="0"/>
        <w:shd w:val="clear" w:color="auto" w:fill="auto"/>
        <w:bidi w:val="0"/>
        <w:spacing w:before="0" w:after="280" w:line="316" w:lineRule="exact"/>
        <w:ind w:left="0" w:right="0" w:firstLine="440"/>
        <w:jc w:val="both"/>
        <w:rPr>
          <w:sz w:val="20"/>
          <w:szCs w:val="20"/>
        </w:rPr>
      </w:pPr>
      <w:r>
        <w:rPr>
          <w:color w:val="000000"/>
          <w:spacing w:val="0"/>
          <w:w w:val="100"/>
          <w:position w:val="0"/>
          <w:sz w:val="20"/>
          <w:szCs w:val="20"/>
        </w:rPr>
        <w:t>本公司期末预计某项无形资产已经不能给企业带来未来经济利益的，将该项无形资产的账面价值全部 转入当期损益。</w:t>
      </w:r>
    </w:p>
    <w:p>
      <w:pPr>
        <w:pStyle w:val="Style29"/>
        <w:keepNext/>
        <w:keepLines/>
        <w:widowControl w:val="0"/>
        <w:shd w:val="clear" w:color="auto" w:fill="auto"/>
        <w:tabs>
          <w:tab w:pos="450" w:val="left"/>
        </w:tabs>
        <w:bidi w:val="0"/>
        <w:spacing w:before="0" w:after="280" w:line="314" w:lineRule="exact"/>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21"/>
      <w:bookmarkEnd w:id="822"/>
      <w:bookmarkEnd w:id="824"/>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本公司将内部研究开发项目的支出，区分为研究阶段支出和开发阶段支出。研究阶段的支出，于发生 时计入当期损益。</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13"/>
        <w:keepNext w:val="0"/>
        <w:keepLines w:val="0"/>
        <w:widowControl w:val="0"/>
        <w:shd w:val="clear" w:color="auto" w:fill="auto"/>
        <w:bidi w:val="0"/>
        <w:spacing w:before="0" w:after="360" w:line="313" w:lineRule="exact"/>
        <w:ind w:left="0" w:right="0" w:firstLine="440"/>
        <w:jc w:val="both"/>
        <w:rPr>
          <w:sz w:val="20"/>
          <w:szCs w:val="20"/>
        </w:rPr>
      </w:pPr>
      <w:r>
        <w:rPr>
          <w:color w:val="000000"/>
          <w:spacing w:val="0"/>
          <w:w w:val="100"/>
          <w:position w:val="0"/>
          <w:sz w:val="20"/>
          <w:szCs w:val="20"/>
        </w:rPr>
        <w:t>本公司相应项目在满足上述条件，通过技术可行性及经济可行性研究，形成项目立项后，进入开发阶 段。</w:t>
      </w:r>
    </w:p>
    <w:p>
      <w:pPr>
        <w:pStyle w:val="Style23"/>
        <w:keepNext/>
        <w:keepLines/>
        <w:widowControl w:val="0"/>
        <w:shd w:val="clear" w:color="auto" w:fill="auto"/>
        <w:tabs>
          <w:tab w:pos="445" w:val="left"/>
        </w:tabs>
        <w:bidi w:val="0"/>
        <w:spacing w:before="0" w:after="200" w:line="329"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825"/>
      <w:bookmarkEnd w:id="826"/>
      <w:bookmarkEnd w:id="828"/>
    </w:p>
    <w:p>
      <w:pPr>
        <w:pStyle w:val="Style13"/>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13"/>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 xml:space="preserve">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w:t>
      </w:r>
      <w:r>
        <w:rPr>
          <w:color w:val="000000"/>
          <w:spacing w:val="0"/>
          <w:w w:val="100"/>
          <w:position w:val="0"/>
          <w:sz w:val="20"/>
          <w:szCs w:val="20"/>
        </w:rPr>
        <w:t>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13"/>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上述资产减值损失一经确认，以后期间不予转回价值得以恢复的部分。</w:t>
      </w:r>
    </w:p>
    <w:p>
      <w:pPr>
        <w:pStyle w:val="Style23"/>
        <w:keepNext/>
        <w:keepLines/>
        <w:widowControl w:val="0"/>
        <w:shd w:val="clear" w:color="auto" w:fill="auto"/>
        <w:tabs>
          <w:tab w:pos="432" w:val="left"/>
        </w:tabs>
        <w:bidi w:val="0"/>
        <w:spacing w:before="0" w:after="200" w:line="326"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829"/>
      <w:bookmarkEnd w:id="830"/>
      <w:bookmarkEnd w:id="832"/>
    </w:p>
    <w:p>
      <w:pPr>
        <w:pStyle w:val="Style13"/>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本公司发生的长期待摊费用按实际成本计价，并按预计受益期限平均摊销。对不能使以后会计期间受 益的长期待摊费用项目，其摊余价值全部计入当期损益。</w:t>
      </w:r>
    </w:p>
    <w:p>
      <w:pPr>
        <w:pStyle w:val="Style23"/>
        <w:keepNext/>
        <w:keepLines/>
        <w:widowControl w:val="0"/>
        <w:shd w:val="clear" w:color="auto" w:fill="auto"/>
        <w:tabs>
          <w:tab w:pos="432" w:val="left"/>
        </w:tabs>
        <w:bidi w:val="0"/>
        <w:spacing w:before="0" w:after="200" w:line="326"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833"/>
      <w:bookmarkEnd w:id="834"/>
      <w:bookmarkEnd w:id="836"/>
    </w:p>
    <w:p>
      <w:pPr>
        <w:pStyle w:val="Style29"/>
        <w:keepNext/>
        <w:keepLines/>
        <w:widowControl w:val="0"/>
        <w:shd w:val="clear" w:color="auto" w:fill="auto"/>
        <w:tabs>
          <w:tab w:pos="436" w:val="left"/>
        </w:tabs>
        <w:bidi w:val="0"/>
        <w:spacing w:before="0" w:after="300" w:line="312" w:lineRule="exact"/>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37"/>
      <w:bookmarkEnd w:id="838"/>
      <w:bookmarkEnd w:id="840"/>
    </w:p>
    <w:p>
      <w:pPr>
        <w:pStyle w:val="Style13"/>
        <w:keepNext w:val="0"/>
        <w:keepLines w:val="0"/>
        <w:widowControl w:val="0"/>
        <w:shd w:val="clear" w:color="auto" w:fill="auto"/>
        <w:bidi w:val="0"/>
        <w:spacing w:before="0" w:after="300" w:line="310" w:lineRule="exact"/>
        <w:ind w:left="0" w:right="0" w:firstLine="440"/>
        <w:jc w:val="both"/>
        <w:rPr>
          <w:sz w:val="20"/>
          <w:szCs w:val="20"/>
        </w:rPr>
      </w:pPr>
      <w:r>
        <w:rPr>
          <w:color w:val="000000"/>
          <w:spacing w:val="0"/>
          <w:w w:val="100"/>
          <w:position w:val="0"/>
          <w:sz w:val="20"/>
          <w:szCs w:val="2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29"/>
        <w:keepNext/>
        <w:keepLines/>
        <w:widowControl w:val="0"/>
        <w:shd w:val="clear" w:color="auto" w:fill="auto"/>
        <w:tabs>
          <w:tab w:pos="436" w:val="left"/>
        </w:tabs>
        <w:bidi w:val="0"/>
        <w:spacing w:before="0" w:after="300" w:line="312"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1"/>
      <w:bookmarkEnd w:id="842"/>
      <w:bookmarkEnd w:id="844"/>
    </w:p>
    <w:p>
      <w:pPr>
        <w:pStyle w:val="Style13"/>
        <w:keepNext w:val="0"/>
        <w:keepLines w:val="0"/>
        <w:widowControl w:val="0"/>
        <w:shd w:val="clear" w:color="auto" w:fill="auto"/>
        <w:bidi w:val="0"/>
        <w:spacing w:before="0" w:after="300" w:line="310" w:lineRule="exact"/>
        <w:ind w:left="0" w:right="0" w:firstLine="440"/>
        <w:jc w:val="both"/>
        <w:rPr>
          <w:sz w:val="20"/>
          <w:szCs w:val="20"/>
        </w:rPr>
      </w:pPr>
      <w:r>
        <w:rPr>
          <w:color w:val="000000"/>
          <w:spacing w:val="0"/>
          <w:w w:val="100"/>
          <w:position w:val="0"/>
          <w:sz w:val="20"/>
          <w:szCs w:val="20"/>
        </w:rPr>
        <w:t>离职后福利主要包括设定提存计划及设定受益计划。其中设定提存计划主要包括基本养老保险、失业 保险以及年金等，相应的应缴存金额于发生时计入相关资产成本或当期损益。本公司的设定受益计划，具 体为主要包括基本养老保险、失业保险以及年金等，相应的应缴存金额于发生时计入相关资产成本或当期 损益。</w:t>
      </w:r>
    </w:p>
    <w:p>
      <w:pPr>
        <w:pStyle w:val="Style29"/>
        <w:keepNext/>
        <w:keepLines/>
        <w:widowControl w:val="0"/>
        <w:shd w:val="clear" w:color="auto" w:fill="auto"/>
        <w:tabs>
          <w:tab w:pos="436" w:val="left"/>
        </w:tabs>
        <w:bidi w:val="0"/>
        <w:spacing w:before="0" w:after="300" w:line="312"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5"/>
      <w:bookmarkEnd w:id="846"/>
      <w:bookmarkEnd w:id="848"/>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离职后福利主要包括设定提存计划及设定受益计划。其中设定提存计划主要包括基本养老保险、失业 保险以及年金等，相应的应缴存金额于发生时计入相关资产成本或当期损益。本公司的设定受益计划，具 体为主要包括基本养老保险、失业保险以及年金等，相应的应缴存金额于发生时计入相关资产成本或当期 损益。</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13"/>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 xml:space="preserve">职工内部退休计划采用上述辞退福利相同的原则处理。本公司将自职工停止提供服务日至正常退休日 </w:t>
      </w:r>
      <w:r>
        <w:rPr>
          <w:color w:val="000000"/>
          <w:spacing w:val="0"/>
          <w:w w:val="100"/>
          <w:position w:val="0"/>
          <w:sz w:val="20"/>
          <w:szCs w:val="20"/>
        </w:rPr>
        <w:t>的期间拟支付的内退人员工资和缴纳的社会保险费等，在符合预计负债确认条件时，计入当期损益（辞退 福利）。</w:t>
      </w:r>
    </w:p>
    <w:p>
      <w:pPr>
        <w:pStyle w:val="Style29"/>
        <w:keepNext/>
        <w:keepLines/>
        <w:widowControl w:val="0"/>
        <w:shd w:val="clear" w:color="auto" w:fill="auto"/>
        <w:bidi w:val="0"/>
        <w:spacing w:before="0" w:after="280" w:line="314" w:lineRule="exact"/>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49"/>
      <w:bookmarkEnd w:id="850"/>
      <w:bookmarkEnd w:id="852"/>
    </w:p>
    <w:p>
      <w:pPr>
        <w:pStyle w:val="Style13"/>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本公司向职工提供的其他长期职工福利，符合设定提存计划的，按照设定提存计划进行会计处理，除 此之外按照设定受益计划进行会计处理。</w:t>
      </w:r>
    </w:p>
    <w:p>
      <w:pPr>
        <w:pStyle w:val="Style23"/>
        <w:keepNext/>
        <w:keepLines/>
        <w:widowControl w:val="0"/>
        <w:shd w:val="clear" w:color="auto" w:fill="auto"/>
        <w:bidi w:val="0"/>
        <w:spacing w:before="0" w:after="200" w:line="329"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853"/>
      <w:bookmarkEnd w:id="854"/>
      <w:bookmarkEnd w:id="856"/>
    </w:p>
    <w:p>
      <w:pPr>
        <w:pStyle w:val="Style13"/>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如果与或有事项相关的义务同时符合以下条件，本公司将其确认为预计负债：</w:t>
      </w:r>
    </w:p>
    <w:p>
      <w:pPr>
        <w:pStyle w:val="Style13"/>
        <w:keepNext w:val="0"/>
        <w:keepLines w:val="0"/>
        <w:widowControl w:val="0"/>
        <w:shd w:val="clear" w:color="auto" w:fill="auto"/>
        <w:tabs>
          <w:tab w:pos="861" w:val="left"/>
        </w:tabs>
        <w:bidi w:val="0"/>
        <w:spacing w:before="0" w:after="0" w:line="329" w:lineRule="auto"/>
        <w:ind w:left="0" w:right="0" w:firstLine="440"/>
        <w:jc w:val="both"/>
        <w:rPr>
          <w:sz w:val="20"/>
          <w:szCs w:val="20"/>
        </w:rPr>
      </w:pPr>
      <w:bookmarkStart w:id="857" w:name="bookmark857"/>
      <w:r>
        <w:rPr>
          <w:rFonts w:ascii="Times New Roman" w:eastAsia="Times New Roman" w:hAnsi="Times New Roman" w:cs="Times New Roman"/>
          <w:color w:val="000000"/>
          <w:spacing w:val="0"/>
          <w:w w:val="100"/>
          <w:position w:val="0"/>
          <w:sz w:val="20"/>
          <w:szCs w:val="20"/>
        </w:rPr>
        <w:t>A</w:t>
      </w:r>
      <w:bookmarkEnd w:id="857"/>
      <w:r>
        <w:rPr>
          <w:color w:val="000000"/>
          <w:spacing w:val="0"/>
          <w:w w:val="100"/>
          <w:position w:val="0"/>
          <w:sz w:val="20"/>
          <w:szCs w:val="20"/>
        </w:rPr>
        <w:t>、</w:t>
        <w:tab/>
      </w:r>
      <w:r>
        <w:rPr>
          <w:color w:val="000000"/>
          <w:spacing w:val="0"/>
          <w:w w:val="100"/>
          <w:position w:val="0"/>
          <w:sz w:val="20"/>
          <w:szCs w:val="20"/>
        </w:rPr>
        <w:t>该义务是本公司承担的现时义务；</w:t>
      </w:r>
    </w:p>
    <w:p>
      <w:pPr>
        <w:pStyle w:val="Style13"/>
        <w:keepNext w:val="0"/>
        <w:keepLines w:val="0"/>
        <w:widowControl w:val="0"/>
        <w:shd w:val="clear" w:color="auto" w:fill="auto"/>
        <w:tabs>
          <w:tab w:pos="856" w:val="left"/>
        </w:tabs>
        <w:bidi w:val="0"/>
        <w:spacing w:before="0" w:after="0" w:line="329" w:lineRule="auto"/>
        <w:ind w:left="0" w:right="0" w:firstLine="440"/>
        <w:jc w:val="both"/>
        <w:rPr>
          <w:sz w:val="20"/>
          <w:szCs w:val="20"/>
        </w:rPr>
      </w:pPr>
      <w:bookmarkStart w:id="858" w:name="bookmark858"/>
      <w:r>
        <w:rPr>
          <w:rFonts w:ascii="Times New Roman" w:eastAsia="Times New Roman" w:hAnsi="Times New Roman" w:cs="Times New Roman"/>
          <w:color w:val="000000"/>
          <w:spacing w:val="0"/>
          <w:w w:val="100"/>
          <w:position w:val="0"/>
          <w:sz w:val="20"/>
          <w:szCs w:val="20"/>
        </w:rPr>
        <w:t>B</w:t>
      </w:r>
      <w:bookmarkEnd w:id="858"/>
      <w:r>
        <w:rPr>
          <w:color w:val="000000"/>
          <w:spacing w:val="0"/>
          <w:w w:val="100"/>
          <w:position w:val="0"/>
          <w:sz w:val="20"/>
          <w:szCs w:val="20"/>
        </w:rPr>
        <w:t>、</w:t>
        <w:tab/>
      </w:r>
      <w:r>
        <w:rPr>
          <w:color w:val="000000"/>
          <w:spacing w:val="0"/>
          <w:w w:val="100"/>
          <w:position w:val="0"/>
          <w:sz w:val="20"/>
          <w:szCs w:val="20"/>
        </w:rPr>
        <w:t>该义务的履行很可能导致经济利益流出本公司；</w:t>
      </w:r>
    </w:p>
    <w:p>
      <w:pPr>
        <w:pStyle w:val="Style13"/>
        <w:keepNext w:val="0"/>
        <w:keepLines w:val="0"/>
        <w:widowControl w:val="0"/>
        <w:shd w:val="clear" w:color="auto" w:fill="auto"/>
        <w:tabs>
          <w:tab w:pos="851" w:val="left"/>
        </w:tabs>
        <w:bidi w:val="0"/>
        <w:spacing w:before="0" w:after="0" w:line="329" w:lineRule="auto"/>
        <w:ind w:left="0" w:right="0" w:firstLine="440"/>
        <w:jc w:val="both"/>
        <w:rPr>
          <w:sz w:val="20"/>
          <w:szCs w:val="20"/>
        </w:rPr>
      </w:pPr>
      <w:bookmarkStart w:id="859" w:name="bookmark859"/>
      <w:r>
        <w:rPr>
          <w:rFonts w:ascii="Times New Roman" w:eastAsia="Times New Roman" w:hAnsi="Times New Roman" w:cs="Times New Roman"/>
          <w:color w:val="000000"/>
          <w:spacing w:val="0"/>
          <w:w w:val="100"/>
          <w:position w:val="0"/>
          <w:sz w:val="20"/>
          <w:szCs w:val="20"/>
        </w:rPr>
        <w:t>C</w:t>
      </w:r>
      <w:bookmarkEnd w:id="859"/>
      <w:r>
        <w:rPr>
          <w:color w:val="000000"/>
          <w:spacing w:val="0"/>
          <w:w w:val="100"/>
          <w:position w:val="0"/>
          <w:sz w:val="20"/>
          <w:szCs w:val="20"/>
        </w:rPr>
        <w:t>、</w:t>
        <w:tab/>
      </w:r>
      <w:r>
        <w:rPr>
          <w:color w:val="000000"/>
          <w:spacing w:val="0"/>
          <w:w w:val="100"/>
          <w:position w:val="0"/>
          <w:sz w:val="20"/>
          <w:szCs w:val="20"/>
        </w:rPr>
        <w:t>该义务的金额能够可靠地计量。</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在资产负债表日，预计负债按照履行相关现时义务所需支出的最佳估计数进行初始计量，综合考虑与 或有事项有关的风险、不确定性和货币时间价值等因素。货币时间价值影响重大的，通过对相关未来现金 流出进行折现后确定最佳估计数。</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如果清偿已确认预计负债所需支出全部或部分预期由第三方或其他方补偿，则补偿金额只能在基本确 定能收到时，作为资产单独确认。确认的补偿金额不超过所确认负债的账面价值。</w:t>
      </w:r>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860" w:name="bookmark860"/>
      <w:r>
        <w:rPr>
          <w:color w:val="000000"/>
          <w:spacing w:val="0"/>
          <w:w w:val="100"/>
          <w:position w:val="0"/>
          <w:sz w:val="20"/>
          <w:szCs w:val="20"/>
        </w:rPr>
        <w:t>（</w:t>
      </w:r>
      <w:bookmarkEnd w:id="86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亏损合同</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亏损合同是履行合同义务不可避免会发生的成本超过预期经济利益的合同。待执行合同变成亏损合 同，且该亏损合同产生的义务满足上述预计负债的确认条件的，将合同预计损失超过合同标的资产已确认 的减值损失（如有）的部分，确认为预计负债。</w:t>
      </w:r>
    </w:p>
    <w:p>
      <w:pPr>
        <w:pStyle w:val="Style13"/>
        <w:keepNext w:val="0"/>
        <w:keepLines w:val="0"/>
        <w:widowControl w:val="0"/>
        <w:shd w:val="clear" w:color="auto" w:fill="auto"/>
        <w:tabs>
          <w:tab w:pos="928" w:val="left"/>
        </w:tabs>
        <w:bidi w:val="0"/>
        <w:spacing w:before="0" w:after="0" w:line="310" w:lineRule="exact"/>
        <w:ind w:left="0" w:right="0" w:firstLine="440"/>
        <w:jc w:val="both"/>
        <w:rPr>
          <w:sz w:val="20"/>
          <w:szCs w:val="20"/>
        </w:rPr>
      </w:pPr>
      <w:bookmarkStart w:id="861" w:name="bookmark861"/>
      <w:r>
        <w:rPr>
          <w:color w:val="000000"/>
          <w:spacing w:val="0"/>
          <w:w w:val="100"/>
          <w:position w:val="0"/>
          <w:sz w:val="20"/>
          <w:szCs w:val="20"/>
        </w:rPr>
        <w:t>（</w:t>
      </w:r>
      <w:bookmarkEnd w:id="86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重组义务</w:t>
      </w:r>
    </w:p>
    <w:p>
      <w:pPr>
        <w:pStyle w:val="Style13"/>
        <w:keepNext w:val="0"/>
        <w:keepLines w:val="0"/>
        <w:widowControl w:val="0"/>
        <w:shd w:val="clear" w:color="auto" w:fill="auto"/>
        <w:bidi w:val="0"/>
        <w:spacing w:before="0" w:after="600" w:line="310" w:lineRule="exact"/>
        <w:ind w:left="0" w:right="0" w:firstLine="440"/>
        <w:jc w:val="both"/>
        <w:rPr>
          <w:sz w:val="20"/>
          <w:szCs w:val="20"/>
        </w:rPr>
      </w:pPr>
      <w:r>
        <w:rPr>
          <w:color w:val="000000"/>
          <w:spacing w:val="0"/>
          <w:w w:val="100"/>
          <w:position w:val="0"/>
          <w:sz w:val="20"/>
          <w:szCs w:val="20"/>
        </w:rPr>
        <w:t>对于有详细、正式并且已经对外公告的重组计划，在满足前述预计负债的确认条件的情况下，按照与 重组有关的直接支出确定预计负债金额。对于出售部分业务的重组义务，只有在本公司承诺出售部分业务 （即签订了约束性出售协议时），才确认与重组相关的义务。</w:t>
      </w:r>
    </w:p>
    <w:p>
      <w:pPr>
        <w:pStyle w:val="Style23"/>
        <w:keepNext/>
        <w:keepLines/>
        <w:widowControl w:val="0"/>
        <w:shd w:val="clear" w:color="auto" w:fill="auto"/>
        <w:bidi w:val="0"/>
        <w:spacing w:before="0" w:after="280" w:line="311"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3</w:t>
      </w:r>
      <w:bookmarkEnd w:id="864"/>
      <w:r>
        <w:rPr>
          <w:rFonts w:ascii="Times New Roman" w:eastAsia="Times New Roman" w:hAnsi="Times New Roman" w:cs="Times New Roman"/>
          <w:color w:val="000000"/>
          <w:spacing w:val="0"/>
          <w:w w:val="100"/>
          <w:position w:val="0"/>
        </w:rPr>
        <w:t>0</w:t>
      </w:r>
      <w:r>
        <w:rPr>
          <w:color w:val="000000"/>
          <w:spacing w:val="0"/>
          <w:w w:val="100"/>
          <w:position w:val="0"/>
        </w:rPr>
        <w:t>、股份支付</w:t>
      </w:r>
      <w:bookmarkEnd w:id="862"/>
      <w:bookmarkEnd w:id="863"/>
      <w:bookmarkEnd w:id="865"/>
    </w:p>
    <w:p>
      <w:pPr>
        <w:pStyle w:val="Style13"/>
        <w:keepNext w:val="0"/>
        <w:keepLines w:val="0"/>
        <w:widowControl w:val="0"/>
        <w:shd w:val="clear" w:color="auto" w:fill="auto"/>
        <w:bidi w:val="0"/>
        <w:spacing w:before="0" w:after="0" w:line="311" w:lineRule="exact"/>
        <w:ind w:left="0" w:right="0" w:firstLine="440"/>
        <w:jc w:val="both"/>
        <w:rPr>
          <w:sz w:val="20"/>
          <w:szCs w:val="20"/>
        </w:rPr>
      </w:pPr>
      <w:bookmarkStart w:id="866" w:name="bookmark866"/>
      <w:r>
        <w:rPr>
          <w:color w:val="000000"/>
          <w:spacing w:val="0"/>
          <w:w w:val="100"/>
          <w:position w:val="0"/>
          <w:sz w:val="20"/>
          <w:szCs w:val="20"/>
        </w:rPr>
        <w:t>（</w:t>
      </w:r>
      <w:bookmarkEnd w:id="86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）股份支付的种类</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本公司股份支付分为以权益结算的股份支付和以现金结算的股份支付。</w:t>
      </w:r>
    </w:p>
    <w:p>
      <w:pPr>
        <w:pStyle w:val="Style13"/>
        <w:keepNext w:val="0"/>
        <w:keepLines w:val="0"/>
        <w:widowControl w:val="0"/>
        <w:numPr>
          <w:ilvl w:val="0"/>
          <w:numId w:val="31"/>
        </w:numPr>
        <w:shd w:val="clear" w:color="auto" w:fill="auto"/>
        <w:tabs>
          <w:tab w:pos="837" w:val="left"/>
        </w:tabs>
        <w:bidi w:val="0"/>
        <w:spacing w:before="0" w:after="0" w:line="311" w:lineRule="exact"/>
        <w:ind w:left="0" w:right="0" w:firstLine="440"/>
        <w:jc w:val="both"/>
        <w:rPr>
          <w:sz w:val="20"/>
          <w:szCs w:val="20"/>
        </w:rPr>
      </w:pPr>
      <w:bookmarkStart w:id="867" w:name="bookmark867"/>
      <w:bookmarkEnd w:id="867"/>
      <w:r>
        <w:rPr>
          <w:color w:val="000000"/>
          <w:spacing w:val="0"/>
          <w:w w:val="100"/>
          <w:position w:val="0"/>
          <w:sz w:val="20"/>
          <w:szCs w:val="20"/>
        </w:rPr>
        <w:t>以权益结算的股份支付</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益工具数量的最佳估计为基础，按直线法计算计入相关成本或费用，在授予后立即可行权时，在授予日计 入相关成本或费用，相应增加资本公积。</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13"/>
        <w:keepNext w:val="0"/>
        <w:keepLines w:val="0"/>
        <w:widowControl w:val="0"/>
        <w:numPr>
          <w:ilvl w:val="0"/>
          <w:numId w:val="31"/>
        </w:numPr>
        <w:shd w:val="clear" w:color="auto" w:fill="auto"/>
        <w:tabs>
          <w:tab w:pos="842" w:val="left"/>
        </w:tabs>
        <w:bidi w:val="0"/>
        <w:spacing w:before="0" w:after="0" w:line="311" w:lineRule="exact"/>
        <w:ind w:left="0" w:right="0" w:firstLine="440"/>
        <w:jc w:val="both"/>
        <w:rPr>
          <w:sz w:val="20"/>
          <w:szCs w:val="20"/>
        </w:rPr>
      </w:pPr>
      <w:bookmarkStart w:id="868" w:name="bookmark868"/>
      <w:bookmarkEnd w:id="868"/>
      <w:r>
        <w:rPr>
          <w:color w:val="000000"/>
          <w:spacing w:val="0"/>
          <w:w w:val="100"/>
          <w:position w:val="0"/>
          <w:sz w:val="20"/>
          <w:szCs w:val="20"/>
        </w:rPr>
        <w:t>以现金结算的股份支付</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 xml:space="preserve">以现金结算的股份支付，按照本公司承担的以股份或其他权益工具为基础确定的负债的公允价值计 </w:t>
      </w:r>
      <w:r>
        <w:rPr>
          <w:color w:val="000000"/>
          <w:spacing w:val="0"/>
          <w:w w:val="100"/>
          <w:position w:val="0"/>
          <w:sz w:val="20"/>
          <w:szCs w:val="20"/>
        </w:rPr>
        <w:t>量。如授予后立即可行权，在授予日计入相关成本或费用，相应增加负债；如须完成等待期内的服务或达 到规定业绩条件以后才可行权，在等待期的每个资产负债表日，以对可行权情况的最佳估计为基础，按照 本公司承担负债的公允价值金额，将当期取得的服务计入成本或费用，相应增加负债。</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在相关负债结算前的每个资产负债表日以及结算日，对负债的公允价值重新计量，其变动计入当期损 益。</w:t>
      </w:r>
    </w:p>
    <w:p>
      <w:pPr>
        <w:pStyle w:val="Style13"/>
        <w:keepNext w:val="0"/>
        <w:keepLines w:val="0"/>
        <w:widowControl w:val="0"/>
        <w:shd w:val="clear" w:color="auto" w:fill="auto"/>
        <w:tabs>
          <w:tab w:pos="928" w:val="left"/>
        </w:tabs>
        <w:bidi w:val="0"/>
        <w:spacing w:before="0" w:after="0" w:line="311" w:lineRule="exact"/>
        <w:ind w:left="0" w:right="0" w:firstLine="440"/>
        <w:jc w:val="both"/>
        <w:rPr>
          <w:sz w:val="20"/>
          <w:szCs w:val="20"/>
        </w:rPr>
      </w:pPr>
      <w:bookmarkStart w:id="869" w:name="bookmark869"/>
      <w:r>
        <w:rPr>
          <w:color w:val="000000"/>
          <w:spacing w:val="0"/>
          <w:w w:val="100"/>
          <w:position w:val="0"/>
          <w:sz w:val="20"/>
          <w:szCs w:val="20"/>
        </w:rPr>
        <w:t>（</w:t>
      </w:r>
      <w:bookmarkEnd w:id="86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权益工具公允价值的确定方法</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本公司对于授予的存在活跃市场的期权等权益工具，按照活跃市场中的报价确定其公允价值。对于授 予的不存在活跃市场的期权等权益工具，采用期权定价模型等确定其公允价值。</w:t>
      </w:r>
    </w:p>
    <w:p>
      <w:pPr>
        <w:pStyle w:val="Style13"/>
        <w:keepNext w:val="0"/>
        <w:keepLines w:val="0"/>
        <w:widowControl w:val="0"/>
        <w:shd w:val="clear" w:color="auto" w:fill="auto"/>
        <w:tabs>
          <w:tab w:pos="928" w:val="left"/>
        </w:tabs>
        <w:bidi w:val="0"/>
        <w:spacing w:before="0" w:after="0" w:line="311" w:lineRule="exact"/>
        <w:ind w:left="0" w:right="0" w:firstLine="440"/>
        <w:jc w:val="both"/>
        <w:rPr>
          <w:sz w:val="20"/>
          <w:szCs w:val="20"/>
        </w:rPr>
      </w:pPr>
      <w:bookmarkStart w:id="870" w:name="bookmark870"/>
      <w:r>
        <w:rPr>
          <w:color w:val="000000"/>
          <w:spacing w:val="0"/>
          <w:w w:val="100"/>
          <w:position w:val="0"/>
          <w:sz w:val="20"/>
          <w:szCs w:val="20"/>
        </w:rPr>
        <w:t>（</w:t>
      </w:r>
      <w:bookmarkEnd w:id="87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确认可行权权益工具最佳估计的依据</w:t>
      </w:r>
    </w:p>
    <w:p>
      <w:pPr>
        <w:pStyle w:val="Style13"/>
        <w:keepNext w:val="0"/>
        <w:keepLines w:val="0"/>
        <w:widowControl w:val="0"/>
        <w:shd w:val="clear" w:color="auto" w:fill="auto"/>
        <w:bidi w:val="0"/>
        <w:spacing w:before="0" w:after="380" w:line="311" w:lineRule="exact"/>
        <w:ind w:left="0" w:right="0" w:firstLine="440"/>
        <w:jc w:val="both"/>
        <w:rPr>
          <w:sz w:val="20"/>
          <w:szCs w:val="20"/>
        </w:rPr>
      </w:pPr>
      <w:r>
        <w:rPr>
          <w:color w:val="000000"/>
          <w:spacing w:val="0"/>
          <w:w w:val="100"/>
          <w:position w:val="0"/>
          <w:sz w:val="20"/>
          <w:szCs w:val="2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23"/>
        <w:keepNext/>
        <w:keepLines/>
        <w:widowControl w:val="0"/>
        <w:shd w:val="clear" w:color="auto" w:fill="auto"/>
        <w:tabs>
          <w:tab w:pos="478" w:val="left"/>
        </w:tabs>
        <w:bidi w:val="0"/>
        <w:spacing w:before="0" w:after="200" w:line="326"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优先股、永续债等其他金融工具</w:t>
      </w:r>
      <w:bookmarkEnd w:id="871"/>
      <w:bookmarkEnd w:id="872"/>
      <w:bookmarkEnd w:id="874"/>
    </w:p>
    <w:p>
      <w:pPr>
        <w:pStyle w:val="Style13"/>
        <w:keepNext w:val="0"/>
        <w:keepLines w:val="0"/>
        <w:widowControl w:val="0"/>
        <w:shd w:val="clear" w:color="auto" w:fill="auto"/>
        <w:tabs>
          <w:tab w:pos="928" w:val="left"/>
        </w:tabs>
        <w:bidi w:val="0"/>
        <w:spacing w:before="0" w:after="0" w:line="313" w:lineRule="exact"/>
        <w:ind w:left="0" w:right="0" w:firstLine="440"/>
        <w:jc w:val="both"/>
        <w:rPr>
          <w:sz w:val="20"/>
          <w:szCs w:val="20"/>
        </w:rPr>
      </w:pPr>
      <w:bookmarkStart w:id="875" w:name="bookmark875"/>
      <w:r>
        <w:rPr>
          <w:color w:val="000000"/>
          <w:spacing w:val="0"/>
          <w:w w:val="100"/>
          <w:position w:val="0"/>
          <w:sz w:val="20"/>
          <w:szCs w:val="20"/>
        </w:rPr>
        <w:t>（</w:t>
      </w:r>
      <w:bookmarkEnd w:id="87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永续债和优先股等的区分</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本公司发行的永续债和优先股等金融工具，同时符合以下条件的，作为权益工具：</w:t>
      </w:r>
    </w:p>
    <w:p>
      <w:pPr>
        <w:pStyle w:val="Style13"/>
        <w:keepNext w:val="0"/>
        <w:keepLines w:val="0"/>
        <w:widowControl w:val="0"/>
        <w:numPr>
          <w:ilvl w:val="0"/>
          <w:numId w:val="33"/>
        </w:numPr>
        <w:shd w:val="clear" w:color="auto" w:fill="auto"/>
        <w:tabs>
          <w:tab w:pos="814" w:val="left"/>
        </w:tabs>
        <w:bidi w:val="0"/>
        <w:spacing w:before="0" w:after="0" w:line="313" w:lineRule="exact"/>
        <w:ind w:left="0" w:right="0" w:firstLine="440"/>
        <w:jc w:val="both"/>
        <w:rPr>
          <w:sz w:val="20"/>
          <w:szCs w:val="20"/>
        </w:rPr>
      </w:pPr>
      <w:bookmarkStart w:id="876" w:name="bookmark876"/>
      <w:bookmarkEnd w:id="876"/>
      <w:r>
        <w:rPr>
          <w:color w:val="000000"/>
          <w:spacing w:val="0"/>
          <w:w w:val="100"/>
          <w:position w:val="0"/>
          <w:sz w:val="20"/>
          <w:szCs w:val="20"/>
        </w:rPr>
        <w:t>该金融工具不包括交付现金或其他金融资产给其他方，或在潜在不利条件下与其他方交换金融资产 或金融负债的合同义务；</w:t>
      </w:r>
    </w:p>
    <w:p>
      <w:pPr>
        <w:pStyle w:val="Style13"/>
        <w:keepNext w:val="0"/>
        <w:keepLines w:val="0"/>
        <w:widowControl w:val="0"/>
        <w:numPr>
          <w:ilvl w:val="0"/>
          <w:numId w:val="33"/>
        </w:numPr>
        <w:shd w:val="clear" w:color="auto" w:fill="auto"/>
        <w:tabs>
          <w:tab w:pos="819" w:val="left"/>
        </w:tabs>
        <w:bidi w:val="0"/>
        <w:spacing w:before="0" w:after="0" w:line="313" w:lineRule="exact"/>
        <w:ind w:left="0" w:right="0" w:firstLine="440"/>
        <w:jc w:val="both"/>
        <w:rPr>
          <w:sz w:val="20"/>
          <w:szCs w:val="20"/>
        </w:rPr>
      </w:pPr>
      <w:bookmarkStart w:id="877" w:name="bookmark877"/>
      <w:bookmarkEnd w:id="877"/>
      <w:r>
        <w:rPr>
          <w:color w:val="000000"/>
          <w:spacing w:val="0"/>
          <w:w w:val="100"/>
          <w:position w:val="0"/>
          <w:sz w:val="20"/>
          <w:szCs w:val="20"/>
        </w:rPr>
        <w:t>如将来须用或可用企业自身权益工具结算该金融工具的，如该金融工具为非衍生工具，则不包括交 付可变数量的自身权益工具进行结算的合同义务；如为衍生工具，则本公司只能通过以固定数量的自身权 益工具交换固定金额的现金或其他金融资产结算该金融工具。</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除按上述条件可归类为权益工具的金融工具以外，本公司发行的其他金融工具应归类为金融负债。</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本公司发行的金融工具为复合金融工具的，按照负债成分的公允价值确认为一项负债，按实际收到的 金额扣除负债成分的公允价值后的金额，确认为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其他权益工具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。发行复合金融工具发生的交易费用，在 负债成分和权益成分之间按照各自占总发行价款的比例进行分摊。</w:t>
      </w:r>
    </w:p>
    <w:p>
      <w:pPr>
        <w:pStyle w:val="Style13"/>
        <w:keepNext w:val="0"/>
        <w:keepLines w:val="0"/>
        <w:widowControl w:val="0"/>
        <w:shd w:val="clear" w:color="auto" w:fill="auto"/>
        <w:tabs>
          <w:tab w:pos="928" w:val="left"/>
        </w:tabs>
        <w:bidi w:val="0"/>
        <w:spacing w:before="0" w:after="0" w:line="313" w:lineRule="exact"/>
        <w:ind w:left="0" w:right="0" w:firstLine="440"/>
        <w:jc w:val="both"/>
        <w:rPr>
          <w:sz w:val="20"/>
          <w:szCs w:val="20"/>
        </w:rPr>
      </w:pPr>
      <w:bookmarkStart w:id="878" w:name="bookmark878"/>
      <w:r>
        <w:rPr>
          <w:color w:val="000000"/>
          <w:spacing w:val="0"/>
          <w:w w:val="100"/>
          <w:position w:val="0"/>
          <w:sz w:val="20"/>
          <w:szCs w:val="20"/>
        </w:rPr>
        <w:t>（</w:t>
      </w:r>
      <w:bookmarkEnd w:id="87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永续债和优先股等的会计处理方法</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归类为金融负债的永续债和优先股等金融工具，其相关利息、股利（或股息）、利得或损失，以及赎 回或再融资产生的利得或损失等，除符合资本化条件的借款费用（参见本附注三、（十八）借款费用）以 外，均计入当期损益。</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归类为权益工具的永续债和优先股等金融工具，其发行（含再融资）、回购、出售或注销时，本公司 作为权益的变动处理，相关交易费用亦从权益中扣减。本公司对权益工具持有方的分配作为利润分配处理。</w:t>
      </w:r>
    </w:p>
    <w:p>
      <w:pPr>
        <w:pStyle w:val="Style13"/>
        <w:keepNext w:val="0"/>
        <w:keepLines w:val="0"/>
        <w:widowControl w:val="0"/>
        <w:shd w:val="clear" w:color="auto" w:fill="auto"/>
        <w:bidi w:val="0"/>
        <w:spacing w:before="0" w:after="380" w:line="313" w:lineRule="exact"/>
        <w:ind w:left="0" w:right="0" w:firstLine="440"/>
        <w:jc w:val="both"/>
        <w:rPr>
          <w:sz w:val="20"/>
          <w:szCs w:val="20"/>
        </w:rPr>
      </w:pPr>
      <w:r>
        <w:rPr>
          <w:color w:val="000000"/>
          <w:spacing w:val="0"/>
          <w:w w:val="100"/>
          <w:position w:val="0"/>
          <w:sz w:val="20"/>
          <w:szCs w:val="20"/>
        </w:rPr>
        <w:t>本公司不确认权益工具的公允价值变动。</w:t>
      </w:r>
    </w:p>
    <w:p>
      <w:pPr>
        <w:pStyle w:val="Style23"/>
        <w:keepNext/>
        <w:keepLines/>
        <w:widowControl w:val="0"/>
        <w:shd w:val="clear" w:color="auto" w:fill="auto"/>
        <w:tabs>
          <w:tab w:pos="478" w:val="left"/>
        </w:tabs>
        <w:bidi w:val="0"/>
        <w:spacing w:before="0" w:after="320" w:line="326"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3</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879"/>
      <w:bookmarkEnd w:id="880"/>
      <w:bookmarkEnd w:id="882"/>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收入确认和计量所采用的会计政策</w:t>
      </w:r>
    </w:p>
    <w:p>
      <w:pPr>
        <w:pStyle w:val="Style13"/>
        <w:keepNext w:val="0"/>
        <w:keepLines w:val="0"/>
        <w:widowControl w:val="0"/>
        <w:shd w:val="clear" w:color="auto" w:fill="auto"/>
        <w:bidi w:val="0"/>
        <w:spacing w:before="0" w:after="0" w:line="288" w:lineRule="exact"/>
        <w:ind w:left="0" w:right="0" w:firstLine="440"/>
        <w:jc w:val="both"/>
        <w:rPr>
          <w:sz w:val="20"/>
          <w:szCs w:val="20"/>
        </w:rPr>
      </w:pPr>
      <w:r>
        <w:rPr>
          <w:color w:val="000000"/>
          <w:spacing w:val="0"/>
          <w:w w:val="100"/>
          <w:position w:val="0"/>
          <w:sz w:val="20"/>
          <w:szCs w:val="20"/>
        </w:rPr>
        <w:t>收入是本公司在日常活动中形成的、会导致股东权益增加且与股东投入资本无关的经济利益的总流 入。本公司在履行了合同中的履约义务，即在客户取得相关商品或服务（简称商品）的控制权时确认收入。</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合同中包含两项或多项履约义务的，本公司在合同开始日，按照各单项履约义务所承诺商品的单独售 价的相对比例，将交易价格分摊至各单项履约义务，按照分摊至各单项履约义务的交易价格计量收入。</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交易价格是本公司因向客户转让商品而预期有权收取的对价金额，不包括代第三方收取的款项。本公 司确认的交易价格不超过在相关不确定性消除时累计已确认收入极可能不会发生重大转回的金额。合同中 存在重大融资成分的，本公司按照假定客户在取得商品控制权时即以现金支付的应付金额确定交易价格， </w:t>
      </w:r>
      <w:r>
        <w:rPr>
          <w:color w:val="000000"/>
          <w:spacing w:val="0"/>
          <w:w w:val="100"/>
          <w:position w:val="0"/>
          <w:sz w:val="20"/>
          <w:szCs w:val="20"/>
        </w:rPr>
        <w:t>该交易价格与合同承诺的对价之间的差额，在合同期间内采用实际利率法摊销。</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满足下列条件之一时，属于在某一时段内履行履约义务，否则，属于在某一时点履行履约义务：①客 户在本公司履约的同时即取得并消耗本公司履约所带来的经济利益；②客户能够控制本公司履约过程中在 建的商品；③本公司履约过程中所产出的商品具有不可替代用途，且本公司在整个合同期间内有权就累计 至今已完成的履约部分收取款项。</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对于在某一时段内履行的履约义务，本公司在该时段内按照履约进度确认收入。履约进度不能合理确 定时，本公司已经发生的成本预计能够得到补偿的，按照已经发生的成本金额确认收入，直至履约进度能 够合理确定。对于在某一时点履行的履约义务，本公司在客户取得相关商品控制权时点确认收入。</w:t>
      </w:r>
    </w:p>
    <w:p>
      <w:pPr>
        <w:pStyle w:val="Style13"/>
        <w:keepNext w:val="0"/>
        <w:keepLines w:val="0"/>
        <w:widowControl w:val="0"/>
        <w:shd w:val="clear" w:color="auto" w:fill="auto"/>
        <w:bidi w:val="0"/>
        <w:spacing w:before="0" w:after="80" w:line="313" w:lineRule="exact"/>
        <w:ind w:left="0" w:right="0" w:firstLine="440"/>
        <w:jc w:val="both"/>
        <w:rPr>
          <w:sz w:val="20"/>
          <w:szCs w:val="20"/>
        </w:rPr>
      </w:pPr>
      <w:bookmarkStart w:id="883" w:name="bookmark883"/>
      <w:r>
        <w:rPr>
          <w:color w:val="000000"/>
          <w:spacing w:val="0"/>
          <w:w w:val="100"/>
          <w:position w:val="0"/>
          <w:sz w:val="20"/>
          <w:szCs w:val="20"/>
        </w:rPr>
        <w:t>（</w:t>
      </w:r>
      <w:bookmarkEnd w:id="88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）商品销售收入</w:t>
      </w:r>
    </w:p>
    <w:p>
      <w:pPr>
        <w:pStyle w:val="Style13"/>
        <w:keepNext w:val="0"/>
        <w:keepLines w:val="0"/>
        <w:widowControl w:val="0"/>
        <w:shd w:val="clear" w:color="auto" w:fill="auto"/>
        <w:tabs>
          <w:tab w:pos="804" w:val="left"/>
        </w:tabs>
        <w:bidi w:val="0"/>
        <w:spacing w:before="0" w:after="0" w:line="326" w:lineRule="auto"/>
        <w:ind w:left="0" w:right="0" w:firstLine="440"/>
        <w:jc w:val="both"/>
        <w:rPr>
          <w:sz w:val="20"/>
          <w:szCs w:val="20"/>
        </w:rPr>
      </w:pPr>
      <w:bookmarkStart w:id="884" w:name="bookmark884"/>
      <w:r>
        <w:rPr>
          <w:rFonts w:ascii="Times New Roman" w:eastAsia="Times New Roman" w:hAnsi="Times New Roman" w:cs="Times New Roman"/>
          <w:color w:val="000000"/>
          <w:spacing w:val="0"/>
          <w:w w:val="100"/>
          <w:position w:val="0"/>
          <w:sz w:val="20"/>
          <w:szCs w:val="20"/>
        </w:rPr>
        <w:t>1</w:t>
      </w:r>
      <w:bookmarkEnd w:id="884"/>
      <w:r>
        <w:rPr>
          <w:color w:val="000000"/>
          <w:spacing w:val="0"/>
          <w:w w:val="100"/>
          <w:position w:val="0"/>
          <w:sz w:val="20"/>
          <w:szCs w:val="20"/>
        </w:rPr>
        <w:t>）</w:t>
        <w:tab/>
        <w:t>产品销售</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对于国内销售，公司将产品按照协议合同运至约定交货地点，由买方确认接收并验收合格后确认收入。</w:t>
      </w:r>
    </w:p>
    <w:p>
      <w:pPr>
        <w:pStyle w:val="Style13"/>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对于出口销售，公司根据销售合同规定的贸易条款，将出口产品按照合同规定办理出口报关手续并装 船后，或运至指定的交货地点后确认收入。对于上述销售，买方在确认接收后具有自行销售产品的权利并 承担该产品可能发生价格波动或毁损的风险。</w:t>
      </w:r>
    </w:p>
    <w:p>
      <w:pPr>
        <w:pStyle w:val="Style13"/>
        <w:keepNext w:val="0"/>
        <w:keepLines w:val="0"/>
        <w:widowControl w:val="0"/>
        <w:shd w:val="clear" w:color="auto" w:fill="auto"/>
        <w:tabs>
          <w:tab w:pos="828" w:val="left"/>
        </w:tabs>
        <w:bidi w:val="0"/>
        <w:spacing w:before="0" w:after="0" w:line="326" w:lineRule="auto"/>
        <w:ind w:left="0" w:right="0" w:firstLine="440"/>
        <w:jc w:val="both"/>
        <w:rPr>
          <w:sz w:val="20"/>
          <w:szCs w:val="20"/>
        </w:rPr>
      </w:pPr>
      <w:bookmarkStart w:id="885" w:name="bookmark885"/>
      <w:r>
        <w:rPr>
          <w:rFonts w:ascii="Times New Roman" w:eastAsia="Times New Roman" w:hAnsi="Times New Roman" w:cs="Times New Roman"/>
          <w:color w:val="000000"/>
          <w:spacing w:val="0"/>
          <w:w w:val="100"/>
          <w:position w:val="0"/>
          <w:sz w:val="20"/>
          <w:szCs w:val="20"/>
        </w:rPr>
        <w:t>2</w:t>
      </w:r>
      <w:bookmarkEnd w:id="885"/>
      <w:r>
        <w:rPr>
          <w:color w:val="000000"/>
          <w:spacing w:val="0"/>
          <w:w w:val="100"/>
          <w:position w:val="0"/>
          <w:sz w:val="20"/>
          <w:szCs w:val="20"/>
        </w:rPr>
        <w:t>）</w:t>
        <w:tab/>
        <w:t>教育运营服务</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公司主要通过与基础运营商（中国电信各省、市分公司）、社会渠道（区域代理商）合作的方式推广 教育信息化服务业务。公司负责售前技术支持、软硬件设备投资和售后服务，基础运营商（中国电信各省、 市分公司）和社会渠道（区域代理商）负责基础网络、业务管理及开拓、收费结算等支持。基础运营商（中 国电信各省、市分公司）、社会渠道（区域代理商）与学生家长签署协议并收取相关服务费后，按照其与 公司合作协议约定的结算方式与分成比例与公司进行结算与分成。</w:t>
      </w:r>
    </w:p>
    <w:p>
      <w:pPr>
        <w:pStyle w:val="Style13"/>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因此，对教育运营服务业务，公司根据与基础运营商（中国电信各省、市分公司）、社会渠道（区域 代理商）的合作协议约定，完成相应服务并收到运营商结算数据时，公司对结算数据进行核对后确认收入。</w:t>
      </w:r>
    </w:p>
    <w:p>
      <w:pPr>
        <w:pStyle w:val="Style13"/>
        <w:keepNext w:val="0"/>
        <w:keepLines w:val="0"/>
        <w:widowControl w:val="0"/>
        <w:shd w:val="clear" w:color="auto" w:fill="auto"/>
        <w:tabs>
          <w:tab w:pos="828" w:val="left"/>
        </w:tabs>
        <w:bidi w:val="0"/>
        <w:spacing w:before="0" w:after="0" w:line="326" w:lineRule="auto"/>
        <w:ind w:left="0" w:right="0" w:firstLine="440"/>
        <w:jc w:val="both"/>
        <w:rPr>
          <w:sz w:val="20"/>
          <w:szCs w:val="20"/>
        </w:rPr>
      </w:pPr>
      <w:bookmarkStart w:id="886" w:name="bookmark886"/>
      <w:r>
        <w:rPr>
          <w:rFonts w:ascii="Times New Roman" w:eastAsia="Times New Roman" w:hAnsi="Times New Roman" w:cs="Times New Roman"/>
          <w:color w:val="000000"/>
          <w:spacing w:val="0"/>
          <w:w w:val="100"/>
          <w:position w:val="0"/>
          <w:sz w:val="20"/>
          <w:szCs w:val="20"/>
        </w:rPr>
        <w:t>3</w:t>
      </w:r>
      <w:bookmarkEnd w:id="886"/>
      <w:r>
        <w:rPr>
          <w:color w:val="000000"/>
          <w:spacing w:val="0"/>
          <w:w w:val="100"/>
          <w:position w:val="0"/>
          <w:sz w:val="20"/>
          <w:szCs w:val="20"/>
        </w:rPr>
        <w:t>）</w:t>
        <w:tab/>
        <w:t>教育系统集成业务</w:t>
      </w:r>
    </w:p>
    <w:p>
      <w:pPr>
        <w:pStyle w:val="Style13"/>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对于教育系统集成业务，公司根据合同的约定，在系统集成中的外购软硬件产品和公司软件产品的主 要风险和报酬已转移给买方，公司不再保留与之相联系的继续管理权和控制权，系统已按合同约定的条件 安装调试、取得了买方的验收，相关成本能够可靠计量时确认收入。</w:t>
      </w:r>
    </w:p>
    <w:p>
      <w:pPr>
        <w:pStyle w:val="Style13"/>
        <w:keepNext w:val="0"/>
        <w:keepLines w:val="0"/>
        <w:widowControl w:val="0"/>
        <w:shd w:val="clear" w:color="auto" w:fill="auto"/>
        <w:tabs>
          <w:tab w:pos="828" w:val="left"/>
        </w:tabs>
        <w:bidi w:val="0"/>
        <w:spacing w:before="0" w:after="0" w:line="326" w:lineRule="auto"/>
        <w:ind w:left="0" w:right="0" w:firstLine="440"/>
        <w:jc w:val="both"/>
        <w:rPr>
          <w:sz w:val="20"/>
          <w:szCs w:val="20"/>
        </w:rPr>
      </w:pPr>
      <w:bookmarkStart w:id="887" w:name="bookmark887"/>
      <w:r>
        <w:rPr>
          <w:rFonts w:ascii="Times New Roman" w:eastAsia="Times New Roman" w:hAnsi="Times New Roman" w:cs="Times New Roman"/>
          <w:color w:val="000000"/>
          <w:spacing w:val="0"/>
          <w:w w:val="100"/>
          <w:position w:val="0"/>
          <w:sz w:val="20"/>
          <w:szCs w:val="20"/>
        </w:rPr>
        <w:t>4</w:t>
      </w:r>
      <w:bookmarkEnd w:id="887"/>
      <w:r>
        <w:rPr>
          <w:color w:val="000000"/>
          <w:spacing w:val="0"/>
          <w:w w:val="100"/>
          <w:position w:val="0"/>
          <w:sz w:val="20"/>
          <w:szCs w:val="20"/>
        </w:rPr>
        <w:t>）</w:t>
        <w:tab/>
        <w:t>软件开发及技术服务业务</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软件开发：公司根据买方的实际需求进行定制、开发的软件产品，按签订的软件开发合同进行核算。 开发项目在同一会计年度开始并完成的，在完成时确认收入；如果开发项目的开始和完成分属不同会计年 度，在资产负债表日根据开发的完工程度确认收入。</w:t>
      </w:r>
    </w:p>
    <w:p>
      <w:pPr>
        <w:pStyle w:val="Style13"/>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技术服务：技术服务包括公司向客户提供的与</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运维管理相关的技术支持、技术咨询、技术开发、系 统维护、运营管理等服务内容。公司在已根据合同约定提供了相应服务，取得明确的收款证据，相关成本 能够可靠地计量时，确认收入。合同明确约定服务期限的，在合同约定的服务期限内，按进度确认收入； 合同明确约定服务成果需经客户验收确认的，根据客户验收情况确认收入。</w:t>
      </w:r>
    </w:p>
    <w:p>
      <w:pPr>
        <w:pStyle w:val="Style13"/>
        <w:keepNext w:val="0"/>
        <w:keepLines w:val="0"/>
        <w:widowControl w:val="0"/>
        <w:shd w:val="clear" w:color="auto" w:fill="auto"/>
        <w:tabs>
          <w:tab w:pos="828" w:val="left"/>
        </w:tabs>
        <w:bidi w:val="0"/>
        <w:spacing w:before="0" w:after="0" w:line="326" w:lineRule="auto"/>
        <w:ind w:left="0" w:right="0" w:firstLine="440"/>
        <w:jc w:val="both"/>
        <w:rPr>
          <w:sz w:val="20"/>
          <w:szCs w:val="20"/>
        </w:rPr>
      </w:pPr>
      <w:bookmarkStart w:id="888" w:name="bookmark888"/>
      <w:r>
        <w:rPr>
          <w:rFonts w:ascii="Times New Roman" w:eastAsia="Times New Roman" w:hAnsi="Times New Roman" w:cs="Times New Roman"/>
          <w:color w:val="000000"/>
          <w:spacing w:val="0"/>
          <w:w w:val="100"/>
          <w:position w:val="0"/>
          <w:sz w:val="20"/>
          <w:szCs w:val="20"/>
        </w:rPr>
        <w:t>5</w:t>
      </w:r>
      <w:bookmarkEnd w:id="888"/>
      <w:r>
        <w:rPr>
          <w:color w:val="000000"/>
          <w:spacing w:val="0"/>
          <w:w w:val="100"/>
          <w:position w:val="0"/>
          <w:sz w:val="20"/>
          <w:szCs w:val="20"/>
        </w:rPr>
        <w:t>）</w:t>
        <w:tab/>
        <w:t>非学历短期培训收入</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培训协议约定由公司负责推荐就业的，在培训期完成后，完成学员的推荐工作时一次性确认收入。</w:t>
      </w:r>
    </w:p>
    <w:p>
      <w:pPr>
        <w:pStyle w:val="Style13"/>
        <w:keepNext w:val="0"/>
        <w:keepLines w:val="0"/>
        <w:widowControl w:val="0"/>
        <w:shd w:val="clear" w:color="auto" w:fill="auto"/>
        <w:bidi w:val="0"/>
        <w:spacing w:before="0" w:after="140" w:line="313" w:lineRule="exact"/>
        <w:ind w:left="0" w:right="0" w:firstLine="440"/>
        <w:jc w:val="both"/>
        <w:rPr>
          <w:sz w:val="20"/>
          <w:szCs w:val="20"/>
        </w:rPr>
      </w:pPr>
      <w:r>
        <w:rPr>
          <w:color w:val="000000"/>
          <w:spacing w:val="0"/>
          <w:w w:val="100"/>
          <w:position w:val="0"/>
          <w:sz w:val="20"/>
          <w:szCs w:val="20"/>
        </w:rPr>
        <w:t>培训协议未约定由公司负责推荐就业的，在培训期分期确认收入。</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同类业务采用不同经营模式导致收入确认会计政策存在差异的情况</w:t>
      </w:r>
    </w:p>
    <w:p>
      <w:pPr>
        <w:pStyle w:val="Style23"/>
        <w:keepNext/>
        <w:keepLines/>
        <w:widowControl w:val="0"/>
        <w:shd w:val="clear" w:color="auto" w:fill="auto"/>
        <w:bidi w:val="0"/>
        <w:spacing w:before="0" w:after="200" w:line="326"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889"/>
      <w:bookmarkEnd w:id="890"/>
      <w:bookmarkEnd w:id="892"/>
    </w:p>
    <w:p>
      <w:pPr>
        <w:pStyle w:val="Style13"/>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 xml:space="preserve">政府补助是指本公司从政府无偿取得货币性资产或非货币性资产，不包括政府以投资者身份并享有相 应所有者权益而投入的资本。政府补助为货币性资产的，按照收到或应收的金额计量。政府补助为非货币 性资产的，应当按照公允价值计量；公允价值不能可靠取得的，按照名义金额计量。按照名义金额计量的 </w:t>
      </w:r>
      <w:r>
        <w:rPr>
          <w:color w:val="000000"/>
          <w:spacing w:val="0"/>
          <w:w w:val="100"/>
          <w:position w:val="0"/>
          <w:sz w:val="20"/>
          <w:szCs w:val="20"/>
        </w:rPr>
        <w:t>政府补助，直接计入当期损益。</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当本公司能够满足政府补助所附条件，且能够收到政府补助时，才能确认政府补助。</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政府补助分为与资产相关的政府补助和与收益相关的政府补助。与资产相关的政府补助，是指公司取 得的、用于购建或以其他方式形成长期资产的政府补助。与收益相关的政府补助，是指除与资产相关的政 府补助之外的政府补助。</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与资产相关的政府补助，采用总额法，确认为递延收益，在相关资产使用寿命内按照合理、系统的方 法分期计入损益，相关资产在使用寿命结束前被出售、转让、报废或发生毁损的，将尚未分配的相关递延 收益余额转入资产处置当期的损益，已确认的政府补助需要退回的，冲减相关递延收益账面余额，超出部 分计入当期损益或者，采用净额法，冲减相关资产的账面价值，已确认的政府补助需要退回的，调整资产 账面价值。</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与收益相关的政府补助，采用总额法，用于补偿公司已发生的相关成本费用或损失时，直接计入当期 损益；用于补偿以后期间的相关成本费用或损失时，确认为递延收益，并在确认相关成本费用或损失的期 间，计入当期损益。或者，采用净额法，用于补偿公司已发生的相关成本费用或损失时，直接冲减相关成 本费用；用于补偿以后期间的相关成本费用或损失时，确认为递延收益，并在确认相关成本费用或损失的 期间，冲减相关成本费用。</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对于同时包含与资产相关部分和与收益相关部分的政府补助，区分不同部分分别进行会计处理；难以 区分的，整体归类为与收益相关的政府补助。</w:t>
      </w:r>
    </w:p>
    <w:p>
      <w:pPr>
        <w:pStyle w:val="Style13"/>
        <w:keepNext w:val="0"/>
        <w:keepLines w:val="0"/>
        <w:widowControl w:val="0"/>
        <w:shd w:val="clear" w:color="auto" w:fill="auto"/>
        <w:bidi w:val="0"/>
        <w:spacing w:before="0" w:after="360" w:line="313" w:lineRule="exact"/>
        <w:ind w:left="0" w:right="0" w:firstLine="440"/>
        <w:jc w:val="both"/>
        <w:rPr>
          <w:sz w:val="20"/>
          <w:szCs w:val="20"/>
        </w:rPr>
      </w:pPr>
      <w:r>
        <w:rPr>
          <w:color w:val="000000"/>
          <w:spacing w:val="0"/>
          <w:w w:val="100"/>
          <w:position w:val="0"/>
          <w:sz w:val="20"/>
          <w:szCs w:val="20"/>
        </w:rPr>
        <w:t>与公司日常活动相关的政府补助，按照经济业务实质，计入其他收益或冲减相关成本费用。与公司日 常活动无关的政府补助，计入营业外收支。</w:t>
      </w:r>
    </w:p>
    <w:p>
      <w:pPr>
        <w:pStyle w:val="Style23"/>
        <w:keepNext/>
        <w:keepLines/>
        <w:widowControl w:val="0"/>
        <w:shd w:val="clear" w:color="auto" w:fill="auto"/>
        <w:bidi w:val="0"/>
        <w:spacing w:before="0" w:after="180" w:line="329"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3</w:t>
      </w:r>
      <w:bookmarkEnd w:id="895"/>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3"/>
      <w:bookmarkEnd w:id="894"/>
      <w:bookmarkEnd w:id="896"/>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对于能够结转以后年度的可抵扣亏损和税款抵减，以很可能获得用来抵扣可抵扣亏损和税款抵减的未 来应纳税所得额为限，确认相应的递延所得税资产。</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资产负债表日，对于递延所得税资产和递延所得税负债，根据税法规定，按照预期收回相关资产或清 偿相关负债期间的适用税率计量。</w:t>
      </w:r>
    </w:p>
    <w:p>
      <w:pPr>
        <w:pStyle w:val="Style13"/>
        <w:keepNext w:val="0"/>
        <w:keepLines w:val="0"/>
        <w:widowControl w:val="0"/>
        <w:shd w:val="clear" w:color="auto" w:fill="auto"/>
        <w:bidi w:val="0"/>
        <w:spacing w:before="0" w:after="180" w:line="314" w:lineRule="exact"/>
        <w:ind w:left="0" w:right="0" w:firstLine="440"/>
        <w:jc w:val="both"/>
        <w:rPr>
          <w:sz w:val="20"/>
          <w:szCs w:val="20"/>
        </w:rPr>
      </w:pPr>
      <w:r>
        <w:rPr>
          <w:color w:val="000000"/>
          <w:spacing w:val="0"/>
          <w:w w:val="100"/>
          <w:position w:val="0"/>
          <w:sz w:val="20"/>
          <w:szCs w:val="2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23"/>
        <w:keepNext/>
        <w:keepLines/>
        <w:widowControl w:val="0"/>
        <w:shd w:val="clear" w:color="auto" w:fill="auto"/>
        <w:bidi w:val="0"/>
        <w:spacing w:before="0" w:after="280" w:line="314" w:lineRule="exact"/>
        <w:ind w:left="0" w:right="0" w:firstLine="0"/>
        <w:jc w:val="both"/>
      </w:pPr>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35</w:t>
      </w:r>
      <w:r>
        <w:rPr>
          <w:color w:val="000000"/>
          <w:spacing w:val="0"/>
          <w:w w:val="100"/>
          <w:position w:val="0"/>
        </w:rPr>
        <w:t>、租赁</w:t>
      </w:r>
      <w:bookmarkEnd w:id="897"/>
      <w:bookmarkEnd w:id="898"/>
      <w:bookmarkEnd w:id="899"/>
    </w:p>
    <w:p>
      <w:pPr>
        <w:pStyle w:val="Style29"/>
        <w:keepNext/>
        <w:keepLines/>
        <w:widowControl w:val="0"/>
        <w:numPr>
          <w:ilvl w:val="0"/>
          <w:numId w:val="35"/>
        </w:numPr>
        <w:shd w:val="clear" w:color="auto" w:fill="auto"/>
        <w:bidi w:val="0"/>
        <w:spacing w:before="0" w:after="280" w:line="314" w:lineRule="exact"/>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经营租赁的会计处理方法</w:t>
      </w:r>
      <w:bookmarkEnd w:id="900"/>
      <w:bookmarkEnd w:id="901"/>
      <w:bookmarkEnd w:id="903"/>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为便于实务操作，当公司合理预期对于具有类似特征的租赁以组合为基准或以单项租赁为基准进行会 计处理对财务报表的影响不存在重大差异，则按组合基准进行会计处理。</w:t>
      </w:r>
    </w:p>
    <w:p>
      <w:pPr>
        <w:pStyle w:val="Style13"/>
        <w:keepNext w:val="0"/>
        <w:keepLines w:val="0"/>
        <w:widowControl w:val="0"/>
        <w:numPr>
          <w:ilvl w:val="0"/>
          <w:numId w:val="37"/>
        </w:numPr>
        <w:shd w:val="clear" w:color="auto" w:fill="auto"/>
        <w:tabs>
          <w:tab w:pos="837" w:val="left"/>
        </w:tabs>
        <w:bidi w:val="0"/>
        <w:spacing w:before="0" w:after="0" w:line="314" w:lineRule="exact"/>
        <w:ind w:left="0" w:right="0" w:firstLine="440"/>
        <w:jc w:val="both"/>
        <w:rPr>
          <w:sz w:val="20"/>
          <w:szCs w:val="20"/>
        </w:rPr>
      </w:pPr>
      <w:bookmarkStart w:id="904" w:name="bookmark904"/>
      <w:bookmarkEnd w:id="904"/>
      <w:r>
        <w:rPr>
          <w:color w:val="000000"/>
          <w:spacing w:val="0"/>
          <w:w w:val="100"/>
          <w:position w:val="0"/>
          <w:sz w:val="20"/>
          <w:szCs w:val="20"/>
        </w:rPr>
        <w:t>租赁的分拆</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合同中同时包含一项或多项租赁和非租赁部分的，公司将各项单独租赁和非租赁部分进行分拆，按照 各租赁部分单独价格及非租赁部分的单独价格之和的相对比例分摊合同对价。</w:t>
      </w:r>
    </w:p>
    <w:p>
      <w:pPr>
        <w:pStyle w:val="Style13"/>
        <w:keepNext w:val="0"/>
        <w:keepLines w:val="0"/>
        <w:widowControl w:val="0"/>
        <w:numPr>
          <w:ilvl w:val="0"/>
          <w:numId w:val="37"/>
        </w:numPr>
        <w:shd w:val="clear" w:color="auto" w:fill="auto"/>
        <w:tabs>
          <w:tab w:pos="842" w:val="left"/>
        </w:tabs>
        <w:bidi w:val="0"/>
        <w:spacing w:before="0" w:after="0" w:line="314" w:lineRule="exact"/>
        <w:ind w:left="0" w:right="0" w:firstLine="440"/>
        <w:jc w:val="both"/>
        <w:rPr>
          <w:sz w:val="20"/>
          <w:szCs w:val="20"/>
        </w:rPr>
      </w:pPr>
      <w:bookmarkStart w:id="905" w:name="bookmark905"/>
      <w:bookmarkEnd w:id="905"/>
      <w:r>
        <w:rPr>
          <w:color w:val="000000"/>
          <w:spacing w:val="0"/>
          <w:w w:val="100"/>
          <w:position w:val="0"/>
          <w:sz w:val="20"/>
          <w:szCs w:val="20"/>
        </w:rPr>
        <w:t>短期租赁和低价值资产租赁</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公司对房屋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场地、设备和其他资产的短期租赁以及低价值资产租赁，选择不确认使用权资产和租赁负 债。短期租赁，是指在租赁期开始日，租赁期不超过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个月且不包含购买选择权的租赁。低价值资产租 赁，是指单项租赁资产为全新资产时价值较低的租赁。公司将短期租赁和低价值资产租赁的租赁付款额， 在租赁期内各个期间按照直线法计入当期损益。</w:t>
      </w:r>
    </w:p>
    <w:p>
      <w:pPr>
        <w:pStyle w:val="Style13"/>
        <w:keepNext w:val="0"/>
        <w:keepLines w:val="0"/>
        <w:widowControl w:val="0"/>
        <w:numPr>
          <w:ilvl w:val="0"/>
          <w:numId w:val="37"/>
        </w:numPr>
        <w:shd w:val="clear" w:color="auto" w:fill="auto"/>
        <w:tabs>
          <w:tab w:pos="842" w:val="left"/>
        </w:tabs>
        <w:bidi w:val="0"/>
        <w:spacing w:before="0" w:after="0" w:line="314" w:lineRule="exact"/>
        <w:ind w:left="0" w:right="0" w:firstLine="440"/>
        <w:jc w:val="both"/>
        <w:rPr>
          <w:sz w:val="20"/>
          <w:szCs w:val="20"/>
        </w:rPr>
      </w:pPr>
      <w:bookmarkStart w:id="906" w:name="bookmark906"/>
      <w:bookmarkEnd w:id="906"/>
      <w:r>
        <w:rPr>
          <w:color w:val="000000"/>
          <w:spacing w:val="0"/>
          <w:w w:val="100"/>
          <w:position w:val="0"/>
          <w:sz w:val="20"/>
          <w:szCs w:val="20"/>
        </w:rPr>
        <w:t>使用权资产</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除短期租赁和低价值资产租赁外，公司在租赁期开始日对租赁确认使用权资产。租赁期开始日，是指 出租人提供租赁资产使其可供公司使用的起始日期。使用权资产按照成本进行初始计量，该成本包括：</w:t>
      </w:r>
    </w:p>
    <w:p>
      <w:pPr>
        <w:pStyle w:val="Style13"/>
        <w:keepNext w:val="0"/>
        <w:keepLines w:val="0"/>
        <w:widowControl w:val="0"/>
        <w:numPr>
          <w:ilvl w:val="0"/>
          <w:numId w:val="39"/>
        </w:numPr>
        <w:shd w:val="clear" w:color="auto" w:fill="auto"/>
        <w:tabs>
          <w:tab w:pos="760" w:val="left"/>
        </w:tabs>
        <w:bidi w:val="0"/>
        <w:spacing w:before="0" w:after="0" w:line="314" w:lineRule="exact"/>
        <w:ind w:left="0" w:right="0" w:firstLine="440"/>
        <w:jc w:val="both"/>
        <w:rPr>
          <w:sz w:val="20"/>
          <w:szCs w:val="20"/>
        </w:rPr>
      </w:pPr>
      <w:bookmarkStart w:id="907" w:name="bookmark907"/>
      <w:bookmarkEnd w:id="907"/>
      <w:r>
        <w:rPr>
          <w:color w:val="000000"/>
          <w:spacing w:val="0"/>
          <w:w w:val="100"/>
          <w:position w:val="0"/>
          <w:sz w:val="20"/>
          <w:szCs w:val="20"/>
        </w:rPr>
        <w:t>租赁负债的初始计量金额；</w:t>
      </w:r>
    </w:p>
    <w:p>
      <w:pPr>
        <w:pStyle w:val="Style13"/>
        <w:keepNext w:val="0"/>
        <w:keepLines w:val="0"/>
        <w:widowControl w:val="0"/>
        <w:numPr>
          <w:ilvl w:val="0"/>
          <w:numId w:val="39"/>
        </w:numPr>
        <w:shd w:val="clear" w:color="auto" w:fill="auto"/>
        <w:tabs>
          <w:tab w:pos="747" w:val="left"/>
        </w:tabs>
        <w:bidi w:val="0"/>
        <w:spacing w:before="0" w:after="0" w:line="314" w:lineRule="exact"/>
        <w:ind w:left="0" w:right="0" w:firstLine="440"/>
        <w:jc w:val="both"/>
        <w:rPr>
          <w:sz w:val="20"/>
          <w:szCs w:val="20"/>
        </w:rPr>
      </w:pPr>
      <w:bookmarkStart w:id="908" w:name="bookmark908"/>
      <w:bookmarkEnd w:id="908"/>
      <w:r>
        <w:rPr>
          <w:color w:val="000000"/>
          <w:spacing w:val="0"/>
          <w:w w:val="100"/>
          <w:position w:val="0"/>
          <w:sz w:val="20"/>
          <w:szCs w:val="20"/>
        </w:rPr>
        <w:t>租赁期开始日或之前支付的租赁付款额，存在租赁激励的，扣除已享受的租赁激励相关金额；</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发 生的初始直接费用；</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公司为拆卸及移除租赁资产、复原租赁资产所在场地或将租赁资产恢复至租赁条款约定状态预计将 发生的成本。</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公司参照《企业会计准则第</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号——固定资产》有关折旧规定，对使用权资产计提折旧。公司能够合 理确定租赁期届满时取得租赁资产所有权的，在租赁资产剩余使用寿命内计提折旧。无法合理确定租赁期 届满时能够取得租赁资产所有权的，在租赁期与租赁资产剩余使用寿命两者孰短的期间内计提折旧。</w:t>
      </w:r>
    </w:p>
    <w:p>
      <w:pPr>
        <w:pStyle w:val="Style13"/>
        <w:keepNext w:val="0"/>
        <w:keepLines w:val="0"/>
        <w:widowControl w:val="0"/>
        <w:numPr>
          <w:ilvl w:val="0"/>
          <w:numId w:val="37"/>
        </w:numPr>
        <w:shd w:val="clear" w:color="auto" w:fill="auto"/>
        <w:tabs>
          <w:tab w:pos="842" w:val="left"/>
        </w:tabs>
        <w:bidi w:val="0"/>
        <w:spacing w:before="0" w:after="0" w:line="314" w:lineRule="exact"/>
        <w:ind w:left="0" w:right="0" w:firstLine="440"/>
        <w:jc w:val="both"/>
        <w:rPr>
          <w:sz w:val="20"/>
          <w:szCs w:val="20"/>
        </w:rPr>
      </w:pPr>
      <w:bookmarkStart w:id="909" w:name="bookmark909"/>
      <w:bookmarkEnd w:id="909"/>
      <w:r>
        <w:rPr>
          <w:color w:val="000000"/>
          <w:spacing w:val="0"/>
          <w:w w:val="100"/>
          <w:position w:val="0"/>
          <w:sz w:val="20"/>
          <w:szCs w:val="20"/>
        </w:rPr>
        <w:t>租赁负债</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除短期租赁和低价值资产租赁外，公司在租赁期开始日按照该日尚未支付的租赁付款额的现值对租赁 负债进行初始计量。在计算租赁付款额的现值时，公司采用租赁内含利率作为折现率，无法确定租赁内含 利率的，采用增量借款利率作为折现率。</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租赁付款额是指公司向出租人支付的与在租赁期内使用租赁资产的权利相关的款项，包括：</w:t>
      </w:r>
    </w:p>
    <w:p>
      <w:pPr>
        <w:pStyle w:val="Style13"/>
        <w:keepNext w:val="0"/>
        <w:keepLines w:val="0"/>
        <w:widowControl w:val="0"/>
        <w:numPr>
          <w:ilvl w:val="0"/>
          <w:numId w:val="41"/>
        </w:numPr>
        <w:shd w:val="clear" w:color="auto" w:fill="auto"/>
        <w:tabs>
          <w:tab w:pos="760" w:val="left"/>
        </w:tabs>
        <w:bidi w:val="0"/>
        <w:spacing w:before="0" w:after="0" w:line="314" w:lineRule="exact"/>
        <w:ind w:left="0" w:right="0" w:firstLine="440"/>
        <w:jc w:val="both"/>
        <w:rPr>
          <w:sz w:val="20"/>
          <w:szCs w:val="20"/>
        </w:rPr>
      </w:pPr>
      <w:bookmarkStart w:id="910" w:name="bookmark910"/>
      <w:bookmarkEnd w:id="910"/>
      <w:r>
        <w:rPr>
          <w:color w:val="000000"/>
          <w:spacing w:val="0"/>
          <w:w w:val="100"/>
          <w:position w:val="0"/>
          <w:sz w:val="20"/>
          <w:szCs w:val="20"/>
        </w:rPr>
        <w:t>固定付款额及实质固定付款额，存在租赁激励的，扣除租赁激励相关金额；</w:t>
      </w:r>
    </w:p>
    <w:p>
      <w:pPr>
        <w:pStyle w:val="Style13"/>
        <w:keepNext w:val="0"/>
        <w:keepLines w:val="0"/>
        <w:widowControl w:val="0"/>
        <w:numPr>
          <w:ilvl w:val="0"/>
          <w:numId w:val="41"/>
        </w:numPr>
        <w:shd w:val="clear" w:color="auto" w:fill="auto"/>
        <w:tabs>
          <w:tab w:pos="779" w:val="left"/>
        </w:tabs>
        <w:bidi w:val="0"/>
        <w:spacing w:before="0" w:after="0" w:line="314" w:lineRule="exact"/>
        <w:ind w:left="0" w:right="0" w:firstLine="440"/>
        <w:jc w:val="both"/>
        <w:rPr>
          <w:sz w:val="20"/>
          <w:szCs w:val="20"/>
        </w:rPr>
      </w:pPr>
      <w:bookmarkStart w:id="911" w:name="bookmark911"/>
      <w:bookmarkEnd w:id="911"/>
      <w:r>
        <w:rPr>
          <w:color w:val="000000"/>
          <w:spacing w:val="0"/>
          <w:w w:val="100"/>
          <w:position w:val="0"/>
          <w:sz w:val="20"/>
          <w:szCs w:val="20"/>
        </w:rPr>
        <w:t>取决于指数或比率的可变租赁付款额；</w:t>
      </w:r>
    </w:p>
    <w:p>
      <w:pPr>
        <w:pStyle w:val="Style13"/>
        <w:keepNext w:val="0"/>
        <w:keepLines w:val="0"/>
        <w:widowControl w:val="0"/>
        <w:numPr>
          <w:ilvl w:val="0"/>
          <w:numId w:val="41"/>
        </w:numPr>
        <w:shd w:val="clear" w:color="auto" w:fill="auto"/>
        <w:tabs>
          <w:tab w:pos="779" w:val="left"/>
        </w:tabs>
        <w:bidi w:val="0"/>
        <w:spacing w:before="0" w:after="0" w:line="314" w:lineRule="exact"/>
        <w:ind w:left="0" w:right="0" w:firstLine="440"/>
        <w:jc w:val="both"/>
        <w:rPr>
          <w:sz w:val="20"/>
          <w:szCs w:val="20"/>
        </w:rPr>
      </w:pPr>
      <w:bookmarkStart w:id="912" w:name="bookmark912"/>
      <w:bookmarkEnd w:id="912"/>
      <w:r>
        <w:rPr>
          <w:color w:val="000000"/>
          <w:spacing w:val="0"/>
          <w:w w:val="100"/>
          <w:position w:val="0"/>
          <w:sz w:val="20"/>
          <w:szCs w:val="20"/>
        </w:rPr>
        <w:t>公司合理确定将行使购买选择权时，该选择权的行权价格；</w:t>
      </w:r>
    </w:p>
    <w:p>
      <w:pPr>
        <w:pStyle w:val="Style13"/>
        <w:keepNext w:val="0"/>
        <w:keepLines w:val="0"/>
        <w:widowControl w:val="0"/>
        <w:numPr>
          <w:ilvl w:val="0"/>
          <w:numId w:val="41"/>
        </w:numPr>
        <w:shd w:val="clear" w:color="auto" w:fill="auto"/>
        <w:tabs>
          <w:tab w:pos="779" w:val="left"/>
        </w:tabs>
        <w:bidi w:val="0"/>
        <w:spacing w:before="0" w:after="0" w:line="314" w:lineRule="exact"/>
        <w:ind w:left="0" w:right="0" w:firstLine="440"/>
        <w:jc w:val="both"/>
        <w:rPr>
          <w:sz w:val="20"/>
          <w:szCs w:val="20"/>
        </w:rPr>
      </w:pPr>
      <w:bookmarkStart w:id="913" w:name="bookmark913"/>
      <w:bookmarkEnd w:id="913"/>
      <w:r>
        <w:rPr>
          <w:color w:val="000000"/>
          <w:spacing w:val="0"/>
          <w:w w:val="100"/>
          <w:position w:val="0"/>
          <w:sz w:val="20"/>
          <w:szCs w:val="20"/>
        </w:rPr>
        <w:t>租赁期反映出公司将行使终止租赁选择权的，行使终止租赁选择权需支付的款项。</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取决于指数或比率的可变租赁付款额在初始计量时根据租赁期开始日的指数或比率确定。未纳入租赁 负债计量的可变租赁付款额在实际发生时计入当期损益。</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租赁期开始日后公司按照固定的周期性利率计算租赁负债在租赁期内各期间的利息费用，并计入当期 损益。在租赁期开始日后，发生下列情形的，公司重新计量租赁负债，并调整相应的使用权资产，若使用 权资产的账面价值已调减至零，但租赁负债仍需进一步调减的，公司将差额计入当期损益：</w:t>
      </w:r>
    </w:p>
    <w:p>
      <w:pPr>
        <w:pStyle w:val="Style13"/>
        <w:keepNext w:val="0"/>
        <w:keepLines w:val="0"/>
        <w:widowControl w:val="0"/>
        <w:numPr>
          <w:ilvl w:val="0"/>
          <w:numId w:val="43"/>
        </w:numPr>
        <w:shd w:val="clear" w:color="auto" w:fill="auto"/>
        <w:tabs>
          <w:tab w:pos="738" w:val="left"/>
        </w:tabs>
        <w:bidi w:val="0"/>
        <w:spacing w:before="0" w:after="0" w:line="314" w:lineRule="exact"/>
        <w:ind w:left="0" w:right="0" w:firstLine="440"/>
        <w:jc w:val="both"/>
        <w:rPr>
          <w:sz w:val="20"/>
          <w:szCs w:val="20"/>
        </w:rPr>
      </w:pPr>
      <w:bookmarkStart w:id="914" w:name="bookmark914"/>
      <w:bookmarkEnd w:id="914"/>
      <w:r>
        <w:rPr>
          <w:color w:val="000000"/>
          <w:spacing w:val="0"/>
          <w:w w:val="100"/>
          <w:position w:val="0"/>
          <w:sz w:val="20"/>
          <w:szCs w:val="20"/>
        </w:rPr>
        <w:t>因租赁期变化或购买选择权的评估结果发生变化的，公司按变动后租赁付款额和修订后的折现率计 算的现值重新计量租赁负债。</w:t>
      </w:r>
    </w:p>
    <w:p>
      <w:pPr>
        <w:pStyle w:val="Style13"/>
        <w:keepNext w:val="0"/>
        <w:keepLines w:val="0"/>
        <w:widowControl w:val="0"/>
        <w:numPr>
          <w:ilvl w:val="0"/>
          <w:numId w:val="43"/>
        </w:numPr>
        <w:shd w:val="clear" w:color="auto" w:fill="auto"/>
        <w:tabs>
          <w:tab w:pos="747" w:val="left"/>
        </w:tabs>
        <w:bidi w:val="0"/>
        <w:spacing w:before="0" w:after="0" w:line="314" w:lineRule="exact"/>
        <w:ind w:left="0" w:right="0" w:firstLine="440"/>
        <w:jc w:val="both"/>
        <w:rPr>
          <w:sz w:val="20"/>
          <w:szCs w:val="20"/>
        </w:rPr>
      </w:pPr>
      <w:bookmarkStart w:id="915" w:name="bookmark915"/>
      <w:bookmarkEnd w:id="915"/>
      <w:r>
        <w:rPr>
          <w:color w:val="000000"/>
          <w:spacing w:val="0"/>
          <w:w w:val="100"/>
          <w:position w:val="0"/>
          <w:sz w:val="20"/>
          <w:szCs w:val="20"/>
        </w:rPr>
        <w:t>根据用于确定租赁付款额的指数或者比率发生变动时，公司按照变动后的租赁付款额和原折现率计 算的现值重新计量租赁负债。</w:t>
      </w:r>
    </w:p>
    <w:p>
      <w:pPr>
        <w:pStyle w:val="Style13"/>
        <w:keepNext w:val="0"/>
        <w:keepLines w:val="0"/>
        <w:widowControl w:val="0"/>
        <w:numPr>
          <w:ilvl w:val="0"/>
          <w:numId w:val="37"/>
        </w:numPr>
        <w:shd w:val="clear" w:color="auto" w:fill="auto"/>
        <w:tabs>
          <w:tab w:pos="842" w:val="left"/>
        </w:tabs>
        <w:bidi w:val="0"/>
        <w:spacing w:before="0" w:after="0" w:line="314" w:lineRule="exact"/>
        <w:ind w:left="0" w:right="0" w:firstLine="440"/>
        <w:jc w:val="both"/>
        <w:rPr>
          <w:sz w:val="20"/>
          <w:szCs w:val="20"/>
        </w:rPr>
      </w:pPr>
      <w:bookmarkStart w:id="916" w:name="bookmark916"/>
      <w:bookmarkEnd w:id="916"/>
      <w:r>
        <w:rPr>
          <w:color w:val="000000"/>
          <w:spacing w:val="0"/>
          <w:w w:val="100"/>
          <w:position w:val="0"/>
          <w:sz w:val="20"/>
          <w:szCs w:val="20"/>
        </w:rPr>
        <w:t>租赁变更</w:t>
      </w:r>
    </w:p>
    <w:p>
      <w:pPr>
        <w:pStyle w:val="Style13"/>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除符合条件的新冠肺炎疫情相关租金减让外，租赁发生变更且同时符合下列条件的，公司将该租赁变 更作为一项单独租赁进行会计处理：</w:t>
      </w:r>
    </w:p>
    <w:p>
      <w:pPr>
        <w:pStyle w:val="Style13"/>
        <w:keepNext w:val="0"/>
        <w:keepLines w:val="0"/>
        <w:widowControl w:val="0"/>
        <w:numPr>
          <w:ilvl w:val="0"/>
          <w:numId w:val="45"/>
        </w:numPr>
        <w:shd w:val="clear" w:color="auto" w:fill="auto"/>
        <w:tabs>
          <w:tab w:pos="760" w:val="left"/>
        </w:tabs>
        <w:bidi w:val="0"/>
        <w:spacing w:before="0" w:after="0" w:line="324" w:lineRule="auto"/>
        <w:ind w:left="0" w:right="0" w:firstLine="440"/>
        <w:jc w:val="both"/>
        <w:rPr>
          <w:sz w:val="20"/>
          <w:szCs w:val="20"/>
        </w:rPr>
      </w:pPr>
      <w:bookmarkStart w:id="917" w:name="bookmark917"/>
      <w:bookmarkEnd w:id="917"/>
      <w:r>
        <w:rPr>
          <w:color w:val="000000"/>
          <w:spacing w:val="0"/>
          <w:w w:val="100"/>
          <w:position w:val="0"/>
          <w:sz w:val="20"/>
          <w:szCs w:val="20"/>
        </w:rPr>
        <w:t>该租赁变更通过增加一项或多项租赁资产的使用权而扩大了租赁范围；</w:t>
      </w:r>
    </w:p>
    <w:p>
      <w:pPr>
        <w:pStyle w:val="Style13"/>
        <w:keepNext w:val="0"/>
        <w:keepLines w:val="0"/>
        <w:widowControl w:val="0"/>
        <w:numPr>
          <w:ilvl w:val="0"/>
          <w:numId w:val="45"/>
        </w:numPr>
        <w:shd w:val="clear" w:color="auto" w:fill="auto"/>
        <w:tabs>
          <w:tab w:pos="779" w:val="left"/>
        </w:tabs>
        <w:bidi w:val="0"/>
        <w:spacing w:before="0" w:after="0" w:line="324" w:lineRule="auto"/>
        <w:ind w:left="0" w:right="0" w:firstLine="440"/>
        <w:jc w:val="left"/>
        <w:rPr>
          <w:sz w:val="20"/>
          <w:szCs w:val="20"/>
        </w:rPr>
      </w:pPr>
      <w:bookmarkStart w:id="918" w:name="bookmark918"/>
      <w:bookmarkEnd w:id="918"/>
      <w:r>
        <w:rPr>
          <w:color w:val="000000"/>
          <w:spacing w:val="0"/>
          <w:w w:val="100"/>
          <w:position w:val="0"/>
          <w:sz w:val="20"/>
          <w:szCs w:val="20"/>
        </w:rPr>
        <w:t>增加的对价与租赁范围扩大部分的单独价格按该合同情况调整后的金额相当。</w:t>
      </w:r>
    </w:p>
    <w:p>
      <w:pPr>
        <w:pStyle w:val="Style13"/>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13"/>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租赁变更导致租赁范围缩小或租赁期缩短的，公司相应调减使用权资产的账面价值，并将部分终止或 完全终止租赁的相关利得或损失计入当期损益。</w:t>
      </w:r>
    </w:p>
    <w:p>
      <w:pPr>
        <w:pStyle w:val="Style13"/>
        <w:keepNext w:val="0"/>
        <w:keepLines w:val="0"/>
        <w:widowControl w:val="0"/>
        <w:shd w:val="clear" w:color="auto" w:fill="auto"/>
        <w:bidi w:val="0"/>
        <w:spacing w:before="0" w:after="300" w:line="310" w:lineRule="exact"/>
        <w:ind w:left="0" w:right="0" w:firstLine="440"/>
        <w:jc w:val="left"/>
        <w:rPr>
          <w:sz w:val="20"/>
          <w:szCs w:val="20"/>
        </w:rPr>
      </w:pPr>
      <w:r>
        <w:rPr>
          <w:color w:val="000000"/>
          <w:spacing w:val="0"/>
          <w:w w:val="100"/>
          <w:position w:val="0"/>
          <w:sz w:val="20"/>
          <w:szCs w:val="20"/>
        </w:rPr>
        <w:t>其他租赁变更导致租赁负债重新计量的，公司相应调整使用权资产的账面价值。</w:t>
      </w:r>
    </w:p>
    <w:p>
      <w:pPr>
        <w:pStyle w:val="Style29"/>
        <w:keepNext/>
        <w:keepLines/>
        <w:widowControl w:val="0"/>
        <w:shd w:val="clear" w:color="auto" w:fill="auto"/>
        <w:bidi w:val="0"/>
        <w:spacing w:before="0" w:after="300" w:line="313"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19"/>
      <w:bookmarkEnd w:id="920"/>
      <w:bookmarkEnd w:id="922"/>
    </w:p>
    <w:p>
      <w:pPr>
        <w:pStyle w:val="Style13"/>
        <w:keepNext w:val="0"/>
        <w:keepLines w:val="0"/>
        <w:widowControl w:val="0"/>
        <w:numPr>
          <w:ilvl w:val="0"/>
          <w:numId w:val="47"/>
        </w:numPr>
        <w:shd w:val="clear" w:color="auto" w:fill="auto"/>
        <w:tabs>
          <w:tab w:pos="837" w:val="left"/>
        </w:tabs>
        <w:bidi w:val="0"/>
        <w:spacing w:before="0" w:after="0" w:line="313" w:lineRule="exact"/>
        <w:ind w:left="0" w:right="0" w:firstLine="440"/>
        <w:jc w:val="both"/>
        <w:rPr>
          <w:sz w:val="20"/>
          <w:szCs w:val="20"/>
        </w:rPr>
      </w:pPr>
      <w:bookmarkStart w:id="923" w:name="bookmark923"/>
      <w:bookmarkEnd w:id="923"/>
      <w:r>
        <w:rPr>
          <w:color w:val="000000"/>
          <w:spacing w:val="0"/>
          <w:w w:val="100"/>
          <w:position w:val="0"/>
          <w:sz w:val="20"/>
          <w:szCs w:val="20"/>
        </w:rPr>
        <w:t>租赁的分拆</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合同中同时包含租赁和非租赁部分的，公司根据《企业会计准则第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号一攵入》关于交易价格分 摊的规定分摊合同对价，分摊的基础为租赁部分和非租赁部分各自的单独售价。</w:t>
      </w:r>
    </w:p>
    <w:p>
      <w:pPr>
        <w:pStyle w:val="Style13"/>
        <w:keepNext w:val="0"/>
        <w:keepLines w:val="0"/>
        <w:widowControl w:val="0"/>
        <w:numPr>
          <w:ilvl w:val="0"/>
          <w:numId w:val="47"/>
        </w:numPr>
        <w:shd w:val="clear" w:color="auto" w:fill="auto"/>
        <w:tabs>
          <w:tab w:pos="842" w:val="left"/>
        </w:tabs>
        <w:bidi w:val="0"/>
        <w:spacing w:before="0" w:after="0" w:line="313" w:lineRule="exact"/>
        <w:ind w:left="0" w:right="0" w:firstLine="440"/>
        <w:jc w:val="both"/>
        <w:rPr>
          <w:sz w:val="20"/>
          <w:szCs w:val="20"/>
        </w:rPr>
      </w:pPr>
      <w:bookmarkStart w:id="924" w:name="bookmark924"/>
      <w:bookmarkEnd w:id="924"/>
      <w:r>
        <w:rPr>
          <w:color w:val="000000"/>
          <w:spacing w:val="0"/>
          <w:w w:val="100"/>
          <w:position w:val="0"/>
          <w:sz w:val="20"/>
          <w:szCs w:val="20"/>
        </w:rPr>
        <w:t>租赁的分类</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实质上转移了与租赁资产所有权有关的几乎全部风险和报酬的租赁为融资租赁。融资租赁以外的其他 租赁为经营租赁。</w:t>
      </w:r>
    </w:p>
    <w:p>
      <w:pPr>
        <w:pStyle w:val="Style13"/>
        <w:keepNext w:val="0"/>
        <w:keepLines w:val="0"/>
        <w:widowControl w:val="0"/>
        <w:numPr>
          <w:ilvl w:val="0"/>
          <w:numId w:val="47"/>
        </w:numPr>
        <w:shd w:val="clear" w:color="auto" w:fill="auto"/>
        <w:tabs>
          <w:tab w:pos="842" w:val="left"/>
        </w:tabs>
        <w:bidi w:val="0"/>
        <w:spacing w:before="0" w:after="0" w:line="313" w:lineRule="exact"/>
        <w:ind w:left="0" w:right="0" w:firstLine="440"/>
        <w:jc w:val="both"/>
        <w:rPr>
          <w:sz w:val="20"/>
          <w:szCs w:val="20"/>
        </w:rPr>
      </w:pPr>
      <w:bookmarkStart w:id="925" w:name="bookmark925"/>
      <w:bookmarkEnd w:id="925"/>
      <w:r>
        <w:rPr>
          <w:color w:val="000000"/>
          <w:spacing w:val="0"/>
          <w:w w:val="100"/>
          <w:position w:val="0"/>
          <w:sz w:val="20"/>
          <w:szCs w:val="20"/>
        </w:rPr>
        <w:t>公司作为出租人记录经营租赁业务</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在租赁期内各个期间，公司采用直线法，将经营租赁的租赁收款额确认为租金收入。公司发生的与经 营租赁有关的初始直接费用于发生时予以资本化，在租赁期内按照与租金收入确认相同的基础进行分摊， 分期计入当期损益。公司取得的与经营租赁有关的未计入租赁收款额的可变租赁收款额，在实际发生时计 入当期损益。</w:t>
      </w:r>
    </w:p>
    <w:p>
      <w:pPr>
        <w:pStyle w:val="Style13"/>
        <w:keepNext w:val="0"/>
        <w:keepLines w:val="0"/>
        <w:widowControl w:val="0"/>
        <w:numPr>
          <w:ilvl w:val="0"/>
          <w:numId w:val="47"/>
        </w:numPr>
        <w:shd w:val="clear" w:color="auto" w:fill="auto"/>
        <w:tabs>
          <w:tab w:pos="842" w:val="left"/>
        </w:tabs>
        <w:bidi w:val="0"/>
        <w:spacing w:before="0" w:after="0" w:line="313" w:lineRule="exact"/>
        <w:ind w:left="0" w:right="0" w:firstLine="440"/>
        <w:jc w:val="both"/>
        <w:rPr>
          <w:sz w:val="20"/>
          <w:szCs w:val="20"/>
        </w:rPr>
      </w:pPr>
      <w:bookmarkStart w:id="926" w:name="bookmark926"/>
      <w:bookmarkEnd w:id="926"/>
      <w:r>
        <w:rPr>
          <w:color w:val="000000"/>
          <w:spacing w:val="0"/>
          <w:w w:val="100"/>
          <w:position w:val="0"/>
          <w:sz w:val="20"/>
          <w:szCs w:val="20"/>
        </w:rPr>
        <w:t>公司作为出租人记录融资租赁业务</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于租赁期开始日，公司以租赁投资净额作为应收融资租赁款的入账价值，并终止确认融资租赁资产。 租赁投资净额为未担保余值和租赁期开始日尚未收到的租赁收款额按照租赁内含利率折现的现值之和。租 赁收款额，是指公司因让渡在租赁期内使用租赁资产的权利而应向承租人收取的款项，就公司的融资租赁 业务而言主要包括承租人需支付的固定付款额及实质固定付款额，存在租赁激励的，扣除租赁激励相关金 额。</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公司按照固定的周期性利率计算并确认租赁期内各个期间的利息收入。</w:t>
      </w:r>
    </w:p>
    <w:p>
      <w:pPr>
        <w:pStyle w:val="Style13"/>
        <w:keepNext w:val="0"/>
        <w:keepLines w:val="0"/>
        <w:widowControl w:val="0"/>
        <w:numPr>
          <w:ilvl w:val="0"/>
          <w:numId w:val="47"/>
        </w:numPr>
        <w:shd w:val="clear" w:color="auto" w:fill="auto"/>
        <w:tabs>
          <w:tab w:pos="842" w:val="left"/>
        </w:tabs>
        <w:bidi w:val="0"/>
        <w:spacing w:before="0" w:after="0" w:line="313" w:lineRule="exact"/>
        <w:ind w:left="0" w:right="0" w:firstLine="440"/>
        <w:jc w:val="both"/>
        <w:rPr>
          <w:sz w:val="20"/>
          <w:szCs w:val="20"/>
        </w:rPr>
      </w:pPr>
      <w:bookmarkStart w:id="927" w:name="bookmark927"/>
      <w:bookmarkEnd w:id="927"/>
      <w:r>
        <w:rPr>
          <w:color w:val="000000"/>
          <w:spacing w:val="0"/>
          <w:w w:val="100"/>
          <w:position w:val="0"/>
          <w:sz w:val="20"/>
          <w:szCs w:val="20"/>
        </w:rPr>
        <w:t>可退还租金</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公司收到的须退回的租赁押金按照《企业会计准则第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号——金融工具确认和计量》的规定，初始确 认时按照公允价值计量。初始确认时公允价值与名义金额的差额视为承租人支付的额外的租赁付款额。</w:t>
      </w:r>
    </w:p>
    <w:p>
      <w:pPr>
        <w:pStyle w:val="Style13"/>
        <w:keepNext w:val="0"/>
        <w:keepLines w:val="0"/>
        <w:widowControl w:val="0"/>
        <w:numPr>
          <w:ilvl w:val="0"/>
          <w:numId w:val="47"/>
        </w:numPr>
        <w:shd w:val="clear" w:color="auto" w:fill="auto"/>
        <w:tabs>
          <w:tab w:pos="842" w:val="left"/>
        </w:tabs>
        <w:bidi w:val="0"/>
        <w:spacing w:before="0" w:after="0" w:line="313" w:lineRule="exact"/>
        <w:ind w:left="0" w:right="0" w:firstLine="440"/>
        <w:jc w:val="both"/>
        <w:rPr>
          <w:sz w:val="20"/>
          <w:szCs w:val="20"/>
        </w:rPr>
      </w:pPr>
      <w:bookmarkStart w:id="928" w:name="bookmark928"/>
      <w:bookmarkEnd w:id="928"/>
      <w:r>
        <w:rPr>
          <w:color w:val="000000"/>
          <w:spacing w:val="0"/>
          <w:w w:val="100"/>
          <w:position w:val="0"/>
          <w:sz w:val="20"/>
          <w:szCs w:val="20"/>
        </w:rPr>
        <w:t>转租赁</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公司作为转租出租人，将原租赁及转租赁合同作为两个合同单独核算。公司基于原租赁产生的使用权 资产，而不是原租赁的标的资产，对转租赁进行分类。</w:t>
      </w:r>
    </w:p>
    <w:p>
      <w:pPr>
        <w:pStyle w:val="Style13"/>
        <w:keepNext w:val="0"/>
        <w:keepLines w:val="0"/>
        <w:widowControl w:val="0"/>
        <w:numPr>
          <w:ilvl w:val="0"/>
          <w:numId w:val="47"/>
        </w:numPr>
        <w:shd w:val="clear" w:color="auto" w:fill="auto"/>
        <w:tabs>
          <w:tab w:pos="842" w:val="left"/>
        </w:tabs>
        <w:bidi w:val="0"/>
        <w:spacing w:before="0" w:after="0" w:line="313" w:lineRule="exact"/>
        <w:ind w:left="0" w:right="0" w:firstLine="440"/>
        <w:jc w:val="both"/>
        <w:rPr>
          <w:sz w:val="20"/>
          <w:szCs w:val="20"/>
        </w:rPr>
      </w:pPr>
      <w:bookmarkStart w:id="929" w:name="bookmark929"/>
      <w:bookmarkEnd w:id="929"/>
      <w:r>
        <w:rPr>
          <w:color w:val="000000"/>
          <w:spacing w:val="0"/>
          <w:w w:val="100"/>
          <w:position w:val="0"/>
          <w:sz w:val="20"/>
          <w:szCs w:val="20"/>
        </w:rPr>
        <w:t>租赁变更</w:t>
      </w:r>
    </w:p>
    <w:p>
      <w:pPr>
        <w:pStyle w:val="Style13"/>
        <w:keepNext w:val="0"/>
        <w:keepLines w:val="0"/>
        <w:widowControl w:val="0"/>
        <w:shd w:val="clear" w:color="auto" w:fill="auto"/>
        <w:bidi w:val="0"/>
        <w:spacing w:before="0" w:after="380" w:line="313" w:lineRule="exact"/>
        <w:ind w:left="0" w:right="0" w:firstLine="440"/>
        <w:jc w:val="both"/>
        <w:rPr>
          <w:sz w:val="20"/>
          <w:szCs w:val="20"/>
        </w:rPr>
      </w:pPr>
      <w:r>
        <w:rPr>
          <w:color w:val="000000"/>
          <w:spacing w:val="0"/>
          <w:w w:val="100"/>
          <w:position w:val="0"/>
          <w:sz w:val="20"/>
          <w:szCs w:val="20"/>
        </w:rPr>
        <w:t>经营租赁发生变更的，公司自变更生效日起将其作为一项新租赁进行会计处理，与变更前租赁有关的 预收或应收租赁收款额视为新租赁的收款额。</w:t>
      </w:r>
    </w:p>
    <w:p>
      <w:pPr>
        <w:pStyle w:val="Style23"/>
        <w:keepNext/>
        <w:keepLines/>
        <w:widowControl w:val="0"/>
        <w:shd w:val="clear" w:color="auto" w:fill="auto"/>
        <w:bidi w:val="0"/>
        <w:spacing w:before="0" w:after="200" w:line="326" w:lineRule="auto"/>
        <w:ind w:left="0" w:right="0" w:firstLine="0"/>
        <w:jc w:val="left"/>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36</w:t>
      </w:r>
      <w:r>
        <w:rPr>
          <w:color w:val="000000"/>
          <w:spacing w:val="0"/>
          <w:w w:val="100"/>
          <w:position w:val="0"/>
        </w:rPr>
        <w:t>、其他重要的会计政策和会计估计</w:t>
      </w:r>
      <w:bookmarkEnd w:id="930"/>
      <w:bookmarkEnd w:id="931"/>
      <w:bookmarkEnd w:id="932"/>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终止经营</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终止经营，是指企业满足下列条件之一的、能够单独区分的组成部分，且该组成部分已经处置或划分</w:t>
      </w:r>
    </w:p>
    <w:p>
      <w:pPr>
        <w:pStyle w:val="Style1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为持有待售类别：</w:t>
      </w:r>
    </w:p>
    <w:p>
      <w:pPr>
        <w:pStyle w:val="Style13"/>
        <w:keepNext w:val="0"/>
        <w:keepLines w:val="0"/>
        <w:widowControl w:val="0"/>
        <w:numPr>
          <w:ilvl w:val="0"/>
          <w:numId w:val="49"/>
        </w:numPr>
        <w:shd w:val="clear" w:color="auto" w:fill="auto"/>
        <w:tabs>
          <w:tab w:pos="837" w:val="left"/>
        </w:tabs>
        <w:bidi w:val="0"/>
        <w:spacing w:before="0" w:after="0" w:line="317" w:lineRule="exact"/>
        <w:ind w:left="0" w:right="0" w:firstLine="440"/>
        <w:jc w:val="both"/>
        <w:rPr>
          <w:sz w:val="20"/>
          <w:szCs w:val="20"/>
        </w:rPr>
      </w:pPr>
      <w:bookmarkStart w:id="933" w:name="bookmark933"/>
      <w:bookmarkEnd w:id="933"/>
      <w:r>
        <w:rPr>
          <w:color w:val="000000"/>
          <w:spacing w:val="0"/>
          <w:w w:val="100"/>
          <w:position w:val="0"/>
          <w:sz w:val="20"/>
          <w:szCs w:val="20"/>
        </w:rPr>
        <w:t>该组成部分代表一项独立的主要业务或一个单独的主要经营地区；</w:t>
      </w:r>
    </w:p>
    <w:p>
      <w:pPr>
        <w:pStyle w:val="Style13"/>
        <w:keepNext w:val="0"/>
        <w:keepLines w:val="0"/>
        <w:widowControl w:val="0"/>
        <w:numPr>
          <w:ilvl w:val="0"/>
          <w:numId w:val="49"/>
        </w:numPr>
        <w:shd w:val="clear" w:color="auto" w:fill="auto"/>
        <w:tabs>
          <w:tab w:pos="814" w:val="left"/>
        </w:tabs>
        <w:bidi w:val="0"/>
        <w:spacing w:before="0" w:after="0" w:line="317" w:lineRule="exact"/>
        <w:ind w:left="0" w:right="0" w:firstLine="440"/>
        <w:jc w:val="left"/>
        <w:rPr>
          <w:sz w:val="20"/>
          <w:szCs w:val="20"/>
        </w:rPr>
      </w:pPr>
      <w:bookmarkStart w:id="934" w:name="bookmark934"/>
      <w:bookmarkEnd w:id="934"/>
      <w:r>
        <w:rPr>
          <w:color w:val="000000"/>
          <w:spacing w:val="0"/>
          <w:w w:val="100"/>
          <w:position w:val="0"/>
          <w:sz w:val="20"/>
          <w:szCs w:val="20"/>
        </w:rPr>
        <w:t>该组成部分是拟对一项独立的主要业务或一个单独的主要经营地区进行处置的一项相关联计划的 一部分；</w:t>
      </w:r>
    </w:p>
    <w:p>
      <w:pPr>
        <w:pStyle w:val="Style13"/>
        <w:keepNext w:val="0"/>
        <w:keepLines w:val="0"/>
        <w:widowControl w:val="0"/>
        <w:numPr>
          <w:ilvl w:val="0"/>
          <w:numId w:val="49"/>
        </w:numPr>
        <w:shd w:val="clear" w:color="auto" w:fill="auto"/>
        <w:tabs>
          <w:tab w:pos="842" w:val="left"/>
        </w:tabs>
        <w:bidi w:val="0"/>
        <w:spacing w:before="0" w:after="0" w:line="317" w:lineRule="exact"/>
        <w:ind w:left="0" w:right="0" w:firstLine="440"/>
        <w:jc w:val="both"/>
        <w:rPr>
          <w:sz w:val="20"/>
          <w:szCs w:val="20"/>
        </w:rPr>
      </w:pPr>
      <w:bookmarkStart w:id="935" w:name="bookmark935"/>
      <w:bookmarkEnd w:id="935"/>
      <w:r>
        <w:rPr>
          <w:color w:val="000000"/>
          <w:spacing w:val="0"/>
          <w:w w:val="100"/>
          <w:position w:val="0"/>
          <w:sz w:val="20"/>
          <w:szCs w:val="20"/>
        </w:rPr>
        <w:t>该组成部分是专为转售而取得的子公司。</w:t>
      </w:r>
    </w:p>
    <w:p>
      <w:pPr>
        <w:pStyle w:val="Style13"/>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无。</w:t>
      </w:r>
    </w:p>
    <w:p>
      <w:pPr>
        <w:pStyle w:val="Style23"/>
        <w:keepNext/>
        <w:keepLines/>
        <w:widowControl w:val="0"/>
        <w:shd w:val="clear" w:color="auto" w:fill="auto"/>
        <w:bidi w:val="0"/>
        <w:spacing w:before="0" w:after="200" w:line="331"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37</w:t>
      </w:r>
      <w:r>
        <w:rPr>
          <w:color w:val="000000"/>
          <w:spacing w:val="0"/>
          <w:w w:val="100"/>
          <w:position w:val="0"/>
        </w:rPr>
        <w:t>、重要会计政策和会计估计变更</w:t>
      </w:r>
      <w:bookmarkEnd w:id="936"/>
      <w:bookmarkEnd w:id="937"/>
      <w:bookmarkEnd w:id="938"/>
    </w:p>
    <w:p>
      <w:pPr>
        <w:pStyle w:val="Style29"/>
        <w:keepNext/>
        <w:keepLines/>
        <w:widowControl w:val="0"/>
        <w:shd w:val="clear" w:color="auto" w:fill="auto"/>
        <w:bidi w:val="0"/>
        <w:spacing w:before="0" w:line="317" w:lineRule="exact"/>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9"/>
      <w:bookmarkEnd w:id="940"/>
      <w:bookmarkEnd w:id="94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执行新租赁准则对本公司的影响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年修订的《企业会计准则第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号——租赁》，变更后的会计 政策详见附注三、（三十一）租赁。</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此外，本公司对上述租赁合同选择按照《企业会计准则第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方法和采用相关简化处理，具体如下：本公司对低价值资产租赁的会计政策为不确认使用权资产和租赁负 债。根据新租赁准则的衔接规定，本公司在首次执行日前的低价值资产租赁，自首次执行日起按照新租赁 准则进行会计处理，不对低价值资产租赁进行追溯调整。</w:t>
      </w:r>
    </w:p>
    <w:p>
      <w:pPr>
        <w:pStyle w:val="Style13"/>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执行新租赁准则影响</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日合并财务报表年初使用权资产增加</w:t>
      </w:r>
      <w:r>
        <w:rPr>
          <w:rFonts w:ascii="Times New Roman" w:eastAsia="Times New Roman" w:hAnsi="Times New Roman" w:cs="Times New Roman"/>
          <w:color w:val="000000"/>
          <w:spacing w:val="0"/>
          <w:w w:val="100"/>
          <w:position w:val="0"/>
          <w:sz w:val="20"/>
          <w:szCs w:val="20"/>
        </w:rPr>
        <w:t>467,569.23</w:t>
      </w:r>
      <w:r>
        <w:rPr>
          <w:color w:val="000000"/>
          <w:spacing w:val="0"/>
          <w:w w:val="100"/>
          <w:position w:val="0"/>
          <w:sz w:val="20"/>
          <w:szCs w:val="20"/>
        </w:rPr>
        <w:t>元、相应增加一年内 到期的非流动负债</w:t>
      </w:r>
      <w:r>
        <w:rPr>
          <w:rFonts w:ascii="Times New Roman" w:eastAsia="Times New Roman" w:hAnsi="Times New Roman" w:cs="Times New Roman"/>
          <w:color w:val="000000"/>
          <w:spacing w:val="0"/>
          <w:w w:val="100"/>
          <w:position w:val="0"/>
          <w:sz w:val="20"/>
          <w:szCs w:val="20"/>
        </w:rPr>
        <w:t>467,569.23</w:t>
      </w:r>
      <w:r>
        <w:rPr>
          <w:color w:val="000000"/>
          <w:spacing w:val="0"/>
          <w:w w:val="100"/>
          <w:position w:val="0"/>
          <w:sz w:val="20"/>
          <w:szCs w:val="20"/>
        </w:rPr>
        <w:t>元，不影响公司母公司财务报表。</w:t>
      </w:r>
    </w:p>
    <w:p>
      <w:pPr>
        <w:pStyle w:val="Style29"/>
        <w:keepNext/>
        <w:keepLines/>
        <w:widowControl w:val="0"/>
        <w:shd w:val="clear" w:color="auto" w:fill="auto"/>
        <w:tabs>
          <w:tab w:pos="483" w:val="left"/>
        </w:tabs>
        <w:bidi w:val="0"/>
        <w:spacing w:before="0" w:after="280" w:line="314" w:lineRule="exact"/>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43"/>
      <w:bookmarkEnd w:id="944"/>
      <w:bookmarkEnd w:id="946"/>
    </w:p>
    <w:p>
      <w:pPr>
        <w:pStyle w:val="Style16"/>
        <w:keepNext w:val="0"/>
        <w:keepLines w:val="0"/>
        <w:widowControl w:val="0"/>
        <w:shd w:val="clear" w:color="auto" w:fill="auto"/>
        <w:bidi w:val="0"/>
        <w:spacing w:before="0" w:after="280" w:line="32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314" w:lineRule="exact"/>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47"/>
      <w:bookmarkEnd w:id="948"/>
      <w:bookmarkEnd w:id="950"/>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不需要调整年初资产负债表科目的原因说明</w:t>
      </w:r>
    </w:p>
    <w:p>
      <w:pPr>
        <w:pStyle w:val="Style13"/>
        <w:keepNext w:val="0"/>
        <w:keepLines w:val="0"/>
        <w:widowControl w:val="0"/>
        <w:shd w:val="clear" w:color="auto" w:fill="auto"/>
        <w:bidi w:val="0"/>
        <w:spacing w:before="0" w:after="280" w:line="322" w:lineRule="exact"/>
        <w:ind w:left="0" w:right="0" w:firstLine="440"/>
        <w:jc w:val="left"/>
        <w:rPr>
          <w:sz w:val="20"/>
          <w:szCs w:val="20"/>
        </w:rPr>
      </w:pPr>
      <w:r>
        <w:rPr>
          <w:color w:val="000000"/>
          <w:spacing w:val="0"/>
          <w:w w:val="100"/>
          <w:position w:val="0"/>
          <w:sz w:val="20"/>
          <w:szCs w:val="20"/>
        </w:rPr>
        <w:t>执行新租赁准则影响</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日合并财务报表年初使用权资产增加</w:t>
      </w:r>
      <w:r>
        <w:rPr>
          <w:rFonts w:ascii="Times New Roman" w:eastAsia="Times New Roman" w:hAnsi="Times New Roman" w:cs="Times New Roman"/>
          <w:color w:val="000000"/>
          <w:spacing w:val="0"/>
          <w:w w:val="100"/>
          <w:position w:val="0"/>
          <w:sz w:val="20"/>
          <w:szCs w:val="20"/>
        </w:rPr>
        <w:t>467,569.23</w:t>
      </w:r>
      <w:r>
        <w:rPr>
          <w:color w:val="000000"/>
          <w:spacing w:val="0"/>
          <w:w w:val="100"/>
          <w:position w:val="0"/>
          <w:sz w:val="20"/>
          <w:szCs w:val="20"/>
        </w:rPr>
        <w:t>元、相应增加一年内 到期的非流动负债</w:t>
      </w:r>
      <w:r>
        <w:rPr>
          <w:rFonts w:ascii="Times New Roman" w:eastAsia="Times New Roman" w:hAnsi="Times New Roman" w:cs="Times New Roman"/>
          <w:color w:val="000000"/>
          <w:spacing w:val="0"/>
          <w:w w:val="100"/>
          <w:position w:val="0"/>
          <w:sz w:val="20"/>
          <w:szCs w:val="20"/>
        </w:rPr>
        <w:t>467,569.23</w:t>
      </w:r>
      <w:r>
        <w:rPr>
          <w:color w:val="000000"/>
          <w:spacing w:val="0"/>
          <w:w w:val="100"/>
          <w:position w:val="0"/>
          <w:sz w:val="20"/>
          <w:szCs w:val="20"/>
        </w:rPr>
        <w:t>元，不影响公司母公司财务报表。</w:t>
      </w:r>
    </w:p>
    <w:p>
      <w:pPr>
        <w:pStyle w:val="Style29"/>
        <w:keepNext/>
        <w:keepLines/>
        <w:widowControl w:val="0"/>
        <w:shd w:val="clear" w:color="auto" w:fill="auto"/>
        <w:tabs>
          <w:tab w:pos="483" w:val="left"/>
        </w:tabs>
        <w:bidi w:val="0"/>
        <w:spacing w:before="0" w:line="314"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51"/>
      <w:bookmarkEnd w:id="952"/>
      <w:bookmarkEnd w:id="954"/>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600" w:line="317" w:lineRule="exact"/>
        <w:ind w:left="0" w:right="0" w:firstLine="440"/>
        <w:jc w:val="both"/>
        <w:rPr>
          <w:sz w:val="20"/>
          <w:szCs w:val="20"/>
        </w:rPr>
      </w:pPr>
      <w:r>
        <w:rPr>
          <w:color w:val="000000"/>
          <w:spacing w:val="0"/>
          <w:w w:val="100"/>
          <w:position w:val="0"/>
          <w:sz w:val="20"/>
          <w:szCs w:val="20"/>
        </w:rPr>
        <w:t>执行新租赁准则影响</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日合并财务报表年初使用权资产增加</w:t>
      </w:r>
      <w:r>
        <w:rPr>
          <w:rFonts w:ascii="Times New Roman" w:eastAsia="Times New Roman" w:hAnsi="Times New Roman" w:cs="Times New Roman"/>
          <w:color w:val="000000"/>
          <w:spacing w:val="0"/>
          <w:w w:val="100"/>
          <w:position w:val="0"/>
          <w:sz w:val="20"/>
          <w:szCs w:val="20"/>
        </w:rPr>
        <w:t>467,569.23</w:t>
      </w:r>
      <w:r>
        <w:rPr>
          <w:color w:val="000000"/>
          <w:spacing w:val="0"/>
          <w:w w:val="100"/>
          <w:position w:val="0"/>
          <w:sz w:val="20"/>
          <w:szCs w:val="20"/>
        </w:rPr>
        <w:t>元、相应增加一年内 到期的非流动负债</w:t>
      </w:r>
      <w:r>
        <w:rPr>
          <w:rFonts w:ascii="Times New Roman" w:eastAsia="Times New Roman" w:hAnsi="Times New Roman" w:cs="Times New Roman"/>
          <w:color w:val="000000"/>
          <w:spacing w:val="0"/>
          <w:w w:val="100"/>
          <w:position w:val="0"/>
          <w:sz w:val="20"/>
          <w:szCs w:val="20"/>
        </w:rPr>
        <w:t>467,569.23</w:t>
      </w:r>
      <w:r>
        <w:rPr>
          <w:color w:val="000000"/>
          <w:spacing w:val="0"/>
          <w:w w:val="100"/>
          <w:position w:val="0"/>
          <w:sz w:val="20"/>
          <w:szCs w:val="20"/>
        </w:rPr>
        <w:t>元，不影响公司母公司财务报表。</w:t>
      </w:r>
    </w:p>
    <w:p>
      <w:pPr>
        <w:pStyle w:val="Style23"/>
        <w:keepNext/>
        <w:keepLines/>
        <w:widowControl w:val="0"/>
        <w:shd w:val="clear" w:color="auto" w:fill="auto"/>
        <w:bidi w:val="0"/>
        <w:spacing w:before="0" w:after="300" w:line="311" w:lineRule="exact"/>
        <w:ind w:left="0" w:right="0" w:firstLine="0"/>
        <w:jc w:val="both"/>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38</w:t>
      </w:r>
      <w:r>
        <w:rPr>
          <w:color w:val="000000"/>
          <w:spacing w:val="0"/>
          <w:w w:val="100"/>
          <w:position w:val="0"/>
        </w:rPr>
        <w:t>、其他</w:t>
      </w:r>
      <w:bookmarkEnd w:id="955"/>
      <w:bookmarkEnd w:id="956"/>
      <w:bookmarkEnd w:id="957"/>
    </w:p>
    <w:p>
      <w:pPr>
        <w:pStyle w:val="Style23"/>
        <w:keepNext/>
        <w:keepLines/>
        <w:widowControl w:val="0"/>
        <w:shd w:val="clear" w:color="auto" w:fill="auto"/>
        <w:bidi w:val="0"/>
        <w:spacing w:before="0" w:after="80" w:line="311" w:lineRule="exact"/>
        <w:ind w:left="0" w:right="0" w:firstLine="0"/>
        <w:jc w:val="both"/>
      </w:pPr>
      <w:bookmarkStart w:id="955" w:name="bookmark955"/>
      <w:bookmarkStart w:id="956" w:name="bookmark956"/>
      <w:r>
        <w:rPr>
          <w:color w:val="000000"/>
          <w:spacing w:val="0"/>
          <w:w w:val="100"/>
          <w:position w:val="0"/>
        </w:rPr>
        <w:t>重大会计差错更正</w:t>
      </w:r>
      <w:bookmarkEnd w:id="955"/>
      <w:bookmarkEnd w:id="956"/>
    </w:p>
    <w:p>
      <w:pPr>
        <w:pStyle w:val="Style13"/>
        <w:keepNext w:val="0"/>
        <w:keepLines w:val="0"/>
        <w:widowControl w:val="0"/>
        <w:numPr>
          <w:ilvl w:val="0"/>
          <w:numId w:val="51"/>
        </w:numPr>
        <w:shd w:val="clear" w:color="auto" w:fill="auto"/>
        <w:tabs>
          <w:tab w:pos="750" w:val="left"/>
        </w:tabs>
        <w:bidi w:val="0"/>
        <w:spacing w:before="0" w:after="0" w:line="324" w:lineRule="auto"/>
        <w:ind w:left="0" w:right="0" w:firstLine="440"/>
        <w:jc w:val="both"/>
        <w:rPr>
          <w:sz w:val="20"/>
          <w:szCs w:val="20"/>
        </w:rPr>
      </w:pPr>
      <w:bookmarkStart w:id="958" w:name="bookmark958"/>
      <w:bookmarkEnd w:id="958"/>
      <w:r>
        <w:rPr>
          <w:color w:val="000000"/>
          <w:spacing w:val="0"/>
          <w:w w:val="100"/>
          <w:position w:val="0"/>
          <w:sz w:val="20"/>
          <w:szCs w:val="20"/>
        </w:rPr>
        <w:t>会计差错更正的内容</w:t>
      </w:r>
    </w:p>
    <w:p>
      <w:pPr>
        <w:pStyle w:val="Style13"/>
        <w:keepNext w:val="0"/>
        <w:keepLines w:val="0"/>
        <w:widowControl w:val="0"/>
        <w:shd w:val="clear" w:color="auto" w:fill="auto"/>
        <w:tabs>
          <w:tab w:pos="928" w:val="left"/>
        </w:tabs>
        <w:bidi w:val="0"/>
        <w:spacing w:before="0" w:after="0" w:line="311" w:lineRule="exact"/>
        <w:ind w:left="0" w:right="0" w:firstLine="440"/>
        <w:jc w:val="both"/>
        <w:rPr>
          <w:sz w:val="20"/>
          <w:szCs w:val="20"/>
        </w:rPr>
      </w:pPr>
      <w:bookmarkStart w:id="959" w:name="bookmark959"/>
      <w:r>
        <w:rPr>
          <w:color w:val="000000"/>
          <w:spacing w:val="0"/>
          <w:w w:val="100"/>
          <w:position w:val="0"/>
          <w:sz w:val="20"/>
          <w:szCs w:val="20"/>
        </w:rPr>
        <w:t>（</w:t>
      </w:r>
      <w:bookmarkEnd w:id="95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子公司股权处置</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日召开董事会，审议通过了《关于前期会计差错更正的的议案》。为了更加客观 地反映本公司对长城瓷艺股权投资的计量和披露，根据《企业会计准则第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金融工具确认和计量（</w:t>
      </w: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修订）》、《企业会计准则第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会计政策、会计估计变更和差错更正》的相关规定，对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年度财务 报表进行了追溯重述；其中资产负债表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年期末数调增其他权益工具投资</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2,358.22</w:t>
      </w:r>
      <w:r>
        <w:rPr>
          <w:color w:val="000000"/>
          <w:spacing w:val="0"/>
          <w:w w:val="100"/>
          <w:position w:val="0"/>
          <w:sz w:val="20"/>
          <w:szCs w:val="20"/>
        </w:rPr>
        <w:t>万元、调减其他应收 款原值</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4,832.37</w:t>
      </w:r>
      <w:r>
        <w:rPr>
          <w:color w:val="000000"/>
          <w:spacing w:val="0"/>
          <w:w w:val="100"/>
          <w:position w:val="0"/>
          <w:sz w:val="20"/>
          <w:szCs w:val="20"/>
        </w:rPr>
        <w:t>万元及其他应收款坏账准备</w:t>
      </w:r>
      <w:r>
        <w:rPr>
          <w:rFonts w:ascii="Times New Roman" w:eastAsia="Times New Roman" w:hAnsi="Times New Roman" w:cs="Times New Roman"/>
          <w:color w:val="000000"/>
          <w:spacing w:val="0"/>
          <w:w w:val="100"/>
          <w:position w:val="0"/>
          <w:sz w:val="20"/>
          <w:szCs w:val="20"/>
        </w:rPr>
        <w:t>5,932.95</w:t>
      </w:r>
      <w:r>
        <w:rPr>
          <w:color w:val="000000"/>
          <w:spacing w:val="0"/>
          <w:w w:val="100"/>
          <w:position w:val="0"/>
          <w:sz w:val="20"/>
          <w:szCs w:val="20"/>
        </w:rPr>
        <w:t>万元、调增其他应付款</w:t>
      </w:r>
      <w:r>
        <w:rPr>
          <w:rFonts w:ascii="Times New Roman" w:eastAsia="Times New Roman" w:hAnsi="Times New Roman" w:cs="Times New Roman"/>
          <w:color w:val="000000"/>
          <w:spacing w:val="0"/>
          <w:w w:val="100"/>
          <w:position w:val="0"/>
          <w:sz w:val="20"/>
          <w:szCs w:val="20"/>
        </w:rPr>
        <w:t>3,458.</w:t>
      </w:r>
      <w:r>
        <w:rPr>
          <w:rFonts w:ascii="Times New Roman" w:eastAsia="Times New Roman" w:hAnsi="Times New Roman" w:cs="Times New Roman"/>
          <w:color w:val="000000"/>
          <w:spacing w:val="0"/>
          <w:w w:val="100"/>
          <w:position w:val="0"/>
          <w:sz w:val="20"/>
          <w:szCs w:val="20"/>
        </w:rPr>
        <w:t>79</w:t>
      </w:r>
      <w:r>
        <w:rPr>
          <w:color w:val="000000"/>
          <w:spacing w:val="0"/>
          <w:w w:val="100"/>
          <w:position w:val="0"/>
          <w:sz w:val="20"/>
          <w:szCs w:val="20"/>
        </w:rPr>
        <w:t>万元、调增其他综合收 益</w:t>
      </w:r>
      <w:r>
        <w:rPr>
          <w:color w:val="000000"/>
          <w:spacing w:val="0"/>
          <w:w w:val="100"/>
          <w:position w:val="0"/>
          <w:sz w:val="20"/>
          <w:szCs w:val="20"/>
        </w:rPr>
        <w:t>一</w:t>
      </w:r>
      <w:r>
        <w:rPr>
          <w:color w:val="000000"/>
          <w:spacing w:val="0"/>
          <w:w w:val="100"/>
          <w:position w:val="0"/>
          <w:sz w:val="20"/>
          <w:szCs w:val="20"/>
        </w:rPr>
        <w:t>公允价值变动损益</w:t>
      </w:r>
      <w:r>
        <w:rPr>
          <w:rFonts w:ascii="Times New Roman" w:eastAsia="Times New Roman" w:hAnsi="Times New Roman" w:cs="Times New Roman"/>
          <w:color w:val="000000"/>
          <w:spacing w:val="0"/>
          <w:w w:val="100"/>
          <w:position w:val="0"/>
          <w:sz w:val="20"/>
          <w:szCs w:val="20"/>
        </w:rPr>
        <w:t>-9,641.78</w:t>
      </w:r>
      <w:r>
        <w:rPr>
          <w:color w:val="000000"/>
          <w:spacing w:val="0"/>
          <w:w w:val="100"/>
          <w:position w:val="0"/>
          <w:sz w:val="20"/>
          <w:szCs w:val="20"/>
        </w:rPr>
        <w:t>万元、未分配利润调增</w:t>
      </w:r>
      <w:r>
        <w:rPr>
          <w:rFonts w:ascii="Times New Roman" w:eastAsia="Times New Roman" w:hAnsi="Times New Roman" w:cs="Times New Roman"/>
          <w:color w:val="000000"/>
          <w:spacing w:val="0"/>
          <w:w w:val="100"/>
          <w:position w:val="0"/>
          <w:sz w:val="20"/>
          <w:szCs w:val="20"/>
        </w:rPr>
        <w:t>9,352.61</w:t>
      </w:r>
      <w:r>
        <w:rPr>
          <w:color w:val="000000"/>
          <w:spacing w:val="0"/>
          <w:w w:val="100"/>
          <w:position w:val="0"/>
          <w:sz w:val="20"/>
          <w:szCs w:val="20"/>
        </w:rPr>
        <w:t>万元；利润表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年度本期金额调减信用减 值损失</w:t>
      </w:r>
      <w:r>
        <w:rPr>
          <w:rFonts w:ascii="Times New Roman" w:eastAsia="Times New Roman" w:hAnsi="Times New Roman" w:cs="Times New Roman"/>
          <w:color w:val="000000"/>
          <w:spacing w:val="0"/>
          <w:w w:val="100"/>
          <w:position w:val="0"/>
          <w:sz w:val="20"/>
          <w:szCs w:val="20"/>
        </w:rPr>
        <w:t>5,932.95</w:t>
      </w:r>
      <w:r>
        <w:rPr>
          <w:color w:val="000000"/>
          <w:spacing w:val="0"/>
          <w:w w:val="100"/>
          <w:position w:val="0"/>
          <w:sz w:val="20"/>
          <w:szCs w:val="20"/>
        </w:rPr>
        <w:t>万元、相应调增其他权益工具投资公允价值变动；调减投资收益</w:t>
      </w:r>
      <w:r>
        <w:rPr>
          <w:rFonts w:ascii="Times New Roman" w:eastAsia="Times New Roman" w:hAnsi="Times New Roman" w:cs="Times New Roman"/>
          <w:color w:val="000000"/>
          <w:spacing w:val="0"/>
          <w:w w:val="100"/>
          <w:position w:val="0"/>
          <w:sz w:val="20"/>
          <w:szCs w:val="20"/>
        </w:rPr>
        <w:t>5,643.78</w:t>
      </w:r>
      <w:r>
        <w:rPr>
          <w:color w:val="000000"/>
          <w:spacing w:val="0"/>
          <w:w w:val="100"/>
          <w:position w:val="0"/>
          <w:sz w:val="20"/>
          <w:szCs w:val="20"/>
        </w:rPr>
        <w:t>万元。</w:t>
      </w:r>
    </w:p>
    <w:p>
      <w:pPr>
        <w:pStyle w:val="Style13"/>
        <w:keepNext w:val="0"/>
        <w:keepLines w:val="0"/>
        <w:widowControl w:val="0"/>
        <w:shd w:val="clear" w:color="auto" w:fill="auto"/>
        <w:tabs>
          <w:tab w:pos="928" w:val="left"/>
        </w:tabs>
        <w:bidi w:val="0"/>
        <w:spacing w:before="0" w:after="0" w:line="311" w:lineRule="exact"/>
        <w:ind w:left="0" w:right="0" w:firstLine="440"/>
        <w:jc w:val="both"/>
        <w:rPr>
          <w:sz w:val="20"/>
          <w:szCs w:val="20"/>
        </w:rPr>
      </w:pPr>
      <w:bookmarkStart w:id="960" w:name="bookmark960"/>
      <w:r>
        <w:rPr>
          <w:color w:val="000000"/>
          <w:spacing w:val="0"/>
          <w:w w:val="100"/>
          <w:position w:val="0"/>
          <w:sz w:val="20"/>
          <w:szCs w:val="20"/>
        </w:rPr>
        <w:t>（</w:t>
      </w:r>
      <w:bookmarkEnd w:id="96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控股股东非经营性资金占用</w:t>
      </w:r>
    </w:p>
    <w:p>
      <w:pPr>
        <w:pStyle w:val="Style13"/>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公司报告期通过自查整改，对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年度子公司潮州市长城世家瓷业有限公司通过名源陶瓷和源发陶瓷 暂估采购未收货金额进行了调整，相应调整增加应收名源陶瓷</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45.12</w:t>
      </w:r>
      <w:r>
        <w:rPr>
          <w:color w:val="000000"/>
          <w:spacing w:val="0"/>
          <w:w w:val="100"/>
          <w:position w:val="0"/>
          <w:sz w:val="20"/>
          <w:szCs w:val="20"/>
        </w:rPr>
        <w:t>万元、源发陶瓷</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,088.25</w:t>
      </w:r>
      <w:r>
        <w:rPr>
          <w:color w:val="000000"/>
          <w:spacing w:val="0"/>
          <w:w w:val="100"/>
          <w:position w:val="0"/>
          <w:sz w:val="20"/>
          <w:szCs w:val="20"/>
        </w:rPr>
        <w:t>万元，相应调 减主营业务成本</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,333.37</w:t>
      </w:r>
      <w:r>
        <w:rPr>
          <w:color w:val="000000"/>
          <w:spacing w:val="0"/>
          <w:w w:val="100"/>
          <w:position w:val="0"/>
          <w:sz w:val="20"/>
          <w:szCs w:val="20"/>
        </w:rPr>
        <w:t>万元。</w:t>
      </w:r>
    </w:p>
    <w:p>
      <w:pPr>
        <w:pStyle w:val="Style13"/>
        <w:keepNext w:val="0"/>
        <w:keepLines w:val="0"/>
        <w:widowControl w:val="0"/>
        <w:numPr>
          <w:ilvl w:val="0"/>
          <w:numId w:val="51"/>
        </w:numPr>
        <w:shd w:val="clear" w:color="auto" w:fill="auto"/>
        <w:tabs>
          <w:tab w:pos="774" w:val="left"/>
        </w:tabs>
        <w:bidi w:val="0"/>
        <w:spacing w:before="0" w:after="180" w:line="312" w:lineRule="exact"/>
        <w:ind w:left="0" w:right="0" w:firstLine="440"/>
        <w:jc w:val="both"/>
        <w:rPr>
          <w:sz w:val="20"/>
          <w:szCs w:val="20"/>
        </w:rPr>
      </w:pPr>
      <w:bookmarkStart w:id="961" w:name="bookmark961"/>
      <w:bookmarkEnd w:id="961"/>
      <w:r>
        <w:rPr>
          <w:color w:val="000000"/>
          <w:spacing w:val="0"/>
          <w:w w:val="100"/>
          <w:position w:val="0"/>
          <w:sz w:val="20"/>
          <w:szCs w:val="20"/>
        </w:rPr>
        <w:t>会计差错更正对财务报表的影响</w:t>
      </w: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p>
      <w:pPr>
        <w:pStyle w:val="Style13"/>
        <w:keepNext w:val="0"/>
        <w:keepLines w:val="0"/>
        <w:widowControl w:val="0"/>
        <w:shd w:val="clear" w:color="auto" w:fill="auto"/>
        <w:bidi w:val="0"/>
        <w:spacing w:before="0" w:after="0" w:line="311" w:lineRule="exact"/>
        <w:ind w:left="8200" w:right="0" w:firstLine="0"/>
        <w:jc w:val="both"/>
        <w:rPr>
          <w:sz w:val="20"/>
          <w:szCs w:val="20"/>
        </w:rPr>
      </w:pPr>
      <w:r>
        <w:rPr>
          <w:color w:val="000000"/>
          <w:spacing w:val="0"/>
          <w:w w:val="100"/>
          <w:position w:val="0"/>
          <w:sz w:val="20"/>
          <w:szCs w:val="20"/>
        </w:rPr>
        <w:t>单位：人民币元</w:t>
      </w:r>
    </w:p>
    <w:tbl>
      <w:tblPr>
        <w:tblOverlap w:val="never"/>
        <w:jc w:val="center"/>
        <w:tblLayout w:type="fixed"/>
      </w:tblPr>
      <w:tblGrid>
        <w:gridCol w:w="2266"/>
        <w:gridCol w:w="2246"/>
        <w:gridCol w:w="2246"/>
        <w:gridCol w:w="2299"/>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受影响的会计科目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更正金额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更正后</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284,582,603.35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-75,660,535.60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208,922,067.75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798,470,382.88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123,582,181.68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922,052,564.56</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47,921,646.08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864,892,606.01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34,587,944.39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899,480,550.40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-1,217,618,435.20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-96,417,818.32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-1,314,036253.52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-543,924,158.94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109,751,520.01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-434,172,638.93</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负债及股东权益合计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47,921,646.08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bl>
    <w:p>
      <w:pPr>
        <w:widowControl w:val="0"/>
        <w:spacing w:after="119" w:line="1" w:lineRule="exact"/>
      </w:pPr>
    </w:p>
    <w:p>
      <w:pPr>
        <w:pStyle w:val="Style13"/>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母公司资产负债表</w:t>
      </w:r>
    </w:p>
    <w:p>
      <w:pPr>
        <w:pStyle w:val="Style13"/>
        <w:keepNext w:val="0"/>
        <w:keepLines w:val="0"/>
        <w:widowControl w:val="0"/>
        <w:shd w:val="clear" w:color="auto" w:fill="auto"/>
        <w:bidi w:val="0"/>
        <w:spacing w:before="0" w:after="80" w:line="240" w:lineRule="auto"/>
        <w:ind w:left="8200" w:right="0" w:firstLine="0"/>
        <w:jc w:val="both"/>
        <w:rPr>
          <w:sz w:val="20"/>
          <w:szCs w:val="20"/>
        </w:rPr>
      </w:pPr>
      <w:r>
        <w:rPr>
          <w:color w:val="000000"/>
          <w:spacing w:val="0"/>
          <w:w w:val="100"/>
          <w:position w:val="0"/>
          <w:sz w:val="20"/>
          <w:szCs w:val="20"/>
        </w:rPr>
        <w:t>单位：人民币元</w:t>
      </w:r>
    </w:p>
    <w:tbl>
      <w:tblPr>
        <w:tblOverlap w:val="never"/>
        <w:jc w:val="center"/>
        <w:tblLayout w:type="fixed"/>
      </w:tblPr>
      <w:tblGrid>
        <w:gridCol w:w="2434"/>
        <w:gridCol w:w="2184"/>
        <w:gridCol w:w="2198"/>
        <w:gridCol w:w="2242"/>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受影响的会计科目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更正前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更正金额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更正后</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522,558,675.14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-75,660,535.60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446,898,139.54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630,356,104.65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123,582,181.68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753,938,286.33</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47,921,646.08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927,169,468.70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47,921,646.08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975,091,114.78</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-1,217,618,435.20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-96,417,818.32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-1,314,036253.52</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-439,762,116.57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96,417,818.32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-343,344,298.25</w:t>
            </w:r>
          </w:p>
        </w:tc>
      </w:tr>
    </w:tbl>
    <w:p>
      <w:pPr>
        <w:spacing w:lineRule="exact" w:line="1"/>
        <w:rPr>
          <w:sz w:val="2"/>
          <w:szCs w:val="2"/>
        </w:rPr>
      </w:pPr>
      <w:r>
        <w:br w:type="page"/>
      </w:r>
    </w:p>
    <w:p>
      <w:pPr>
        <w:pStyle w:val="Style66"/>
        <w:keepNext w:val="0"/>
        <w:keepLines w:val="0"/>
        <w:widowControl w:val="0"/>
        <w:shd w:val="clear" w:color="auto" w:fill="auto"/>
        <w:tabs>
          <w:tab w:pos="3293" w:val="left"/>
          <w:tab w:pos="5746" w:val="left"/>
          <w:tab w:pos="7690" w:val="left"/>
        </w:tabs>
        <w:bidi w:val="0"/>
        <w:spacing w:before="0" w:after="240" w:line="240" w:lineRule="auto"/>
        <w:ind w:left="0" w:right="0" w:firstLine="0"/>
        <w:jc w:val="left"/>
      </w:pPr>
      <w:r>
        <w:rPr>
          <w:rFonts w:ascii="SimSun" w:eastAsia="SimSun" w:hAnsi="SimSun" w:cs="SimSun"/>
          <w:color w:val="000000"/>
          <w:spacing w:val="0"/>
          <w:w w:val="100"/>
          <w:position w:val="0"/>
          <w:sz w:val="17"/>
          <w:szCs w:val="17"/>
        </w:rPr>
        <w:t>负债及股东权益合计</w:t>
        <w:tab/>
        <w:t>——</w:t>
        <w:tab/>
      </w:r>
      <w:r>
        <w:rPr>
          <w:color w:val="000000"/>
          <w:spacing w:val="0"/>
          <w:w w:val="100"/>
          <w:position w:val="0"/>
        </w:rPr>
        <w:t>47,921,646.08</w:t>
        <w:tab/>
      </w:r>
      <w:r>
        <w:rPr>
          <w:color w:val="000000"/>
          <w:spacing w:val="0"/>
          <w:w w:val="100"/>
          <w:position w:val="0"/>
        </w:rPr>
        <w:t>——</w:t>
      </w:r>
    </w:p>
    <w:p>
      <w:pPr>
        <w:pStyle w:val="Style13"/>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合并利润表</w:t>
      </w:r>
    </w:p>
    <w:p>
      <w:pPr>
        <w:pStyle w:val="Style13"/>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单位：人民币元</w:t>
      </w:r>
    </w:p>
    <w:tbl>
      <w:tblPr>
        <w:tblOverlap w:val="never"/>
        <w:jc w:val="center"/>
        <w:tblLayout w:type="fixed"/>
      </w:tblPr>
      <w:tblGrid>
        <w:gridCol w:w="3312"/>
        <w:gridCol w:w="1896"/>
        <w:gridCol w:w="1910"/>
        <w:gridCol w:w="1939"/>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受影响的会计科目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更正前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更正金额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更正后</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252,054,523.18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-13,333,701.69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238,720,821.49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78,957,959.84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-13,333,701.69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65,624258.15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51221,803.11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-56,437,777.01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-5,215,973.90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-143,982,963.48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-84,653,471.96</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-228,837,002.51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16225,416.20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-212,611,586.31</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-232,502,105.75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16225,416.20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-216,276,689.55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-233,363,485.38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16225,416.20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-217,138,069.18</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-234,061,549.38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-43,104,075.32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-277,165,624.70</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母公司利润表</w:t>
      </w:r>
    </w:p>
    <w:p>
      <w:pPr>
        <w:pStyle w:val="Style13"/>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单位：人民币元</w:t>
      </w:r>
    </w:p>
    <w:tbl>
      <w:tblPr>
        <w:tblOverlap w:val="never"/>
        <w:jc w:val="center"/>
        <w:tblLayout w:type="fixed"/>
      </w:tblPr>
      <w:tblGrid>
        <w:gridCol w:w="3106"/>
        <w:gridCol w:w="2064"/>
        <w:gridCol w:w="1973"/>
        <w:gridCol w:w="1915"/>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更正前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更正后</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-72,093,406.64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-12,763,915.12</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-153,009,922.83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-93,680,431.31</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-156,691,202.10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-97,361,710.58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-156,691,202.10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-97,361,710.58</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-60,027,555.52</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-698,064.00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-59,329,491.52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-60,027,555.52</w:t>
            </w:r>
          </w:p>
        </w:tc>
      </w:tr>
    </w:tbl>
    <w:p>
      <w:pPr>
        <w:widowControl w:val="0"/>
        <w:spacing w:after="39" w:line="1" w:lineRule="exact"/>
      </w:pPr>
    </w:p>
    <w:p>
      <w:pPr>
        <w:pStyle w:val="Style13"/>
        <w:keepNext w:val="0"/>
        <w:keepLines w:val="0"/>
        <w:widowControl w:val="0"/>
        <w:numPr>
          <w:ilvl w:val="0"/>
          <w:numId w:val="51"/>
        </w:numPr>
        <w:shd w:val="clear" w:color="auto" w:fill="auto"/>
        <w:bidi w:val="0"/>
        <w:spacing w:before="0" w:after="120" w:line="240" w:lineRule="auto"/>
        <w:ind w:left="0" w:right="0" w:firstLine="440"/>
        <w:jc w:val="both"/>
        <w:rPr>
          <w:sz w:val="20"/>
          <w:szCs w:val="20"/>
        </w:rPr>
      </w:pPr>
      <w:bookmarkStart w:id="962" w:name="bookmark962"/>
      <w:bookmarkEnd w:id="962"/>
      <w:r>
        <w:rPr>
          <w:color w:val="000000"/>
          <w:spacing w:val="0"/>
          <w:w w:val="100"/>
          <w:position w:val="0"/>
          <w:sz w:val="20"/>
          <w:szCs w:val="20"/>
        </w:rPr>
        <w:t>本次会计差错更正对公司净损益、净资产的影响</w:t>
      </w:r>
    </w:p>
    <w:p>
      <w:pPr>
        <w:pStyle w:val="Style13"/>
        <w:keepNext w:val="0"/>
        <w:keepLines w:val="0"/>
        <w:widowControl w:val="0"/>
        <w:shd w:val="clear" w:color="auto" w:fill="auto"/>
        <w:bidi w:val="0"/>
        <w:spacing w:before="0" w:after="1120" w:line="310" w:lineRule="exact"/>
        <w:ind w:left="0" w:right="0" w:firstLine="440"/>
        <w:jc w:val="both"/>
        <w:rPr>
          <w:sz w:val="20"/>
          <w:szCs w:val="20"/>
        </w:rPr>
      </w:pPr>
      <w:r>
        <w:rPr>
          <w:color w:val="000000"/>
          <w:spacing w:val="0"/>
          <w:w w:val="100"/>
          <w:position w:val="0"/>
          <w:sz w:val="20"/>
          <w:szCs w:val="20"/>
        </w:rPr>
        <w:t>本次会计差错更正影响本公司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年度合并利润表净利润增加</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6,225,416.20</w:t>
      </w:r>
      <w:r>
        <w:rPr>
          <w:color w:val="000000"/>
          <w:spacing w:val="0"/>
          <w:w w:val="100"/>
          <w:position w:val="0"/>
          <w:sz w:val="20"/>
          <w:szCs w:val="20"/>
        </w:rPr>
        <w:t>元、其他综合收益的税后 净额减少</w:t>
      </w:r>
      <w:r>
        <w:rPr>
          <w:rFonts w:ascii="Times New Roman" w:eastAsia="Times New Roman" w:hAnsi="Times New Roman" w:cs="Times New Roman"/>
          <w:color w:val="000000"/>
          <w:spacing w:val="0"/>
          <w:w w:val="100"/>
          <w:position w:val="0"/>
          <w:sz w:val="20"/>
          <w:szCs w:val="20"/>
        </w:rPr>
        <w:t>59,329,491.52</w:t>
      </w:r>
      <w:r>
        <w:rPr>
          <w:color w:val="000000"/>
          <w:spacing w:val="0"/>
          <w:w w:val="100"/>
          <w:position w:val="0"/>
          <w:sz w:val="20"/>
          <w:szCs w:val="20"/>
        </w:rPr>
        <w:t>元；影响母公司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年度利润表净利润增加</w:t>
      </w:r>
      <w:r>
        <w:rPr>
          <w:rFonts w:ascii="Times New Roman" w:eastAsia="Times New Roman" w:hAnsi="Times New Roman" w:cs="Times New Roman"/>
          <w:color w:val="000000"/>
          <w:spacing w:val="0"/>
          <w:w w:val="100"/>
          <w:position w:val="0"/>
          <w:sz w:val="20"/>
          <w:szCs w:val="20"/>
        </w:rPr>
        <w:t>59,329,491.52</w:t>
      </w:r>
      <w:r>
        <w:rPr>
          <w:color w:val="000000"/>
          <w:spacing w:val="0"/>
          <w:w w:val="100"/>
          <w:position w:val="0"/>
          <w:sz w:val="20"/>
          <w:szCs w:val="20"/>
        </w:rPr>
        <w:t>元、相应减少其他综合收 益税后净额；影响</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日的合并财务报表净资产增加</w:t>
      </w:r>
      <w:r>
        <w:rPr>
          <w:rFonts w:ascii="Times New Roman" w:eastAsia="Times New Roman" w:hAnsi="Times New Roman" w:cs="Times New Roman"/>
          <w:color w:val="000000"/>
          <w:spacing w:val="0"/>
          <w:w w:val="100"/>
          <w:position w:val="0"/>
          <w:sz w:val="20"/>
          <w:szCs w:val="20"/>
        </w:rPr>
        <w:t>13,333,701.69</w:t>
      </w:r>
      <w:r>
        <w:rPr>
          <w:color w:val="000000"/>
          <w:spacing w:val="0"/>
          <w:w w:val="100"/>
          <w:position w:val="0"/>
          <w:sz w:val="20"/>
          <w:szCs w:val="20"/>
        </w:rPr>
        <w:t>元、对母公司财务报表净资产 无影响。</w:t>
      </w:r>
    </w:p>
    <w:p>
      <w:pPr>
        <w:pStyle w:val="Style19"/>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六</w:t>
      </w:r>
      <w:bookmarkEnd w:id="965"/>
      <w:r>
        <w:rPr>
          <w:color w:val="000000"/>
          <w:spacing w:val="0"/>
          <w:w w:val="100"/>
          <w:position w:val="0"/>
        </w:rPr>
        <w:t>、税项</w:t>
      </w:r>
      <w:bookmarkEnd w:id="963"/>
      <w:bookmarkEnd w:id="964"/>
      <w:bookmarkEnd w:id="966"/>
    </w:p>
    <w:p>
      <w:pPr>
        <w:pStyle w:val="Style23"/>
        <w:keepNext/>
        <w:keepLines/>
        <w:widowControl w:val="0"/>
        <w:shd w:val="clear" w:color="auto" w:fill="auto"/>
        <w:bidi w:val="0"/>
        <w:spacing w:before="0" w:after="320" w:line="240" w:lineRule="auto"/>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7"/>
      <w:bookmarkEnd w:id="968"/>
      <w:bookmarkEnd w:id="969"/>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销售货物、应税劳务收入和应税服务收 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（或租金收入）为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bl>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潮州市长城世家瓷业有限公司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潮州市润潮陶瓷有限公司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深圳万城投资管理有限公司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深圳长城世家商贸有限公司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郑州长城世家商贸有限公司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深圳市世家会艺术品投资有限公司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潮州市万泉瓷业有限公司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潮州市三江陶瓷原料有限公司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广州长城世家投资有限公司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郑州智游联动教育咨询有限公司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南京巅峰数据服务有限公司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山西智游臻龙互联网科技有限公司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南京欧米伽网络科技有限公司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郑州智游爱峰科技有限公司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湖北智游臻龙教育科技有限公司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河北臻龙科技有限公司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北京京师智游教育科技有限公司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郑州市智游职业培训学校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东莞市雅鑫实业有限公司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59" w:line="1" w:lineRule="exact"/>
      </w:pPr>
    </w:p>
    <w:p>
      <w:pPr>
        <w:pStyle w:val="Style23"/>
        <w:keepNext/>
        <w:keepLines/>
        <w:widowControl w:val="0"/>
        <w:shd w:val="clear" w:color="auto" w:fill="auto"/>
        <w:bidi w:val="0"/>
        <w:spacing w:before="0" w:after="260" w:line="319" w:lineRule="exact"/>
        <w:ind w:left="0" w:right="0" w:firstLine="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0"/>
      <w:bookmarkEnd w:id="971"/>
      <w:bookmarkEnd w:id="972"/>
    </w:p>
    <w:p>
      <w:pPr>
        <w:pStyle w:val="Style13"/>
        <w:keepNext w:val="0"/>
        <w:keepLines w:val="0"/>
        <w:widowControl w:val="0"/>
        <w:shd w:val="clear" w:color="auto" w:fill="auto"/>
        <w:bidi w:val="0"/>
        <w:spacing w:before="0" w:after="0" w:line="319" w:lineRule="exact"/>
        <w:ind w:left="0" w:right="0" w:firstLine="440"/>
        <w:jc w:val="left"/>
        <w:rPr>
          <w:sz w:val="20"/>
          <w:szCs w:val="20"/>
        </w:rPr>
      </w:pPr>
      <w:r>
        <w:rPr>
          <w:color w:val="000000"/>
          <w:spacing w:val="0"/>
          <w:w w:val="100"/>
          <w:position w:val="0"/>
          <w:sz w:val="20"/>
          <w:szCs w:val="20"/>
        </w:rPr>
        <w:t>增值税</w:t>
      </w:r>
    </w:p>
    <w:p>
      <w:pPr>
        <w:pStyle w:val="Style13"/>
        <w:keepNext w:val="0"/>
        <w:keepLines w:val="0"/>
        <w:widowControl w:val="0"/>
        <w:shd w:val="clear" w:color="auto" w:fill="auto"/>
        <w:bidi w:val="0"/>
        <w:spacing w:before="0" w:after="260" w:line="319" w:lineRule="exact"/>
        <w:ind w:left="0" w:right="0" w:firstLine="440"/>
        <w:jc w:val="left"/>
        <w:rPr>
          <w:sz w:val="20"/>
          <w:szCs w:val="20"/>
        </w:rPr>
      </w:pPr>
      <w:r>
        <w:rPr>
          <w:color w:val="000000"/>
          <w:spacing w:val="0"/>
          <w:w w:val="100"/>
          <w:position w:val="0"/>
          <w:sz w:val="20"/>
          <w:szCs w:val="20"/>
        </w:rPr>
        <w:t>根据财政部、国家税务总局《关于软件产品增值税政策的通知》（财税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号）的规定，增值税 一般纳税人销售其自行开发生产的软件产品，按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税率征收增值税后，对其增值税实际税负超过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 分实行即征即退政策。</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根据财政部、国家税务总局《关于支持个体工商户复工复业增值税政策的公告》（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号）的规定，对湖北省增值税小规模纳税人，适用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征收率的应税销售收入，免征增值税；适用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预征 率的预缴增值税项目，暂停预缴增值税。除湖北省外，其他省、自治区、直辖市的增值税小规模纳税人， 适用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征收率的应税销售收入，减按</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征收率征收增值税；适用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预征率的预缴增值税项目，减按</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预征率预缴增值税。</w:t>
      </w:r>
    </w:p>
    <w:p>
      <w:pPr>
        <w:pStyle w:val="Style13"/>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根据财政部税务总局《财政部税务总局关于延续实施应对疫情部分税费优惠政策的公告》（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 第</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号）的规定，《财政部税务总局关于支持个体工商户复工复业增值税政策的公告》（财政部税务总局 公告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号）规定的税收优惠政策，执行期限延长至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日。其中，自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日，湖北省增值税小规模纳税人适用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征收率的应税销售收入，减按</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征收率征收增值税；适 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预征率的预缴增值税项目，减按</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预征率预缴增值税。</w:t>
      </w:r>
    </w:p>
    <w:p>
      <w:pPr>
        <w:pStyle w:val="Style13"/>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子公司河南智游臻龙教育科技有限公司根据《郑州市经开区全力防控疫情支持企业平稳健康发展的若 干措施》的通知（暂行）（经新防组</w:t>
      </w:r>
      <w:r>
        <w:rPr>
          <w:rFonts w:ascii="Times New Roman" w:eastAsia="Times New Roman" w:hAnsi="Times New Roman" w:cs="Times New Roman"/>
          <w:color w:val="000000"/>
          <w:spacing w:val="0"/>
          <w:w w:val="100"/>
          <w:position w:val="0"/>
          <w:sz w:val="20"/>
          <w:szCs w:val="20"/>
        </w:rPr>
        <w:t>[2020]26</w:t>
      </w:r>
      <w:r>
        <w:rPr>
          <w:color w:val="000000"/>
          <w:spacing w:val="0"/>
          <w:w w:val="100"/>
          <w:position w:val="0"/>
          <w:sz w:val="20"/>
          <w:szCs w:val="20"/>
        </w:rPr>
        <w:t>号）的规定，纳税人提供公共交通运输服务、生活服务，以 及为居民提供必需生活物资快递收派服务取得的收入，免征增值税。</w:t>
      </w:r>
    </w:p>
    <w:p>
      <w:pPr>
        <w:pStyle w:val="Style13"/>
        <w:keepNext w:val="0"/>
        <w:keepLines w:val="0"/>
        <w:widowControl w:val="0"/>
        <w:shd w:val="clear" w:color="auto" w:fill="auto"/>
        <w:bidi w:val="0"/>
        <w:spacing w:before="0" w:after="0" w:line="329" w:lineRule="auto"/>
        <w:ind w:left="0" w:right="0" w:firstLine="440"/>
        <w:jc w:val="both"/>
        <w:rPr>
          <w:sz w:val="20"/>
          <w:szCs w:val="20"/>
        </w:rPr>
      </w:pPr>
      <w:bookmarkStart w:id="973" w:name="bookmark973"/>
      <w:r>
        <w:rPr>
          <w:rFonts w:ascii="Times New Roman" w:eastAsia="Times New Roman" w:hAnsi="Times New Roman" w:cs="Times New Roman"/>
          <w:color w:val="000000"/>
          <w:spacing w:val="0"/>
          <w:w w:val="100"/>
          <w:position w:val="0"/>
          <w:sz w:val="20"/>
          <w:szCs w:val="20"/>
        </w:rPr>
        <w:t>2</w:t>
      </w:r>
      <w:bookmarkEnd w:id="973"/>
      <w:r>
        <w:rPr>
          <w:color w:val="000000"/>
          <w:spacing w:val="0"/>
          <w:w w:val="100"/>
          <w:position w:val="0"/>
          <w:sz w:val="20"/>
          <w:szCs w:val="20"/>
        </w:rPr>
        <w:t>）企业所得税</w:t>
      </w:r>
    </w:p>
    <w:p>
      <w:pPr>
        <w:pStyle w:val="Style13"/>
        <w:keepNext w:val="0"/>
        <w:keepLines w:val="0"/>
        <w:widowControl w:val="0"/>
        <w:shd w:val="clear" w:color="auto" w:fill="auto"/>
        <w:bidi w:val="0"/>
        <w:spacing w:before="0" w:after="0" w:line="329"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小型微利企业</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财政部税务总局关于实施小微企业普惠性税收减免政策的通知</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根据财税〔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号文件《财政部税务总局关于实施小微企业普惠性税收减免政策的通知》第二 条，自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日，对小型微利企业年应纳税所得额不超过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的税率缴纳企业所得税；对年应纳税所得额超过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万元但不超过</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万元的部 分，减按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w:t>
      </w:r>
    </w:p>
    <w:p>
      <w:pPr>
        <w:pStyle w:val="Style13"/>
        <w:keepNext w:val="0"/>
        <w:keepLines w:val="0"/>
        <w:widowControl w:val="0"/>
        <w:shd w:val="clear" w:color="auto" w:fill="auto"/>
        <w:tabs>
          <w:tab w:pos="7684" w:val="left"/>
        </w:tabs>
        <w:bidi w:val="0"/>
        <w:spacing w:before="0" w:after="0" w:line="314" w:lineRule="exact"/>
        <w:ind w:left="0" w:right="0" w:firstLine="440"/>
        <w:jc w:val="both"/>
        <w:rPr>
          <w:sz w:val="20"/>
          <w:szCs w:val="20"/>
        </w:rPr>
      </w:pPr>
      <w:r>
        <w:rPr>
          <w:color w:val="000000"/>
          <w:spacing w:val="0"/>
          <w:w w:val="100"/>
          <w:position w:val="0"/>
          <w:sz w:val="20"/>
          <w:szCs w:val="20"/>
        </w:rPr>
        <w:t>根据财政部税务总局公告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号，对小型微利企业年应纳税所得额不超过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万元的部分，在 《财政部税务总局关于实施小微企业普惠性税收减免政策的通知》（财税〔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号）第二条规定的</w:t>
      </w:r>
    </w:p>
    <w:p>
      <w:pPr>
        <w:pStyle w:val="Style13"/>
        <w:keepNext w:val="0"/>
        <w:keepLines w:val="0"/>
        <w:widowControl w:val="0"/>
        <w:shd w:val="clear" w:color="auto" w:fill="auto"/>
        <w:bidi w:val="0"/>
        <w:spacing w:before="0" w:after="80" w:line="314" w:lineRule="exact"/>
        <w:ind w:left="0" w:right="0" w:firstLine="0"/>
        <w:jc w:val="both"/>
        <w:rPr>
          <w:sz w:val="20"/>
          <w:szCs w:val="20"/>
        </w:rPr>
      </w:pPr>
      <w:r>
        <w:rPr>
          <w:color w:val="000000"/>
          <w:spacing w:val="0"/>
          <w:w w:val="100"/>
          <w:position w:val="0"/>
          <w:sz w:val="20"/>
          <w:szCs w:val="20"/>
        </w:rPr>
        <w:t>优惠政策基础上，再减半征收企业所得税。</w:t>
      </w:r>
    </w:p>
    <w:p>
      <w:pPr>
        <w:pStyle w:val="Style13"/>
        <w:keepNext w:val="0"/>
        <w:keepLines w:val="0"/>
        <w:widowControl w:val="0"/>
        <w:shd w:val="clear" w:color="auto" w:fill="auto"/>
        <w:bidi w:val="0"/>
        <w:spacing w:before="0" w:after="0" w:line="329"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高新技术企业</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据企业所得税法及实施条例的规定，自获得高新技术企业认定资格当年起，企业所得税减按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的优 惠税率征收。</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本期符合高新技术企业税收优惠政策的公司包括：</w:t>
      </w:r>
    </w:p>
    <w:tbl>
      <w:tblPr>
        <w:tblOverlap w:val="never"/>
        <w:jc w:val="center"/>
        <w:tblLayout w:type="fixed"/>
      </w:tblPr>
      <w:tblGrid>
        <w:gridCol w:w="3000"/>
        <w:gridCol w:w="2414"/>
        <w:gridCol w:w="1694"/>
        <w:gridCol w:w="2030"/>
      </w:tblGrid>
      <w:tr>
        <w:trPr>
          <w:trHeight w:val="7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《高新技术企业证书》 证书编号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颁发日期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减免期限</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GR201941001094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郑州智游爱峰科技有限公司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GR201941001550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bl>
    <w:p>
      <w:pPr>
        <w:widowControl w:val="0"/>
        <w:spacing w:after="639" w:line="1" w:lineRule="exact"/>
      </w:pPr>
    </w:p>
    <w:p>
      <w:pPr>
        <w:pStyle w:val="Style23"/>
        <w:keepNext/>
        <w:keepLines/>
        <w:widowControl w:val="0"/>
        <w:shd w:val="clear" w:color="auto" w:fill="auto"/>
        <w:bidi w:val="0"/>
        <w:spacing w:before="0" w:after="36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color w:val="000000"/>
          <w:spacing w:val="0"/>
          <w:w w:val="100"/>
          <w:position w:val="0"/>
        </w:rPr>
        <w:t>、其他</w:t>
      </w:r>
      <w:bookmarkEnd w:id="974"/>
      <w:bookmarkEnd w:id="975"/>
      <w:bookmarkEnd w:id="977"/>
    </w:p>
    <w:p>
      <w:pPr>
        <w:pStyle w:val="Style19"/>
        <w:keepNext/>
        <w:keepLines/>
        <w:widowControl w:val="0"/>
        <w:shd w:val="clear" w:color="auto" w:fill="auto"/>
        <w:bidi w:val="0"/>
        <w:spacing w:before="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rPr>
        <w:t>七</w:t>
      </w:r>
      <w:bookmarkEnd w:id="980"/>
      <w:r>
        <w:rPr>
          <w:color w:val="000000"/>
          <w:spacing w:val="0"/>
          <w:w w:val="100"/>
          <w:position w:val="0"/>
        </w:rPr>
        <w:t>、合并财务报表项目注释</w:t>
      </w:r>
      <w:bookmarkEnd w:id="978"/>
      <w:bookmarkEnd w:id="979"/>
      <w:bookmarkEnd w:id="981"/>
    </w:p>
    <w:p>
      <w:pPr>
        <w:pStyle w:val="Style23"/>
        <w:keepNext/>
        <w:keepLines/>
        <w:widowControl w:val="0"/>
        <w:shd w:val="clear" w:color="auto" w:fill="auto"/>
        <w:bidi w:val="0"/>
        <w:spacing w:before="0" w:after="360" w:line="240" w:lineRule="auto"/>
        <w:ind w:left="0" w:right="0" w:firstLine="0"/>
        <w:jc w:val="both"/>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2"/>
      <w:bookmarkEnd w:id="983"/>
      <w:bookmarkEnd w:id="9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288,249.81</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8,905,807.14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8,066,695.54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960,326.22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9,897,177.72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9,315,271.57</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76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993,217.70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960,326.22</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85"/>
      <w:bookmarkEnd w:id="986"/>
      <w:bookmarkEnd w:id="987"/>
    </w:p>
    <w:p>
      <w:pPr>
        <w:pStyle w:val="Style29"/>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88"/>
      <w:bookmarkEnd w:id="989"/>
      <w:bookmarkEnd w:id="991"/>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254,036,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227,557,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92,993,518.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26,718,1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7,620,735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26,718,1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8,256,93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7,620,735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280,754,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235,814,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东莞雅鑫应收货款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1,552,987.41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1,552,987.41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52,959,083.50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26,479,541.75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年以上，受海外 疫情影响，基于谨慎性 原则，计提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坏账准 备</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198,524,685.68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198,524,685.68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年以上，受海外 疫情影响，基于谨慎性</w:t>
            </w:r>
          </w:p>
        </w:tc>
      </w:tr>
    </w:tbl>
    <w:p>
      <w:pPr>
        <w:widowControl w:val="0"/>
        <w:spacing w:line="1" w:lineRule="exact"/>
      </w:pPr>
      <w:r>
        <w:br w:type="page"/>
      </w:r>
    </w:p>
    <w:tbl>
      <w:tblPr>
        <w:tblOverlap w:val="never"/>
        <w:jc w:val="center"/>
        <w:tblLayout w:type="fixed"/>
      </w:tblPr>
      <w:tblGrid>
        <w:gridCol w:w="1920"/>
        <w:gridCol w:w="1920"/>
        <w:gridCol w:w="1920"/>
        <w:gridCol w:w="1915"/>
        <w:gridCol w:w="193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原则，全部计提坏账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254,036,749.59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227,557,207.84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5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17,098,317.45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877,108.07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628,144.63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930,436.43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26,718,123.02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8,256,931.36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17,098,317.45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53,836,191.57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85,068,001.35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124,752,362.24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94,393,676.90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25,815,692.51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4,542,992.83</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88" behindDoc="0" locked="0" layoutInCell="1" allowOverlap="1">
                <wp:simplePos x="0" y="0"/>
                <wp:positionH relativeFrom="page">
                  <wp:posOffset>728345</wp:posOffset>
                </wp:positionH>
                <wp:positionV relativeFrom="paragraph">
                  <wp:posOffset>0</wp:posOffset>
                </wp:positionV>
                <wp:extent cx="252730" cy="149225"/>
                <wp:wrapTopAndBottom/>
                <wp:docPr id="11" name="Shape 1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37" type="#_x0000_t202" style="position:absolute;margin-left:57.350000000000001pt;margin-top:0;width:19.900000000000002pt;height:11.75pt;z-index:-125829365;mso-wrap-distance-left:0;mso-wrap-distance-right:0;mso-wrap-distance-bottom:14.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77165" distL="0" distR="0" simplePos="0" relativeHeight="125829390" behindDoc="0" locked="0" layoutInCell="1" allowOverlap="1">
                <wp:simplePos x="0" y="0"/>
                <wp:positionH relativeFrom="page">
                  <wp:posOffset>6043930</wp:posOffset>
                </wp:positionH>
                <wp:positionV relativeFrom="paragraph">
                  <wp:posOffset>6350</wp:posOffset>
                </wp:positionV>
                <wp:extent cx="743585" cy="143510"/>
                <wp:wrapTopAndBottom/>
                <wp:docPr id="13" name="Shape 13"/>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280,754,872.61</w:t>
                            </w:r>
                          </w:p>
                        </w:txbxContent>
                      </wps:txbx>
                      <wps:bodyPr wrap="none" lIns="0" tIns="0" rIns="0" bIns="0">
                        <a:noAutoFit/>
                      </wps:bodyPr>
                    </wps:wsp>
                  </a:graphicData>
                </a:graphic>
              </wp:anchor>
            </w:drawing>
          </mc:Choice>
          <mc:Fallback>
            <w:pict>
              <v:shape id="_x0000_s1039" type="#_x0000_t202" style="position:absolute;margin-left:475.90000000000003pt;margin-top:0.5pt;width:58.550000000000004pt;height:11.300000000000001pt;z-index:-125829363;mso-wrap-distance-left:0;mso-wrap-distance-top:0.5pt;mso-wrap-distance-right:0;mso-wrap-distance-bottom:13.950000000000001pt;mso-position-horizontal-relative:page" filled="f" stroked="f">
                <v:textbox inset="0,0,0,0">
                  <w:txbxContent>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right"/>
                      </w:pPr>
                      <w:r>
                        <w:rPr>
                          <w:color w:val="000000"/>
                          <w:spacing w:val="0"/>
                          <w:w w:val="100"/>
                          <w:position w:val="0"/>
                        </w:rPr>
                        <w:t>280,754,872.61</w:t>
                      </w:r>
                    </w:p>
                  </w:txbxContent>
                </v:textbox>
                <w10:wrap type="topAndBottom" anchorx="page"/>
              </v:shape>
            </w:pict>
          </mc:Fallback>
        </mc:AlternateContent>
      </w:r>
    </w:p>
    <w:p>
      <w:pPr>
        <w:pStyle w:val="Style29"/>
        <w:keepNext/>
        <w:keepLines/>
        <w:widowControl w:val="0"/>
        <w:shd w:val="clear" w:color="auto" w:fill="auto"/>
        <w:bidi w:val="0"/>
        <w:spacing w:before="0" w:after="40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92"/>
      <w:bookmarkEnd w:id="993"/>
      <w:bookmarkEnd w:id="995"/>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203,296,665.67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35,430,686.48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11,170,144.31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227,557,207.84</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7,620,735.24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1,316,851.41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1,953,047.53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8,256,931.36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210,917,400.91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35,430,686.48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1,316,851.41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11,170,144.31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1,953,047.53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235,814,139.20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79" w:line="1" w:lineRule="exact"/>
      </w:pPr>
    </w:p>
    <w:p>
      <w:pPr>
        <w:pStyle w:val="Style13"/>
        <w:keepNext w:val="0"/>
        <w:keepLines w:val="0"/>
        <w:widowControl w:val="0"/>
        <w:shd w:val="clear" w:color="auto" w:fill="auto"/>
        <w:bidi w:val="0"/>
        <w:spacing w:before="0" w:after="680" w:line="314" w:lineRule="exact"/>
        <w:ind w:left="0" w:right="0" w:firstLine="440"/>
        <w:jc w:val="both"/>
        <w:rPr>
          <w:sz w:val="20"/>
          <w:szCs w:val="20"/>
        </w:rPr>
      </w:pPr>
      <w:r>
        <w:rPr>
          <w:color w:val="000000"/>
          <w:spacing w:val="0"/>
          <w:w w:val="100"/>
          <w:position w:val="0"/>
          <w:sz w:val="20"/>
          <w:szCs w:val="20"/>
        </w:rPr>
        <w:t>说明：本期转销坏账系子公司郑州智游学校将应收学员培训费按照应收账款账面净值转让给商业保理 公司，转销该培训费以前年度计提的坏账准备</w:t>
      </w:r>
      <w:r>
        <w:rPr>
          <w:rFonts w:ascii="Times New Roman" w:eastAsia="Times New Roman" w:hAnsi="Times New Roman" w:cs="Times New Roman"/>
          <w:color w:val="000000"/>
          <w:spacing w:val="0"/>
          <w:w w:val="100"/>
          <w:position w:val="0"/>
          <w:sz w:val="20"/>
          <w:szCs w:val="20"/>
        </w:rPr>
        <w:t>11,170,144.3</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元，转销不影响信用减值损失；本期合并增加 系非同一控制下合并东莞市雅鑫实业有限公司，合并日期初数增加，不影响信用减值损失。</w:t>
      </w:r>
    </w:p>
    <w:p>
      <w:pPr>
        <w:pStyle w:val="Style29"/>
        <w:keepNext/>
        <w:keepLines/>
        <w:widowControl w:val="0"/>
        <w:shd w:val="clear" w:color="auto" w:fill="auto"/>
        <w:bidi w:val="0"/>
        <w:spacing w:before="0" w:after="400" w:line="240" w:lineRule="auto"/>
        <w:ind w:left="0" w:right="0" w:firstLine="140"/>
        <w:jc w:val="left"/>
      </w:pPr>
      <w:bookmarkStart w:id="996" w:name="bookmark996"/>
      <w:bookmarkStart w:id="997" w:name="bookmark997"/>
      <w:bookmarkStart w:id="998" w:name="bookmark998"/>
      <w:r>
        <w:rPr>
          <w:color w:val="000000"/>
          <w:spacing w:val="0"/>
          <w:w w:val="100"/>
          <w:position w:val="0"/>
        </w:rPr>
        <w:t>⑶本期实际核销的应收账款情况</w:t>
      </w:r>
      <w:bookmarkEnd w:id="996"/>
      <w:bookmarkEnd w:id="997"/>
      <w:bookmarkEnd w:id="99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无法回收的应收账款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3"/>
        <w:keepNext w:val="0"/>
        <w:keepLines w:val="0"/>
        <w:widowControl w:val="0"/>
        <w:shd w:val="clear" w:color="auto" w:fill="auto"/>
        <w:bidi w:val="0"/>
        <w:spacing w:before="0" w:after="280" w:line="326" w:lineRule="exact"/>
        <w:ind w:left="0" w:right="0" w:firstLine="0"/>
        <w:jc w:val="left"/>
        <w:rPr>
          <w:sz w:val="20"/>
          <w:szCs w:val="20"/>
        </w:rPr>
      </w:pPr>
      <w:r>
        <w:rPr>
          <w:color w:val="000000"/>
          <w:spacing w:val="0"/>
          <w:w w:val="100"/>
          <w:position w:val="0"/>
          <w:sz w:val="20"/>
          <w:szCs w:val="20"/>
        </w:rPr>
        <w:t>本期实际核销无法回收的应收账款</w:t>
      </w:r>
      <w:r>
        <w:rPr>
          <w:rFonts w:ascii="Times New Roman" w:eastAsia="Times New Roman" w:hAnsi="Times New Roman" w:cs="Times New Roman"/>
          <w:color w:val="000000"/>
          <w:spacing w:val="0"/>
          <w:w w:val="100"/>
          <w:position w:val="0"/>
          <w:sz w:val="20"/>
          <w:szCs w:val="20"/>
        </w:rPr>
        <w:t>367,900.00</w:t>
      </w:r>
      <w:r>
        <w:rPr>
          <w:color w:val="000000"/>
          <w:spacing w:val="0"/>
          <w:w w:val="100"/>
          <w:position w:val="0"/>
          <w:sz w:val="20"/>
          <w:szCs w:val="20"/>
        </w:rPr>
        <w:t>元，该应收账款之前未计提坏账准备，核销时直接计入当期 信用减值损失。</w:t>
      </w:r>
    </w:p>
    <w:p>
      <w:pPr>
        <w:pStyle w:val="Style29"/>
        <w:keepNext/>
        <w:keepLines/>
        <w:widowControl w:val="0"/>
        <w:shd w:val="clear" w:color="auto" w:fill="auto"/>
        <w:bidi w:val="0"/>
        <w:spacing w:before="0" w:after="400" w:line="326" w:lineRule="exact"/>
        <w:ind w:left="0" w:right="0" w:firstLine="140"/>
        <w:jc w:val="left"/>
      </w:pPr>
      <w:bookmarkStart w:id="1000" w:name="bookmark1000"/>
      <w:bookmarkStart w:id="1001" w:name="bookmark1001"/>
      <w:bookmarkStart w:id="999" w:name="bookmark999"/>
      <w:r>
        <w:rPr>
          <w:color w:val="000000"/>
          <w:spacing w:val="0"/>
          <w:w w:val="100"/>
          <w:position w:val="0"/>
        </w:rPr>
        <w:t>⑷按欠款方归集的期末余额前五名的应收账款情况</w:t>
      </w:r>
      <w:bookmarkEnd w:id="1000"/>
      <w:bookmarkEnd w:id="1001"/>
      <w:bookmarkEnd w:id="999"/>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92"/>
        <w:gridCol w:w="2539"/>
        <w:gridCol w:w="2530"/>
        <w:gridCol w:w="25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7,287,584.94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3,981,771.18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6,381,890.96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319,094.55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6,131,172.75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5,061,129.65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5,937,796.52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1,736,805.56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5,710,650.22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5,710,650.22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31,449,095.39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2"/>
      <w:bookmarkEnd w:id="1003"/>
      <w:bookmarkEnd w:id="1005"/>
    </w:p>
    <w:p>
      <w:pPr>
        <w:pStyle w:val="Style29"/>
        <w:keepNext/>
        <w:keepLines/>
        <w:widowControl w:val="0"/>
        <w:shd w:val="clear" w:color="auto" w:fill="auto"/>
        <w:tabs>
          <w:tab w:pos="483" w:val="left"/>
        </w:tabs>
        <w:bidi w:val="0"/>
        <w:spacing w:before="0" w:after="42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06"/>
      <w:bookmarkEnd w:id="1007"/>
      <w:bookmarkEnd w:id="100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color w:val="000000"/>
          <w:spacing w:val="0"/>
          <w:w w:val="100"/>
          <w:position w:val="0"/>
        </w:rPr>
        <w:t>、预付款项</w:t>
      </w:r>
      <w:bookmarkEnd w:id="1010"/>
      <w:bookmarkEnd w:id="1011"/>
      <w:bookmarkEnd w:id="1013"/>
    </w:p>
    <w:p>
      <w:pPr>
        <w:pStyle w:val="Style29"/>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4"/>
      <w:bookmarkEnd w:id="1015"/>
      <w:bookmarkEnd w:id="10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1,436,168.57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1,488,901.95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1,263,584.00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1,020,987.63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2,655,198.87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2,936,187.79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账龄超过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年且金额重要的预付款项未及时结算原因的说明:</w:t>
      </w:r>
    </w:p>
    <w:p>
      <w:pPr>
        <w:pStyle w:val="Style13"/>
        <w:keepNext w:val="0"/>
        <w:keepLines w:val="0"/>
        <w:widowControl w:val="0"/>
        <w:shd w:val="clear" w:color="auto" w:fill="auto"/>
        <w:bidi w:val="0"/>
        <w:spacing w:before="0" w:after="360" w:line="360" w:lineRule="exact"/>
        <w:ind w:left="0" w:right="0" w:firstLine="0"/>
        <w:jc w:val="left"/>
        <w:rPr>
          <w:sz w:val="20"/>
          <w:szCs w:val="20"/>
        </w:rPr>
      </w:pPr>
      <w:r>
        <w:rPr>
          <w:color w:val="000000"/>
          <w:spacing w:val="0"/>
          <w:w w:val="100"/>
          <w:position w:val="0"/>
          <w:sz w:val="20"/>
          <w:szCs w:val="20"/>
        </w:rPr>
        <w:t>本期无账龄超过一年且金额重要的预付款项。</w:t>
      </w:r>
    </w:p>
    <w:p>
      <w:pPr>
        <w:pStyle w:val="Style29"/>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8"/>
      <w:bookmarkEnd w:id="1019"/>
      <w:bookmarkEnd w:id="1021"/>
    </w:p>
    <w:tbl>
      <w:tblPr>
        <w:tblOverlap w:val="never"/>
        <w:jc w:val="center"/>
        <w:tblLayout w:type="fixed"/>
      </w:tblPr>
      <w:tblGrid>
        <w:gridCol w:w="2482"/>
        <w:gridCol w:w="1637"/>
        <w:gridCol w:w="1632"/>
        <w:gridCol w:w="1632"/>
        <w:gridCol w:w="1675"/>
      </w:tblGrid>
      <w:tr>
        <w:trPr>
          <w:trHeight w:val="6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占预付款项总额的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未结算原因</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399,062.00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货物未交付</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232,620.00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174,436.29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bl>
    <w:p>
      <w:pPr>
        <w:widowControl w:val="0"/>
        <w:spacing w:line="1" w:lineRule="exact"/>
      </w:pPr>
    </w:p>
    <w:tbl>
      <w:tblPr>
        <w:tblOverlap w:val="never"/>
        <w:jc w:val="center"/>
        <w:tblLayout w:type="fixed"/>
      </w:tblPr>
      <w:tblGrid>
        <w:gridCol w:w="2482"/>
        <w:gridCol w:w="1637"/>
        <w:gridCol w:w="1632"/>
        <w:gridCol w:w="1632"/>
        <w:gridCol w:w="1675"/>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1,271,088.92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4</w:t>
      </w:r>
      <w:bookmarkEnd w:id="1024"/>
      <w:r>
        <w:rPr>
          <w:color w:val="000000"/>
          <w:spacing w:val="0"/>
          <w:w w:val="100"/>
          <w:position w:val="0"/>
        </w:rPr>
        <w:t>、其他应收款</w:t>
      </w:r>
      <w:bookmarkEnd w:id="1022"/>
      <w:bookmarkEnd w:id="1023"/>
      <w:bookmarkEnd w:id="10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158,005,531.92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208,845,975.52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158,005,531.92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208,922,067.75</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26"/>
      <w:bookmarkEnd w:id="1027"/>
      <w:bookmarkEnd w:id="1029"/>
    </w:p>
    <w:p>
      <w:pPr>
        <w:pStyle w:val="Style68"/>
        <w:keepNext/>
        <w:keepLines/>
        <w:widowControl w:val="0"/>
        <w:shd w:val="clear" w:color="auto" w:fill="auto"/>
        <w:bidi w:val="0"/>
        <w:spacing w:before="0" w:after="36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color w:val="000000"/>
          <w:spacing w:val="0"/>
          <w:w w:val="100"/>
          <w:position w:val="0"/>
        </w:rPr>
        <w:t>）应收利息分类</w:t>
      </w:r>
      <w:bookmarkEnd w:id="1030"/>
      <w:bookmarkEnd w:id="1031"/>
      <w:bookmarkEnd w:id="10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76,092.23</w:t>
            </w:r>
          </w:p>
        </w:tc>
      </w:tr>
    </w:tbl>
    <w:p>
      <w:pPr>
        <w:widowControl w:val="0"/>
        <w:spacing w:after="359" w:line="1" w:lineRule="exact"/>
      </w:pPr>
    </w:p>
    <w:p>
      <w:pPr>
        <w:pStyle w:val="Style68"/>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color w:val="000000"/>
          <w:spacing w:val="0"/>
          <w:w w:val="100"/>
          <w:position w:val="0"/>
        </w:rPr>
        <w:t>）重要逾期利息</w:t>
      </w:r>
      <w:bookmarkEnd w:id="1034"/>
      <w:bookmarkEnd w:id="1035"/>
      <w:bookmarkEnd w:id="10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8"/>
        <w:keepNext/>
        <w:keepLines/>
        <w:widowControl w:val="0"/>
        <w:shd w:val="clear" w:color="auto" w:fill="auto"/>
        <w:bidi w:val="0"/>
        <w:spacing w:before="0" w:after="36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color w:val="000000"/>
          <w:spacing w:val="0"/>
          <w:w w:val="100"/>
          <w:position w:val="0"/>
        </w:rPr>
        <w:t>）坏账准备计提情况</w:t>
      </w:r>
      <w:bookmarkEnd w:id="1038"/>
      <w:bookmarkEnd w:id="1039"/>
      <w:bookmarkEnd w:id="1041"/>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42"/>
      <w:bookmarkEnd w:id="1043"/>
      <w:bookmarkEnd w:id="1045"/>
    </w:p>
    <w:p>
      <w:pPr>
        <w:pStyle w:val="Style68"/>
        <w:keepNext/>
        <w:keepLines/>
        <w:widowControl w:val="0"/>
        <w:shd w:val="clear" w:color="auto" w:fill="auto"/>
        <w:bidi w:val="0"/>
        <w:spacing w:before="0" w:after="42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color w:val="000000"/>
          <w:spacing w:val="0"/>
          <w:w w:val="100"/>
          <w:position w:val="0"/>
        </w:rPr>
        <w:t>）应收股利分类</w:t>
      </w:r>
      <w:bookmarkEnd w:id="1046"/>
      <w:bookmarkEnd w:id="1047"/>
      <w:bookmarkEnd w:id="104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0"/>
      <w:bookmarkEnd w:id="1051"/>
      <w:bookmarkEnd w:id="10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广东联汛教育科技有限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丧失控制权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是，回收的可能性小</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color w:val="000000"/>
          <w:spacing w:val="0"/>
          <w:w w:val="100"/>
          <w:position w:val="0"/>
        </w:rPr>
        <w:t>）坏账准备计提情况</w:t>
      </w:r>
      <w:bookmarkEnd w:id="1054"/>
      <w:bookmarkEnd w:id="1055"/>
      <w:bookmarkEnd w:id="1057"/>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42,000,000.00</w:t>
            </w: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公司丧失了对广东联汛教育科技有限公司的控制权，基于谨慎原则，报告期末全额计提坏账准备。</w:t>
      </w:r>
    </w:p>
    <w:p>
      <w:pPr>
        <w:pStyle w:val="Style29"/>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58"/>
      <w:bookmarkEnd w:id="1059"/>
      <w:bookmarkEnd w:id="1061"/>
    </w:p>
    <w:p>
      <w:pPr>
        <w:pStyle w:val="Style68"/>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color w:val="000000"/>
          <w:spacing w:val="0"/>
          <w:w w:val="100"/>
          <w:position w:val="0"/>
        </w:rPr>
        <w:t>）其他应收款按款项性质分类情况</w:t>
      </w:r>
      <w:bookmarkEnd w:id="1062"/>
      <w:bookmarkEnd w:id="1063"/>
      <w:bookmarkEnd w:id="106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283,481,993.52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329,716,408.09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6,122,764.35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5,997,019.66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1,493,878.62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1,204,386.17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3,867,720.11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1,030,766.00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878,713.15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3,544,934.23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1,334,580.47</w:t>
            </w:r>
          </w:p>
        </w:tc>
      </w:tr>
    </w:tbl>
    <w:p>
      <w:pPr>
        <w:spacing w:lineRule="exact" w:line="1"/>
        <w:rPr>
          <w:sz w:val="2"/>
          <w:szCs w:val="2"/>
        </w:rPr>
      </w:pPr>
      <w:r>
        <w:br w:type="page"/>
      </w:r>
    </w:p>
    <w:p>
      <w:pPr>
        <w:widowControl w:val="0"/>
        <w:spacing w:line="1" w:lineRule="exact"/>
      </w:pPr>
      <w:r>
        <mc:AlternateContent>
          <mc:Choice Requires="wps">
            <w:drawing>
              <wp:anchor distT="0" distB="588645" distL="0" distR="0" simplePos="0" relativeHeight="125829392" behindDoc="0" locked="0" layoutInCell="1" allowOverlap="1">
                <wp:simplePos x="0" y="0"/>
                <wp:positionH relativeFrom="page">
                  <wp:posOffset>729615</wp:posOffset>
                </wp:positionH>
                <wp:positionV relativeFrom="paragraph">
                  <wp:posOffset>0</wp:posOffset>
                </wp:positionV>
                <wp:extent cx="252730" cy="149225"/>
                <wp:wrapTopAndBottom/>
                <wp:docPr id="15" name="Shape 1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41" type="#_x0000_t202" style="position:absolute;margin-left:57.450000000000003pt;margin-top:0;width:19.900000000000002pt;height:11.75pt;z-index:-125829361;mso-wrap-distance-left:0;mso-wrap-distance-right:0;mso-wrap-distance-bottom:46.35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588010" distL="0" distR="0" simplePos="0" relativeHeight="125829394" behindDoc="0" locked="0" layoutInCell="1" allowOverlap="1">
                <wp:simplePos x="0" y="0"/>
                <wp:positionH relativeFrom="page">
                  <wp:posOffset>4024630</wp:posOffset>
                </wp:positionH>
                <wp:positionV relativeFrom="paragraph">
                  <wp:posOffset>6350</wp:posOffset>
                </wp:positionV>
                <wp:extent cx="734695" cy="143510"/>
                <wp:wrapTopAndBottom/>
                <wp:docPr id="17" name="Shape 17"/>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298,511,290.83</w:t>
                            </w:r>
                          </w:p>
                        </w:txbxContent>
                      </wps:txbx>
                      <wps:bodyPr wrap="none" lIns="0" tIns="0" rIns="0" bIns="0">
                        <a:noAutoFit/>
                      </wps:bodyPr>
                    </wps:wsp>
                  </a:graphicData>
                </a:graphic>
              </wp:anchor>
            </w:drawing>
          </mc:Choice>
          <mc:Fallback>
            <w:pict>
              <v:shape id="_x0000_s1043" type="#_x0000_t202" style="position:absolute;margin-left:316.90000000000003pt;margin-top:0.5pt;width:57.850000000000001pt;height:11.300000000000001pt;z-index:-125829359;mso-wrap-distance-left:0;mso-wrap-distance-top:0.5pt;mso-wrap-distance-right:0;mso-wrap-distance-bottom:46.300000000000004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298,511,290.83</w:t>
                      </w:r>
                    </w:p>
                  </w:txbxContent>
                </v:textbox>
                <w10:wrap type="topAndBottom" anchorx="page"/>
              </v:shape>
            </w:pict>
          </mc:Fallback>
        </mc:AlternateContent>
      </w:r>
      <w:r>
        <mc:AlternateContent>
          <mc:Choice Requires="wps">
            <w:drawing>
              <wp:anchor distT="6350" distB="588010" distL="0" distR="0" simplePos="0" relativeHeight="125829396" behindDoc="0" locked="0" layoutInCell="1" allowOverlap="1">
                <wp:simplePos x="0" y="0"/>
                <wp:positionH relativeFrom="page">
                  <wp:posOffset>6051550</wp:posOffset>
                </wp:positionH>
                <wp:positionV relativeFrom="paragraph">
                  <wp:posOffset>6350</wp:posOffset>
                </wp:positionV>
                <wp:extent cx="737870" cy="143510"/>
                <wp:wrapTopAndBottom/>
                <wp:docPr id="19" name="Shape 19"/>
                <a:graphic xmlns:a="http://schemas.openxmlformats.org/drawingml/2006/main">
                  <a:graphicData uri="http://schemas.microsoft.com/office/word/2010/wordprocessingShape">
                    <wps:wsp>
                      <wps:cNvSpPr txBox="1"/>
                      <wps:spPr>
                        <a:xfrm>
                          <a:ext cx="737870" cy="143510"/>
                        </a:xfrm>
                        <a:prstGeom prst="rect"/>
                        <a:noFill/>
                      </wps:spPr>
                      <wps:txbx>
                        <w:txbxContent>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340,161,873.54</w:t>
                            </w:r>
                          </w:p>
                        </w:txbxContent>
                      </wps:txbx>
                      <wps:bodyPr wrap="none" lIns="0" tIns="0" rIns="0" bIns="0">
                        <a:noAutoFit/>
                      </wps:bodyPr>
                    </wps:wsp>
                  </a:graphicData>
                </a:graphic>
              </wp:anchor>
            </w:drawing>
          </mc:Choice>
          <mc:Fallback>
            <w:pict>
              <v:shape id="_x0000_s1045" type="#_x0000_t202" style="position:absolute;margin-left:476.5pt;margin-top:0.5pt;width:58.100000000000001pt;height:11.300000000000001pt;z-index:-125829357;mso-wrap-distance-left:0;mso-wrap-distance-top:0.5pt;mso-wrap-distance-right:0;mso-wrap-distance-bottom:46.300000000000004pt;mso-position-horizontal-relative:page" filled="f" stroked="f">
                <v:textbox inset="0,0,0,0">
                  <w:txbxContent>
                    <w:p>
                      <w:pPr>
                        <w:pStyle w:val="Style6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340,161,873.54</w:t>
                      </w:r>
                    </w:p>
                  </w:txbxContent>
                </v:textbox>
                <w10:wrap type="topAndBottom" anchorx="page"/>
              </v:shape>
            </w:pict>
          </mc:Fallback>
        </mc:AlternateContent>
      </w:r>
      <w:r>
        <mc:AlternateContent>
          <mc:Choice Requires="wps">
            <w:drawing>
              <wp:anchor distT="399415" distB="164465" distL="0" distR="0" simplePos="0" relativeHeight="125829398" behindDoc="0" locked="0" layoutInCell="1" allowOverlap="1">
                <wp:simplePos x="0" y="0"/>
                <wp:positionH relativeFrom="page">
                  <wp:posOffset>702310</wp:posOffset>
                </wp:positionH>
                <wp:positionV relativeFrom="paragraph">
                  <wp:posOffset>399415</wp:posOffset>
                </wp:positionV>
                <wp:extent cx="1310640" cy="173990"/>
                <wp:wrapTopAndBottom/>
                <wp:docPr id="21" name="Shape 21"/>
                <a:graphic xmlns:a="http://schemas.openxmlformats.org/drawingml/2006/main">
                  <a:graphicData uri="http://schemas.microsoft.com/office/word/2010/wordprocessingShape">
                    <wps:wsp>
                      <wps:cNvSpPr txBox="1"/>
                      <wps:spPr>
                        <a:xfrm>
                          <a:ext cx="1310640" cy="173990"/>
                        </a:xfrm>
                        <a:prstGeom prst="rect"/>
                        <a:noFill/>
                      </wps:spPr>
                      <wps:txbx>
                        <w:txbxContent>
                          <w:p>
                            <w:pPr>
                              <w:pStyle w:val="Style68"/>
                              <w:keepNext/>
                              <w:keepLines/>
                              <w:widowControl w:val="0"/>
                              <w:shd w:val="clear" w:color="auto" w:fill="auto"/>
                              <w:bidi w:val="0"/>
                              <w:spacing w:before="0" w:after="0" w:line="240" w:lineRule="auto"/>
                              <w:ind w:left="0" w:right="0" w:firstLine="0"/>
                              <w:jc w:val="left"/>
                            </w:pPr>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591"/>
                            <w:bookmarkEnd w:id="592"/>
                            <w:bookmarkEnd w:id="593"/>
                          </w:p>
                        </w:txbxContent>
                      </wps:txbx>
                      <wps:bodyPr wrap="none" lIns="0" tIns="0" rIns="0" bIns="0">
                        <a:noAutoFit/>
                      </wps:bodyPr>
                    </wps:wsp>
                  </a:graphicData>
                </a:graphic>
              </wp:anchor>
            </w:drawing>
          </mc:Choice>
          <mc:Fallback>
            <w:pict>
              <v:shape id="_x0000_s1047" type="#_x0000_t202" style="position:absolute;margin-left:55.300000000000004pt;margin-top:31.449999999999999pt;width:103.2pt;height:13.700000000000001pt;z-index:-125829355;mso-wrap-distance-left:0;mso-wrap-distance-top:31.449999999999999pt;mso-wrap-distance-right:0;mso-wrap-distance-bottom:12.950000000000001pt;mso-position-horizontal-relative:page" filled="f" stroked="f">
                <v:textbox inset="0,0,0,0">
                  <w:txbxContent>
                    <w:p>
                      <w:pPr>
                        <w:pStyle w:val="Style68"/>
                        <w:keepNext/>
                        <w:keepLines/>
                        <w:widowControl w:val="0"/>
                        <w:shd w:val="clear" w:color="auto" w:fill="auto"/>
                        <w:bidi w:val="0"/>
                        <w:spacing w:before="0" w:after="0" w:line="240" w:lineRule="auto"/>
                        <w:ind w:left="0" w:right="0" w:firstLine="0"/>
                        <w:jc w:val="left"/>
                      </w:pPr>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591"/>
                      <w:bookmarkEnd w:id="592"/>
                      <w:bookmarkEnd w:id="593"/>
                    </w:p>
                  </w:txbxContent>
                </v:textbox>
                <w10:wrap type="topAndBottom" anchorx="page"/>
              </v:shape>
            </w:pict>
          </mc:Fallback>
        </mc:AlternateConten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409,054.67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130,354,843.35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131,315,898.02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359,383.04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873,196.52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267,189.31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9,277,580.53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995,097.53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138,332,089.03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1,178,572.35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140,505,758.91</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7,254,833.86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3,141,751.92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15,195,832.55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1,799,834.43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1,011,694.43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203,560.00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27,392252.76</w:t>
            </w:r>
          </w:p>
        </w:tc>
      </w:tr>
    </w:tbl>
    <w:p>
      <w:pPr>
        <w:widowControl w:val="0"/>
        <w:spacing w:after="319" w:line="1" w:lineRule="exact"/>
      </w:pPr>
    </w:p>
    <w:p>
      <w:pPr>
        <w:pStyle w:val="Style68"/>
        <w:keepNext/>
        <w:keepLines/>
        <w:widowControl w:val="0"/>
        <w:shd w:val="clear" w:color="auto" w:fill="auto"/>
        <w:bidi w:val="0"/>
        <w:spacing w:before="0" w:after="40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color w:val="000000"/>
          <w:spacing w:val="0"/>
          <w:w w:val="100"/>
          <w:position w:val="0"/>
        </w:rPr>
        <w:t>）本期计提、收回或转回的坏账准备情况</w:t>
      </w:r>
      <w:bookmarkEnd w:id="1066"/>
      <w:bookmarkEnd w:id="1067"/>
      <w:bookmarkEnd w:id="1069"/>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339"/>
        <w:gridCol w:w="1339"/>
        <w:gridCol w:w="1334"/>
        <w:gridCol w:w="1320"/>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128,271,813.1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128,271,813.16</w:t>
            </w:r>
          </w:p>
        </w:tc>
      </w:tr>
    </w:tbl>
    <w:p>
      <w:pPr>
        <w:widowControl w:val="0"/>
        <w:spacing w:line="1" w:lineRule="exact"/>
      </w:pPr>
      <w:r>
        <w:br w:type="page"/>
      </w:r>
    </w:p>
    <w:tbl>
      <w:tblPr>
        <w:tblOverlap w:val="never"/>
        <w:jc w:val="center"/>
        <w:tblLayout w:type="fixed"/>
      </w:tblPr>
      <w:tblGrid>
        <w:gridCol w:w="1426"/>
        <w:gridCol w:w="1094"/>
        <w:gridCol w:w="1344"/>
        <w:gridCol w:w="1334"/>
        <w:gridCol w:w="1334"/>
        <w:gridCol w:w="1320"/>
        <w:gridCol w:w="173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用损失的其他应 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3,044,084.86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9,277,580.53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12233,945.75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131,315,898.0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9,277,580.53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140,505,758.91</w:t>
            </w:r>
          </w:p>
        </w:tc>
      </w:tr>
    </w:tbl>
    <w:p>
      <w:pPr>
        <w:widowControl w:val="0"/>
        <w:spacing w:after="159" w:line="1" w:lineRule="exact"/>
      </w:pPr>
    </w:p>
    <w:p>
      <w:pPr>
        <w:pStyle w:val="Style13"/>
        <w:keepNext w:val="0"/>
        <w:keepLines w:val="0"/>
        <w:widowControl w:val="0"/>
        <w:shd w:val="clear" w:color="auto" w:fill="auto"/>
        <w:bidi w:val="0"/>
        <w:spacing w:before="0" w:after="60" w:line="240" w:lineRule="auto"/>
        <w:ind w:left="0" w:right="0" w:firstLine="440"/>
        <w:jc w:val="left"/>
        <w:rPr>
          <w:sz w:val="20"/>
          <w:szCs w:val="20"/>
        </w:rPr>
      </w:pPr>
      <w:r>
        <w:rPr>
          <w:b/>
          <w:bCs/>
          <w:color w:val="000000"/>
          <w:spacing w:val="0"/>
          <w:w w:val="100"/>
          <w:position w:val="0"/>
          <w:sz w:val="20"/>
          <w:szCs w:val="20"/>
        </w:rPr>
        <w:t>单项计提预期信用损失的其他应收款情况</w:t>
      </w:r>
    </w:p>
    <w:tbl>
      <w:tblPr>
        <w:tblOverlap w:val="never"/>
        <w:jc w:val="center"/>
        <w:tblLayout w:type="fixed"/>
      </w:tblPr>
      <w:tblGrid>
        <w:gridCol w:w="2688"/>
        <w:gridCol w:w="1762"/>
        <w:gridCol w:w="1550"/>
        <w:gridCol w:w="1013"/>
        <w:gridCol w:w="2045"/>
      </w:tblGrid>
      <w:tr>
        <w:trPr>
          <w:trHeight w:val="37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left"/>
            </w:pPr>
            <w:r>
              <w:rPr>
                <w:color w:val="000000"/>
                <w:spacing w:val="0"/>
                <w:w w:val="100"/>
                <w:position w:val="0"/>
              </w:rPr>
              <w:t>计提理由</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潮州市名源陶瓷有限公司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 等关联方资金占用）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114,411,038.07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64,388293.07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left"/>
            </w:pPr>
            <w:r>
              <w:rPr>
                <w:color w:val="000000"/>
                <w:spacing w:val="0"/>
                <w:w w:val="100"/>
                <w:position w:val="0"/>
              </w:rPr>
              <w:t>可回收性</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潮州市枫溪区锦汇陶瓷原料厂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 廷祥等关联方资金占用）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111,420,000.00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57,755,113.50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left"/>
            </w:pPr>
            <w:r>
              <w:rPr>
                <w:color w:val="000000"/>
                <w:spacing w:val="0"/>
                <w:w w:val="100"/>
                <w:position w:val="0"/>
              </w:rPr>
              <w:t>可回收性</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潮州市源发陶瓷有限公司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 等关联方资金占用）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45288,000.00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6,128,406.59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可回收性</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271,119,038.07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128,271,813.16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8"/>
        <w:keepNext/>
        <w:keepLines/>
        <w:widowControl w:val="0"/>
        <w:shd w:val="clear" w:color="auto" w:fill="auto"/>
        <w:bidi w:val="0"/>
        <w:spacing w:before="0" w:after="40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w:t>
      </w:r>
      <w:bookmarkEnd w:id="1072"/>
      <w:r>
        <w:rPr>
          <w:color w:val="000000"/>
          <w:spacing w:val="0"/>
          <w:w w:val="100"/>
          <w:position w:val="0"/>
        </w:rPr>
        <w:t>）本期实际核销的其他应收款情况</w:t>
      </w:r>
      <w:bookmarkEnd w:id="1070"/>
      <w:bookmarkEnd w:id="1071"/>
      <w:bookmarkEnd w:id="10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89"/>
        <w:gridCol w:w="1594"/>
        <w:gridCol w:w="1598"/>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其他应收款核销说明：</w:t>
      </w:r>
    </w:p>
    <w:p>
      <w:pPr>
        <w:pStyle w:val="Style68"/>
        <w:keepNext/>
        <w:keepLines/>
        <w:widowControl w:val="0"/>
        <w:shd w:val="clear" w:color="auto" w:fill="auto"/>
        <w:bidi w:val="0"/>
        <w:spacing w:before="0" w:after="40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5</w:t>
      </w:r>
      <w:bookmarkEnd w:id="1076"/>
      <w:r>
        <w:rPr>
          <w:color w:val="000000"/>
          <w:spacing w:val="0"/>
          <w:w w:val="100"/>
          <w:position w:val="0"/>
        </w:rPr>
        <w:t>）按欠款方归集的期末余额前五名的其他应收款情况</w:t>
      </w:r>
      <w:bookmarkEnd w:id="1074"/>
      <w:bookmarkEnd w:id="1075"/>
      <w:bookmarkEnd w:id="1077"/>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4"/>
        <w:gridCol w:w="1603"/>
        <w:gridCol w:w="1584"/>
        <w:gridCol w:w="1603"/>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114,411,038.07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64,388293.07</w:t>
            </w: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57,755,113.50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6,128,406.59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8,077,631.56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5,263,633.46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2,708,348.00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284,560,189.63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136,243,794.62</w:t>
            </w:r>
          </w:p>
        </w:tc>
      </w:tr>
    </w:tbl>
    <w:p>
      <w:pPr>
        <w:widowControl w:val="0"/>
        <w:spacing w:after="299" w:line="1" w:lineRule="exact"/>
      </w:pPr>
    </w:p>
    <w:p>
      <w:pPr>
        <w:pStyle w:val="Style68"/>
        <w:keepNext/>
        <w:keepLines/>
        <w:widowControl w:val="0"/>
        <w:shd w:val="clear" w:color="auto" w:fill="auto"/>
        <w:bidi w:val="0"/>
        <w:spacing w:before="0" w:after="40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6</w:t>
      </w:r>
      <w:bookmarkEnd w:id="1080"/>
      <w:r>
        <w:rPr>
          <w:color w:val="000000"/>
          <w:spacing w:val="0"/>
          <w:w w:val="100"/>
          <w:position w:val="0"/>
        </w:rPr>
        <w:t>）涉及政府补助的应收款项</w:t>
      </w:r>
      <w:bookmarkEnd w:id="1078"/>
      <w:bookmarkEnd w:id="1079"/>
      <w:bookmarkEnd w:id="1081"/>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299" w:line="1" w:lineRule="exact"/>
      </w:pPr>
    </w:p>
    <w:p>
      <w:pPr>
        <w:pStyle w:val="Style68"/>
        <w:keepNext/>
        <w:keepLines/>
        <w:widowControl w:val="0"/>
        <w:shd w:val="clear" w:color="auto" w:fill="auto"/>
        <w:tabs>
          <w:tab w:pos="382" w:val="left"/>
        </w:tabs>
        <w:bidi w:val="0"/>
        <w:spacing w:before="0" w:after="300" w:line="307" w:lineRule="exact"/>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7</w:t>
      </w:r>
      <w:bookmarkEnd w:id="1084"/>
      <w:r>
        <w:rPr>
          <w:color w:val="000000"/>
          <w:spacing w:val="0"/>
          <w:w w:val="100"/>
          <w:position w:val="0"/>
        </w:rPr>
        <w:t>）</w:t>
        <w:tab/>
        <w:t>因金融资产转移而终止确认的其他应收款</w:t>
      </w:r>
      <w:bookmarkEnd w:id="1082"/>
      <w:bookmarkEnd w:id="1083"/>
      <w:bookmarkEnd w:id="1085"/>
    </w:p>
    <w:p>
      <w:pPr>
        <w:pStyle w:val="Style68"/>
        <w:keepNext/>
        <w:keepLines/>
        <w:widowControl w:val="0"/>
        <w:shd w:val="clear" w:color="auto" w:fill="auto"/>
        <w:tabs>
          <w:tab w:pos="387" w:val="left"/>
        </w:tabs>
        <w:bidi w:val="0"/>
        <w:spacing w:before="0" w:after="400" w:line="307" w:lineRule="exact"/>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8</w:t>
      </w:r>
      <w:bookmarkEnd w:id="1088"/>
      <w:r>
        <w:rPr>
          <w:color w:val="000000"/>
          <w:spacing w:val="0"/>
          <w:w w:val="100"/>
          <w:position w:val="0"/>
        </w:rPr>
        <w:t>）</w:t>
        <w:tab/>
        <w:t>转移其他应收款且继续涉入形成的资产、负债金额</w:t>
      </w:r>
      <w:bookmarkEnd w:id="1086"/>
      <w:bookmarkEnd w:id="1087"/>
      <w:bookmarkEnd w:id="1089"/>
    </w:p>
    <w:p>
      <w:pPr>
        <w:pStyle w:val="Style16"/>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00" w:line="307" w:lineRule="exact"/>
        <w:ind w:left="0" w:right="0" w:firstLine="0"/>
        <w:jc w:val="both"/>
        <w:rPr>
          <w:sz w:val="20"/>
          <w:szCs w:val="20"/>
        </w:rPr>
      </w:pPr>
      <w:r>
        <w:rPr>
          <w:color w:val="000000"/>
          <w:spacing w:val="0"/>
          <w:w w:val="100"/>
          <w:position w:val="0"/>
          <w:sz w:val="20"/>
          <w:szCs w:val="20"/>
        </w:rPr>
        <w:t>潮州市名源陶瓷有限公司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蔡廷祥等关联方）、潮州市枫溪区锦汇陶瓷原料厂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蔡廷祥等关联方）、潮州市 源发陶瓷有限公司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蔡廷祥等关联方）系公司根据中国证券监督管理委员会广东监管局（以下简称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广东监 管局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日下发的《行政处罚决定书》</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[2021]12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认定的关联方。</w:t>
      </w:r>
    </w:p>
    <w:p>
      <w:pPr>
        <w:pStyle w:val="Style23"/>
        <w:keepNext/>
        <w:keepLines/>
        <w:widowControl w:val="0"/>
        <w:shd w:val="clear" w:color="auto" w:fill="auto"/>
        <w:bidi w:val="0"/>
        <w:spacing w:before="0" w:after="400" w:line="307" w:lineRule="exact"/>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5</w:t>
      </w:r>
      <w:bookmarkEnd w:id="1092"/>
      <w:r>
        <w:rPr>
          <w:color w:val="000000"/>
          <w:spacing w:val="0"/>
          <w:w w:val="100"/>
          <w:position w:val="0"/>
        </w:rPr>
        <w:t>、存货</w:t>
      </w:r>
      <w:bookmarkEnd w:id="1090"/>
      <w:bookmarkEnd w:id="1091"/>
      <w:bookmarkEnd w:id="109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否</w:t>
      </w:r>
    </w:p>
    <w:p>
      <w:pPr>
        <w:pStyle w:val="Style29"/>
        <w:keepNext/>
        <w:keepLines/>
        <w:widowControl w:val="0"/>
        <w:shd w:val="clear" w:color="auto" w:fill="auto"/>
        <w:bidi w:val="0"/>
        <w:spacing w:before="0" w:after="360" w:line="307" w:lineRule="exact"/>
        <w:ind w:left="0" w:right="0" w:firstLine="0"/>
        <w:jc w:val="both"/>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4"/>
      <w:bookmarkEnd w:id="1095"/>
      <w:bookmarkEnd w:id="10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831,405.20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505,227.81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35,901,933.57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32,103,609.21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57,004,908.49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35,287,094.48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21,717,814.01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42,518,506.55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24,692,280.66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17,826225.89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8,582,147.86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8,582,147.86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43,141.59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1,513,208.46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1,513,208.46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80,808,195.37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56,795,889.87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24,012,305.50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66,098,513.06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35287,094.48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30,811,418.58</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140"/>
        <w:jc w:val="left"/>
      </w:pPr>
      <w:bookmarkStart w:id="1098" w:name="bookmark1098"/>
      <w:bookmarkStart w:id="1099" w:name="bookmark1099"/>
      <w:bookmarkStart w:id="1100" w:name="bookmark1100"/>
      <w:bookmarkStart w:id="1101" w:name="bookmark1101"/>
      <w:r>
        <w:rPr>
          <w:color w:val="000000"/>
          <w:spacing w:val="0"/>
          <w:w w:val="100"/>
          <w:position w:val="0"/>
        </w:rPr>
        <w:t>⑵</w:t>
      </w:r>
      <w:bookmarkEnd w:id="1100"/>
      <w:r>
        <w:rPr>
          <w:color w:val="000000"/>
          <w:spacing w:val="0"/>
          <w:w w:val="100"/>
          <w:position w:val="0"/>
        </w:rPr>
        <w:t>存货跌价准备和合同履约成本减值准备</w:t>
      </w:r>
      <w:bookmarkEnd w:id="1098"/>
      <w:bookmarkEnd w:id="1099"/>
      <w:bookmarkEnd w:id="11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35287,094.48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1,606,638.72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4,790,123.99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32,103,609.21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24,692,280.66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24,692280.66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35287,094.48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26,298,919.38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4,790,123.99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56,795,889.87</w:t>
            </w:r>
          </w:p>
        </w:tc>
      </w:tr>
    </w:tbl>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02"/>
      <w:bookmarkEnd w:id="1103"/>
      <w:bookmarkEnd w:id="1105"/>
    </w:p>
    <w:p>
      <w:pPr>
        <w:pStyle w:val="Style29"/>
        <w:keepNext/>
        <w:keepLines/>
        <w:widowControl w:val="0"/>
        <w:shd w:val="clear" w:color="auto" w:fill="auto"/>
        <w:tabs>
          <w:tab w:pos="483" w:val="left"/>
        </w:tabs>
        <w:bidi w:val="0"/>
        <w:spacing w:before="0" w:after="36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06"/>
      <w:bookmarkEnd w:id="1107"/>
      <w:bookmarkEnd w:id="1109"/>
    </w:p>
    <w:p>
      <w:pPr>
        <w:pStyle w:val="Style23"/>
        <w:keepNext/>
        <w:keepLines/>
        <w:widowControl w:val="0"/>
        <w:shd w:val="clear" w:color="auto" w:fill="auto"/>
        <w:bidi w:val="0"/>
        <w:spacing w:before="0" w:after="36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、其他流动资产</w:t>
      </w:r>
      <w:bookmarkEnd w:id="1110"/>
      <w:bookmarkEnd w:id="1111"/>
      <w:bookmarkEnd w:id="11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636,092.90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794,348.29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1,898,570.85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3,789,254.10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4,632,046.70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2,695,298.04</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36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7</w:t>
      </w:r>
      <w:bookmarkEnd w:id="1116"/>
      <w:r>
        <w:rPr>
          <w:color w:val="000000"/>
          <w:spacing w:val="0"/>
          <w:w w:val="100"/>
          <w:position w:val="0"/>
        </w:rPr>
        <w:t>、长期应收款</w:t>
      </w:r>
      <w:bookmarkEnd w:id="1114"/>
      <w:bookmarkEnd w:id="1115"/>
      <w:bookmarkEnd w:id="1117"/>
    </w:p>
    <w:p>
      <w:pPr>
        <w:pStyle w:val="Style29"/>
        <w:keepNext/>
        <w:keepLines/>
        <w:widowControl w:val="0"/>
        <w:shd w:val="clear" w:color="auto" w:fill="auto"/>
        <w:bidi w:val="0"/>
        <w:spacing w:before="0" w:after="360" w:line="240" w:lineRule="auto"/>
        <w:ind w:left="0" w:right="0" w:firstLine="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18"/>
      <w:bookmarkEnd w:id="1119"/>
      <w:bookmarkEnd w:id="112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166"/>
        <w:gridCol w:w="1162"/>
        <w:gridCol w:w="1181"/>
        <w:gridCol w:w="1162"/>
        <w:gridCol w:w="1166"/>
        <w:gridCol w:w="1162"/>
        <w:gridCol w:w="117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分期收款提供劳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550,257.12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471,818.28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4,195,979.27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2,074,536.06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2,121,443.21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550,257.12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471,818.28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78,438.84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4,195,979.27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2,074,536.06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2,121,443.21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18,554.34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2,074,536.06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18,554.34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1,602,717.78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471,818.28</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122"/>
      <w:bookmarkEnd w:id="1123"/>
      <w:bookmarkEnd w:id="1125"/>
    </w:p>
    <w:p>
      <w:pPr>
        <w:pStyle w:val="Style29"/>
        <w:keepNext/>
        <w:keepLines/>
        <w:widowControl w:val="0"/>
        <w:shd w:val="clear" w:color="auto" w:fill="auto"/>
        <w:bidi w:val="0"/>
        <w:spacing w:before="0" w:line="240" w:lineRule="auto"/>
        <w:ind w:left="0" w:right="0" w:firstLine="140"/>
        <w:jc w:val="left"/>
      </w:pPr>
      <w:bookmarkStart w:id="1126" w:name="bookmark1126"/>
      <w:bookmarkStart w:id="1127" w:name="bookmark1127"/>
      <w:bookmarkStart w:id="1128" w:name="bookmark1128"/>
      <w:r>
        <w:rPr>
          <w:color w:val="000000"/>
          <w:spacing w:val="0"/>
          <w:w w:val="100"/>
          <w:position w:val="0"/>
        </w:rPr>
        <w:t>⑶转移长期应收款且继续涉入形成的资产、负债金额</w:t>
      </w:r>
      <w:bookmarkEnd w:id="1126"/>
      <w:bookmarkEnd w:id="1127"/>
      <w:bookmarkEnd w:id="112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8</w:t>
      </w:r>
      <w:bookmarkEnd w:id="1131"/>
      <w:r>
        <w:rPr>
          <w:color w:val="000000"/>
          <w:spacing w:val="0"/>
          <w:w w:val="100"/>
          <w:position w:val="0"/>
        </w:rPr>
        <w:t>、长期股权投资</w:t>
      </w:r>
      <w:bookmarkEnd w:id="1129"/>
      <w:bookmarkEnd w:id="1130"/>
      <w:bookmarkEnd w:id="113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潮州民营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9</w:t>
      </w:r>
      <w:bookmarkEnd w:id="1135"/>
      <w:r>
        <w:rPr>
          <w:color w:val="000000"/>
          <w:spacing w:val="0"/>
          <w:w w:val="100"/>
          <w:position w:val="0"/>
        </w:rPr>
        <w:t>、其他权益工具投资</w:t>
      </w:r>
      <w:bookmarkEnd w:id="1133"/>
      <w:bookmarkEnd w:id="1134"/>
      <w:bookmarkEnd w:id="113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630,177,649.54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630,177,649.54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168,114278.23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168,114278.23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178,455.11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123,582,181.68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123,582,181.68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深圳市英盛网络教育科技有限公司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921,994,145.25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922,052,564.56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入留存收益的原 因</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980" w:line="307" w:lineRule="exact"/>
        <w:ind w:left="0" w:right="0" w:firstLine="440"/>
        <w:jc w:val="left"/>
        <w:rPr>
          <w:sz w:val="20"/>
          <w:szCs w:val="20"/>
        </w:rPr>
      </w:pPr>
      <w:r>
        <w:rPr>
          <w:color w:val="000000"/>
          <w:spacing w:val="0"/>
          <w:w w:val="100"/>
          <w:position w:val="0"/>
          <w:sz w:val="20"/>
          <w:szCs w:val="20"/>
        </w:rPr>
        <w:t>说明：其他权益工具投资中对深圳市英盛网络教育科技有限公司的投资成本为</w:t>
      </w:r>
      <w:r>
        <w:rPr>
          <w:rFonts w:ascii="Times New Roman" w:eastAsia="Times New Roman" w:hAnsi="Times New Roman" w:cs="Times New Roman"/>
          <w:color w:val="000000"/>
          <w:spacing w:val="0"/>
          <w:w w:val="100"/>
          <w:position w:val="0"/>
          <w:sz w:val="20"/>
          <w:szCs w:val="20"/>
        </w:rPr>
        <w:t>12,000,000.00</w:t>
      </w:r>
      <w:r>
        <w:rPr>
          <w:color w:val="000000"/>
          <w:spacing w:val="0"/>
          <w:w w:val="100"/>
          <w:position w:val="0"/>
          <w:sz w:val="20"/>
          <w:szCs w:val="20"/>
        </w:rPr>
        <w:t>元，以前 年度公允价值变动为</w:t>
      </w:r>
      <w:r>
        <w:rPr>
          <w:rFonts w:ascii="Times New Roman" w:eastAsia="Times New Roman" w:hAnsi="Times New Roman" w:cs="Times New Roman"/>
          <w:color w:val="000000"/>
          <w:spacing w:val="0"/>
          <w:w w:val="100"/>
          <w:position w:val="0"/>
          <w:sz w:val="20"/>
          <w:szCs w:val="20"/>
        </w:rPr>
        <w:t>-12,000,000.00</w:t>
      </w: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p>
      <w:pPr>
        <w:pStyle w:val="Style23"/>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37"/>
      <w:bookmarkEnd w:id="1138"/>
      <w:bookmarkEnd w:id="114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122,521,470.94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204,780,617.44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122,521,470.94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204,780,617.44</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1"/>
      <w:bookmarkEnd w:id="1142"/>
      <w:bookmarkEnd w:id="114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258,702,885.56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36,187,496.86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5,306,272.65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29,974,808.79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330,171,463.86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2,250,116.64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1,249,114.94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3,624,004.04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79229,801.23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1,068,167.02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5,038,425.53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85,862,876.45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179,473,084.33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37,369,446.48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6,028,904.92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25,061,155.72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247,932,591.45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68,492,059.78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28,632,075.59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3,842,348.51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24,424,362.54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125,390,846.42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4,335,090.22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2,286,330.91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1,136,150.73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2,163,698.13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9,921,269.99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3,919,830.30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5,426,182.88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9,900,995.90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68,907,319.70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30,757,759.63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4,584,163.39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21,161,877.79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125,411,120.51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110,565,764.63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6,611,686.85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1,444,741.53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3,899,277.93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122,521,470.94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190,210,825.78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7,555,421.27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1,463,924.14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5,550,446.25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204,780,617.44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45"/>
      <w:bookmarkEnd w:id="1146"/>
      <w:bookmarkEnd w:id="11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149"/>
      <w:bookmarkEnd w:id="1150"/>
      <w:bookmarkEnd w:id="1152"/>
      <w:r>
        <w:br w:type="page"/>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140"/>
        <w:jc w:val="left"/>
      </w:pPr>
      <w:bookmarkStart w:id="1153" w:name="bookmark1153"/>
      <w:bookmarkStart w:id="1154" w:name="bookmark1154"/>
      <w:bookmarkStart w:id="1155" w:name="bookmark1155"/>
      <w:r>
        <w:rPr>
          <w:color w:val="000000"/>
          <w:spacing w:val="0"/>
          <w:w w:val="100"/>
          <w:position w:val="0"/>
        </w:rPr>
        <w:t>⑷未办妥产权证书的固定资产情况</w:t>
      </w:r>
      <w:bookmarkEnd w:id="1153"/>
      <w:bookmarkEnd w:id="1154"/>
      <w:bookmarkEnd w:id="11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44,927,000.00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4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156"/>
      <w:bookmarkEnd w:id="1157"/>
      <w:bookmarkEnd w:id="11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40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160"/>
      <w:bookmarkEnd w:id="1161"/>
      <w:bookmarkEnd w:id="116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64"/>
      <w:bookmarkEnd w:id="1165"/>
      <w:bookmarkEnd w:id="11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68"/>
      <w:bookmarkEnd w:id="1169"/>
      <w:bookmarkEnd w:id="117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9"/>
        <w:gridCol w:w="739"/>
        <w:gridCol w:w="734"/>
        <w:gridCol w:w="730"/>
        <w:gridCol w:w="749"/>
        <w:gridCol w:w="739"/>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资金来 源</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72"/>
      <w:bookmarkEnd w:id="1173"/>
      <w:bookmarkEnd w:id="117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42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176"/>
      <w:bookmarkEnd w:id="1177"/>
      <w:bookmarkEnd w:id="117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、使用权资产</w:t>
      </w:r>
      <w:bookmarkEnd w:id="1180"/>
      <w:bookmarkEnd w:id="1181"/>
      <w:bookmarkEnd w:id="11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467,569.23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27,357,132.32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27,357,132.32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27,357,132.32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27,357,132.32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27,824,701.55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27,824,701.55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4,789,380.77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4,789,380.77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4,789,380.77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4,789,380.77</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4,789,380.77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4,789,380.77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23,035,320.78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23,035,320.78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84"/>
      <w:bookmarkEnd w:id="1185"/>
      <w:bookmarkEnd w:id="1187"/>
    </w:p>
    <w:p>
      <w:pPr>
        <w:pStyle w:val="Style29"/>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8"/>
      <w:bookmarkEnd w:id="1189"/>
      <w:bookmarkEnd w:id="119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应用软件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140,941,602.00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4,824,964.08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146,723,216.08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140,941,602.00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4,824,964.08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146,723,216.08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16,448,757.51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2,628,322.49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20,033,730.00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2,209,467.67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273,410.28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2,482,877.95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2,209,467.67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273,410.28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2,482,877.95</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18,658225.18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2,901,732.77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22,516,607.95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122,283,376.82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1,923,231.31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124,206,608.13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124,492,844.49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2,196,641.59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126,689,486.08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29"/>
        <w:keepNext/>
        <w:keepLines/>
        <w:widowControl w:val="0"/>
        <w:shd w:val="clear" w:color="auto" w:fill="auto"/>
        <w:bidi w:val="0"/>
        <w:spacing w:before="0" w:after="42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92"/>
      <w:bookmarkEnd w:id="1193"/>
      <w:bookmarkEnd w:id="119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680" w:line="240" w:lineRule="auto"/>
        <w:ind w:left="0" w:right="0" w:firstLine="440"/>
        <w:jc w:val="left"/>
        <w:rPr>
          <w:sz w:val="20"/>
          <w:szCs w:val="20"/>
        </w:rPr>
      </w:pPr>
      <w:r>
        <w:rPr>
          <w:color w:val="000000"/>
          <w:spacing w:val="0"/>
          <w:w w:val="100"/>
          <w:position w:val="0"/>
          <w:sz w:val="20"/>
          <w:szCs w:val="20"/>
        </w:rPr>
        <w:t>无未办妥产权证书的土地使用权情况。</w:t>
      </w:r>
    </w:p>
    <w:p>
      <w:pPr>
        <w:pStyle w:val="Style23"/>
        <w:keepNext/>
        <w:keepLines/>
        <w:widowControl w:val="0"/>
        <w:shd w:val="clear" w:color="auto" w:fill="auto"/>
        <w:bidi w:val="0"/>
        <w:spacing w:before="0" w:after="360" w:line="240" w:lineRule="auto"/>
        <w:ind w:left="0" w:right="0" w:firstLine="0"/>
        <w:jc w:val="both"/>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96"/>
      <w:bookmarkEnd w:id="1197"/>
      <w:bookmarkEnd w:id="1198"/>
    </w:p>
    <w:p>
      <w:pPr>
        <w:pStyle w:val="Style29"/>
        <w:keepNext/>
        <w:keepLines/>
        <w:widowControl w:val="0"/>
        <w:shd w:val="clear" w:color="auto" w:fill="auto"/>
        <w:bidi w:val="0"/>
        <w:spacing w:before="0" w:after="36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99"/>
      <w:bookmarkEnd w:id="1200"/>
      <w:bookmarkEnd w:id="120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03"/>
      <w:bookmarkEnd w:id="1204"/>
      <w:bookmarkEnd w:id="1206"/>
    </w:p>
    <w:tbl>
      <w:tblPr>
        <w:tblOverlap w:val="never"/>
        <w:jc w:val="center"/>
        <w:tblLayout w:type="fixed"/>
      </w:tblPr>
      <w:tblGrid>
        <w:gridCol w:w="1378"/>
        <w:gridCol w:w="1373"/>
        <w:gridCol w:w="1373"/>
        <w:gridCol w:w="1368"/>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河南智游臻龙教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75,139,848.91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188,780,214.08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75,139,848.91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188,780,214.08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bl>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left"/>
        <w:tblLayout w:type="fixed"/>
      </w:tblPr>
      <w:tblGrid>
        <w:gridCol w:w="2818"/>
        <w:gridCol w:w="3110"/>
        <w:gridCol w:w="1997"/>
        <w:gridCol w:w="1133"/>
      </w:tblGrid>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主要构成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本期是 否发生变动</w:t>
            </w:r>
          </w:p>
        </w:tc>
      </w:tr>
      <w:tr>
        <w:trPr>
          <w:trHeight w:val="7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河南智游臻龙教育科技有限公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相关的长期资产（包括固定资产、无形 资产、长期待摊费用）及商誉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商誉所在的资产组可以 带来独立的现金流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300" w:firstLine="0"/>
              <w:jc w:val="right"/>
            </w:pPr>
            <w:r>
              <w:rPr>
                <w:color w:val="000000"/>
                <w:spacing w:val="0"/>
                <w:w w:val="100"/>
                <w:position w:val="0"/>
              </w:rPr>
              <w:t>否</w:t>
            </w:r>
          </w:p>
        </w:tc>
      </w:tr>
    </w:tbl>
    <w:p>
      <w:pPr>
        <w:widowControl w:val="0"/>
        <w:spacing w:after="279" w:line="1" w:lineRule="exact"/>
      </w:pP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3"/>
        <w:keepNext w:val="0"/>
        <w:keepLines w:val="0"/>
        <w:widowControl w:val="0"/>
        <w:shd w:val="clear" w:color="auto" w:fill="auto"/>
        <w:tabs>
          <w:tab w:pos="928" w:val="left"/>
        </w:tabs>
        <w:bidi w:val="0"/>
        <w:spacing w:before="0" w:after="0" w:line="314" w:lineRule="exact"/>
        <w:ind w:left="0" w:right="0" w:firstLine="440"/>
        <w:jc w:val="left"/>
        <w:rPr>
          <w:sz w:val="20"/>
          <w:szCs w:val="20"/>
        </w:rPr>
      </w:pPr>
      <w:bookmarkStart w:id="1207" w:name="bookmark1207"/>
      <w:r>
        <w:rPr>
          <w:color w:val="000000"/>
          <w:spacing w:val="0"/>
          <w:w w:val="100"/>
          <w:position w:val="0"/>
          <w:sz w:val="20"/>
          <w:szCs w:val="20"/>
        </w:rPr>
        <w:t>（</w:t>
      </w:r>
      <w:bookmarkEnd w:id="120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可回收金额的确定方法</w:t>
      </w:r>
    </w:p>
    <w:p>
      <w:pPr>
        <w:pStyle w:val="Style13"/>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根据资产预计未来现金流量的现值确定。</w:t>
      </w:r>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1208" w:name="bookmark1208"/>
      <w:r>
        <w:rPr>
          <w:color w:val="000000"/>
          <w:spacing w:val="0"/>
          <w:w w:val="100"/>
          <w:position w:val="0"/>
          <w:sz w:val="20"/>
          <w:szCs w:val="20"/>
        </w:rPr>
        <w:t>（</w:t>
      </w:r>
      <w:bookmarkEnd w:id="120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重要的假设</w:t>
      </w:r>
    </w:p>
    <w:p>
      <w:pPr>
        <w:pStyle w:val="Style13"/>
        <w:keepNext w:val="0"/>
        <w:keepLines w:val="0"/>
        <w:widowControl w:val="0"/>
        <w:numPr>
          <w:ilvl w:val="0"/>
          <w:numId w:val="53"/>
        </w:numPr>
        <w:shd w:val="clear" w:color="auto" w:fill="auto"/>
        <w:tabs>
          <w:tab w:pos="819" w:val="left"/>
        </w:tabs>
        <w:bidi w:val="0"/>
        <w:spacing w:before="0" w:after="0" w:line="314" w:lineRule="exact"/>
        <w:ind w:left="0" w:right="0" w:firstLine="440"/>
        <w:jc w:val="both"/>
        <w:rPr>
          <w:sz w:val="20"/>
          <w:szCs w:val="20"/>
        </w:rPr>
      </w:pPr>
      <w:bookmarkStart w:id="1209" w:name="bookmark1209"/>
      <w:bookmarkEnd w:id="1209"/>
      <w:r>
        <w:rPr>
          <w:color w:val="000000"/>
          <w:spacing w:val="0"/>
          <w:w w:val="100"/>
          <w:position w:val="0"/>
          <w:sz w:val="20"/>
          <w:szCs w:val="20"/>
        </w:rPr>
        <w:t>国家现行的有关法律、法规及政策，国家宏观经济形势无重大变化；本次交易各方所处地区的政治、 经济和社会环境无重大变化；无其他不可预测和不可抗力因素造成的重大不利影响。</w:t>
      </w:r>
    </w:p>
    <w:p>
      <w:pPr>
        <w:pStyle w:val="Style13"/>
        <w:keepNext w:val="0"/>
        <w:keepLines w:val="0"/>
        <w:widowControl w:val="0"/>
        <w:numPr>
          <w:ilvl w:val="0"/>
          <w:numId w:val="53"/>
        </w:numPr>
        <w:shd w:val="clear" w:color="auto" w:fill="auto"/>
        <w:tabs>
          <w:tab w:pos="814" w:val="left"/>
        </w:tabs>
        <w:bidi w:val="0"/>
        <w:spacing w:before="0" w:after="0" w:line="314" w:lineRule="exact"/>
        <w:ind w:left="0" w:right="0" w:firstLine="440"/>
        <w:jc w:val="both"/>
        <w:rPr>
          <w:sz w:val="20"/>
          <w:szCs w:val="20"/>
        </w:rPr>
      </w:pPr>
      <w:bookmarkStart w:id="1210" w:name="bookmark1210"/>
      <w:bookmarkEnd w:id="1210"/>
      <w:r>
        <w:rPr>
          <w:color w:val="000000"/>
          <w:spacing w:val="0"/>
          <w:w w:val="100"/>
          <w:position w:val="0"/>
          <w:sz w:val="20"/>
          <w:szCs w:val="20"/>
        </w:rPr>
        <w:t>公司作为经营主体，在所处的外部环境下，按照经营目标，持续经营下去。公司经营者负责并有能 力担当责任；企业合法经营，并能够获取适当利润，以维持持续经营能力。</w:t>
      </w:r>
    </w:p>
    <w:p>
      <w:pPr>
        <w:pStyle w:val="Style13"/>
        <w:keepNext w:val="0"/>
        <w:keepLines w:val="0"/>
        <w:widowControl w:val="0"/>
        <w:numPr>
          <w:ilvl w:val="0"/>
          <w:numId w:val="53"/>
        </w:numPr>
        <w:shd w:val="clear" w:color="auto" w:fill="auto"/>
        <w:tabs>
          <w:tab w:pos="842" w:val="left"/>
        </w:tabs>
        <w:bidi w:val="0"/>
        <w:spacing w:before="0" w:after="0" w:line="314" w:lineRule="exact"/>
        <w:ind w:left="0" w:right="0" w:firstLine="440"/>
        <w:jc w:val="left"/>
        <w:rPr>
          <w:sz w:val="20"/>
          <w:szCs w:val="20"/>
        </w:rPr>
      </w:pPr>
      <w:bookmarkStart w:id="1211" w:name="bookmark1211"/>
      <w:bookmarkEnd w:id="1211"/>
      <w:r>
        <w:rPr>
          <w:color w:val="000000"/>
          <w:spacing w:val="0"/>
          <w:w w:val="100"/>
          <w:position w:val="0"/>
          <w:sz w:val="20"/>
          <w:szCs w:val="20"/>
        </w:rPr>
        <w:t>假设产权持有人在现有的管理方式和管理水平的基础上，经营范围、方式与现时方向保持一致。</w:t>
      </w:r>
    </w:p>
    <w:p>
      <w:pPr>
        <w:pStyle w:val="Style13"/>
        <w:keepNext w:val="0"/>
        <w:keepLines w:val="0"/>
        <w:widowControl w:val="0"/>
        <w:numPr>
          <w:ilvl w:val="0"/>
          <w:numId w:val="53"/>
        </w:numPr>
        <w:shd w:val="clear" w:color="auto" w:fill="auto"/>
        <w:tabs>
          <w:tab w:pos="842" w:val="left"/>
        </w:tabs>
        <w:bidi w:val="0"/>
        <w:spacing w:before="0" w:after="0" w:line="314" w:lineRule="exact"/>
        <w:ind w:left="0" w:right="0" w:firstLine="440"/>
        <w:jc w:val="left"/>
        <w:rPr>
          <w:sz w:val="20"/>
          <w:szCs w:val="20"/>
        </w:rPr>
      </w:pPr>
      <w:bookmarkStart w:id="1212" w:name="bookmark1212"/>
      <w:bookmarkEnd w:id="1212"/>
      <w:r>
        <w:rPr>
          <w:color w:val="000000"/>
          <w:spacing w:val="0"/>
          <w:w w:val="100"/>
          <w:position w:val="0"/>
          <w:sz w:val="20"/>
          <w:szCs w:val="20"/>
        </w:rPr>
        <w:t>有关利率、汇率、赋税基准及税率，政策性征收费用等不发生重大变化。</w:t>
      </w:r>
    </w:p>
    <w:p>
      <w:pPr>
        <w:pStyle w:val="Style13"/>
        <w:keepNext w:val="0"/>
        <w:keepLines w:val="0"/>
        <w:widowControl w:val="0"/>
        <w:numPr>
          <w:ilvl w:val="0"/>
          <w:numId w:val="53"/>
        </w:numPr>
        <w:shd w:val="clear" w:color="auto" w:fill="auto"/>
        <w:tabs>
          <w:tab w:pos="842" w:val="left"/>
        </w:tabs>
        <w:bidi w:val="0"/>
        <w:spacing w:before="0" w:after="0" w:line="314" w:lineRule="exact"/>
        <w:ind w:left="0" w:right="0" w:firstLine="440"/>
        <w:jc w:val="left"/>
        <w:rPr>
          <w:sz w:val="20"/>
          <w:szCs w:val="20"/>
        </w:rPr>
      </w:pPr>
      <w:bookmarkStart w:id="1213" w:name="bookmark1213"/>
      <w:bookmarkEnd w:id="1213"/>
      <w:r>
        <w:rPr>
          <w:color w:val="000000"/>
          <w:spacing w:val="0"/>
          <w:w w:val="100"/>
          <w:position w:val="0"/>
          <w:sz w:val="20"/>
          <w:szCs w:val="20"/>
        </w:rPr>
        <w:t>无其他人力不可抗拒因素及不可预见因素对公司拟造成重大不利影响。</w:t>
      </w:r>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1214" w:name="bookmark1214"/>
      <w:r>
        <w:rPr>
          <w:color w:val="000000"/>
          <w:spacing w:val="0"/>
          <w:w w:val="100"/>
          <w:position w:val="0"/>
          <w:sz w:val="20"/>
          <w:szCs w:val="20"/>
        </w:rPr>
        <w:t>（</w:t>
      </w:r>
      <w:bookmarkEnd w:id="12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关键参数</w:t>
      </w:r>
    </w:p>
    <w:p>
      <w:pPr>
        <w:pStyle w:val="Style16"/>
        <w:keepNext w:val="0"/>
        <w:keepLines w:val="0"/>
        <w:widowControl w:val="0"/>
        <w:shd w:val="clear" w:color="auto" w:fill="auto"/>
        <w:tabs>
          <w:tab w:pos="2409" w:val="left"/>
          <w:tab w:pos="3529" w:val="left"/>
          <w:tab w:pos="5822" w:val="left"/>
        </w:tabs>
        <w:bidi w:val="0"/>
        <w:spacing w:before="0" w:after="0" w:line="314" w:lineRule="exact"/>
        <w:ind w:left="0" w:right="0" w:firstLine="580"/>
        <w:jc w:val="left"/>
      </w:pPr>
      <w:r>
        <w:rPr>
          <w:color w:val="000000"/>
          <w:spacing w:val="0"/>
          <w:w w:val="100"/>
          <w:position w:val="0"/>
        </w:rPr>
        <w:t>公司名称</w:t>
        <w:tab/>
        <w:t>预测期</w:t>
        <w:tab/>
        <w:t>预测期营业收入增长率</w:t>
        <w:tab/>
        <w:t>稳定期增长率折现率（加权平均资本</w:t>
      </w:r>
    </w:p>
    <w:p>
      <w:pPr>
        <w:pStyle w:val="Style16"/>
        <w:keepNext w:val="0"/>
        <w:keepLines w:val="0"/>
        <w:widowControl w:val="0"/>
        <w:pBdr>
          <w:bottom w:val="single" w:sz="4" w:space="0" w:color="auto"/>
        </w:pBdr>
        <w:shd w:val="clear" w:color="auto" w:fill="auto"/>
        <w:bidi w:val="0"/>
        <w:spacing w:before="0" w:after="0" w:line="314" w:lineRule="exact"/>
        <w:ind w:left="7540" w:right="0" w:firstLine="0"/>
        <w:jc w:val="left"/>
      </w:pPr>
      <w:r>
        <w:rPr>
          <w:color w:val="000000"/>
          <w:spacing w:val="0"/>
          <w:w w:val="100"/>
          <w:position w:val="0"/>
        </w:rPr>
        <w:t>成本</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p>
      <w:pPr>
        <w:pStyle w:val="Style66"/>
        <w:keepNext w:val="0"/>
        <w:keepLines w:val="0"/>
        <w:widowControl w:val="0"/>
        <w:shd w:val="clear" w:color="auto" w:fill="auto"/>
        <w:tabs>
          <w:tab w:pos="2126" w:val="left"/>
          <w:tab w:pos="3529" w:val="left"/>
          <w:tab w:pos="6192" w:val="left"/>
          <w:tab w:pos="7757" w:val="left"/>
        </w:tabs>
        <w:bidi w:val="0"/>
        <w:spacing w:before="0" w:after="100" w:line="313" w:lineRule="exact"/>
        <w:ind w:left="0" w:right="0" w:firstLine="0"/>
        <w:jc w:val="left"/>
      </w:pPr>
      <w:r>
        <w:rPr>
          <w:rFonts w:ascii="SimSun" w:eastAsia="SimSun" w:hAnsi="SimSun" w:cs="SimSun"/>
          <w:color w:val="000000"/>
          <w:spacing w:val="0"/>
          <w:w w:val="100"/>
          <w:position w:val="0"/>
          <w:sz w:val="17"/>
          <w:szCs w:val="17"/>
        </w:rPr>
        <w:t>河南智游臻龙教育科技</w:t>
        <w:tab/>
      </w:r>
      <w:r>
        <w:rPr>
          <w:color w:val="000000"/>
          <w:spacing w:val="0"/>
          <w:w w:val="100"/>
          <w:position w:val="0"/>
        </w:rPr>
        <w:t>2022-2027</w:t>
      </w:r>
      <w:r>
        <w:rPr>
          <w:rFonts w:ascii="SimSun" w:eastAsia="SimSun" w:hAnsi="SimSun" w:cs="SimSun"/>
          <w:color w:val="000000"/>
          <w:spacing w:val="0"/>
          <w:w w:val="100"/>
          <w:position w:val="0"/>
          <w:sz w:val="17"/>
          <w:szCs w:val="17"/>
        </w:rPr>
        <w:t>年</w:t>
        <w:tab/>
      </w:r>
      <w:r>
        <w:rPr>
          <w:color w:val="000000"/>
          <w:spacing w:val="0"/>
          <w:w w:val="100"/>
          <w:position w:val="0"/>
        </w:rPr>
        <w:t>2022-2027</w:t>
      </w:r>
      <w:r>
        <w:rPr>
          <w:rFonts w:ascii="SimSun" w:eastAsia="SimSun" w:hAnsi="SimSun" w:cs="SimSun"/>
          <w:color w:val="000000"/>
          <w:spacing w:val="0"/>
          <w:w w:val="100"/>
          <w:position w:val="0"/>
          <w:sz w:val="17"/>
          <w:szCs w:val="17"/>
        </w:rPr>
        <w:t>年的增长率分别</w:t>
        <w:tab/>
        <w:t>持平</w:t>
        <w:tab/>
      </w:r>
      <w:r>
        <w:rPr>
          <w:color w:val="000000"/>
          <w:spacing w:val="0"/>
          <w:w w:val="100"/>
          <w:position w:val="0"/>
        </w:rPr>
        <w:t>16.19%</w:t>
      </w:r>
    </w:p>
    <w:p>
      <w:pPr>
        <w:pStyle w:val="Style66"/>
        <w:keepNext w:val="0"/>
        <w:keepLines w:val="0"/>
        <w:widowControl w:val="0"/>
        <w:shd w:val="clear" w:color="auto" w:fill="auto"/>
        <w:tabs>
          <w:tab w:pos="3529" w:val="left"/>
        </w:tabs>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有限公司</w:t>
        <w:tab/>
        <w:t>为</w:t>
      </w:r>
      <w:r>
        <w:rPr>
          <w:color w:val="000000"/>
          <w:spacing w:val="0"/>
          <w:w w:val="100"/>
          <w:position w:val="0"/>
          <w:sz w:val="18"/>
          <w:szCs w:val="18"/>
        </w:rPr>
        <w:t>-10.19%</w:t>
      </w:r>
      <w:r>
        <w:rPr>
          <w:rFonts w:ascii="SimSun" w:eastAsia="SimSun" w:hAnsi="SimSun" w:cs="SimSun"/>
          <w:color w:val="000000"/>
          <w:spacing w:val="0"/>
          <w:w w:val="100"/>
          <w:position w:val="0"/>
          <w:sz w:val="17"/>
          <w:szCs w:val="17"/>
        </w:rPr>
        <w:t>、</w:t>
      </w:r>
      <w:r>
        <w:rPr>
          <w:color w:val="000000"/>
          <w:spacing w:val="0"/>
          <w:w w:val="100"/>
          <w:position w:val="0"/>
          <w:sz w:val="18"/>
          <w:szCs w:val="18"/>
        </w:rPr>
        <w:t>27.95%</w:t>
      </w:r>
      <w:r>
        <w:rPr>
          <w:rFonts w:ascii="SimSun" w:eastAsia="SimSun" w:hAnsi="SimSun" w:cs="SimSun"/>
          <w:color w:val="000000"/>
          <w:spacing w:val="0"/>
          <w:w w:val="100"/>
          <w:position w:val="0"/>
          <w:sz w:val="17"/>
          <w:szCs w:val="17"/>
        </w:rPr>
        <w:t>、</w:t>
      </w:r>
      <w:r>
        <w:rPr>
          <w:color w:val="000000"/>
          <w:spacing w:val="0"/>
          <w:w w:val="100"/>
          <w:position w:val="0"/>
          <w:sz w:val="18"/>
          <w:szCs w:val="18"/>
        </w:rPr>
        <w:t>7.00%</w:t>
      </w:r>
      <w:r>
        <w:rPr>
          <w:rFonts w:ascii="SimSun" w:eastAsia="SimSun" w:hAnsi="SimSun" w:cs="SimSun"/>
          <w:color w:val="000000"/>
          <w:spacing w:val="0"/>
          <w:w w:val="100"/>
          <w:position w:val="0"/>
          <w:sz w:val="17"/>
          <w:szCs w:val="17"/>
        </w:rPr>
        <w:t>、</w:t>
      </w:r>
    </w:p>
    <w:p>
      <w:pPr>
        <w:pStyle w:val="Style66"/>
        <w:keepNext w:val="0"/>
        <w:keepLines w:val="0"/>
        <w:widowControl w:val="0"/>
        <w:pBdr>
          <w:bottom w:val="single" w:sz="4" w:space="0" w:color="auto"/>
        </w:pBdr>
        <w:shd w:val="clear" w:color="auto" w:fill="auto"/>
        <w:bidi w:val="0"/>
        <w:spacing w:before="0" w:after="820" w:line="240" w:lineRule="auto"/>
        <w:ind w:left="3520" w:right="0" w:firstLine="0"/>
        <w:jc w:val="left"/>
      </w:pPr>
      <w:r>
        <w:rPr>
          <w:color w:val="000000"/>
          <w:spacing w:val="0"/>
          <w:w w:val="100"/>
          <w:position w:val="0"/>
        </w:rPr>
        <w:t>6.00%</w:t>
      </w:r>
      <w:r>
        <w:rPr>
          <w:rFonts w:ascii="SimSun" w:eastAsia="SimSun" w:hAnsi="SimSun" w:cs="SimSun"/>
          <w:color w:val="000000"/>
          <w:spacing w:val="0"/>
          <w:w w:val="100"/>
          <w:position w:val="0"/>
          <w:sz w:val="17"/>
          <w:szCs w:val="17"/>
        </w:rPr>
        <w:t>、</w:t>
      </w:r>
      <w:r>
        <w:rPr>
          <w:color w:val="000000"/>
          <w:spacing w:val="0"/>
          <w:w w:val="100"/>
          <w:position w:val="0"/>
        </w:rPr>
        <w:t>5.00%</w:t>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商誉减值准备计提说明:</w:t>
      </w:r>
    </w:p>
    <w:tbl>
      <w:tblPr>
        <w:tblOverlap w:val="never"/>
        <w:jc w:val="left"/>
        <w:tblLayout w:type="fixed"/>
      </w:tblPr>
      <w:tblGrid>
        <w:gridCol w:w="4440"/>
        <w:gridCol w:w="3336"/>
        <w:gridCol w:w="1282"/>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被投资单位名称或形成商誉的事项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FF0000"/>
                <w:spacing w:val="0"/>
                <w:w w:val="100"/>
                <w:position w:val="0"/>
              </w:rPr>
              <w:t>河南智游臻龙教育科技有限公司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FF0000"/>
                <w:spacing w:val="0"/>
                <w:w w:val="100"/>
                <w:position w:val="0"/>
              </w:rPr>
              <w:t>备注</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FF0000"/>
                <w:spacing w:val="0"/>
                <w:w w:val="100"/>
                <w:position w:val="0"/>
                <w:sz w:val="18"/>
                <w:szCs w:val="18"/>
              </w:rPr>
              <w:t>263,920,062.99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商誉减值准备余额②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FF0000"/>
                <w:spacing w:val="0"/>
                <w:w w:val="100"/>
                <w:position w:val="0"/>
                <w:sz w:val="18"/>
                <w:szCs w:val="18"/>
              </w:rPr>
              <w:t>75,139,848.91</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商誉的账面价值③</w:t>
            </w:r>
            <w:r>
              <w:rPr>
                <w:rFonts w:ascii="Times New Roman" w:eastAsia="Times New Roman" w:hAnsi="Times New Roman" w:cs="Times New Roman"/>
                <w:color w:val="FF0000"/>
                <w:spacing w:val="0"/>
                <w:w w:val="100"/>
                <w:position w:val="0"/>
                <w:sz w:val="18"/>
                <w:szCs w:val="18"/>
              </w:rPr>
              <w:t>=</w:t>
            </w:r>
            <w:r>
              <w:rPr>
                <w:color w:val="FF0000"/>
                <w:spacing w:val="0"/>
                <w:w w:val="100"/>
                <w:position w:val="0"/>
              </w:rPr>
              <w:t>①</w:t>
            </w:r>
            <w:r>
              <w:rPr>
                <w:rFonts w:ascii="Times New Roman" w:eastAsia="Times New Roman" w:hAnsi="Times New Roman" w:cs="Times New Roman"/>
                <w:color w:val="FF0000"/>
                <w:spacing w:val="0"/>
                <w:w w:val="100"/>
                <w:position w:val="0"/>
                <w:sz w:val="18"/>
                <w:szCs w:val="18"/>
              </w:rPr>
              <w:t>-</w:t>
            </w:r>
            <w:r>
              <w:rPr>
                <w:color w:val="FF0000"/>
                <w:spacing w:val="0"/>
                <w:w w:val="100"/>
                <w:position w:val="0"/>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FF0000"/>
                <w:spacing w:val="0"/>
                <w:w w:val="100"/>
                <w:position w:val="0"/>
                <w:sz w:val="18"/>
                <w:szCs w:val="18"/>
              </w:rPr>
              <w:t>188,780,214.08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未确认归属于少数股东权益的商誉价值④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40"/>
        <w:gridCol w:w="3336"/>
        <w:gridCol w:w="1282"/>
      </w:tblGrid>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rPr>
                <w:sz w:val="18"/>
                <w:szCs w:val="18"/>
              </w:rPr>
            </w:pPr>
            <w:r>
              <w:rPr>
                <w:color w:val="FF0000"/>
                <w:spacing w:val="0"/>
                <w:w w:val="100"/>
                <w:position w:val="0"/>
                <w:sz w:val="17"/>
                <w:szCs w:val="17"/>
              </w:rPr>
              <w:t>包含未确认归属于少数股东权益的商誉价值⑤</w:t>
            </w:r>
            <w:r>
              <w:rPr>
                <w:rFonts w:ascii="Times New Roman" w:eastAsia="Times New Roman" w:hAnsi="Times New Roman" w:cs="Times New Roman"/>
                <w:color w:val="FF0000"/>
                <w:spacing w:val="0"/>
                <w:w w:val="100"/>
                <w:position w:val="0"/>
                <w:sz w:val="18"/>
                <w:szCs w:val="18"/>
              </w:rPr>
              <w:t>=</w:t>
            </w:r>
            <w:r>
              <w:rPr>
                <w:rFonts w:ascii="Times New Roman" w:eastAsia="Times New Roman" w:hAnsi="Times New Roman" w:cs="Times New Roman"/>
                <w:b/>
                <w:bCs/>
                <w:color w:val="FF0000"/>
                <w:spacing w:val="0"/>
                <w:w w:val="100"/>
                <w:position w:val="0"/>
                <w:sz w:val="18"/>
                <w:szCs w:val="18"/>
              </w:rPr>
              <w:t>3</w:t>
            </w:r>
            <w:r>
              <w:rPr>
                <w:rFonts w:ascii="Times New Roman" w:eastAsia="Times New Roman" w:hAnsi="Times New Roman" w:cs="Times New Roman"/>
                <w:color w:val="FF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FF0000"/>
                <w:spacing w:val="0"/>
                <w:w w:val="100"/>
                <w:position w:val="0"/>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FF0000"/>
                <w:spacing w:val="0"/>
                <w:w w:val="100"/>
                <w:position w:val="0"/>
                <w:sz w:val="18"/>
                <w:szCs w:val="18"/>
              </w:rPr>
              <w:t>188,780,214.08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资产组的账面价值⑥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FF0000"/>
                <w:spacing w:val="0"/>
                <w:w w:val="100"/>
                <w:position w:val="0"/>
                <w:sz w:val="18"/>
                <w:szCs w:val="18"/>
              </w:rPr>
              <w:t>40,835,400.00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包含整体商誉的资产组的公允价值⑦</w:t>
            </w:r>
            <w:r>
              <w:rPr>
                <w:color w:val="FF0000"/>
                <w:spacing w:val="0"/>
                <w:w w:val="100"/>
                <w:position w:val="0"/>
                <w:sz w:val="18"/>
                <w:szCs w:val="18"/>
              </w:rPr>
              <w:t>二</w:t>
            </w:r>
            <w:r>
              <w:rPr>
                <w:color w:val="FF0000"/>
                <w:spacing w:val="0"/>
                <w:w w:val="100"/>
                <w:position w:val="0"/>
              </w:rPr>
              <w:t>⑤</w:t>
            </w:r>
            <w:r>
              <w:rPr>
                <w:rFonts w:ascii="Times New Roman" w:eastAsia="Times New Roman" w:hAnsi="Times New Roman" w:cs="Times New Roman"/>
                <w:color w:val="FF0000"/>
                <w:spacing w:val="0"/>
                <w:w w:val="100"/>
                <w:position w:val="0"/>
                <w:sz w:val="18"/>
                <w:szCs w:val="18"/>
              </w:rPr>
              <w:t>+</w:t>
            </w:r>
            <w:r>
              <w:rPr>
                <w:color w:val="FF0000"/>
                <w:spacing w:val="0"/>
                <w:w w:val="100"/>
                <w:position w:val="0"/>
              </w:rPr>
              <w:t>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FF0000"/>
                <w:spacing w:val="0"/>
                <w:w w:val="100"/>
                <w:position w:val="0"/>
                <w:sz w:val="18"/>
                <w:szCs w:val="18"/>
              </w:rPr>
              <w:t>229,615,614.08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资产组预计未来现金流的现值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FF0000"/>
                <w:spacing w:val="0"/>
                <w:w w:val="100"/>
                <w:position w:val="0"/>
                <w:sz w:val="18"/>
                <w:szCs w:val="18"/>
              </w:rPr>
              <w:t>40,835,400.00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FF0000"/>
                <w:spacing w:val="0"/>
                <w:w w:val="100"/>
                <w:position w:val="0"/>
                <w:sz w:val="18"/>
                <w:szCs w:val="18"/>
              </w:rPr>
              <w:t>188,780,214.08</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FF0000"/>
                <w:spacing w:val="0"/>
                <w:w w:val="100"/>
                <w:position w:val="0"/>
              </w:rPr>
              <w:t>结论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FF0000"/>
                <w:spacing w:val="0"/>
                <w:w w:val="100"/>
                <w:position w:val="0"/>
              </w:rPr>
              <w:t>商誉减值</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15"/>
      <w:bookmarkEnd w:id="1216"/>
      <w:bookmarkEnd w:id="12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3,035,366.18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16,802,580.05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4,262,983.12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15,574,963.11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2,865,524.69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2,331,028.52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534,496.17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3,035,366.18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19,668,104.74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6,594,011.64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16,109,459.28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9"/>
      <w:bookmarkEnd w:id="1220"/>
      <w:bookmarkEnd w:id="1222"/>
    </w:p>
    <w:p>
      <w:pPr>
        <w:pStyle w:val="Style29"/>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3"/>
      <w:bookmarkEnd w:id="1224"/>
      <w:bookmarkEnd w:id="12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2,191,444.57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2,191,444.57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27"/>
      <w:bookmarkEnd w:id="1228"/>
      <w:bookmarkEnd w:id="123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31"/>
      <w:bookmarkEnd w:id="1232"/>
      <w:bookmarkEnd w:id="1234"/>
    </w:p>
    <w:p>
      <w:pPr>
        <w:pStyle w:val="Style1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167640" distB="146685" distL="0" distR="0" simplePos="0" relativeHeight="125829400" behindDoc="0" locked="0" layoutInCell="1" allowOverlap="1">
                <wp:simplePos x="0" y="0"/>
                <wp:positionH relativeFrom="page">
                  <wp:posOffset>1200785</wp:posOffset>
                </wp:positionH>
                <wp:positionV relativeFrom="paragraph">
                  <wp:posOffset>167640</wp:posOffset>
                </wp:positionV>
                <wp:extent cx="252730" cy="146050"/>
                <wp:wrapTopAndBottom/>
                <wp:docPr id="23" name="Shape 2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16"/>
                              <w:keepNext w:val="0"/>
                              <w:keepLines w:val="0"/>
                              <w:widowControl w:val="0"/>
                              <w:pBdr>
                                <w:top w:val="single" w:sz="0" w:space="14" w:color="D3D3D3"/>
                                <w:left w:val="single" w:sz="0" w:space="0" w:color="D3D3D3"/>
                                <w:bottom w:val="single" w:sz="0" w:space="14"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9" type="#_x0000_t202" style="position:absolute;margin-left:94.549999999999997pt;margin-top:13.200000000000001pt;width:19.900000000000002pt;height:11.5pt;z-index:-125829353;mso-wrap-distance-left:0;mso-wrap-distance-top:13.200000000000001pt;mso-wrap-distance-right:0;mso-wrap-distance-bottom:11.550000000000001pt;mso-position-horizontal-relative:page" filled="f" stroked="f">
                <v:textbox inset="0,0,0,0">
                  <w:txbxContent>
                    <w:p>
                      <w:pPr>
                        <w:pStyle w:val="Style16"/>
                        <w:keepNext w:val="0"/>
                        <w:keepLines w:val="0"/>
                        <w:widowControl w:val="0"/>
                        <w:pBdr>
                          <w:top w:val="single" w:sz="0" w:space="14" w:color="D3D3D3"/>
                          <w:left w:val="single" w:sz="0" w:space="0" w:color="D3D3D3"/>
                          <w:bottom w:val="single" w:sz="0" w:space="14"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0" distR="0" simplePos="0" relativeHeight="125829402" behindDoc="0" locked="0" layoutInCell="1" allowOverlap="1">
                <wp:simplePos x="0" y="0"/>
                <wp:positionH relativeFrom="page">
                  <wp:posOffset>1901825</wp:posOffset>
                </wp:positionH>
                <wp:positionV relativeFrom="paragraph">
                  <wp:posOffset>0</wp:posOffset>
                </wp:positionV>
                <wp:extent cx="4904105" cy="460375"/>
                <wp:wrapTopAndBottom/>
                <wp:docPr id="25" name="Shape 25"/>
                <a:graphic xmlns:a="http://schemas.openxmlformats.org/drawingml/2006/main">
                  <a:graphicData uri="http://schemas.microsoft.com/office/word/2010/wordprocessingShape">
                    <wps:wsp>
                      <wps:cNvSpPr txBox="1"/>
                      <wps:spPr>
                        <a:xfrm>
                          <a:ext cx="4904105" cy="460375"/>
                        </a:xfrm>
                        <a:prstGeom prst="rect"/>
                        <a:noFill/>
                      </wps:spPr>
                      <wps:txbx>
                        <w:txbxContent>
                          <w:tbl>
                            <w:tblPr>
                              <w:tblOverlap w:val="never"/>
                              <w:jc w:val="left"/>
                              <w:tblLayout w:type="fixed"/>
                            </w:tblPr>
                            <w:tblGrid>
                              <w:gridCol w:w="1968"/>
                              <w:gridCol w:w="1910"/>
                              <w:gridCol w:w="1920"/>
                              <w:gridCol w:w="1925"/>
                            </w:tblGrid>
                            <w:tr>
                              <w:trPr>
                                <w:tblHeade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149.75pt;margin-top:0;width:386.15000000000003pt;height:36.25pt;z-index:-125829351;mso-wrap-distance-left:0;mso-wrap-distance-right:0;mso-position-horizontal-relative:page" filled="f" stroked="f">
                <v:textbox inset="0,0,0,0">
                  <w:txbxContent>
                    <w:tbl>
                      <w:tblPr>
                        <w:tblOverlap w:val="never"/>
                        <w:jc w:val="left"/>
                        <w:tblLayout w:type="fixed"/>
                      </w:tblPr>
                      <w:tblGrid>
                        <w:gridCol w:w="1968"/>
                        <w:gridCol w:w="1910"/>
                        <w:gridCol w:w="1920"/>
                        <w:gridCol w:w="1925"/>
                      </w:tblGrid>
                      <w:tr>
                        <w:trPr>
                          <w:tblHeade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numPr>
          <w:ilvl w:val="0"/>
          <w:numId w:val="55"/>
        </w:numPr>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未确认递延所得税资产明细</w:t>
      </w:r>
      <w:bookmarkEnd w:id="1235"/>
      <w:bookmarkEnd w:id="1236"/>
      <w:bookmarkEnd w:id="123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622,649,562.58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570,848,330.36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849,898,636.66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224,912,444.14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1,472,548,199.24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795,760,774.50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140"/>
        <w:jc w:val="left"/>
      </w:pPr>
      <w:bookmarkStart w:id="1239" w:name="bookmark1239"/>
      <w:bookmarkStart w:id="1240" w:name="bookmark1240"/>
      <w:bookmarkStart w:id="1241" w:name="bookmark1241"/>
      <w:r>
        <w:rPr>
          <w:color w:val="000000"/>
          <w:spacing w:val="0"/>
          <w:w w:val="100"/>
          <w:position w:val="0"/>
        </w:rPr>
        <w:t>⑸未确认递延所得税资产的可抵扣亏损将于以下年度到期</w:t>
      </w:r>
      <w:bookmarkEnd w:id="1239"/>
      <w:bookmarkEnd w:id="1240"/>
      <w:bookmarkEnd w:id="12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32,669,541.81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44,880,670.47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44,880,670.47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32,005,526.29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32,005,526.29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52,738,017.81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52,738,017.81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62,618,687.76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62,618,687.76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657,655,734.33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849,898,636.66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224,912,444.14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42"/>
      <w:bookmarkEnd w:id="1243"/>
      <w:bookmarkEnd w:id="124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1056"/>
        <w:gridCol w:w="1066"/>
        <w:gridCol w:w="1075"/>
        <w:gridCol w:w="1051"/>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46"/>
      <w:bookmarkEnd w:id="1247"/>
      <w:bookmarkEnd w:id="1249"/>
    </w:p>
    <w:p>
      <w:pPr>
        <w:pStyle w:val="Style29"/>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0"/>
      <w:bookmarkEnd w:id="1251"/>
      <w:bookmarkEnd w:id="125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116,961,043.70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4,354,999.97</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241,176,225.20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366,337,268.90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4,354,999.97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39" w:line="1" w:lineRule="exact"/>
      </w:pPr>
    </w:p>
    <w:p>
      <w:pPr>
        <w:pStyle w:val="Style29"/>
        <w:keepNext/>
        <w:keepLines/>
        <w:widowControl w:val="0"/>
        <w:shd w:val="clear" w:color="auto" w:fill="auto"/>
        <w:bidi w:val="0"/>
        <w:spacing w:before="0" w:after="42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53"/>
      <w:bookmarkEnd w:id="1254"/>
      <w:bookmarkEnd w:id="1256"/>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358,137,268.90</w:t>
      </w:r>
      <w:r>
        <w:rPr>
          <w:color w:val="000000"/>
          <w:spacing w:val="0"/>
          <w:w w:val="100"/>
          <w:position w:val="0"/>
        </w:rPr>
        <w:t>元，其中重要的已逾期未偿还的短期借款情况如下: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中国银行股份有限公司 潮州分行营业部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26,998,053.02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交通银行股份有限公司 潮州分行营业部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2,678,172.18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平安银行股份有限公司 广州珠江新城支行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平安银行股份有限公司 广州珠江新城支行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广发银行股份有限公司 潮州分行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中国光大银行股份有限 公司汕头分行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广东兴信典当行有限公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浙商银行股份有限公司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浙商银行股份有限公司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浙商银行股份有限公司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浙商银行股份有限公司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浙商银行股份有限公司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343,137,268.90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本公司的短期借款尚未获得银行展期，光大银行、浙商银行、广发银行已起诉，本公司已根据法院判 决计提逾期利息及罚息。</w:t>
      </w:r>
    </w:p>
    <w:p>
      <w:pPr>
        <w:pStyle w:val="Style23"/>
        <w:keepNext/>
        <w:keepLines/>
        <w:widowControl w:val="0"/>
        <w:shd w:val="clear" w:color="auto" w:fill="auto"/>
        <w:bidi w:val="0"/>
        <w:spacing w:before="0" w:after="220" w:line="331"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57"/>
      <w:bookmarkEnd w:id="1258"/>
      <w:bookmarkEnd w:id="1260"/>
    </w:p>
    <w:p>
      <w:pPr>
        <w:pStyle w:val="Style29"/>
        <w:keepNext/>
        <w:keepLines/>
        <w:widowControl w:val="0"/>
        <w:shd w:val="clear" w:color="auto" w:fill="auto"/>
        <w:bidi w:val="0"/>
        <w:spacing w:before="0" w:line="317" w:lineRule="exact"/>
        <w:ind w:left="0" w:right="0" w:firstLine="0"/>
        <w:jc w:val="left"/>
      </w:pPr>
      <w:bookmarkStart w:id="1261" w:name="bookmark1261"/>
      <w:bookmarkStart w:id="1262" w:name="bookmark1262"/>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1"/>
      <w:bookmarkEnd w:id="1262"/>
      <w:bookmarkEnd w:id="126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5,802,590.91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8,780,427.93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35,095,965.60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6,040,180.80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44,107,393.53</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4"/>
      <w:bookmarkEnd w:id="1265"/>
      <w:bookmarkEnd w:id="126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期末无账龄超过一年的重要应付账款。</w:t>
      </w:r>
    </w:p>
    <w:p>
      <w:pPr>
        <w:pStyle w:val="Style23"/>
        <w:keepNext/>
        <w:keepLines/>
        <w:widowControl w:val="0"/>
        <w:shd w:val="clear" w:color="auto" w:fill="auto"/>
        <w:bidi w:val="0"/>
        <w:spacing w:before="0" w:after="40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268"/>
      <w:bookmarkEnd w:id="1269"/>
      <w:bookmarkEnd w:id="1271"/>
    </w:p>
    <w:p>
      <w:pPr>
        <w:pStyle w:val="Style29"/>
        <w:keepNext/>
        <w:keepLines/>
        <w:widowControl w:val="0"/>
        <w:shd w:val="clear" w:color="auto" w:fill="auto"/>
        <w:bidi w:val="0"/>
        <w:spacing w:before="0" w:after="40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72"/>
      <w:bookmarkEnd w:id="1273"/>
      <w:bookmarkEnd w:id="127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75"/>
      <w:bookmarkEnd w:id="1276"/>
      <w:bookmarkEnd w:id="127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39" w:line="1" w:lineRule="exact"/>
      </w:pPr>
    </w:p>
    <w:p>
      <w:pPr>
        <w:pStyle w:val="Style23"/>
        <w:keepNext/>
        <w:keepLines/>
        <w:widowControl w:val="0"/>
        <w:shd w:val="clear" w:color="auto" w:fill="auto"/>
        <w:bidi w:val="0"/>
        <w:spacing w:before="0" w:after="40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278"/>
      <w:bookmarkEnd w:id="1279"/>
      <w:bookmarkEnd w:id="128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8,624,342.09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8,623,388.05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8,624,342.09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8,623,388.05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82"/>
      <w:bookmarkEnd w:id="1283"/>
      <w:bookmarkEnd w:id="1285"/>
    </w:p>
    <w:p>
      <w:pPr>
        <w:pStyle w:val="Style29"/>
        <w:keepNext/>
        <w:keepLines/>
        <w:widowControl w:val="0"/>
        <w:shd w:val="clear" w:color="auto" w:fill="auto"/>
        <w:bidi w:val="0"/>
        <w:spacing w:before="0" w:after="40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6"/>
      <w:bookmarkEnd w:id="1287"/>
      <w:bookmarkEnd w:id="12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10,686,635.46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28,442,963.67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33,648,675.66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5,480,923.47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10,686,635.46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30,674,863.59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35,880,575.58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5,480,923.47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9"/>
      <w:bookmarkEnd w:id="1290"/>
      <w:bookmarkEnd w:id="12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10,689,517.64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27,087,956.36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32,323,329.47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5,454,144.53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65 270.17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65,270.17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942,609.58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912,748.46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26,978.94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802,655.60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775,792.14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23,981.28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18,143.96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18,143.96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121,810.02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118,812.36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347,127.56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347,327.56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10,686,635.46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28,442,963.67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33,648,675.66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5,480,923.47</w:t>
            </w:r>
          </w:p>
        </w:tc>
      </w:tr>
    </w:tbl>
    <w:p>
      <w:pPr>
        <w:widowControl w:val="0"/>
        <w:spacing w:after="319" w:line="1" w:lineRule="exact"/>
      </w:pPr>
    </w:p>
    <w:p>
      <w:pPr>
        <w:pStyle w:val="Style29"/>
        <w:keepNext/>
        <w:keepLines/>
        <w:widowControl w:val="0"/>
        <w:numPr>
          <w:ilvl w:val="0"/>
          <w:numId w:val="57"/>
        </w:numPr>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设定提存计划列示</w:t>
      </w:r>
      <w:bookmarkEnd w:id="1292"/>
      <w:bookmarkEnd w:id="1293"/>
      <w:bookmarkEnd w:id="12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2,168,012.43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63,887.49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2,231,899.92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96"/>
      <w:bookmarkEnd w:id="1297"/>
      <w:bookmarkEnd w:id="129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208,063.87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1,683,035.84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159,145.62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150,892.40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237,420.92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268,310.10</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2,563,708.80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3,455,450.35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3,601,006.78</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0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00"/>
      <w:bookmarkEnd w:id="1301"/>
      <w:bookmarkEnd w:id="130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138,007,030.47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60,733,036.58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882,651,648.39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838,747,513.82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1,020,658,678.86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899,480,550.40</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04"/>
      <w:bookmarkEnd w:id="1305"/>
      <w:bookmarkEnd w:id="130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138,007,030.47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60,733,036.58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138,007,030.47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60,733,036.58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61,153,312.50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9,688,880.07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8,699,944.05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中国光大银行汕头分行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2,766,328.13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广发银行潮州分行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5,804,500.02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交通银行潮州分行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6,144,165.35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4,593,355.16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9,265,653.37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广东兴信典当行有限公司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浙商银行深圳分行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11,282,968.84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中国银行潮州分行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3,665,756.31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公司资金紧张，暂未支付</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130,861,030.47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400" w:line="240" w:lineRule="auto"/>
        <w:ind w:left="0" w:right="0" w:firstLine="0"/>
        <w:jc w:val="left"/>
      </w:pPr>
      <w:bookmarkStart w:id="1307" w:name="bookmark1307"/>
      <w:bookmarkStart w:id="1308" w:name="bookmark1308"/>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07"/>
      <w:bookmarkEnd w:id="1308"/>
      <w:bookmarkEnd w:id="130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after="40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10"/>
      <w:bookmarkEnd w:id="1311"/>
      <w:bookmarkEnd w:id="1313"/>
    </w:p>
    <w:p>
      <w:pPr>
        <w:pStyle w:val="Style68"/>
        <w:keepNext/>
        <w:keepLines/>
        <w:widowControl w:val="0"/>
        <w:shd w:val="clear" w:color="auto" w:fill="auto"/>
        <w:bidi w:val="0"/>
        <w:spacing w:before="0" w:after="40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color w:val="000000"/>
          <w:spacing w:val="0"/>
          <w:w w:val="100"/>
          <w:position w:val="0"/>
        </w:rPr>
        <w:t>）按款项性质列示其他应付款</w:t>
      </w:r>
      <w:bookmarkEnd w:id="1314"/>
      <w:bookmarkEnd w:id="1315"/>
      <w:bookmarkEnd w:id="13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237,685,934.74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203,055,859.59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622,082,649.54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619,877,649.54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19,706,759.57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9,152,048.72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3,153,504.54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6,630,755.97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882,651,648.39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838,747,513.82</w:t>
            </w:r>
          </w:p>
        </w:tc>
      </w:tr>
    </w:tbl>
    <w:p>
      <w:pPr>
        <w:widowControl w:val="0"/>
        <w:spacing w:after="339" w:line="1" w:lineRule="exact"/>
      </w:pPr>
    </w:p>
    <w:p>
      <w:pPr>
        <w:pStyle w:val="Style68"/>
        <w:keepNext/>
        <w:keepLines/>
        <w:widowControl w:val="0"/>
        <w:shd w:val="clear" w:color="auto" w:fill="auto"/>
        <w:bidi w:val="0"/>
        <w:spacing w:before="0" w:after="40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18"/>
      <w:bookmarkEnd w:id="1319"/>
      <w:bookmarkEnd w:id="13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翡翠教育收购相关的股权转让款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619,877,649.54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诉讼中</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诉讼中</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23,587,944.39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已提起诉讼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广州隽隆贸易有限公司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已提起诉讼</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818,465,593.93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0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322"/>
      <w:bookmarkEnd w:id="1323"/>
      <w:bookmarkEnd w:id="13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724,909,096.72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4,886,637.72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369,336,637.72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724,909,096.72</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326"/>
      <w:bookmarkEnd w:id="1327"/>
      <w:bookmarkEnd w:id="13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1,079,059.80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605,273.77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1,079,059.80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330"/>
      <w:bookmarkEnd w:id="1331"/>
      <w:bookmarkEnd w:id="13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32,526,503.57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-9,542,399.50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-4,886,637.72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18,097,466.35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本期确认租赁负债利息费用</w:t>
      </w:r>
      <w:r>
        <w:rPr>
          <w:rFonts w:ascii="Times New Roman" w:eastAsia="Times New Roman" w:hAnsi="Times New Roman" w:cs="Times New Roman"/>
          <w:color w:val="000000"/>
          <w:spacing w:val="0"/>
          <w:w w:val="100"/>
          <w:position w:val="0"/>
          <w:sz w:val="20"/>
          <w:szCs w:val="20"/>
        </w:rPr>
        <w:t>2,130,318.28</w:t>
      </w:r>
      <w:r>
        <w:rPr>
          <w:color w:val="000000"/>
          <w:spacing w:val="0"/>
          <w:w w:val="100"/>
          <w:position w:val="0"/>
          <w:sz w:val="20"/>
          <w:szCs w:val="20"/>
        </w:rPr>
        <w:t>元。</w:t>
      </w:r>
    </w:p>
    <w:p>
      <w:pPr>
        <w:pStyle w:val="Style23"/>
        <w:keepNext/>
        <w:keepLines/>
        <w:widowControl w:val="0"/>
        <w:shd w:val="clear" w:color="auto" w:fill="auto"/>
        <w:bidi w:val="0"/>
        <w:spacing w:before="0" w:after="42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334"/>
      <w:bookmarkEnd w:id="1335"/>
      <w:bookmarkEnd w:id="13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38"/>
      <w:bookmarkEnd w:id="1339"/>
      <w:bookmarkEnd w:id="134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202"/>
        <w:gridCol w:w="3197"/>
        <w:gridCol w:w="3192"/>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应付河南智游臻龙教育科技有限公司股 权收购款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84,082,964.11</w:t>
            </w:r>
          </w:p>
        </w:tc>
      </w:tr>
    </w:tbl>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59" w:line="1" w:lineRule="exact"/>
      </w:pPr>
    </w:p>
    <w:p>
      <w:pPr>
        <w:pStyle w:val="Style13"/>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长期应付款说明：长期应付款减少系报告期本公司与子公司河南智游臻龙教育科技有限公司根据《关 于文化长城委托智游臻龙支付相关股权转让款及授权总经理办理相关事项的董事会决议》原股东文化长城 与智游臻龙原股东于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日签订《股权收购协议》，就智游臻龙管理层经营期间出现减值一事， 及股权转让款达成补充协议（以下简称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补充协议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），经多方协商一致确认本公司现欠智游臻龙原股东（不 含深圳市锐金国际投资有限公司）合计</w:t>
      </w:r>
      <w:r>
        <w:rPr>
          <w:rFonts w:ascii="Times New Roman" w:eastAsia="Times New Roman" w:hAnsi="Times New Roman" w:cs="Times New Roman"/>
          <w:color w:val="000000"/>
          <w:spacing w:val="0"/>
          <w:w w:val="100"/>
          <w:position w:val="0"/>
          <w:sz w:val="20"/>
          <w:szCs w:val="20"/>
        </w:rPr>
        <w:t>7,264</w:t>
      </w:r>
      <w:r>
        <w:rPr>
          <w:color w:val="000000"/>
          <w:spacing w:val="0"/>
          <w:w w:val="100"/>
          <w:position w:val="0"/>
          <w:sz w:val="20"/>
          <w:szCs w:val="20"/>
        </w:rPr>
        <w:t>万元，本公司拟通过以下方式支付以上股权转让款：委托智游 臻龙利用其公司以下资产支付相关股权转让款项，具体方式如下：</w:t>
      </w:r>
    </w:p>
    <w:p>
      <w:pPr>
        <w:pStyle w:val="Style13"/>
        <w:keepNext w:val="0"/>
        <w:keepLines w:val="0"/>
        <w:widowControl w:val="0"/>
        <w:shd w:val="clear" w:color="auto" w:fill="auto"/>
        <w:tabs>
          <w:tab w:pos="966" w:val="left"/>
        </w:tabs>
        <w:bidi w:val="0"/>
        <w:spacing w:before="0" w:after="120" w:line="307" w:lineRule="exact"/>
        <w:ind w:left="0" w:right="0" w:firstLine="440"/>
        <w:jc w:val="both"/>
        <w:rPr>
          <w:sz w:val="20"/>
          <w:szCs w:val="20"/>
        </w:rPr>
      </w:pPr>
      <w:bookmarkStart w:id="1341" w:name="bookmark1341"/>
      <w:r>
        <w:rPr>
          <w:color w:val="000000"/>
          <w:spacing w:val="0"/>
          <w:w w:val="100"/>
          <w:position w:val="0"/>
          <w:sz w:val="20"/>
          <w:szCs w:val="20"/>
        </w:rPr>
        <w:t>（</w:t>
      </w:r>
      <w:bookmarkEnd w:id="134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同意智游臻龙与河南新开元恒裕工业地产有限公司（以下简称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河南新开元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协商解除此前双方 签订的两份《房屋买卖合同》及相关于续，由河南新开元利用应退智游臻龙的购房款向郑州源宏企业管理 咨询有限公司（以下简称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郑州源宏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〉直接支付，河南新开元届时将应退款项直接支付给郑州源宏，该款 项视为文化长城向原股东支付的股权转让款，合计</w:t>
      </w:r>
      <w:r>
        <w:rPr>
          <w:rFonts w:ascii="Times New Roman" w:eastAsia="Times New Roman" w:hAnsi="Times New Roman" w:cs="Times New Roman"/>
          <w:color w:val="000000"/>
          <w:spacing w:val="0"/>
          <w:w w:val="100"/>
          <w:position w:val="0"/>
          <w:sz w:val="20"/>
          <w:szCs w:val="20"/>
        </w:rPr>
        <w:t>3,157</w:t>
      </w:r>
      <w:r>
        <w:rPr>
          <w:color w:val="000000"/>
          <w:spacing w:val="0"/>
          <w:w w:val="100"/>
          <w:position w:val="0"/>
          <w:sz w:val="20"/>
          <w:szCs w:val="20"/>
        </w:rPr>
        <w:t>万元。</w:t>
      </w:r>
    </w:p>
    <w:p>
      <w:pPr>
        <w:pStyle w:val="Style13"/>
        <w:keepNext w:val="0"/>
        <w:keepLines w:val="0"/>
        <w:widowControl w:val="0"/>
        <w:shd w:val="clear" w:color="auto" w:fill="auto"/>
        <w:tabs>
          <w:tab w:pos="966" w:val="left"/>
        </w:tabs>
        <w:bidi w:val="0"/>
        <w:spacing w:before="0" w:after="120" w:line="319" w:lineRule="exact"/>
        <w:ind w:left="0" w:right="0" w:firstLine="440"/>
        <w:jc w:val="both"/>
        <w:rPr>
          <w:sz w:val="20"/>
          <w:szCs w:val="20"/>
        </w:rPr>
      </w:pPr>
      <w:bookmarkStart w:id="1342" w:name="bookmark1342"/>
      <w:r>
        <w:rPr>
          <w:color w:val="000000"/>
          <w:spacing w:val="0"/>
          <w:w w:val="100"/>
          <w:position w:val="0"/>
          <w:sz w:val="20"/>
          <w:szCs w:val="20"/>
        </w:rPr>
        <w:t>（</w:t>
      </w:r>
      <w:bookmarkEnd w:id="134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同意将智游臻龙将公司应收账款债权转让给第三方公司，扣除第三方公司费用后的净值为</w:t>
      </w:r>
      <w:r>
        <w:rPr>
          <w:rFonts w:ascii="Times New Roman" w:eastAsia="Times New Roman" w:hAnsi="Times New Roman" w:cs="Times New Roman"/>
          <w:color w:val="000000"/>
          <w:spacing w:val="0"/>
          <w:w w:val="100"/>
          <w:position w:val="0"/>
          <w:sz w:val="20"/>
          <w:szCs w:val="20"/>
        </w:rPr>
        <w:t xml:space="preserve">2,607 </w:t>
      </w:r>
      <w:r>
        <w:rPr>
          <w:color w:val="000000"/>
          <w:spacing w:val="0"/>
          <w:w w:val="100"/>
          <w:position w:val="0"/>
          <w:sz w:val="20"/>
          <w:szCs w:val="20"/>
        </w:rPr>
        <w:t>万元，用以抵偿文化长城所欠智游臻龙原股东的股权收购款</w:t>
      </w:r>
      <w:r>
        <w:rPr>
          <w:rFonts w:ascii="Times New Roman" w:eastAsia="Times New Roman" w:hAnsi="Times New Roman" w:cs="Times New Roman"/>
          <w:color w:val="000000"/>
          <w:spacing w:val="0"/>
          <w:w w:val="100"/>
          <w:position w:val="0"/>
          <w:sz w:val="20"/>
          <w:szCs w:val="20"/>
        </w:rPr>
        <w:t>2,607</w:t>
      </w:r>
      <w:r>
        <w:rPr>
          <w:color w:val="000000"/>
          <w:spacing w:val="0"/>
          <w:w w:val="100"/>
          <w:position w:val="0"/>
          <w:sz w:val="20"/>
          <w:szCs w:val="20"/>
        </w:rPr>
        <w:t>万元（以应收账款付至郑州源宏或其指定 人名下的金额为准）。</w:t>
      </w:r>
    </w:p>
    <w:p>
      <w:pPr>
        <w:pStyle w:val="Style13"/>
        <w:keepNext w:val="0"/>
        <w:keepLines w:val="0"/>
        <w:widowControl w:val="0"/>
        <w:shd w:val="clear" w:color="auto" w:fill="auto"/>
        <w:tabs>
          <w:tab w:pos="961" w:val="left"/>
        </w:tabs>
        <w:bidi w:val="0"/>
        <w:spacing w:before="0" w:after="120" w:line="312" w:lineRule="exact"/>
        <w:ind w:left="0" w:right="0" w:firstLine="440"/>
        <w:jc w:val="both"/>
        <w:rPr>
          <w:sz w:val="20"/>
          <w:szCs w:val="20"/>
        </w:rPr>
      </w:pPr>
      <w:bookmarkStart w:id="1343" w:name="bookmark1343"/>
      <w:r>
        <w:rPr>
          <w:color w:val="000000"/>
          <w:spacing w:val="0"/>
          <w:w w:val="100"/>
          <w:position w:val="0"/>
          <w:sz w:val="20"/>
          <w:szCs w:val="20"/>
        </w:rPr>
        <w:t>（</w:t>
      </w:r>
      <w:bookmarkEnd w:id="134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文化长城自行于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日之前向郑州源宏支付</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日之前，支付</w:t>
      </w:r>
      <w:r>
        <w:rPr>
          <w:rFonts w:ascii="Times New Roman" w:eastAsia="Times New Roman" w:hAnsi="Times New Roman" w:cs="Times New Roman"/>
          <w:color w:val="000000"/>
          <w:spacing w:val="0"/>
          <w:w w:val="100"/>
          <w:position w:val="0"/>
          <w:sz w:val="20"/>
          <w:szCs w:val="20"/>
        </w:rPr>
        <w:t xml:space="preserve">1,000 </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年应支付的款项</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万元，已由本公司实际控制人孙光亮先生于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月代付。</w:t>
      </w:r>
    </w:p>
    <w:p>
      <w:pPr>
        <w:pStyle w:val="Style13"/>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长期应付款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应付股权转让款终止确认时余额</w:t>
      </w:r>
      <w:r>
        <w:rPr>
          <w:rFonts w:ascii="Times New Roman" w:eastAsia="Times New Roman" w:hAnsi="Times New Roman" w:cs="Times New Roman"/>
          <w:color w:val="000000"/>
          <w:spacing w:val="0"/>
          <w:w w:val="100"/>
          <w:position w:val="0"/>
          <w:sz w:val="20"/>
          <w:szCs w:val="20"/>
        </w:rPr>
        <w:t>82,588,669.</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元，扣除本次不参与补充协议的智游臻龙原 股东深圳市锐金国际投资有限公司应付股权转让款</w:t>
      </w:r>
      <w:r>
        <w:rPr>
          <w:rFonts w:ascii="Times New Roman" w:eastAsia="Times New Roman" w:hAnsi="Times New Roman" w:cs="Times New Roman"/>
          <w:color w:val="000000"/>
          <w:spacing w:val="0"/>
          <w:w w:val="100"/>
          <w:position w:val="0"/>
          <w:sz w:val="20"/>
          <w:szCs w:val="20"/>
        </w:rPr>
        <w:t>2,968,688.00</w:t>
      </w:r>
      <w:r>
        <w:rPr>
          <w:color w:val="000000"/>
          <w:spacing w:val="0"/>
          <w:w w:val="100"/>
          <w:position w:val="0"/>
          <w:sz w:val="20"/>
          <w:szCs w:val="20"/>
        </w:rPr>
        <w:t>元后，本公司账面应付补充协议涉及的智游 臻龙原股东郑州源宏、徐元达、张善正、河南指尖商贸有限公司、郑州宫原科技有限公司及郑州市凯诺企 业管理咨询中心（有限合伙）六家股权转让款</w:t>
      </w:r>
      <w:r>
        <w:rPr>
          <w:rFonts w:ascii="Times New Roman" w:eastAsia="Times New Roman" w:hAnsi="Times New Roman" w:cs="Times New Roman"/>
          <w:color w:val="000000"/>
          <w:spacing w:val="0"/>
          <w:w w:val="100"/>
          <w:position w:val="0"/>
          <w:sz w:val="20"/>
          <w:szCs w:val="20"/>
        </w:rPr>
        <w:t>79,619,981.11</w:t>
      </w:r>
      <w:r>
        <w:rPr>
          <w:color w:val="000000"/>
          <w:spacing w:val="0"/>
          <w:w w:val="100"/>
          <w:position w:val="0"/>
          <w:sz w:val="20"/>
          <w:szCs w:val="20"/>
        </w:rPr>
        <w:t>元，补充协议应付股权转让款</w:t>
      </w:r>
      <w:r>
        <w:rPr>
          <w:rFonts w:ascii="Times New Roman" w:eastAsia="Times New Roman" w:hAnsi="Times New Roman" w:cs="Times New Roman"/>
          <w:color w:val="000000"/>
          <w:spacing w:val="0"/>
          <w:w w:val="100"/>
          <w:position w:val="0"/>
          <w:sz w:val="20"/>
          <w:szCs w:val="20"/>
        </w:rPr>
        <w:t>72,640,000.00</w:t>
      </w:r>
      <w:r>
        <w:rPr>
          <w:color w:val="000000"/>
          <w:spacing w:val="0"/>
          <w:w w:val="100"/>
          <w:position w:val="0"/>
          <w:sz w:val="20"/>
          <w:szCs w:val="20"/>
        </w:rPr>
        <w:t>元， 无需支付部分</w:t>
      </w:r>
      <w:r>
        <w:rPr>
          <w:rFonts w:ascii="Times New Roman" w:eastAsia="Times New Roman" w:hAnsi="Times New Roman" w:cs="Times New Roman"/>
          <w:color w:val="000000"/>
          <w:spacing w:val="0"/>
          <w:w w:val="100"/>
          <w:position w:val="0"/>
          <w:sz w:val="20"/>
          <w:szCs w:val="20"/>
        </w:rPr>
        <w:t>6,979,981.11</w:t>
      </w:r>
      <w:r>
        <w:rPr>
          <w:color w:val="000000"/>
          <w:spacing w:val="0"/>
          <w:w w:val="100"/>
          <w:position w:val="0"/>
          <w:sz w:val="20"/>
          <w:szCs w:val="20"/>
        </w:rPr>
        <w:t>元计入以摊余成本计量的金融资产终止确认收益。</w:t>
      </w:r>
    </w:p>
    <w:p>
      <w:pPr>
        <w:pStyle w:val="Style29"/>
        <w:keepNext/>
        <w:keepLines/>
        <w:widowControl w:val="0"/>
        <w:shd w:val="clear" w:color="auto" w:fill="auto"/>
        <w:bidi w:val="0"/>
        <w:spacing w:before="0" w:after="420" w:line="312" w:lineRule="exact"/>
        <w:ind w:left="0" w:right="0" w:firstLine="0"/>
        <w:jc w:val="both"/>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344"/>
      <w:bookmarkEnd w:id="1345"/>
      <w:bookmarkEnd w:id="13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3"/>
        <w:keepNext/>
        <w:keepLines/>
        <w:widowControl w:val="0"/>
        <w:shd w:val="clear" w:color="auto" w:fill="auto"/>
        <w:bidi w:val="0"/>
        <w:spacing w:before="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47"/>
      <w:bookmarkEnd w:id="1348"/>
      <w:bookmarkEnd w:id="1350"/>
    </w:p>
    <w:p>
      <w:pPr>
        <w:pStyle w:val="Style32"/>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022"/>
        <w:gridCol w:w="590"/>
        <w:gridCol w:w="653"/>
        <w:gridCol w:w="1008"/>
        <w:gridCol w:w="1022"/>
        <w:gridCol w:w="514"/>
        <w:gridCol w:w="494"/>
        <w:gridCol w:w="1032"/>
        <w:gridCol w:w="989"/>
        <w:gridCol w:w="667"/>
        <w:gridCol w:w="581"/>
        <w:gridCol w:w="1080"/>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58"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3"/>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1351"/>
      <w:bookmarkEnd w:id="1352"/>
      <w:bookmarkEnd w:id="135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both"/>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355"/>
      <w:bookmarkEnd w:id="1356"/>
      <w:bookmarkEnd w:id="135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5"/>
        <w:gridCol w:w="1195"/>
        <w:gridCol w:w="1200"/>
        <w:gridCol w:w="1195"/>
        <w:gridCol w:w="1195"/>
        <w:gridCol w:w="1200"/>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481,056,870.00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58"/>
      <w:bookmarkEnd w:id="1359"/>
      <w:bookmarkEnd w:id="13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3"/>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362"/>
      <w:bookmarkEnd w:id="1363"/>
      <w:bookmarkEnd w:id="13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3"/>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66"/>
      <w:bookmarkEnd w:id="1367"/>
      <w:bookmarkEnd w:id="13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73"/>
        <w:gridCol w:w="970"/>
        <w:gridCol w:w="854"/>
        <w:gridCol w:w="1056"/>
        <w:gridCol w:w="854"/>
        <w:gridCol w:w="854"/>
        <w:gridCol w:w="850"/>
        <w:gridCol w:w="854"/>
        <w:gridCol w:w="7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本期发生额</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减：前期 计入其他 综合收益</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 额</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-1,314,0362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2568"/>
        <w:gridCol w:w="970"/>
        <w:gridCol w:w="854"/>
        <w:gridCol w:w="1056"/>
        <w:gridCol w:w="854"/>
        <w:gridCol w:w="854"/>
        <w:gridCol w:w="850"/>
        <w:gridCol w:w="854"/>
        <w:gridCol w:w="73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-1,314,0362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-1,314,036,2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3"/>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、专项储备</w:t>
      </w:r>
      <w:bookmarkEnd w:id="1370"/>
      <w:bookmarkEnd w:id="1371"/>
      <w:bookmarkEnd w:id="13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3"/>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374"/>
      <w:bookmarkEnd w:id="1375"/>
      <w:bookmarkEnd w:id="13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3"/>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378"/>
      <w:bookmarkEnd w:id="1379"/>
      <w:bookmarkEnd w:id="1381"/>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33"/>
        <w:gridCol w:w="2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-434,172,638.93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-217,720,526.11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-434,347,430.56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-217,720,526.11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-400,624,992.79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-216,626,904.45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-834,972,423.35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-434,347,430.56</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25" w:val="left"/>
        </w:tabs>
        <w:bidi w:val="0"/>
        <w:spacing w:before="0" w:after="120" w:line="240" w:lineRule="auto"/>
        <w:ind w:left="0" w:right="0" w:firstLine="0"/>
        <w:jc w:val="left"/>
      </w:pPr>
      <w:bookmarkStart w:id="1382" w:name="bookmark1382"/>
      <w:r>
        <w:rPr>
          <w:rFonts w:ascii="Times New Roman" w:eastAsia="Times New Roman" w:hAnsi="Times New Roman" w:cs="Times New Roman"/>
          <w:color w:val="000000"/>
          <w:spacing w:val="0"/>
          <w:w w:val="100"/>
          <w:position w:val="0"/>
          <w:sz w:val="18"/>
          <w:szCs w:val="18"/>
        </w:rPr>
        <w:t>1</w:t>
      </w:r>
      <w:bookmarkEnd w:id="13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83" w:name="bookmark1383"/>
      <w:r>
        <w:rPr>
          <w:rFonts w:ascii="Times New Roman" w:eastAsia="Times New Roman" w:hAnsi="Times New Roman" w:cs="Times New Roman"/>
          <w:color w:val="000000"/>
          <w:spacing w:val="0"/>
          <w:w w:val="100"/>
          <w:position w:val="0"/>
          <w:sz w:val="18"/>
          <w:szCs w:val="18"/>
        </w:rPr>
        <w:t>2</w:t>
      </w:r>
      <w:bookmarkEnd w:id="13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84" w:name="bookmark1384"/>
      <w:r>
        <w:rPr>
          <w:rFonts w:ascii="Times New Roman" w:eastAsia="Times New Roman" w:hAnsi="Times New Roman" w:cs="Times New Roman"/>
          <w:color w:val="000000"/>
          <w:spacing w:val="0"/>
          <w:w w:val="100"/>
          <w:position w:val="0"/>
          <w:sz w:val="18"/>
          <w:szCs w:val="18"/>
        </w:rPr>
        <w:t>3</w:t>
      </w:r>
      <w:bookmarkEnd w:id="13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85" w:name="bookmark1385"/>
      <w:r>
        <w:rPr>
          <w:rFonts w:ascii="Times New Roman" w:eastAsia="Times New Roman" w:hAnsi="Times New Roman" w:cs="Times New Roman"/>
          <w:color w:val="000000"/>
          <w:spacing w:val="0"/>
          <w:w w:val="100"/>
          <w:position w:val="0"/>
          <w:sz w:val="18"/>
          <w:szCs w:val="18"/>
        </w:rPr>
        <w:t>4</w:t>
      </w:r>
      <w:bookmarkEnd w:id="13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4" w:val="left"/>
        </w:tabs>
        <w:bidi w:val="0"/>
        <w:spacing w:before="0" w:after="380" w:line="240" w:lineRule="auto"/>
        <w:ind w:left="0" w:right="0" w:firstLine="0"/>
        <w:jc w:val="left"/>
      </w:pPr>
      <w:bookmarkStart w:id="1386" w:name="bookmark1386"/>
      <w:r>
        <w:rPr>
          <w:rFonts w:ascii="Times New Roman" w:eastAsia="Times New Roman" w:hAnsi="Times New Roman" w:cs="Times New Roman"/>
          <w:color w:val="000000"/>
          <w:spacing w:val="0"/>
          <w:w w:val="100"/>
          <w:position w:val="0"/>
          <w:sz w:val="18"/>
          <w:szCs w:val="18"/>
        </w:rPr>
        <w:t>5</w:t>
      </w:r>
      <w:bookmarkEnd w:id="13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3"/>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387"/>
      <w:bookmarkEnd w:id="1388"/>
      <w:bookmarkEnd w:id="1390"/>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75,098,121.07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48,517,105.70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123,760,645.21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64,372,942.27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4,038,480.58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2,791,896.81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1,251,315.88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52,555,586.28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65,624258.15</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40"/>
        <w:gridCol w:w="2030"/>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126,552,542.02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695,162.19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3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673,038.3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未形成或难以形成 稳定业务模式的业务 所产生的收入。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22,123.89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695,162.19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75,075,997.18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262,646,264.98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line="1" w:lineRule="exact"/>
      </w:pPr>
      <w:r>
        <w:br w:type="page"/>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75,098,121.07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75,098,121.07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35,093,102.31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35,093,102.31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38,504,402.83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38,504,402.83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软件开发和技术服务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1,478,492.04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1,478,492.04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r>
        <w:br w:type="page"/>
      </w:r>
    </w:p>
    <w:p>
      <w:pPr>
        <w:pStyle w:val="Style23"/>
        <w:keepNext/>
        <w:keepLines/>
        <w:widowControl w:val="0"/>
        <w:shd w:val="clear" w:color="auto" w:fill="auto"/>
        <w:bidi w:val="0"/>
        <w:spacing w:before="0" w:after="42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391"/>
      <w:bookmarkEnd w:id="1392"/>
      <w:bookmarkEnd w:id="139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123,389.92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357,144.30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45,120.79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152,518.38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684,983.48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514,961.26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406,547.04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406,547.04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17212.00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58,809.96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24,543.68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101,654.01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5,198.08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30,616.02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1,309,634.99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1,629,810.97</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395"/>
      <w:bookmarkEnd w:id="1396"/>
      <w:bookmarkEnd w:id="139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6,530,092.25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7,645,399.99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17,696.49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109,114.05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租赁费和物业管理水电费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237,241.47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2,309,740.11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145,245.20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160,636.89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640,653.23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14,651,378.13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15,406,509.50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208,769.70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209,498.53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930,494.95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592,206.55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267,117.17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317,460.99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83,040.63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58,725.35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269,713.53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239,192.12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120,569.00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网络运营费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289,320.02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466,829.94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1,400,530.52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532,923.92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1,753,510.07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345,654.33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236,732.04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331,780.96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27,661,535.40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28,846242.23</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399"/>
      <w:bookmarkEnd w:id="1400"/>
      <w:bookmarkEnd w:id="140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9,954,301.96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13,798,308.33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400,353.00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252,351.78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5,818,615.07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5,344,334.94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4,740,593.28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8,110,239.06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3,499,597.09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2,231,282.99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808,269.14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856,658.69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3,415,613.50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3,563,537.31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1,159,163.05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968,951.20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82,429.81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2,373,869.80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1,332,460.25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7,499,554.69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2,070,872.30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1,448,730.25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762,846.91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187,500.17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165,469.07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1,931,474.85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1,564,492.91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4,568,269.01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6,065,828.06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47,835,073.96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47,170,063.61</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42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403"/>
      <w:bookmarkEnd w:id="1404"/>
      <w:bookmarkEnd w:id="140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4,058,349.40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5,959,042.03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180,284.28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671,429.76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916,550.50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4,805,999.45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7,062,596.81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3"/>
        <w:keepNext/>
        <w:keepLines/>
        <w:widowControl w:val="0"/>
        <w:shd w:val="clear" w:color="auto" w:fill="auto"/>
        <w:bidi w:val="0"/>
        <w:spacing w:before="0" w:after="40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407"/>
      <w:bookmarkEnd w:id="1408"/>
      <w:bookmarkEnd w:id="1410"/>
    </w:p>
    <w:tbl>
      <w:tblPr>
        <w:tblOverlap w:val="never"/>
        <w:jc w:val="center"/>
        <w:tblLayout w:type="fixed"/>
      </w:tblPr>
      <w:tblGrid>
        <w:gridCol w:w="3202"/>
        <w:gridCol w:w="3197"/>
        <w:gridCol w:w="3254"/>
      </w:tblGrid>
      <w:tr>
        <w:trPr>
          <w:trHeight w:val="30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75,400,169.30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69,491292.16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7,059,613.99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17,488,564.57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412,142.91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1,967,016.26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2,894,048.32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1,023,533.18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87,537,709.25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88,387,849.72</w:t>
            </w:r>
          </w:p>
        </w:tc>
      </w:tr>
      <w:tr>
        <w:trPr>
          <w:trHeight w:val="317"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39" w:line="1" w:lineRule="exact"/>
      </w:pPr>
    </w:p>
    <w:p>
      <w:pPr>
        <w:pStyle w:val="Style23"/>
        <w:keepNext/>
        <w:keepLines/>
        <w:widowControl w:val="0"/>
        <w:shd w:val="clear" w:color="auto" w:fill="auto"/>
        <w:bidi w:val="0"/>
        <w:spacing w:before="0" w:after="40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411"/>
      <w:bookmarkEnd w:id="1412"/>
      <w:bookmarkEnd w:id="14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1,689,206.17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2,793,587.97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1,851.86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1,692,247.29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2,795,439.83</w:t>
            </w:r>
          </w:p>
        </w:tc>
      </w:tr>
    </w:tbl>
    <w:p>
      <w:pPr>
        <w:widowControl w:val="0"/>
        <w:spacing w:after="339" w:line="1" w:lineRule="exact"/>
      </w:pPr>
    </w:p>
    <w:p>
      <w:pPr>
        <w:pStyle w:val="Style23"/>
        <w:keepNext/>
        <w:keepLines/>
        <w:widowControl w:val="0"/>
        <w:shd w:val="clear" w:color="auto" w:fill="auto"/>
        <w:bidi w:val="0"/>
        <w:spacing w:before="0" w:after="40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415"/>
      <w:bookmarkEnd w:id="1416"/>
      <w:bookmarkEnd w:id="14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-1,488,030.19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-7,507,943.71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长期股权投资持有期间产生的投资收益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6,979,981.11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6,963,954.24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-5,215,973.90</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、权益法核算的长期股权投资收益按投资单位分项列示投资收益</w:t>
      </w:r>
    </w:p>
    <w:tbl>
      <w:tblPr>
        <w:tblOverlap w:val="never"/>
        <w:jc w:val="center"/>
        <w:tblLayout w:type="fixed"/>
      </w:tblPr>
      <w:tblGrid>
        <w:gridCol w:w="3010"/>
        <w:gridCol w:w="3005"/>
        <w:gridCol w:w="3043"/>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r>
      <w:tr>
        <w:trPr>
          <w:trHeight w:val="293" w:hRule="exact"/>
        </w:trPr>
        <w:tc>
          <w:tcPr>
            <w:gridSpan w:val="3"/>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、以摊余成本计量的金融资产终止确认收益明细</w:t>
            </w:r>
          </w:p>
        </w:tc>
      </w:tr>
    </w:tbl>
    <w:p>
      <w:pPr>
        <w:pStyle w:val="Style32"/>
        <w:keepNext w:val="0"/>
        <w:keepLines w:val="0"/>
        <w:widowControl w:val="0"/>
        <w:shd w:val="clear" w:color="auto" w:fill="auto"/>
        <w:tabs>
          <w:tab w:pos="4142" w:val="left"/>
          <w:tab w:pos="7138" w:val="left"/>
        </w:tabs>
        <w:bidi w:val="0"/>
        <w:spacing w:before="0" w:after="0" w:line="240" w:lineRule="auto"/>
        <w:ind w:left="1315" w:right="0" w:firstLine="0"/>
        <w:jc w:val="left"/>
      </w:pPr>
      <w:r>
        <w:rPr>
          <w:color w:val="000000"/>
          <w:spacing w:val="0"/>
          <w:w w:val="100"/>
          <w:position w:val="0"/>
        </w:rPr>
        <w:t>项目</w:t>
        <w:tab/>
        <w:t>本期金额</w:t>
        <w:tab/>
        <w:t>上期金额</w:t>
      </w:r>
    </w:p>
    <w:p>
      <w:pPr>
        <w:widowControl w:val="0"/>
        <w:spacing w:line="1" w:lineRule="exact"/>
      </w:pPr>
      <w:r>
        <w:br w:type="page"/>
      </w:r>
    </w:p>
    <w:tbl>
      <w:tblPr>
        <w:tblOverlap w:val="never"/>
        <w:jc w:val="left"/>
        <w:tblLayout w:type="fixed"/>
      </w:tblPr>
      <w:tblGrid>
        <w:gridCol w:w="3010"/>
        <w:gridCol w:w="3014"/>
      </w:tblGrid>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河南智游臻龙教育科技有 限公司股权转让款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6,979,981.11</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6,979,981.11</w:t>
            </w:r>
          </w:p>
        </w:tc>
      </w:tr>
    </w:tbl>
    <w:p>
      <w:pPr>
        <w:widowControl w:val="0"/>
        <w:spacing w:after="79" w:line="1" w:lineRule="exact"/>
      </w:pPr>
    </w:p>
    <w:p>
      <w:pPr>
        <w:pStyle w:val="Style13"/>
        <w:keepNext w:val="0"/>
        <w:keepLines w:val="0"/>
        <w:widowControl w:val="0"/>
        <w:shd w:val="clear" w:color="auto" w:fill="auto"/>
        <w:bidi w:val="0"/>
        <w:spacing w:before="0" w:after="700" w:line="240" w:lineRule="auto"/>
        <w:ind w:left="0" w:right="0" w:firstLine="360"/>
        <w:jc w:val="left"/>
        <w:rPr>
          <w:sz w:val="20"/>
          <w:szCs w:val="20"/>
        </w:rPr>
      </w:pPr>
      <w:r>
        <w:rPr>
          <w:color w:val="000000"/>
          <w:spacing w:val="0"/>
          <w:w w:val="100"/>
          <w:position w:val="0"/>
          <w:sz w:val="20"/>
          <w:szCs w:val="20"/>
        </w:rPr>
        <w:t>说明：本期以摊余成本计量的金融资产终止确认收益详见本附注五、（二十六）长期应付款减少说明。</w:t>
      </w:r>
    </w:p>
    <w:p>
      <w:pPr>
        <w:pStyle w:val="Style23"/>
        <w:keepNext/>
        <w:keepLines/>
        <w:widowControl w:val="0"/>
        <w:shd w:val="clear" w:color="auto" w:fill="auto"/>
        <w:bidi w:val="0"/>
        <w:spacing w:before="0" w:after="40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419"/>
      <w:bookmarkEnd w:id="1420"/>
      <w:bookmarkEnd w:id="142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-42,081,694.08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-84,653,471.96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-42,081,694.08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-84,653,471.96</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40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423"/>
      <w:bookmarkEnd w:id="1424"/>
      <w:bookmarkEnd w:id="142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-26298,919.38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-188,780,214.08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-45,434,927.19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32,076,342.48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-215,079,133.46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-13,358,584.71</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40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27"/>
      <w:bookmarkEnd w:id="1428"/>
      <w:bookmarkEnd w:id="143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r>
    </w:tbl>
    <w:p>
      <w:pPr>
        <w:widowControl w:val="0"/>
        <w:spacing w:after="339" w:line="1" w:lineRule="exact"/>
      </w:pPr>
    </w:p>
    <w:p>
      <w:pPr>
        <w:pStyle w:val="Style23"/>
        <w:keepNext/>
        <w:keepLines/>
        <w:widowControl w:val="0"/>
        <w:shd w:val="clear" w:color="auto" w:fill="auto"/>
        <w:bidi w:val="0"/>
        <w:spacing w:before="0" w:after="400" w:line="240" w:lineRule="auto"/>
        <w:ind w:left="0" w:right="0" w:firstLine="0"/>
        <w:jc w:val="both"/>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31"/>
      <w:bookmarkEnd w:id="1432"/>
      <w:bookmarkEnd w:id="143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316,662.56</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699,224.08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196,358.79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1,015,886.64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1,015,886.64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收枫溪区财 政局拨款</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年潮 州市市级科 技专项资金）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收市监局枫 溪区实施技 术标准战略 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收潮州市枫 溪区人力资 源和社会保 障局以工代 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年郑州 市商务局机 关外贸企业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年度企业研 发费用补助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 xml:space="preserve">收 </w:t>
            </w:r>
            <w:r>
              <w:rPr>
                <w:rFonts w:ascii="Times New Roman" w:eastAsia="Times New Roman" w:hAnsi="Times New Roman" w:cs="Times New Roman"/>
                <w:color w:val="000000"/>
                <w:spacing w:val="0"/>
                <w:w w:val="100"/>
                <w:position w:val="0"/>
                <w:sz w:val="18"/>
                <w:szCs w:val="18"/>
              </w:rPr>
              <w:t xml:space="preserve">DSF </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年第十三批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职业技能提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升行动补贴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 xml:space="preserve">收 </w:t>
            </w:r>
            <w:r>
              <w:rPr>
                <w:rFonts w:ascii="Times New Roman" w:eastAsia="Times New Roman" w:hAnsi="Times New Roman" w:cs="Times New Roman"/>
                <w:color w:val="000000"/>
                <w:spacing w:val="0"/>
                <w:w w:val="100"/>
                <w:position w:val="0"/>
                <w:sz w:val="18"/>
                <w:szCs w:val="18"/>
              </w:rPr>
              <w:t xml:space="preserve">DSF </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年第十六批 职业技能提 升补贴款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科技企业研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发费用财政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实施技术标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准战略专项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超知识实施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技术标准战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略专项资金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教育补助经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区委行政拨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深圳市社会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保险基金管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理局失业保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204,724.97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外贸发展专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5</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35"/>
      <w:bookmarkEnd w:id="1436"/>
      <w:bookmarkEnd w:id="143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54,453.82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248,124.11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248,124.11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6,958,202.09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6,958,202.09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7,272,814.45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4,263,430.03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7,272,814.45</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39"/>
      <w:bookmarkEnd w:id="1440"/>
      <w:bookmarkEnd w:id="1442"/>
    </w:p>
    <w:p>
      <w:pPr>
        <w:pStyle w:val="Style29"/>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3"/>
      <w:bookmarkEnd w:id="1444"/>
      <w:bookmarkEnd w:id="1445"/>
    </w:p>
    <w:p>
      <w:pPr>
        <w:pStyle w:val="Style1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-402,306.36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184,189.66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861,379.63</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6"/>
      <w:bookmarkEnd w:id="1447"/>
      <w:bookmarkEnd w:id="14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-400,796,242.49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-100,199,060.62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922,036.37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462,491.64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98,993288.11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-86,750.61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184,189.66</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3"/>
        <w:keepNext/>
        <w:keepLines/>
        <w:widowControl w:val="0"/>
        <w:shd w:val="clear" w:color="auto" w:fill="auto"/>
        <w:tabs>
          <w:tab w:pos="478" w:val="left"/>
        </w:tabs>
        <w:bidi w:val="0"/>
        <w:spacing w:before="0" w:after="4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5</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49"/>
      <w:bookmarkEnd w:id="1450"/>
      <w:bookmarkEnd w:id="1452"/>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p>
    <w:p>
      <w:pPr>
        <w:pStyle w:val="Style23"/>
        <w:keepNext/>
        <w:keepLines/>
        <w:widowControl w:val="0"/>
        <w:shd w:val="clear" w:color="auto" w:fill="auto"/>
        <w:tabs>
          <w:tab w:pos="478" w:val="left"/>
        </w:tabs>
        <w:bidi w:val="0"/>
        <w:spacing w:before="0" w:after="40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53"/>
      <w:bookmarkEnd w:id="1454"/>
      <w:bookmarkEnd w:id="1456"/>
    </w:p>
    <w:p>
      <w:pPr>
        <w:pStyle w:val="Style29"/>
        <w:keepNext/>
        <w:keepLines/>
        <w:widowControl w:val="0"/>
        <w:shd w:val="clear" w:color="auto" w:fill="auto"/>
        <w:bidi w:val="0"/>
        <w:spacing w:before="0" w:after="40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7"/>
      <w:bookmarkEnd w:id="1458"/>
      <w:bookmarkEnd w:id="145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2,793,587.97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27,683.10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5,208,475.20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59263,793.67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8,866,478.41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60,846,633.60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16,896224.68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29"/>
        <w:keepNext/>
        <w:keepLines/>
        <w:widowControl w:val="0"/>
        <w:shd w:val="clear" w:color="auto" w:fill="auto"/>
        <w:bidi w:val="0"/>
        <w:spacing w:before="0" w:after="40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0"/>
      <w:bookmarkEnd w:id="1461"/>
      <w:bookmarkEnd w:id="146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付现的销售费用、管理费用等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19,925,501.54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49,890,006.33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412,142.91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38,650,463.88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28,181,427.56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58,813,343.96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78,483,576.80</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支付的其他与经营活动有关的现金说明：</w:t>
      </w:r>
    </w:p>
    <w:p>
      <w:pPr>
        <w:pStyle w:val="Style29"/>
        <w:keepNext/>
        <w:keepLines/>
        <w:widowControl w:val="0"/>
        <w:shd w:val="clear" w:color="auto" w:fill="auto"/>
        <w:bidi w:val="0"/>
        <w:spacing w:before="0" w:after="400" w:line="240" w:lineRule="auto"/>
        <w:ind w:left="0" w:right="0" w:firstLine="140"/>
        <w:jc w:val="left"/>
      </w:pPr>
      <w:bookmarkStart w:id="1463" w:name="bookmark1463"/>
      <w:bookmarkStart w:id="1464" w:name="bookmark1464"/>
      <w:bookmarkStart w:id="1465" w:name="bookmark1465"/>
      <w:r>
        <w:rPr>
          <w:color w:val="000000"/>
          <w:spacing w:val="0"/>
          <w:w w:val="100"/>
          <w:position w:val="0"/>
        </w:rPr>
        <w:t>⑶收到的其他与投资活动有关的现金</w:t>
      </w:r>
      <w:bookmarkEnd w:id="1463"/>
      <w:bookmarkEnd w:id="1464"/>
      <w:bookmarkEnd w:id="146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3,437,937.32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11,007,724.00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3,437,937.32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11,007,724.00</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after="40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66"/>
      <w:bookmarkEnd w:id="1467"/>
      <w:bookmarkEnd w:id="14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10,939,088.07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10,939,088.07</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支付的其他与投资活动有关的现金说明：</w:t>
      </w:r>
    </w:p>
    <w:p>
      <w:pPr>
        <w:pStyle w:val="Style29"/>
        <w:keepNext/>
        <w:keepLines/>
        <w:widowControl w:val="0"/>
        <w:shd w:val="clear" w:color="auto" w:fill="auto"/>
        <w:bidi w:val="0"/>
        <w:spacing w:before="0" w:after="400" w:line="240" w:lineRule="auto"/>
        <w:ind w:left="0" w:right="0" w:firstLine="140"/>
        <w:jc w:val="left"/>
      </w:pPr>
      <w:bookmarkStart w:id="1470" w:name="bookmark1470"/>
      <w:bookmarkStart w:id="1471" w:name="bookmark1471"/>
      <w:bookmarkStart w:id="1472" w:name="bookmark1472"/>
      <w:r>
        <w:rPr>
          <w:color w:val="000000"/>
          <w:spacing w:val="0"/>
          <w:w w:val="100"/>
          <w:position w:val="0"/>
        </w:rPr>
        <w:t>⑸收到的其他与筹资活动有关的现金</w:t>
      </w:r>
      <w:bookmarkEnd w:id="1470"/>
      <w:bookmarkEnd w:id="1471"/>
      <w:bookmarkEnd w:id="147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收到的其他与筹资活动有关的现金说明：</w:t>
      </w:r>
    </w:p>
    <w:p>
      <w:pPr>
        <w:pStyle w:val="Style29"/>
        <w:keepNext/>
        <w:keepLines/>
        <w:widowControl w:val="0"/>
        <w:shd w:val="clear" w:color="auto" w:fill="auto"/>
        <w:bidi w:val="0"/>
        <w:spacing w:before="0" w:after="40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73"/>
      <w:bookmarkEnd w:id="1474"/>
      <w:bookmarkEnd w:id="147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6,159,435.11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6,159,435.11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3"/>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77"/>
      <w:bookmarkEnd w:id="1478"/>
      <w:bookmarkEnd w:id="1480"/>
    </w:p>
    <w:p>
      <w:pPr>
        <w:pStyle w:val="Style29"/>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1"/>
      <w:bookmarkEnd w:id="1482"/>
      <w:bookmarkEnd w:id="14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-400,980,432.15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-217,138,069.18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215,079,133.46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13,358,584.71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9,921,269.99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11,226,048.40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4,789,380.77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2,482,877.95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2,407,374.35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6,594,011.64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1,603,588.25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116,134.51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77,367,185.56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69,491,292.16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-6,963,954.24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5,215,973.90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1,263,685.99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-14,709,682.31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-17,366,687.54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138,077,822.69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-166,079,721.32</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-59247,823.54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196,085,660.38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42,081,694.08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84,653,471.96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14,322,335.87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-15,151,947.33</w:t>
            </w:r>
          </w:p>
        </w:tc>
      </w:tr>
    </w:tbl>
    <w:p>
      <w:pPr>
        <w:widowControl w:val="0"/>
        <w:spacing w:line="1" w:lineRule="exact"/>
      </w:pPr>
      <w:r>
        <w:br w:type="page"/>
      </w:r>
    </w:p>
    <w:tbl>
      <w:tblPr>
        <w:tblOverlap w:val="never"/>
        <w:jc w:val="center"/>
        <w:tblLayout w:type="fixed"/>
      </w:tblPr>
      <w:tblGrid>
        <w:gridCol w:w="3336"/>
        <w:gridCol w:w="3067"/>
        <w:gridCol w:w="31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8,903,960.02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8,354,945.35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8,354,945.35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31,779,760.72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-23,424,815.37</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140"/>
        <w:jc w:val="left"/>
      </w:pPr>
      <w:bookmarkStart w:id="1484" w:name="bookmark1484"/>
      <w:bookmarkStart w:id="1485" w:name="bookmark1485"/>
      <w:bookmarkStart w:id="1486" w:name="bookmark1486"/>
      <w:r>
        <w:rPr>
          <w:color w:val="000000"/>
          <w:spacing w:val="0"/>
          <w:w w:val="100"/>
          <w:position w:val="0"/>
        </w:rPr>
        <w:t>⑵本期支付的取得子公司的现金净额</w:t>
      </w:r>
      <w:bookmarkEnd w:id="1484"/>
      <w:bookmarkEnd w:id="1485"/>
      <w:bookmarkEnd w:id="148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东莞市雅鑫实业有限公司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1,126,140.47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东莞市雅鑫实业有限公司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1,126,140.47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1,168,859.53</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87"/>
      <w:bookmarkEnd w:id="1488"/>
      <w:bookmarkEnd w:id="149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numPr>
          <w:ilvl w:val="0"/>
          <w:numId w:val="59"/>
        </w:numPr>
        <w:shd w:val="clear" w:color="auto" w:fill="auto"/>
        <w:bidi w:val="0"/>
        <w:spacing w:before="0" w:after="42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现金和现金等价物的构成</w:t>
      </w:r>
      <w:bookmarkEnd w:id="1491"/>
      <w:bookmarkEnd w:id="1492"/>
      <w:bookmarkEnd w:id="149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8,903,960.02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8,354,945.35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288,249.81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8,905,807.14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8,066,695.54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8,903,960.02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8,354,945.35</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tabs>
          <w:tab w:pos="478" w:val="left"/>
        </w:tabs>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95"/>
      <w:bookmarkEnd w:id="1496"/>
      <w:bookmarkEnd w:id="149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3"/>
        <w:keepNext/>
        <w:keepLines/>
        <w:widowControl w:val="0"/>
        <w:shd w:val="clear" w:color="auto" w:fill="auto"/>
        <w:tabs>
          <w:tab w:pos="478" w:val="left"/>
        </w:tabs>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99"/>
      <w:bookmarkEnd w:id="1500"/>
      <w:bookmarkEnd w:id="150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冻结资金及履约保证金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228,508,687.00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229,501,904.70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03"/>
      <w:bookmarkEnd w:id="1504"/>
      <w:bookmarkEnd w:id="1506"/>
    </w:p>
    <w:p>
      <w:pPr>
        <w:pStyle w:val="Style29"/>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07"/>
      <w:bookmarkEnd w:id="1508"/>
      <w:bookmarkEnd w:id="150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39,450,184.47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251,522,541.13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9"/>
        <w:keepNext/>
        <w:keepLines/>
        <w:widowControl w:val="0"/>
        <w:shd w:val="clear" w:color="auto" w:fill="auto"/>
        <w:bidi w:val="0"/>
        <w:spacing w:before="0" w:line="331" w:lineRule="exact"/>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0"/>
      <w:bookmarkEnd w:id="1511"/>
      <w:bookmarkEnd w:id="151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八</w:t>
      </w:r>
      <w:bookmarkEnd w:id="1515"/>
      <w:r>
        <w:rPr>
          <w:color w:val="000000"/>
          <w:spacing w:val="0"/>
          <w:w w:val="100"/>
          <w:position w:val="0"/>
        </w:rPr>
        <w:t>、合并范围的变更</w:t>
      </w:r>
      <w:bookmarkEnd w:id="1513"/>
      <w:bookmarkEnd w:id="1514"/>
      <w:bookmarkEnd w:id="1516"/>
    </w:p>
    <w:p>
      <w:pPr>
        <w:pStyle w:val="Style23"/>
        <w:keepNext/>
        <w:keepLines/>
        <w:widowControl w:val="0"/>
        <w:shd w:val="clear" w:color="auto" w:fill="auto"/>
        <w:bidi w:val="0"/>
        <w:spacing w:before="0" w:after="280" w:line="331" w:lineRule="exact"/>
        <w:ind w:left="0" w:right="0" w:firstLine="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17"/>
      <w:bookmarkEnd w:id="1518"/>
      <w:bookmarkEnd w:id="1519"/>
    </w:p>
    <w:p>
      <w:pPr>
        <w:pStyle w:val="Style29"/>
        <w:keepNext/>
        <w:keepLines/>
        <w:widowControl w:val="0"/>
        <w:shd w:val="clear" w:color="auto" w:fill="auto"/>
        <w:bidi w:val="0"/>
        <w:spacing w:before="0" w:line="331" w:lineRule="exact"/>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20"/>
      <w:bookmarkEnd w:id="1521"/>
      <w:bookmarkEnd w:id="152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0"/>
        <w:gridCol w:w="1066"/>
        <w:gridCol w:w="1056"/>
        <w:gridCol w:w="1070"/>
        <w:gridCol w:w="1056"/>
        <w:gridCol w:w="1070"/>
        <w:gridCol w:w="106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东莞市雅鑫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实业有限公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董事会决议 通过并支付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 购款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18,783,389.1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224,214.50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23"/>
      <w:bookmarkEnd w:id="1524"/>
      <w:bookmarkEnd w:id="152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东莞市雅鑫实业有限公司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4,847,002.43</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-347,002.43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13"/>
        <w:keepNext w:val="0"/>
        <w:keepLines w:val="0"/>
        <w:widowControl w:val="0"/>
        <w:shd w:val="clear" w:color="auto" w:fill="auto"/>
        <w:bidi w:val="0"/>
        <w:spacing w:before="0" w:after="460" w:line="322" w:lineRule="exact"/>
        <w:ind w:left="0" w:right="0" w:firstLine="340"/>
        <w:jc w:val="left"/>
        <w:rPr>
          <w:sz w:val="20"/>
          <w:szCs w:val="20"/>
        </w:rPr>
      </w:pPr>
      <w:r>
        <w:rPr>
          <w:color w:val="000000"/>
          <w:spacing w:val="0"/>
          <w:w w:val="100"/>
          <w:position w:val="0"/>
          <w:sz w:val="20"/>
          <w:szCs w:val="20"/>
        </w:rPr>
        <w:t>合并成本公允价值的确定方法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在收购基准日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日审计报告及评估报告的基础上，加上收购 基准日至购买日被合并方经审计增加的净资产确定。</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322" w:lineRule="exact"/>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26"/>
      <w:bookmarkEnd w:id="1527"/>
      <w:bookmarkEnd w:id="15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1,126,140.47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1,126,140.47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18,120,318.07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18,120,318.07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1,104,400.16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1,104,400.16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297,971.13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297,971.13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551,024.91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551,024.91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2,776,066.13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2,776,066.13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488,271.17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488,271.17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16,725,071.03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16,725,071.03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2,892,118.58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2,892,118.58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4,847,002.43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4,847,002.43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4,847,002.43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4,847,002.43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13"/>
        <w:keepNext w:val="0"/>
        <w:keepLines w:val="0"/>
        <w:widowControl w:val="0"/>
        <w:shd w:val="clear" w:color="auto" w:fill="auto"/>
        <w:bidi w:val="0"/>
        <w:spacing w:before="0" w:after="460" w:line="322" w:lineRule="exact"/>
        <w:ind w:left="0" w:right="0" w:firstLine="340"/>
        <w:jc w:val="left"/>
        <w:rPr>
          <w:sz w:val="20"/>
          <w:szCs w:val="20"/>
        </w:rPr>
      </w:pPr>
      <w:r>
        <w:rPr>
          <w:color w:val="000000"/>
          <w:spacing w:val="0"/>
          <w:w w:val="100"/>
          <w:position w:val="0"/>
          <w:sz w:val="20"/>
          <w:szCs w:val="20"/>
        </w:rPr>
        <w:t>可辨认资产、负债公允价值的确定方法：在收购基准日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日审计报告及评估报告的基础上， 加上收购基准日至购买日被合并方经审计增加的净资产确定。</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29"/>
        <w:keepNext/>
        <w:keepLines/>
        <w:widowControl w:val="0"/>
        <w:shd w:val="clear" w:color="auto" w:fill="auto"/>
        <w:tabs>
          <w:tab w:pos="483" w:val="left"/>
        </w:tabs>
        <w:bidi w:val="0"/>
        <w:spacing w:before="0" w:after="400" w:line="310" w:lineRule="exact"/>
        <w:ind w:left="0" w:right="0" w:firstLine="0"/>
        <w:jc w:val="both"/>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30"/>
      <w:bookmarkEnd w:id="1531"/>
      <w:bookmarkEnd w:id="153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83" w:val="left"/>
        </w:tabs>
        <w:bidi w:val="0"/>
        <w:spacing w:before="0" w:after="300" w:line="310" w:lineRule="exact"/>
        <w:ind w:left="0" w:right="0" w:firstLine="0"/>
        <w:jc w:val="both"/>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534"/>
      <w:bookmarkEnd w:id="1535"/>
      <w:bookmarkEnd w:id="1537"/>
    </w:p>
    <w:p>
      <w:pPr>
        <w:pStyle w:val="Style29"/>
        <w:keepNext/>
        <w:keepLines/>
        <w:widowControl w:val="0"/>
        <w:shd w:val="clear" w:color="auto" w:fill="auto"/>
        <w:tabs>
          <w:tab w:pos="483" w:val="left"/>
        </w:tabs>
        <w:bidi w:val="0"/>
        <w:spacing w:before="0" w:after="300" w:line="310" w:lineRule="exact"/>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538"/>
      <w:bookmarkEnd w:id="1539"/>
      <w:bookmarkEnd w:id="1541"/>
    </w:p>
    <w:p>
      <w:pPr>
        <w:pStyle w:val="Style13"/>
        <w:keepNext w:val="0"/>
        <w:keepLines w:val="0"/>
        <w:widowControl w:val="0"/>
        <w:shd w:val="clear" w:color="auto" w:fill="auto"/>
        <w:bidi w:val="0"/>
        <w:spacing w:before="0" w:after="0" w:line="310" w:lineRule="exact"/>
        <w:ind w:left="0" w:right="0" w:firstLine="360"/>
        <w:jc w:val="both"/>
        <w:rPr>
          <w:sz w:val="20"/>
          <w:szCs w:val="20"/>
        </w:rPr>
      </w:pPr>
      <w:r>
        <w:rPr>
          <w:color w:val="000000"/>
          <w:spacing w:val="0"/>
          <w:w w:val="100"/>
          <w:position w:val="0"/>
          <w:sz w:val="20"/>
          <w:szCs w:val="20"/>
        </w:rPr>
        <w:t>本公司全资孙公司德祺陶瓷（广东）有限公司（以下简称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德祺陶瓷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）与东莞市雅鑫实业有限公司（以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雅鑫实业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）签署《德祺陶瓷（广东）有限公司与李凤坤、李丽关于东莞市雅鑫实业有限公司之股 权收购协议》（以下简称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本协议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交易协议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），以支付现金的方式购买李凤坤、李丽合计持有的雅鑫 实业</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w:t>
      </w:r>
    </w:p>
    <w:p>
      <w:pPr>
        <w:pStyle w:val="Style13"/>
        <w:keepNext w:val="0"/>
        <w:keepLines w:val="0"/>
        <w:widowControl w:val="0"/>
        <w:shd w:val="clear" w:color="auto" w:fill="auto"/>
        <w:bidi w:val="0"/>
        <w:spacing w:before="0" w:after="0" w:line="310" w:lineRule="exact"/>
        <w:ind w:left="0" w:right="0" w:firstLine="360"/>
        <w:jc w:val="both"/>
        <w:rPr>
          <w:sz w:val="20"/>
          <w:szCs w:val="20"/>
        </w:rPr>
      </w:pPr>
      <w:r>
        <w:rPr>
          <w:color w:val="000000"/>
          <w:spacing w:val="0"/>
          <w:w w:val="100"/>
          <w:position w:val="0"/>
          <w:sz w:val="20"/>
          <w:szCs w:val="20"/>
        </w:rPr>
        <w:t>根据孙公司德祺陶瓷（广东）有限公司聘请的具有证券从业资格的中铭国际资产评估（北京）有限责 任公司以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日为估算基准日，对雅鑫实业进行评估并出具的《德祺陶瓷（广东）有限公司拟收 购股权事宜涉及的东莞市雅鑫实业有限公司股东全部权益资产评估报告》（中铭评报字</w:t>
      </w:r>
      <w:r>
        <w:rPr>
          <w:rFonts w:ascii="Times New Roman" w:eastAsia="Times New Roman" w:hAnsi="Times New Roman" w:cs="Times New Roman"/>
          <w:color w:val="000000"/>
          <w:spacing w:val="0"/>
          <w:w w:val="100"/>
          <w:position w:val="0"/>
          <w:sz w:val="20"/>
          <w:szCs w:val="20"/>
        </w:rPr>
        <w:t>［2021</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6065</w:t>
      </w:r>
      <w:r>
        <w:rPr>
          <w:color w:val="000000"/>
          <w:spacing w:val="0"/>
          <w:w w:val="100"/>
          <w:position w:val="0"/>
          <w:sz w:val="20"/>
          <w:szCs w:val="20"/>
        </w:rPr>
        <w:t>号）， 确定雅鑫实业股东全部权益于评估基准日的评估价值为人民币</w:t>
      </w:r>
      <w:r>
        <w:rPr>
          <w:rFonts w:ascii="Times New Roman" w:eastAsia="Times New Roman" w:hAnsi="Times New Roman" w:cs="Times New Roman"/>
          <w:color w:val="000000"/>
          <w:spacing w:val="0"/>
          <w:w w:val="100"/>
          <w:position w:val="0"/>
          <w:sz w:val="20"/>
          <w:szCs w:val="20"/>
        </w:rPr>
        <w:t>450.00</w:t>
      </w:r>
      <w:r>
        <w:rPr>
          <w:color w:val="000000"/>
          <w:spacing w:val="0"/>
          <w:w w:val="100"/>
          <w:position w:val="0"/>
          <w:sz w:val="20"/>
          <w:szCs w:val="20"/>
        </w:rPr>
        <w:t>万元。经各方协商一致同意，标的 股权的交易价格为</w:t>
      </w:r>
      <w:r>
        <w:rPr>
          <w:rFonts w:ascii="Times New Roman" w:eastAsia="Times New Roman" w:hAnsi="Times New Roman" w:cs="Times New Roman"/>
          <w:color w:val="000000"/>
          <w:spacing w:val="0"/>
          <w:w w:val="100"/>
          <w:position w:val="0"/>
          <w:sz w:val="20"/>
          <w:szCs w:val="20"/>
        </w:rPr>
        <w:t>450</w:t>
      </w:r>
      <w:r>
        <w:rPr>
          <w:color w:val="000000"/>
          <w:spacing w:val="0"/>
          <w:w w:val="100"/>
          <w:position w:val="0"/>
          <w:sz w:val="20"/>
          <w:szCs w:val="20"/>
        </w:rPr>
        <w:t>万元。</w:t>
      </w:r>
    </w:p>
    <w:p>
      <w:pPr>
        <w:pStyle w:val="Style13"/>
        <w:keepNext w:val="0"/>
        <w:keepLines w:val="0"/>
        <w:widowControl w:val="0"/>
        <w:shd w:val="clear" w:color="auto" w:fill="auto"/>
        <w:bidi w:val="0"/>
        <w:spacing w:before="0" w:after="680" w:line="310" w:lineRule="exact"/>
        <w:ind w:left="0" w:right="0" w:firstLine="360"/>
        <w:jc w:val="both"/>
        <w:rPr>
          <w:sz w:val="20"/>
          <w:szCs w:val="20"/>
        </w:rPr>
      </w:pPr>
      <w:r>
        <w:rPr>
          <w:color w:val="000000"/>
          <w:spacing w:val="0"/>
          <w:w w:val="100"/>
          <w:position w:val="0"/>
          <w:sz w:val="20"/>
          <w:szCs w:val="20"/>
        </w:rPr>
        <w:t>本次交易事项已由公司第五届董事会第六次会议审议通过。收购各方同意雅鑫实业截至审计基准日的 滚存未分配利润及审计基准日后至股权交割日期间实现的净利润归德祺陶瓷所有。各方同意，自基准日起 至股权交割日止，雅鑫实业在此期间实现的利益及因其他原因而增加的净资产由德祺陶瓷享有；雅鑫实业 在此期间产生的亏损及因其他原因而减少的净资产，由原股东按照本协议签署日原股东各方所持雅鑫实业 的股权比例占标的股权的份额分别承担。</w:t>
      </w:r>
    </w:p>
    <w:p>
      <w:pPr>
        <w:pStyle w:val="Style23"/>
        <w:keepNext/>
        <w:keepLines/>
        <w:widowControl w:val="0"/>
        <w:shd w:val="clear" w:color="auto" w:fill="auto"/>
        <w:bidi w:val="0"/>
        <w:spacing w:before="0" w:after="400" w:line="240" w:lineRule="auto"/>
        <w:ind w:left="0" w:right="0" w:firstLine="0"/>
        <w:jc w:val="both"/>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542"/>
      <w:bookmarkEnd w:id="1543"/>
      <w:bookmarkEnd w:id="1544"/>
    </w:p>
    <w:p>
      <w:pPr>
        <w:pStyle w:val="Style29"/>
        <w:keepNext/>
        <w:keepLines/>
        <w:widowControl w:val="0"/>
        <w:shd w:val="clear" w:color="auto" w:fill="auto"/>
        <w:bidi w:val="0"/>
        <w:spacing w:before="0" w:after="400" w:line="240" w:lineRule="auto"/>
        <w:ind w:left="0" w:right="0" w:firstLine="0"/>
        <w:jc w:val="both"/>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545"/>
      <w:bookmarkEnd w:id="1546"/>
      <w:bookmarkEnd w:id="15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5"/>
        <w:gridCol w:w="1061"/>
        <w:gridCol w:w="1061"/>
        <w:gridCol w:w="1066"/>
        <w:gridCol w:w="1070"/>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利润</w:t>
            </w:r>
          </w:p>
        </w:tc>
      </w:tr>
    </w:tbl>
    <w:p>
      <w:pPr>
        <w:pStyle w:val="Style3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bidi w:val="0"/>
        <w:spacing w:before="0" w:after="400" w:line="240" w:lineRule="auto"/>
        <w:ind w:left="0" w:right="0" w:firstLine="0"/>
        <w:jc w:val="both"/>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48"/>
      <w:bookmarkEnd w:id="1549"/>
      <w:bookmarkEnd w:id="15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551"/>
      <w:bookmarkEnd w:id="1552"/>
      <w:bookmarkEnd w:id="15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w:t>
      </w:r>
    </w:p>
    <w:p>
      <w:pPr>
        <w:pStyle w:val="Style23"/>
        <w:keepNext/>
        <w:keepLines/>
        <w:widowControl w:val="0"/>
        <w:shd w:val="clear" w:color="auto" w:fill="auto"/>
        <w:tabs>
          <w:tab w:pos="368" w:val="left"/>
        </w:tabs>
        <w:bidi w:val="0"/>
        <w:spacing w:before="0" w:after="2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color w:val="000000"/>
          <w:spacing w:val="0"/>
          <w:w w:val="100"/>
          <w:position w:val="0"/>
        </w:rPr>
        <w:t>、</w:t>
        <w:tab/>
        <w:t>反向购买</w:t>
      </w:r>
      <w:bookmarkEnd w:id="1555"/>
      <w:bookmarkEnd w:id="1556"/>
      <w:bookmarkEnd w:id="1558"/>
    </w:p>
    <w:p>
      <w:pPr>
        <w:pStyle w:val="Style16"/>
        <w:keepNext w:val="0"/>
        <w:keepLines w:val="0"/>
        <w:widowControl w:val="0"/>
        <w:shd w:val="clear" w:color="auto" w:fill="auto"/>
        <w:bidi w:val="0"/>
        <w:spacing w:before="0" w:after="360" w:line="331"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3"/>
        <w:keepNext/>
        <w:keepLines/>
        <w:widowControl w:val="0"/>
        <w:shd w:val="clear" w:color="auto" w:fill="auto"/>
        <w:tabs>
          <w:tab w:pos="368" w:val="left"/>
        </w:tabs>
        <w:bidi w:val="0"/>
        <w:spacing w:before="0" w:after="42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color w:val="000000"/>
          <w:spacing w:val="0"/>
          <w:w w:val="100"/>
          <w:position w:val="0"/>
        </w:rPr>
        <w:t>、</w:t>
        <w:tab/>
        <w:t>处置子公司</w:t>
      </w:r>
      <w:bookmarkEnd w:id="1559"/>
      <w:bookmarkEnd w:id="1560"/>
      <w:bookmarkEnd w:id="156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368" w:val="left"/>
        </w:tabs>
        <w:bidi w:val="0"/>
        <w:spacing w:before="0" w:after="42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color w:val="000000"/>
          <w:spacing w:val="0"/>
          <w:w w:val="100"/>
          <w:position w:val="0"/>
        </w:rPr>
        <w:t>、</w:t>
        <w:tab/>
        <w:t>其他原因的合并范围变动</w:t>
      </w:r>
      <w:bookmarkEnd w:id="1563"/>
      <w:bookmarkEnd w:id="1564"/>
      <w:bookmarkEnd w:id="1566"/>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3"/>
        <w:keepNext/>
        <w:keepLines/>
        <w:widowControl w:val="0"/>
        <w:shd w:val="clear" w:color="auto" w:fill="auto"/>
        <w:tabs>
          <w:tab w:pos="368" w:val="left"/>
        </w:tabs>
        <w:bidi w:val="0"/>
        <w:spacing w:before="0" w:after="34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color w:val="000000"/>
          <w:spacing w:val="0"/>
          <w:w w:val="100"/>
          <w:position w:val="0"/>
        </w:rPr>
        <w:t>、</w:t>
        <w:tab/>
        <w:t>其他</w:t>
      </w:r>
      <w:bookmarkEnd w:id="1567"/>
      <w:bookmarkEnd w:id="1568"/>
      <w:bookmarkEnd w:id="1570"/>
    </w:p>
    <w:p>
      <w:pPr>
        <w:pStyle w:val="Style19"/>
        <w:keepNext/>
        <w:keepLines/>
        <w:widowControl w:val="0"/>
        <w:shd w:val="clear" w:color="auto" w:fill="auto"/>
        <w:bidi w:val="0"/>
        <w:spacing w:before="0" w:after="34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九</w:t>
      </w:r>
      <w:bookmarkEnd w:id="1573"/>
      <w:r>
        <w:rPr>
          <w:color w:val="000000"/>
          <w:spacing w:val="0"/>
          <w:w w:val="100"/>
          <w:position w:val="0"/>
        </w:rPr>
        <w:t>、在其他主体中的权益</w:t>
      </w:r>
      <w:bookmarkEnd w:id="1571"/>
      <w:bookmarkEnd w:id="1572"/>
      <w:bookmarkEnd w:id="1574"/>
    </w:p>
    <w:p>
      <w:pPr>
        <w:pStyle w:val="Style23"/>
        <w:keepNext/>
        <w:keepLines/>
        <w:widowControl w:val="0"/>
        <w:shd w:val="clear" w:color="auto" w:fill="auto"/>
        <w:bidi w:val="0"/>
        <w:spacing w:before="0" w:after="34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75"/>
      <w:bookmarkEnd w:id="1576"/>
      <w:bookmarkEnd w:id="1577"/>
    </w:p>
    <w:p>
      <w:pPr>
        <w:pStyle w:val="Style29"/>
        <w:keepNext/>
        <w:keepLines/>
        <w:widowControl w:val="0"/>
        <w:shd w:val="clear" w:color="auto" w:fill="auto"/>
        <w:bidi w:val="0"/>
        <w:spacing w:before="0" w:after="34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78"/>
      <w:bookmarkEnd w:id="1579"/>
      <w:bookmarkEnd w:id="1580"/>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潮州市长城世家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潮州市长城世家 瓷业有限公司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潮州市润潮陶瓷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深圳万城投资管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深圳长城世家商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郑州长城世家商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深圳市世家会艺 术品投资有限公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潮州市万泉瓷业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潮州市三江陶瓷 原料有限公司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广州长城世家投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河南智游臻龙教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软件开发及技术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郑州智游联动教 育咨询有限公司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南京巅峰数据服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山西智游臻龙互 联网科技有限公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南京欧米伽网络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郑州智游爱峰科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湖北智游臻龙教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河北臻龙科技有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北京京师智游教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科学研究和技术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郑州市智游职业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石家庄市裕华区 裕大职业培训学 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东莞市雅鑫实业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酒瓶的生产、销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霍尔果斯臻龙教 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81"/>
      <w:bookmarkEnd w:id="1582"/>
      <w:bookmarkEnd w:id="15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20"/>
        <w:gridCol w:w="1910"/>
        <w:gridCol w:w="1901"/>
        <w:gridCol w:w="1934"/>
      </w:tblGrid>
      <w:tr>
        <w:trPr>
          <w:trHeight w:val="7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4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84"/>
      <w:bookmarkEnd w:id="1585"/>
      <w:bookmarkEnd w:id="15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54"/>
        <w:gridCol w:w="720"/>
        <w:gridCol w:w="734"/>
        <w:gridCol w:w="744"/>
        <w:gridCol w:w="734"/>
        <w:gridCol w:w="734"/>
        <w:gridCol w:w="730"/>
        <w:gridCol w:w="744"/>
        <w:gridCol w:w="734"/>
        <w:gridCol w:w="730"/>
        <w:gridCol w:w="758"/>
        <w:gridCol w:w="7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56"/>
        <w:gridCol w:w="1070"/>
        <w:gridCol w:w="1070"/>
        <w:gridCol w:w="1056"/>
        <w:gridCol w:w="1075"/>
        <w:gridCol w:w="1061"/>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88"/>
      <w:bookmarkEnd w:id="1589"/>
      <w:bookmarkEnd w:id="1591"/>
    </w:p>
    <w:p>
      <w:pPr>
        <w:pStyle w:val="Style29"/>
        <w:keepNext/>
        <w:keepLines/>
        <w:widowControl w:val="0"/>
        <w:shd w:val="clear" w:color="auto" w:fill="auto"/>
        <w:tabs>
          <w:tab w:pos="483" w:val="left"/>
        </w:tabs>
        <w:bidi w:val="0"/>
        <w:spacing w:before="0" w:after="44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92"/>
      <w:bookmarkEnd w:id="1593"/>
      <w:bookmarkEnd w:id="159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96"/>
      <w:bookmarkEnd w:id="1597"/>
      <w:bookmarkEnd w:id="1598"/>
    </w:p>
    <w:p>
      <w:pPr>
        <w:pStyle w:val="Style29"/>
        <w:keepNext/>
        <w:keepLines/>
        <w:widowControl w:val="0"/>
        <w:shd w:val="clear" w:color="auto" w:fill="auto"/>
        <w:tabs>
          <w:tab w:pos="483" w:val="left"/>
        </w:tabs>
        <w:bidi w:val="0"/>
        <w:spacing w:before="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99"/>
      <w:bookmarkEnd w:id="1600"/>
      <w:bookmarkEnd w:id="1602"/>
    </w:p>
    <w:p>
      <w:pPr>
        <w:pStyle w:val="Style29"/>
        <w:keepNext/>
        <w:keepLines/>
        <w:widowControl w:val="0"/>
        <w:shd w:val="clear" w:color="auto" w:fill="auto"/>
        <w:tabs>
          <w:tab w:pos="483" w:val="left"/>
        </w:tabs>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03"/>
      <w:bookmarkEnd w:id="1604"/>
      <w:bookmarkEnd w:id="160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3"/>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color w:val="000000"/>
          <w:spacing w:val="0"/>
          <w:w w:val="100"/>
          <w:position w:val="0"/>
        </w:rPr>
        <w:t>、在合营安排或联营企业中的权益</w:t>
      </w:r>
      <w:bookmarkEnd w:id="1607"/>
      <w:bookmarkEnd w:id="1608"/>
      <w:bookmarkEnd w:id="1610"/>
    </w:p>
    <w:p>
      <w:pPr>
        <w:pStyle w:val="Style29"/>
        <w:keepNext/>
        <w:keepLines/>
        <w:widowControl w:val="0"/>
        <w:shd w:val="clear" w:color="auto" w:fill="auto"/>
        <w:bidi w:val="0"/>
        <w:spacing w:before="0" w:after="32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11"/>
      <w:bookmarkEnd w:id="1612"/>
      <w:bookmarkEnd w:id="1613"/>
    </w:p>
    <w:tbl>
      <w:tblPr>
        <w:tblOverlap w:val="never"/>
        <w:jc w:val="center"/>
        <w:tblLayout w:type="fixed"/>
      </w:tblPr>
      <w:tblGrid>
        <w:gridCol w:w="1378"/>
        <w:gridCol w:w="1368"/>
        <w:gridCol w:w="1373"/>
        <w:gridCol w:w="1373"/>
        <w:gridCol w:w="1363"/>
        <w:gridCol w:w="1368"/>
        <w:gridCol w:w="138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9"/>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14"/>
      <w:bookmarkEnd w:id="1615"/>
      <w:bookmarkEnd w:id="161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numPr>
          <w:ilvl w:val="0"/>
          <w:numId w:val="61"/>
        </w:numPr>
        <w:shd w:val="clear" w:color="auto" w:fill="auto"/>
        <w:bidi w:val="0"/>
        <w:spacing w:before="0" w:after="40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重要联营企业的主要财务信息</w:t>
      </w:r>
      <w:bookmarkEnd w:id="1617"/>
      <w:bookmarkEnd w:id="1618"/>
      <w:bookmarkEnd w:id="16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140"/>
        <w:jc w:val="left"/>
      </w:pPr>
      <w:bookmarkStart w:id="1621" w:name="bookmark1621"/>
      <w:bookmarkStart w:id="1622" w:name="bookmark1622"/>
      <w:bookmarkStart w:id="1623" w:name="bookmark1623"/>
      <w:r>
        <w:rPr>
          <w:color w:val="000000"/>
          <w:spacing w:val="0"/>
          <w:w w:val="100"/>
          <w:position w:val="0"/>
        </w:rPr>
        <w:t>⑷不重要的合营企业和联营企业的汇总财务信息</w:t>
      </w:r>
      <w:bookmarkEnd w:id="1621"/>
      <w:bookmarkEnd w:id="1622"/>
      <w:bookmarkEnd w:id="162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60,360,480.</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61,536242.17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-1,065,311.84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-1,065,311.84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tabs>
          <w:tab w:pos="483" w:val="left"/>
        </w:tabs>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624"/>
      <w:bookmarkEnd w:id="1625"/>
      <w:bookmarkEnd w:id="1627"/>
    </w:p>
    <w:p>
      <w:pPr>
        <w:pStyle w:val="Style29"/>
        <w:keepNext/>
        <w:keepLines/>
        <w:widowControl w:val="0"/>
        <w:shd w:val="clear" w:color="auto" w:fill="auto"/>
        <w:tabs>
          <w:tab w:pos="483" w:val="left"/>
        </w:tabs>
        <w:bidi w:val="0"/>
        <w:spacing w:before="0" w:after="42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628"/>
      <w:bookmarkEnd w:id="1629"/>
      <w:bookmarkEnd w:id="163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32"/>
      <w:bookmarkEnd w:id="1633"/>
      <w:bookmarkEnd w:id="1635"/>
    </w:p>
    <w:p>
      <w:pPr>
        <w:pStyle w:val="Style29"/>
        <w:keepNext/>
        <w:keepLines/>
        <w:widowControl w:val="0"/>
        <w:shd w:val="clear" w:color="auto" w:fill="auto"/>
        <w:tabs>
          <w:tab w:pos="483" w:val="left"/>
        </w:tabs>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36"/>
      <w:bookmarkEnd w:id="1637"/>
      <w:bookmarkEnd w:id="1639"/>
    </w:p>
    <w:p>
      <w:pPr>
        <w:pStyle w:val="Style23"/>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、重要的共同经营</w:t>
      </w:r>
      <w:bookmarkEnd w:id="1640"/>
      <w:bookmarkEnd w:id="1641"/>
      <w:bookmarkEnd w:id="1643"/>
    </w:p>
    <w:tbl>
      <w:tblPr>
        <w:tblOverlap w:val="never"/>
        <w:jc w:val="center"/>
        <w:tblLayout w:type="fixed"/>
      </w:tblPr>
      <w:tblGrid>
        <w:gridCol w:w="1613"/>
        <w:gridCol w:w="1598"/>
        <w:gridCol w:w="1598"/>
        <w:gridCol w:w="1589"/>
        <w:gridCol w:w="1594"/>
        <w:gridCol w:w="159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p>
    <w:p>
      <w:pPr>
        <w:pStyle w:val="Style23"/>
        <w:keepNext/>
        <w:keepLines/>
        <w:widowControl w:val="0"/>
        <w:shd w:val="clear" w:color="auto" w:fill="auto"/>
        <w:tabs>
          <w:tab w:pos="375" w:val="left"/>
        </w:tabs>
        <w:bidi w:val="0"/>
        <w:spacing w:before="0" w:after="24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w:t>
        <w:tab/>
        <w:t>在未纳入合并财务报表范围的结构化主体中的权益</w:t>
      </w:r>
      <w:bookmarkEnd w:id="1644"/>
      <w:bookmarkEnd w:id="1645"/>
      <w:bookmarkEnd w:id="1647"/>
    </w:p>
    <w:p>
      <w:pPr>
        <w:pStyle w:val="Style1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未纳入合并财务报表范围的结构化主体的相关说明：</w:t>
      </w:r>
    </w:p>
    <w:p>
      <w:pPr>
        <w:pStyle w:val="Style23"/>
        <w:keepNext/>
        <w:keepLines/>
        <w:widowControl w:val="0"/>
        <w:shd w:val="clear" w:color="auto" w:fill="auto"/>
        <w:tabs>
          <w:tab w:pos="375" w:val="left"/>
        </w:tabs>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color w:val="000000"/>
          <w:spacing w:val="0"/>
          <w:w w:val="100"/>
          <w:position w:val="0"/>
        </w:rPr>
        <w:t>、</w:t>
        <w:tab/>
        <w:t>其他</w:t>
      </w:r>
      <w:bookmarkEnd w:id="1648"/>
      <w:bookmarkEnd w:id="1649"/>
      <w:bookmarkEnd w:id="1651"/>
    </w:p>
    <w:p>
      <w:pPr>
        <w:pStyle w:val="Style19"/>
        <w:keepNext/>
        <w:keepLines/>
        <w:widowControl w:val="0"/>
        <w:shd w:val="clear" w:color="auto" w:fill="auto"/>
        <w:bidi w:val="0"/>
        <w:spacing w:before="0" w:after="260" w:line="240" w:lineRule="auto"/>
        <w:ind w:left="0" w:right="0" w:firstLine="0"/>
        <w:jc w:val="left"/>
      </w:pPr>
      <w:bookmarkStart w:id="1652" w:name="bookmark1652"/>
      <w:bookmarkStart w:id="1653" w:name="bookmark1653"/>
      <w:bookmarkStart w:id="1654" w:name="bookmark1654"/>
      <w:r>
        <w:rPr>
          <w:color w:val="000000"/>
          <w:spacing w:val="0"/>
          <w:w w:val="100"/>
          <w:position w:val="0"/>
        </w:rPr>
        <w:t>十、与金融工具相关的风险</w:t>
      </w:r>
      <w:bookmarkEnd w:id="1652"/>
      <w:bookmarkEnd w:id="1653"/>
      <w:bookmarkEnd w:id="1654"/>
    </w:p>
    <w:p>
      <w:pPr>
        <w:pStyle w:val="Style13"/>
        <w:keepNext w:val="0"/>
        <w:keepLines w:val="0"/>
        <w:widowControl w:val="0"/>
        <w:shd w:val="clear" w:color="auto" w:fill="auto"/>
        <w:bidi w:val="0"/>
        <w:spacing w:before="0" w:after="0" w:line="314" w:lineRule="exact"/>
        <w:ind w:left="0" w:right="0" w:firstLine="380"/>
        <w:jc w:val="both"/>
        <w:rPr>
          <w:sz w:val="20"/>
          <w:szCs w:val="20"/>
        </w:rPr>
      </w:pPr>
      <w:r>
        <w:rPr>
          <w:color w:val="000000"/>
          <w:spacing w:val="0"/>
          <w:w w:val="100"/>
          <w:position w:val="0"/>
          <w:sz w:val="20"/>
          <w:szCs w:val="20"/>
        </w:rPr>
        <w:t>本公司在经营过程中面临各种经营风险。主要包括：信用风险与市场风险。公司董事全面负责风险管 理的目标与政策的确定，并对风险管理的目标与政策承担最终责任。本公司从事风险管理的目标是在风险 与收益之间取得适当的平衡，将风险对本公司的经营业绩的影响降低至最低水平，使股东及其其他权益者 的利益最大化。基于该风险管理目标，本公司的风险管理策略是确定和分析本公司面临的各种风险，建立 适当的风险承受底线和进行风险管理，并及时可靠地对各种风险进行监督，将风险控制在限定的的范围之 内。</w:t>
      </w:r>
    </w:p>
    <w:p>
      <w:pPr>
        <w:pStyle w:val="Style13"/>
        <w:keepNext w:val="0"/>
        <w:keepLines w:val="0"/>
        <w:widowControl w:val="0"/>
        <w:numPr>
          <w:ilvl w:val="0"/>
          <w:numId w:val="63"/>
        </w:numPr>
        <w:shd w:val="clear" w:color="auto" w:fill="auto"/>
        <w:bidi w:val="0"/>
        <w:spacing w:before="0" w:after="0" w:line="313" w:lineRule="exact"/>
        <w:ind w:left="0" w:right="0" w:firstLine="0"/>
        <w:jc w:val="left"/>
        <w:rPr>
          <w:sz w:val="20"/>
          <w:szCs w:val="20"/>
        </w:rPr>
      </w:pPr>
      <w:bookmarkStart w:id="1655" w:name="bookmark1655"/>
      <w:bookmarkEnd w:id="1655"/>
      <w:r>
        <w:rPr>
          <w:b/>
          <w:bCs/>
          <w:color w:val="000000"/>
          <w:spacing w:val="0"/>
          <w:w w:val="100"/>
          <w:position w:val="0"/>
          <w:sz w:val="20"/>
          <w:szCs w:val="20"/>
        </w:rPr>
        <w:t>信用风险</w:t>
      </w:r>
    </w:p>
    <w:p>
      <w:pPr>
        <w:pStyle w:val="Style13"/>
        <w:keepNext w:val="0"/>
        <w:keepLines w:val="0"/>
        <w:widowControl w:val="0"/>
        <w:shd w:val="clear" w:color="auto" w:fill="auto"/>
        <w:bidi w:val="0"/>
        <w:spacing w:before="0" w:after="0" w:line="313" w:lineRule="exact"/>
        <w:ind w:left="360" w:right="0" w:firstLine="440"/>
        <w:jc w:val="both"/>
        <w:rPr>
          <w:sz w:val="20"/>
          <w:szCs w:val="20"/>
        </w:rPr>
      </w:pPr>
      <w:r>
        <w:rPr>
          <w:color w:val="000000"/>
          <w:spacing w:val="0"/>
          <w:w w:val="100"/>
          <w:position w:val="0"/>
          <w:sz w:val="20"/>
          <w:szCs w:val="20"/>
        </w:rPr>
        <w:t>信用风险是指金融工具的一方不履行义务，造成另一方发生财务损失的风险。本公司主要面临赊 销导致的客户信用风险。本公司与经认可的、信誉良好的第三方进行交易，根据本公司的政策，需要 对所有要求采用信用方式进行交易的客户进行信用审核。另外，本公司对应收账款余额进行持续监控， 以确保本公司不致面临重大风险。</w:t>
      </w:r>
    </w:p>
    <w:p>
      <w:pPr>
        <w:pStyle w:val="Style13"/>
        <w:keepNext w:val="0"/>
        <w:keepLines w:val="0"/>
        <w:widowControl w:val="0"/>
        <w:numPr>
          <w:ilvl w:val="0"/>
          <w:numId w:val="65"/>
        </w:numPr>
        <w:shd w:val="clear" w:color="auto" w:fill="auto"/>
        <w:bidi w:val="0"/>
        <w:spacing w:before="0" w:after="0" w:line="313" w:lineRule="exact"/>
        <w:ind w:left="0" w:right="0" w:firstLine="0"/>
        <w:jc w:val="left"/>
        <w:rPr>
          <w:sz w:val="20"/>
          <w:szCs w:val="20"/>
        </w:rPr>
      </w:pPr>
      <w:bookmarkStart w:id="1656" w:name="bookmark1656"/>
      <w:bookmarkEnd w:id="1656"/>
      <w:r>
        <w:rPr>
          <w:b/>
          <w:bCs/>
          <w:color w:val="000000"/>
          <w:spacing w:val="0"/>
          <w:w w:val="100"/>
          <w:position w:val="0"/>
          <w:sz w:val="20"/>
          <w:szCs w:val="20"/>
        </w:rPr>
        <w:t>市场风险</w:t>
      </w:r>
    </w:p>
    <w:p>
      <w:pPr>
        <w:pStyle w:val="Style13"/>
        <w:keepNext w:val="0"/>
        <w:keepLines w:val="0"/>
        <w:widowControl w:val="0"/>
        <w:shd w:val="clear" w:color="auto" w:fill="auto"/>
        <w:bidi w:val="0"/>
        <w:spacing w:before="0" w:after="0" w:line="313" w:lineRule="exact"/>
        <w:ind w:left="360" w:right="0" w:firstLine="440"/>
        <w:jc w:val="left"/>
        <w:rPr>
          <w:sz w:val="20"/>
          <w:szCs w:val="20"/>
        </w:rPr>
      </w:pPr>
      <w:r>
        <w:rPr>
          <w:color w:val="000000"/>
          <w:spacing w:val="0"/>
          <w:w w:val="100"/>
          <w:position w:val="0"/>
          <w:sz w:val="20"/>
          <w:szCs w:val="20"/>
        </w:rPr>
        <w:t>金融工具的市场风险，是指金融工具的公允价值或未来现金流量因市场价格变动而发生波动的风 险，包括外汇风险、利率风险和其他价格风险。</w:t>
      </w:r>
    </w:p>
    <w:p>
      <w:pPr>
        <w:pStyle w:val="Style13"/>
        <w:keepNext w:val="0"/>
        <w:keepLines w:val="0"/>
        <w:widowControl w:val="0"/>
        <w:shd w:val="clear" w:color="auto" w:fill="auto"/>
        <w:bidi w:val="0"/>
        <w:spacing w:before="0" w:after="0" w:line="312" w:lineRule="exact"/>
        <w:ind w:left="360" w:right="0" w:firstLine="440"/>
        <w:jc w:val="left"/>
        <w:rPr>
          <w:sz w:val="20"/>
          <w:szCs w:val="20"/>
        </w:rPr>
      </w:pPr>
      <w:r>
        <w:rPr>
          <w:color w:val="000000"/>
          <w:spacing w:val="0"/>
          <w:w w:val="100"/>
          <w:position w:val="0"/>
          <w:sz w:val="20"/>
          <w:szCs w:val="20"/>
        </w:rPr>
        <w:t>其中利率风险，是指金融工具的公允价值或未来现金流量因市场利率变动而发生波动的风险。本 公司面临的利率风险主要来源于银行借款。本公司目前主要是固定利率借款公司。尽管不能使本公司 完全避免支付的利率超出现行市场利率的风险，也不能完全消除与利息支付波动相关的现金流量风险， 但是管理层认为实现了这些风险之间的合理平衡。</w:t>
      </w:r>
    </w:p>
    <w:p>
      <w:pPr>
        <w:pStyle w:val="Style13"/>
        <w:keepNext w:val="0"/>
        <w:keepLines w:val="0"/>
        <w:widowControl w:val="0"/>
        <w:numPr>
          <w:ilvl w:val="0"/>
          <w:numId w:val="67"/>
        </w:numPr>
        <w:shd w:val="clear" w:color="auto" w:fill="auto"/>
        <w:bidi w:val="0"/>
        <w:spacing w:before="0" w:after="0" w:line="312" w:lineRule="exact"/>
        <w:ind w:left="0" w:right="0" w:firstLine="0"/>
        <w:jc w:val="left"/>
        <w:rPr>
          <w:sz w:val="20"/>
          <w:szCs w:val="20"/>
        </w:rPr>
      </w:pPr>
      <w:bookmarkStart w:id="1657" w:name="bookmark1657"/>
      <w:bookmarkEnd w:id="1657"/>
      <w:r>
        <w:rPr>
          <w:b/>
          <w:bCs/>
          <w:color w:val="000000"/>
          <w:spacing w:val="0"/>
          <w:w w:val="100"/>
          <w:position w:val="0"/>
          <w:sz w:val="20"/>
          <w:szCs w:val="20"/>
        </w:rPr>
        <w:t>流动性风险</w:t>
      </w:r>
    </w:p>
    <w:p>
      <w:pPr>
        <w:pStyle w:val="Style13"/>
        <w:keepNext w:val="0"/>
        <w:keepLines w:val="0"/>
        <w:widowControl w:val="0"/>
        <w:shd w:val="clear" w:color="auto" w:fill="auto"/>
        <w:bidi w:val="0"/>
        <w:spacing w:before="0" w:after="0" w:line="312" w:lineRule="exact"/>
        <w:ind w:left="360" w:right="0" w:firstLine="440"/>
        <w:jc w:val="left"/>
        <w:rPr>
          <w:sz w:val="20"/>
          <w:szCs w:val="20"/>
        </w:rPr>
      </w:pPr>
      <w:r>
        <w:rPr>
          <w:color w:val="000000"/>
          <w:spacing w:val="0"/>
          <w:w w:val="100"/>
          <w:position w:val="0"/>
          <w:sz w:val="20"/>
          <w:szCs w:val="20"/>
        </w:rPr>
        <w:t>流动风险，是指企业在履行以交付现金或其他金融资产的方式结算的义务时发生资金短缺的风险。 本公司的政策是确保拥有充足的现金以偿还到期债务。本公司保持管理层认为充分的现金及现金等价 物，并对其进行监控，以满足本公司经营需要，并降低现金流量波动的影响。</w:t>
      </w:r>
    </w:p>
    <w:p>
      <w:pPr>
        <w:pStyle w:val="Style13"/>
        <w:keepNext w:val="0"/>
        <w:keepLines w:val="0"/>
        <w:widowControl w:val="0"/>
        <w:numPr>
          <w:ilvl w:val="0"/>
          <w:numId w:val="69"/>
        </w:numPr>
        <w:shd w:val="clear" w:color="auto" w:fill="auto"/>
        <w:bidi w:val="0"/>
        <w:spacing w:before="0" w:after="0" w:line="313" w:lineRule="exact"/>
        <w:ind w:left="0" w:right="0" w:firstLine="0"/>
        <w:jc w:val="left"/>
        <w:rPr>
          <w:sz w:val="20"/>
          <w:szCs w:val="20"/>
        </w:rPr>
      </w:pPr>
      <w:bookmarkStart w:id="1658" w:name="bookmark1658"/>
      <w:bookmarkEnd w:id="1658"/>
      <w:r>
        <w:rPr>
          <w:b/>
          <w:bCs/>
          <w:color w:val="000000"/>
          <w:spacing w:val="0"/>
          <w:w w:val="100"/>
          <w:position w:val="0"/>
          <w:sz w:val="20"/>
          <w:szCs w:val="20"/>
        </w:rPr>
        <w:t>金融资产转移</w:t>
      </w:r>
    </w:p>
    <w:p>
      <w:pPr>
        <w:pStyle w:val="Style13"/>
        <w:keepNext w:val="0"/>
        <w:keepLines w:val="0"/>
        <w:widowControl w:val="0"/>
        <w:shd w:val="clear" w:color="auto" w:fill="auto"/>
        <w:bidi w:val="0"/>
        <w:spacing w:before="0" w:after="0" w:line="313" w:lineRule="exact"/>
        <w:ind w:left="0" w:right="0" w:firstLine="800"/>
        <w:jc w:val="both"/>
        <w:rPr>
          <w:sz w:val="20"/>
          <w:szCs w:val="20"/>
        </w:rPr>
      </w:pPr>
      <w:r>
        <w:rPr>
          <w:color w:val="000000"/>
          <w:spacing w:val="0"/>
          <w:w w:val="100"/>
          <w:position w:val="0"/>
          <w:sz w:val="20"/>
          <w:szCs w:val="20"/>
        </w:rPr>
        <w:t>本报告期内无需要披露的金融资产转移事项。</w:t>
      </w:r>
    </w:p>
    <w:p>
      <w:pPr>
        <w:pStyle w:val="Style13"/>
        <w:keepNext w:val="0"/>
        <w:keepLines w:val="0"/>
        <w:widowControl w:val="0"/>
        <w:numPr>
          <w:ilvl w:val="0"/>
          <w:numId w:val="71"/>
        </w:numPr>
        <w:shd w:val="clear" w:color="auto" w:fill="auto"/>
        <w:bidi w:val="0"/>
        <w:spacing w:before="0" w:after="0" w:line="313" w:lineRule="exact"/>
        <w:ind w:left="0" w:right="0" w:firstLine="0"/>
        <w:jc w:val="left"/>
        <w:rPr>
          <w:sz w:val="20"/>
          <w:szCs w:val="20"/>
        </w:rPr>
      </w:pPr>
      <w:bookmarkStart w:id="1659" w:name="bookmark1659"/>
      <w:bookmarkEnd w:id="1659"/>
      <w:r>
        <w:rPr>
          <w:b/>
          <w:bCs/>
          <w:color w:val="000000"/>
          <w:spacing w:val="0"/>
          <w:w w:val="100"/>
          <w:position w:val="0"/>
          <w:sz w:val="20"/>
          <w:szCs w:val="20"/>
        </w:rPr>
        <w:t>金融资产与金融负债的抵销</w:t>
      </w:r>
    </w:p>
    <w:p>
      <w:pPr>
        <w:pStyle w:val="Style13"/>
        <w:keepNext w:val="0"/>
        <w:keepLines w:val="0"/>
        <w:widowControl w:val="0"/>
        <w:shd w:val="clear" w:color="auto" w:fill="auto"/>
        <w:bidi w:val="0"/>
        <w:spacing w:before="0" w:after="360" w:line="313" w:lineRule="exact"/>
        <w:ind w:left="0" w:right="0" w:firstLine="0"/>
        <w:jc w:val="left"/>
        <w:rPr>
          <w:sz w:val="20"/>
          <w:szCs w:val="20"/>
        </w:rPr>
      </w:pPr>
      <w:r>
        <w:rPr>
          <w:color w:val="000000"/>
          <w:spacing w:val="0"/>
          <w:w w:val="100"/>
          <w:position w:val="0"/>
          <w:sz w:val="20"/>
          <w:szCs w:val="20"/>
        </w:rPr>
        <w:t>本报告期内无需要披露的金融资产与金融负债的抵销事项。</w:t>
      </w:r>
    </w:p>
    <w:p>
      <w:pPr>
        <w:pStyle w:val="Style19"/>
        <w:keepNext/>
        <w:keepLines/>
        <w:widowControl w:val="0"/>
        <w:shd w:val="clear" w:color="auto" w:fill="auto"/>
        <w:bidi w:val="0"/>
        <w:spacing w:before="0" w:after="300" w:line="240" w:lineRule="auto"/>
        <w:ind w:left="0" w:right="0" w:firstLine="0"/>
        <w:jc w:val="left"/>
      </w:pPr>
      <w:bookmarkStart w:id="1660" w:name="bookmark1660"/>
      <w:bookmarkStart w:id="1661" w:name="bookmark1661"/>
      <w:bookmarkStart w:id="1662" w:name="bookmark1662"/>
      <w:r>
        <w:rPr>
          <w:color w:val="000000"/>
          <w:spacing w:val="0"/>
          <w:w w:val="100"/>
          <w:position w:val="0"/>
        </w:rPr>
        <w:t>十一、公允价值的披露</w:t>
      </w:r>
      <w:bookmarkEnd w:id="1660"/>
      <w:bookmarkEnd w:id="1661"/>
      <w:bookmarkEnd w:id="1662"/>
    </w:p>
    <w:p>
      <w:pPr>
        <w:pStyle w:val="Style23"/>
        <w:keepNext/>
        <w:keepLines/>
        <w:widowControl w:val="0"/>
        <w:shd w:val="clear" w:color="auto" w:fill="auto"/>
        <w:bidi w:val="0"/>
        <w:spacing w:before="0" w:after="360" w:line="313" w:lineRule="exact"/>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63"/>
      <w:bookmarkEnd w:id="1664"/>
      <w:bookmarkEnd w:id="16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921,994,145.25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921,994,145.25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921,994,145.25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921,994,145.25</w:t>
            </w:r>
          </w:p>
        </w:tc>
      </w:tr>
    </w:tbl>
    <w:p>
      <w:pPr>
        <w:widowControl w:val="0"/>
        <w:spacing w:line="1" w:lineRule="exact"/>
      </w:pPr>
    </w:p>
    <w:tbl>
      <w:tblPr>
        <w:tblOverlap w:val="never"/>
        <w:jc w:val="center"/>
        <w:tblLayout w:type="fixed"/>
      </w:tblPr>
      <w:tblGrid>
        <w:gridCol w:w="2011"/>
        <w:gridCol w:w="1838"/>
        <w:gridCol w:w="1920"/>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23"/>
        <w:keepNext/>
        <w:keepLines/>
        <w:widowControl w:val="0"/>
        <w:shd w:val="clear" w:color="auto" w:fill="auto"/>
        <w:tabs>
          <w:tab w:pos="368" w:val="left"/>
        </w:tabs>
        <w:bidi w:val="0"/>
        <w:spacing w:before="0" w:after="300" w:line="314" w:lineRule="exact"/>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2</w:t>
      </w:r>
      <w:bookmarkEnd w:id="1668"/>
      <w:r>
        <w:rPr>
          <w:color w:val="000000"/>
          <w:spacing w:val="0"/>
          <w:w w:val="100"/>
          <w:position w:val="0"/>
        </w:rPr>
        <w:t>、</w:t>
        <w:tab/>
        <w:t>持续和非持续第一层次公允价值计量项目市价的确定依据</w:t>
      </w:r>
      <w:bookmarkEnd w:id="1666"/>
      <w:bookmarkEnd w:id="1667"/>
      <w:bookmarkEnd w:id="1669"/>
    </w:p>
    <w:p>
      <w:pPr>
        <w:pStyle w:val="Style23"/>
        <w:keepNext/>
        <w:keepLines/>
        <w:widowControl w:val="0"/>
        <w:shd w:val="clear" w:color="auto" w:fill="auto"/>
        <w:tabs>
          <w:tab w:pos="368" w:val="left"/>
        </w:tabs>
        <w:bidi w:val="0"/>
        <w:spacing w:before="0" w:after="300" w:line="314" w:lineRule="exact"/>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w:t>
        <w:tab/>
        <w:t>持续和非持续第二层次公允价值计量项目，采用的估值技术和重要参数的定性及定量信息</w:t>
      </w:r>
      <w:bookmarkEnd w:id="1670"/>
      <w:bookmarkEnd w:id="1671"/>
      <w:bookmarkEnd w:id="1673"/>
    </w:p>
    <w:p>
      <w:pPr>
        <w:pStyle w:val="Style23"/>
        <w:keepNext/>
        <w:keepLines/>
        <w:widowControl w:val="0"/>
        <w:shd w:val="clear" w:color="auto" w:fill="auto"/>
        <w:tabs>
          <w:tab w:pos="368" w:val="left"/>
        </w:tabs>
        <w:bidi w:val="0"/>
        <w:spacing w:before="0" w:after="300" w:line="314" w:lineRule="exact"/>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color w:val="000000"/>
          <w:spacing w:val="0"/>
          <w:w w:val="100"/>
          <w:position w:val="0"/>
        </w:rPr>
        <w:t>、</w:t>
        <w:tab/>
        <w:t>持续和非持续第三层次公允价值计量项目，采用的估值技术和重要参数的定性及定量信息</w:t>
      </w:r>
      <w:bookmarkEnd w:id="1674"/>
      <w:bookmarkEnd w:id="1675"/>
      <w:bookmarkEnd w:id="1677"/>
    </w:p>
    <w:p>
      <w:pPr>
        <w:pStyle w:val="Style13"/>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持续第三层公允价值计量项目，采用的估值技术和重要参数的定性及定量信息公允价值的确定，广州 民营投资股份有限公司使用第三层次输入值，测算期末净资产的公允价值作为其公允价值的重要参考依 据；北京翡翠教育科技集团有限公司及广东联汛教育科技有限公司使用第三层次输入值，测算其被质押的 股票于质押时的公允价值作为其公允价值的重要参考依据；河南长城绿色瓷艺有限公司使用第三层次输入 值，测算其被质押的股权作为其公允价值的重要参考依据。</w:t>
      </w:r>
    </w:p>
    <w:p>
      <w:pPr>
        <w:pStyle w:val="Style23"/>
        <w:keepNext/>
        <w:keepLines/>
        <w:widowControl w:val="0"/>
        <w:shd w:val="clear" w:color="auto" w:fill="auto"/>
        <w:tabs>
          <w:tab w:pos="368" w:val="left"/>
        </w:tabs>
        <w:bidi w:val="0"/>
        <w:spacing w:before="0" w:after="300" w:line="314" w:lineRule="exact"/>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color w:val="000000"/>
          <w:spacing w:val="0"/>
          <w:w w:val="100"/>
          <w:position w:val="0"/>
        </w:rPr>
        <w:t>、</w:t>
        <w:tab/>
        <w:t>持续的第三层次公允价值计量项目，期初与期末账面价值间的调节信息及不可观察参数敏感性分析</w:t>
      </w:r>
      <w:bookmarkEnd w:id="1678"/>
      <w:bookmarkEnd w:id="1679"/>
      <w:bookmarkEnd w:id="1681"/>
    </w:p>
    <w:p>
      <w:pPr>
        <w:pStyle w:val="Style23"/>
        <w:keepNext/>
        <w:keepLines/>
        <w:widowControl w:val="0"/>
        <w:shd w:val="clear" w:color="auto" w:fill="auto"/>
        <w:tabs>
          <w:tab w:pos="368" w:val="left"/>
        </w:tabs>
        <w:bidi w:val="0"/>
        <w:spacing w:before="0" w:after="300" w:line="314" w:lineRule="exact"/>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color w:val="000000"/>
          <w:spacing w:val="0"/>
          <w:w w:val="100"/>
          <w:position w:val="0"/>
        </w:rPr>
        <w:t>、</w:t>
        <w:tab/>
        <w:t>持续的公允价值计量项目，本期内发生各层级之间转换的，转换的原因及确定转换时点的政策</w:t>
      </w:r>
      <w:bookmarkEnd w:id="1682"/>
      <w:bookmarkEnd w:id="1683"/>
      <w:bookmarkEnd w:id="1685"/>
    </w:p>
    <w:p>
      <w:pPr>
        <w:pStyle w:val="Style23"/>
        <w:keepNext/>
        <w:keepLines/>
        <w:widowControl w:val="0"/>
        <w:shd w:val="clear" w:color="auto" w:fill="auto"/>
        <w:tabs>
          <w:tab w:pos="368" w:val="left"/>
        </w:tabs>
        <w:bidi w:val="0"/>
        <w:spacing w:before="0" w:after="300" w:line="314" w:lineRule="exact"/>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color w:val="000000"/>
          <w:spacing w:val="0"/>
          <w:w w:val="100"/>
          <w:position w:val="0"/>
        </w:rPr>
        <w:t>、</w:t>
        <w:tab/>
        <w:t>本期内发生的估值技术变更及变更原因</w:t>
      </w:r>
      <w:bookmarkEnd w:id="1686"/>
      <w:bookmarkEnd w:id="1687"/>
      <w:bookmarkEnd w:id="1689"/>
    </w:p>
    <w:p>
      <w:pPr>
        <w:pStyle w:val="Style23"/>
        <w:keepNext/>
        <w:keepLines/>
        <w:widowControl w:val="0"/>
        <w:shd w:val="clear" w:color="auto" w:fill="auto"/>
        <w:tabs>
          <w:tab w:pos="368" w:val="left"/>
        </w:tabs>
        <w:bidi w:val="0"/>
        <w:spacing w:before="0" w:after="300" w:line="314" w:lineRule="exact"/>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8</w:t>
      </w:r>
      <w:bookmarkEnd w:id="1692"/>
      <w:r>
        <w:rPr>
          <w:color w:val="000000"/>
          <w:spacing w:val="0"/>
          <w:w w:val="100"/>
          <w:position w:val="0"/>
        </w:rPr>
        <w:t>、</w:t>
        <w:tab/>
        <w:t>不以公允价值计量的金融资产和金融负债的公允价值情况</w:t>
      </w:r>
      <w:bookmarkEnd w:id="1690"/>
      <w:bookmarkEnd w:id="1691"/>
      <w:bookmarkEnd w:id="1693"/>
    </w:p>
    <w:p>
      <w:pPr>
        <w:pStyle w:val="Style23"/>
        <w:keepNext/>
        <w:keepLines/>
        <w:widowControl w:val="0"/>
        <w:shd w:val="clear" w:color="auto" w:fill="auto"/>
        <w:tabs>
          <w:tab w:pos="368" w:val="left"/>
        </w:tabs>
        <w:bidi w:val="0"/>
        <w:spacing w:before="0" w:after="340" w:line="314" w:lineRule="exact"/>
        <w:ind w:left="0" w:right="0" w:firstLine="0"/>
        <w:jc w:val="both"/>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9</w:t>
      </w:r>
      <w:bookmarkEnd w:id="1696"/>
      <w:r>
        <w:rPr>
          <w:color w:val="000000"/>
          <w:spacing w:val="0"/>
          <w:w w:val="100"/>
          <w:position w:val="0"/>
        </w:rPr>
        <w:t>、</w:t>
        <w:tab/>
        <w:t>其他</w:t>
      </w:r>
      <w:bookmarkEnd w:id="1694"/>
      <w:bookmarkEnd w:id="1695"/>
      <w:bookmarkEnd w:id="1697"/>
    </w:p>
    <w:p>
      <w:pPr>
        <w:pStyle w:val="Style19"/>
        <w:keepNext/>
        <w:keepLines/>
        <w:widowControl w:val="0"/>
        <w:shd w:val="clear" w:color="auto" w:fill="auto"/>
        <w:bidi w:val="0"/>
        <w:spacing w:before="0" w:after="300" w:line="240" w:lineRule="auto"/>
        <w:ind w:left="0" w:right="0" w:firstLine="0"/>
        <w:jc w:val="both"/>
      </w:pPr>
      <w:bookmarkStart w:id="1698" w:name="bookmark1698"/>
      <w:bookmarkStart w:id="1699" w:name="bookmark1699"/>
      <w:bookmarkStart w:id="1700" w:name="bookmark1700"/>
      <w:r>
        <w:rPr>
          <w:color w:val="000000"/>
          <w:spacing w:val="0"/>
          <w:w w:val="100"/>
          <w:position w:val="0"/>
        </w:rPr>
        <w:t>十二、关联方及关联交易</w:t>
      </w:r>
      <w:bookmarkEnd w:id="1698"/>
      <w:bookmarkEnd w:id="1699"/>
      <w:bookmarkEnd w:id="1700"/>
    </w:p>
    <w:p>
      <w:pPr>
        <w:pStyle w:val="Style23"/>
        <w:keepNext/>
        <w:keepLines/>
        <w:widowControl w:val="0"/>
        <w:shd w:val="clear" w:color="auto" w:fill="auto"/>
        <w:bidi w:val="0"/>
        <w:spacing w:before="0" w:after="340" w:line="314" w:lineRule="exact"/>
        <w:ind w:left="0" w:right="0" w:firstLine="0"/>
        <w:jc w:val="both"/>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01"/>
      <w:bookmarkEnd w:id="1702"/>
      <w:bookmarkEnd w:id="1703"/>
    </w:p>
    <w:tbl>
      <w:tblPr>
        <w:tblOverlap w:val="never"/>
        <w:jc w:val="center"/>
        <w:tblLayout w:type="fixed"/>
      </w:tblPr>
      <w:tblGrid>
        <w:gridCol w:w="1613"/>
        <w:gridCol w:w="1594"/>
        <w:gridCol w:w="1594"/>
        <w:gridCol w:w="1608"/>
        <w:gridCol w:w="158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widowControl w:val="0"/>
        <w:spacing w:line="1" w:lineRule="exact"/>
      </w:pPr>
    </w:p>
    <w:tbl>
      <w:tblPr>
        <w:tblOverlap w:val="never"/>
        <w:jc w:val="left"/>
        <w:tblLayout w:type="fixed"/>
      </w:tblPr>
      <w:tblGrid>
        <w:gridCol w:w="2122"/>
        <w:gridCol w:w="2117"/>
        <w:gridCol w:w="2112"/>
        <w:gridCol w:w="2155"/>
      </w:tblGrid>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自然人姓名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与公司的关系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控制人对本公司的 控股比例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20"/>
                <w:szCs w:val="20"/>
              </w:rPr>
            </w:pPr>
            <w:r>
              <w:rPr>
                <w:b/>
                <w:bCs/>
                <w:color w:val="000000"/>
                <w:spacing w:val="0"/>
                <w:w w:val="100"/>
                <w:position w:val="0"/>
                <w:sz w:val="20"/>
                <w:szCs w:val="20"/>
              </w:rPr>
              <w:t>控制人对本公司的 表决权比例</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孙光亮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实际控制人、董事长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29.82%</w:t>
            </w:r>
          </w:p>
        </w:tc>
      </w:tr>
    </w:tbl>
    <w:p>
      <w:pPr>
        <w:widowControl w:val="0"/>
        <w:spacing w:after="299" w:line="1" w:lineRule="exact"/>
      </w:pPr>
    </w:p>
    <w:p>
      <w:pPr>
        <w:pStyle w:val="Style1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本企业最终控制方是孙光亮。</w:t>
      </w:r>
    </w:p>
    <w:p>
      <w:pPr>
        <w:pStyle w:val="Style16"/>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本公司原实际控制人蔡廷祥于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日与孙光亮签署了《表决权委托协议》，约定蔡廷祥将其 持有的上市公司</w:t>
      </w:r>
      <w:r>
        <w:rPr>
          <w:rFonts w:ascii="Times New Roman" w:eastAsia="Times New Roman" w:hAnsi="Times New Roman" w:cs="Times New Roman"/>
          <w:color w:val="000000"/>
          <w:spacing w:val="0"/>
          <w:w w:val="100"/>
          <w:position w:val="0"/>
          <w:sz w:val="20"/>
          <w:szCs w:val="20"/>
        </w:rPr>
        <w:t>143,437,500</w:t>
      </w:r>
      <w:r>
        <w:rPr>
          <w:color w:val="000000"/>
          <w:spacing w:val="0"/>
          <w:w w:val="100"/>
          <w:position w:val="0"/>
          <w:sz w:val="20"/>
          <w:szCs w:val="20"/>
        </w:rPr>
        <w:t>股股份（占上市公司现有表决权股份总数</w:t>
      </w:r>
      <w:r>
        <w:rPr>
          <w:rFonts w:ascii="Times New Roman" w:eastAsia="Times New Roman" w:hAnsi="Times New Roman" w:cs="Times New Roman"/>
          <w:color w:val="000000"/>
          <w:spacing w:val="0"/>
          <w:w w:val="100"/>
          <w:position w:val="0"/>
          <w:sz w:val="20"/>
          <w:szCs w:val="20"/>
        </w:rPr>
        <w:t>29.82%</w:t>
      </w:r>
      <w:r>
        <w:rPr>
          <w:color w:val="000000"/>
          <w:spacing w:val="0"/>
          <w:w w:val="100"/>
          <w:position w:val="0"/>
          <w:sz w:val="20"/>
          <w:szCs w:val="20"/>
        </w:rPr>
        <w:t>）所对应的表决权独家且不可 撤销地委托给孙光亮行使。本次表决权委托等事项完成后，孙光亮拥有上市公司</w:t>
      </w:r>
      <w:r>
        <w:rPr>
          <w:rFonts w:ascii="Times New Roman" w:eastAsia="Times New Roman" w:hAnsi="Times New Roman" w:cs="Times New Roman"/>
          <w:color w:val="000000"/>
          <w:spacing w:val="0"/>
          <w:w w:val="100"/>
          <w:position w:val="0"/>
          <w:sz w:val="20"/>
          <w:szCs w:val="20"/>
        </w:rPr>
        <w:t>143,437,500</w:t>
      </w:r>
      <w:r>
        <w:rPr>
          <w:color w:val="000000"/>
          <w:spacing w:val="0"/>
          <w:w w:val="100"/>
          <w:position w:val="0"/>
          <w:sz w:val="20"/>
          <w:szCs w:val="20"/>
        </w:rPr>
        <w:t>股股份的表决 权，占上市公司有表决权股份的</w:t>
      </w:r>
      <w:r>
        <w:rPr>
          <w:rFonts w:ascii="Times New Roman" w:eastAsia="Times New Roman" w:hAnsi="Times New Roman" w:cs="Times New Roman"/>
          <w:color w:val="000000"/>
          <w:spacing w:val="0"/>
          <w:w w:val="100"/>
          <w:position w:val="0"/>
          <w:sz w:val="20"/>
          <w:szCs w:val="20"/>
        </w:rPr>
        <w:t>29.82%</w:t>
      </w:r>
      <w:r>
        <w:rPr>
          <w:color w:val="000000"/>
          <w:spacing w:val="0"/>
          <w:w w:val="100"/>
          <w:position w:val="0"/>
          <w:sz w:val="20"/>
          <w:szCs w:val="20"/>
        </w:rPr>
        <w:t xml:space="preserve">。此外，吴淡珠女士出具了《放弃表决权的承诺函》，承诺在《表 </w:t>
      </w:r>
      <w:r>
        <w:rPr>
          <w:color w:val="000000"/>
          <w:spacing w:val="0"/>
          <w:w w:val="100"/>
          <w:position w:val="0"/>
          <w:sz w:val="20"/>
          <w:szCs w:val="20"/>
        </w:rPr>
        <w:t>决权委托协议》有效且表决权委托的期限内，承诺放弃所持文化长城</w:t>
      </w:r>
      <w:r>
        <w:rPr>
          <w:rFonts w:ascii="Times New Roman" w:eastAsia="Times New Roman" w:hAnsi="Times New Roman" w:cs="Times New Roman"/>
          <w:color w:val="000000"/>
          <w:spacing w:val="0"/>
          <w:w w:val="100"/>
          <w:position w:val="0"/>
          <w:sz w:val="20"/>
          <w:szCs w:val="20"/>
        </w:rPr>
        <w:t>14,850,000</w:t>
      </w:r>
      <w:r>
        <w:rPr>
          <w:color w:val="000000"/>
          <w:spacing w:val="0"/>
          <w:w w:val="100"/>
          <w:position w:val="0"/>
          <w:sz w:val="20"/>
          <w:szCs w:val="20"/>
        </w:rPr>
        <w:t>股股份的表决权。本次委 托后，蔡廷祥及其一致行动人吴淡珠女士合计持有上市公司表决权降低至</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，上述对文化长城未来的实际 控制人存在不确定性。</w:t>
      </w:r>
    </w:p>
    <w:p>
      <w:pPr>
        <w:pStyle w:val="Style13"/>
        <w:keepNext w:val="0"/>
        <w:keepLines w:val="0"/>
        <w:widowControl w:val="0"/>
        <w:shd w:val="clear" w:color="auto" w:fill="auto"/>
        <w:bidi w:val="0"/>
        <w:spacing w:before="0" w:after="680" w:line="326" w:lineRule="exact"/>
        <w:ind w:left="0" w:right="0" w:firstLine="440"/>
        <w:jc w:val="both"/>
        <w:rPr>
          <w:sz w:val="20"/>
          <w:szCs w:val="20"/>
        </w:rPr>
      </w:pPr>
      <w:r>
        <w:rPr>
          <w:color w:val="000000"/>
          <w:spacing w:val="0"/>
          <w:w w:val="100"/>
          <w:position w:val="0"/>
          <w:sz w:val="20"/>
          <w:szCs w:val="20"/>
        </w:rPr>
        <w:t>公司股东蔡廷祥先生将其持有公司</w:t>
      </w:r>
      <w:r>
        <w:rPr>
          <w:rFonts w:ascii="Times New Roman" w:eastAsia="Times New Roman" w:hAnsi="Times New Roman" w:cs="Times New Roman"/>
          <w:color w:val="000000"/>
          <w:spacing w:val="0"/>
          <w:w w:val="100"/>
          <w:position w:val="0"/>
          <w:sz w:val="20"/>
          <w:szCs w:val="20"/>
        </w:rPr>
        <w:t>29.82%</w:t>
      </w:r>
      <w:r>
        <w:rPr>
          <w:color w:val="000000"/>
          <w:spacing w:val="0"/>
          <w:w w:val="100"/>
          <w:position w:val="0"/>
          <w:sz w:val="20"/>
          <w:szCs w:val="20"/>
        </w:rPr>
        <w:t>股权对应的表决权委托给孙光亮先生；蔡廷祥和股东吴淡珠 为夫妻关系。除此之外，公司未知其他股东是否存在关联关系或一致行动关系。</w:t>
      </w:r>
    </w:p>
    <w:p>
      <w:pPr>
        <w:pStyle w:val="Style23"/>
        <w:keepNext/>
        <w:keepLines/>
        <w:widowControl w:val="0"/>
        <w:shd w:val="clear" w:color="auto" w:fill="auto"/>
        <w:tabs>
          <w:tab w:pos="368" w:val="left"/>
        </w:tabs>
        <w:bidi w:val="0"/>
        <w:spacing w:before="0" w:after="340" w:line="334" w:lineRule="auto"/>
        <w:ind w:left="0" w:right="0" w:firstLine="0"/>
        <w:jc w:val="both"/>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2</w:t>
      </w:r>
      <w:bookmarkEnd w:id="1706"/>
      <w:r>
        <w:rPr>
          <w:color w:val="000000"/>
          <w:spacing w:val="0"/>
          <w:w w:val="100"/>
          <w:position w:val="0"/>
        </w:rPr>
        <w:t>、</w:t>
        <w:tab/>
        <w:t>本企业的子公司情况</w:t>
      </w:r>
      <w:bookmarkEnd w:id="1704"/>
      <w:bookmarkEnd w:id="1705"/>
      <w:bookmarkEnd w:id="1707"/>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w:t>
      </w:r>
    </w:p>
    <w:p>
      <w:pPr>
        <w:pStyle w:val="Style23"/>
        <w:keepNext/>
        <w:keepLines/>
        <w:widowControl w:val="0"/>
        <w:shd w:val="clear" w:color="auto" w:fill="auto"/>
        <w:tabs>
          <w:tab w:pos="368" w:val="left"/>
        </w:tabs>
        <w:bidi w:val="0"/>
        <w:spacing w:before="0" w:after="340" w:line="334"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3</w:t>
      </w:r>
      <w:bookmarkEnd w:id="1710"/>
      <w:r>
        <w:rPr>
          <w:color w:val="000000"/>
          <w:spacing w:val="0"/>
          <w:w w:val="100"/>
          <w:position w:val="0"/>
        </w:rPr>
        <w:t>、</w:t>
        <w:tab/>
        <w:t>本企业合营和联营企业情况</w:t>
      </w:r>
      <w:bookmarkEnd w:id="1708"/>
      <w:bookmarkEnd w:id="1709"/>
      <w:bookmarkEnd w:id="1711"/>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after="340" w:line="240" w:lineRule="auto"/>
        <w:ind w:left="0" w:right="0" w:firstLine="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4</w:t>
      </w:r>
      <w:bookmarkEnd w:id="1714"/>
      <w:r>
        <w:rPr>
          <w:color w:val="000000"/>
          <w:spacing w:val="0"/>
          <w:w w:val="100"/>
          <w:position w:val="0"/>
        </w:rPr>
        <w:t>、其他关联方情况</w:t>
      </w:r>
      <w:bookmarkEnd w:id="1712"/>
      <w:bookmarkEnd w:id="1713"/>
      <w:bookmarkEnd w:id="1715"/>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29.82%</w:t>
            </w:r>
            <w:r>
              <w:rPr>
                <w:color w:val="000000"/>
                <w:spacing w:val="0"/>
                <w:w w:val="100"/>
                <w:position w:val="0"/>
              </w:rPr>
              <w:t>的股东</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3.09%</w:t>
            </w:r>
            <w:r>
              <w:rPr>
                <w:color w:val="000000"/>
                <w:spacing w:val="0"/>
                <w:w w:val="100"/>
                <w:position w:val="0"/>
              </w:rPr>
              <w:t>的股东</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的股东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公司对其具有重大影响的联营企业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见附注十四、（二）</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见附注十四、（二）</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见附注十四、（二）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潮州市名源陶瓷有限公司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根据广东监管局《行政处罚决定书》认定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潮州市枫溪区锦汇陶瓷原料厂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根据广东监管局《行政处罚决定书》认定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潮州市源发陶瓷有限公司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根据广东监管局《行政处罚决定书》认定</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3"/>
        <w:keepNext w:val="0"/>
        <w:keepLines w:val="0"/>
        <w:widowControl w:val="0"/>
        <w:shd w:val="clear" w:color="auto" w:fill="auto"/>
        <w:bidi w:val="0"/>
        <w:spacing w:before="0" w:after="340" w:line="312" w:lineRule="exact"/>
        <w:ind w:left="0" w:right="0" w:firstLine="440"/>
        <w:jc w:val="left"/>
        <w:rPr>
          <w:sz w:val="20"/>
          <w:szCs w:val="20"/>
        </w:rPr>
      </w:pPr>
      <w:r>
        <w:rPr>
          <w:color w:val="000000"/>
          <w:spacing w:val="0"/>
          <w:w w:val="100"/>
          <w:position w:val="0"/>
          <w:sz w:val="20"/>
          <w:szCs w:val="20"/>
        </w:rPr>
        <w:t>公司持有其北京翡翠教育科技集团有限公司</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股权、持有广东联汛教育科技有限公司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 权，公司自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年度对两家公司失去控制。公司原持有河南长城绿色瓷业有限公司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年度将股权 过户至广州隽隆贸易有限公司，公司对其失去控制。</w:t>
      </w:r>
      <w:r>
        <w:br w:type="page"/>
      </w:r>
    </w:p>
    <w:p>
      <w:pPr>
        <w:pStyle w:val="Style23"/>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color w:val="000000"/>
          <w:spacing w:val="0"/>
          <w:w w:val="100"/>
          <w:position w:val="0"/>
        </w:rPr>
        <w:t>、关联交易情况</w:t>
      </w:r>
      <w:bookmarkEnd w:id="1716"/>
      <w:bookmarkEnd w:id="1717"/>
      <w:bookmarkEnd w:id="1719"/>
    </w:p>
    <w:p>
      <w:pPr>
        <w:pStyle w:val="Style29"/>
        <w:keepNext/>
        <w:keepLines/>
        <w:widowControl w:val="0"/>
        <w:shd w:val="clear" w:color="auto" w:fill="auto"/>
        <w:bidi w:val="0"/>
        <w:spacing w:before="0" w:after="36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0"/>
      <w:bookmarkEnd w:id="1721"/>
      <w:bookmarkEnd w:id="1722"/>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864"/>
        <w:gridCol w:w="590"/>
        <w:gridCol w:w="1464"/>
        <w:gridCol w:w="202"/>
        <w:gridCol w:w="1502"/>
        <w:gridCol w:w="758"/>
        <w:gridCol w:w="946"/>
        <w:gridCol w:w="177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54"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tc>
      </w:tr>
      <w:tr>
        <w:trPr>
          <w:trHeight w:val="41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29"/>
        <w:keepNext/>
        <w:keepLines/>
        <w:widowControl w:val="0"/>
        <w:shd w:val="clear" w:color="auto" w:fill="auto"/>
        <w:bidi w:val="0"/>
        <w:spacing w:before="0" w:after="42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23"/>
      <w:bookmarkEnd w:id="1724"/>
      <w:bookmarkEnd w:id="1725"/>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41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29"/>
        <w:keepNext/>
        <w:keepLines/>
        <w:widowControl w:val="0"/>
        <w:shd w:val="clear" w:color="auto" w:fill="auto"/>
        <w:bidi w:val="0"/>
        <w:spacing w:before="0" w:after="42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26"/>
      <w:bookmarkEnd w:id="1727"/>
      <w:bookmarkEnd w:id="172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5"/>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29"/>
        <w:keepNext/>
        <w:keepLines/>
        <w:widowControl w:val="0"/>
        <w:shd w:val="clear" w:color="auto" w:fill="auto"/>
        <w:bidi w:val="0"/>
        <w:spacing w:before="0" w:after="42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30"/>
      <w:bookmarkEnd w:id="1731"/>
      <w:bookmarkEnd w:id="173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蔡廷祥、吴淡珠及深圳 长城世家商贸有限公司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蔡廷祥、吴淡珠、广东 联汛教育科技有限公司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蔡廷祥、吴淡珠、广东 联汛教育科技有限公 司、深圳长城世家商贸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26,998,053.02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蔡廷祥、吴淡珠、潮州 市长城世家瓷业有限公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蔡廷祥、吴淡珠、广东 联汛教育科技有限公司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2,678,172.18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蔡廷祥、吴淡珠、广东 联汛教育科技有限公 司、深圳长城世家贸易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蔡廷祥、吴淡珠、广东 联汛教育科技有限公 司、深圳长城世家贸易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蔡廷祥、吴淡珠和潮州 市长城世家瓷业有限公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961,043.70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29"/>
        <w:keepNext/>
        <w:keepLines/>
        <w:widowControl w:val="0"/>
        <w:shd w:val="clear" w:color="auto" w:fill="auto"/>
        <w:bidi w:val="0"/>
        <w:spacing w:before="0" w:after="42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34"/>
      <w:bookmarkEnd w:id="1735"/>
      <w:bookmarkEnd w:id="1737"/>
    </w:p>
    <w:p>
      <w:pPr>
        <w:widowControl w:val="0"/>
        <w:jc w:val="center"/>
        <w:rPr>
          <w:sz w:val="2"/>
          <w:szCs w:val="2"/>
        </w:rPr>
      </w:pPr>
      <w:r>
        <w:drawing>
          <wp:inline>
            <wp:extent cx="6132830" cy="95123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pic:blipFill>
                  <pic:spPr>
                    <a:xfrm>
                      <a:ext cx="6132830" cy="951230"/>
                    </a:xfrm>
                    <a:prstGeom prst="rect"/>
                  </pic:spPr>
                </pic:pic>
              </a:graphicData>
            </a:graphic>
          </wp:inline>
        </w:drawing>
      </w:r>
    </w:p>
    <w:p>
      <w:pPr>
        <w:widowControl w:val="0"/>
        <w:spacing w:after="339" w:line="1" w:lineRule="exact"/>
      </w:pPr>
    </w:p>
    <w:p>
      <w:pPr>
        <w:pStyle w:val="Style29"/>
        <w:keepNext/>
        <w:keepLines/>
        <w:widowControl w:val="0"/>
        <w:shd w:val="clear" w:color="auto" w:fill="auto"/>
        <w:bidi w:val="0"/>
        <w:spacing w:before="0" w:after="42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38"/>
      <w:bookmarkEnd w:id="1739"/>
      <w:bookmarkEnd w:id="17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29"/>
        <w:keepNext/>
        <w:keepLines/>
        <w:widowControl w:val="0"/>
        <w:shd w:val="clear" w:color="auto" w:fill="auto"/>
        <w:bidi w:val="0"/>
        <w:spacing w:before="0" w:after="420" w:line="240" w:lineRule="auto"/>
        <w:ind w:left="0" w:right="0" w:firstLine="0"/>
        <w:jc w:val="both"/>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42"/>
      <w:bookmarkEnd w:id="1743"/>
      <w:bookmarkEnd w:id="174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1,492,412.00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2,146,058.69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46"/>
      <w:bookmarkEnd w:id="1747"/>
      <w:bookmarkEnd w:id="1749"/>
    </w:p>
    <w:p>
      <w:pPr>
        <w:pStyle w:val="Style23"/>
        <w:keepNext/>
        <w:keepLines/>
        <w:widowControl w:val="0"/>
        <w:shd w:val="clear" w:color="auto" w:fill="auto"/>
        <w:bidi w:val="0"/>
        <w:spacing w:before="0" w:after="340" w:line="240" w:lineRule="auto"/>
        <w:ind w:left="0" w:right="0" w:firstLine="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6</w:t>
      </w:r>
      <w:bookmarkEnd w:id="1752"/>
      <w:r>
        <w:rPr>
          <w:color w:val="000000"/>
          <w:spacing w:val="0"/>
          <w:w w:val="100"/>
          <w:position w:val="0"/>
        </w:rPr>
        <w:t>、关联方应收应付款项</w:t>
      </w:r>
      <w:bookmarkEnd w:id="1750"/>
      <w:bookmarkEnd w:id="1751"/>
      <w:bookmarkEnd w:id="1753"/>
    </w:p>
    <w:p>
      <w:pPr>
        <w:pStyle w:val="Style29"/>
        <w:keepNext/>
        <w:keepLines/>
        <w:widowControl w:val="0"/>
        <w:shd w:val="clear" w:color="auto" w:fill="auto"/>
        <w:bidi w:val="0"/>
        <w:spacing w:before="0" w:after="340" w:line="240" w:lineRule="auto"/>
        <w:ind w:left="0" w:right="0" w:firstLine="0"/>
        <w:jc w:val="both"/>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4"/>
      <w:bookmarkEnd w:id="1755"/>
      <w:bookmarkEnd w:id="175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应收股 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广东联汛教育科技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潮州市名源陶瓷有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 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114,411,038.07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64,388293.07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114,411,038.07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64,388293.07</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潮州市枫溪区锦汇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陶瓷原料厂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111,420,000.00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57,755,113.50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111,420,000.00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57,755,113.50</w:t>
            </w:r>
          </w:p>
        </w:tc>
      </w:tr>
    </w:tbl>
    <w:p>
      <w:pPr>
        <w:widowControl w:val="0"/>
        <w:spacing w:line="1" w:lineRule="exact"/>
      </w:pPr>
    </w:p>
    <w:tbl>
      <w:tblPr>
        <w:tblOverlap w:val="never"/>
        <w:jc w:val="center"/>
        <w:tblLayout w:type="fixed"/>
      </w:tblPr>
      <w:tblGrid>
        <w:gridCol w:w="1608"/>
        <w:gridCol w:w="1594"/>
        <w:gridCol w:w="1598"/>
        <w:gridCol w:w="1598"/>
        <w:gridCol w:w="158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潮州市源发陶瓷有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蔡廷祥等关 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6,128,406.59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87,502264.01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6,128,406.59</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both"/>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57"/>
      <w:bookmarkEnd w:id="1758"/>
      <w:bookmarkEnd w:id="1759"/>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潮州民营投资股份有限公司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562 80,000.00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翡翠教育收购相关的股权转 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619,877,649.54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619,629,539.97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创思兰博（北京）科技股份有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北京完美空间教育科技有限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河南长城绿色瓷艺有限公司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23,587,944.39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23,587,944.39</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7</w:t>
      </w:r>
      <w:bookmarkEnd w:id="1762"/>
      <w:r>
        <w:rPr>
          <w:color w:val="000000"/>
          <w:spacing w:val="0"/>
          <w:w w:val="100"/>
          <w:position w:val="0"/>
        </w:rPr>
        <w:t>、关联方承诺</w:t>
      </w:r>
      <w:bookmarkEnd w:id="1760"/>
      <w:bookmarkEnd w:id="1761"/>
      <w:bookmarkEnd w:id="1763"/>
    </w:p>
    <w:p>
      <w:pPr>
        <w:pStyle w:val="Style23"/>
        <w:keepNext/>
        <w:keepLines/>
        <w:widowControl w:val="0"/>
        <w:shd w:val="clear" w:color="auto" w:fill="auto"/>
        <w:bidi w:val="0"/>
        <w:spacing w:before="0" w:after="360" w:line="314" w:lineRule="exact"/>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8</w:t>
      </w:r>
      <w:bookmarkEnd w:id="1766"/>
      <w:r>
        <w:rPr>
          <w:color w:val="000000"/>
          <w:spacing w:val="0"/>
          <w:w w:val="100"/>
          <w:position w:val="0"/>
        </w:rPr>
        <w:t>、其他</w:t>
      </w:r>
      <w:bookmarkEnd w:id="1764"/>
      <w:bookmarkEnd w:id="1765"/>
      <w:bookmarkEnd w:id="1767"/>
    </w:p>
    <w:p>
      <w:pPr>
        <w:pStyle w:val="Style19"/>
        <w:keepNext/>
        <w:keepLines/>
        <w:widowControl w:val="0"/>
        <w:shd w:val="clear" w:color="auto" w:fill="auto"/>
        <w:bidi w:val="0"/>
        <w:spacing w:before="0" w:after="300" w:line="240" w:lineRule="auto"/>
        <w:ind w:left="0" w:right="0" w:firstLine="0"/>
        <w:jc w:val="left"/>
      </w:pPr>
      <w:bookmarkStart w:id="1768" w:name="bookmark1768"/>
      <w:bookmarkStart w:id="1769" w:name="bookmark1769"/>
      <w:bookmarkStart w:id="1770" w:name="bookmark1770"/>
      <w:r>
        <w:rPr>
          <w:color w:val="000000"/>
          <w:spacing w:val="0"/>
          <w:w w:val="100"/>
          <w:position w:val="0"/>
        </w:rPr>
        <w:t>十三、承诺及或有事项</w:t>
      </w:r>
      <w:bookmarkEnd w:id="1768"/>
      <w:bookmarkEnd w:id="1769"/>
      <w:bookmarkEnd w:id="1770"/>
    </w:p>
    <w:p>
      <w:pPr>
        <w:pStyle w:val="Style23"/>
        <w:keepNext/>
        <w:keepLines/>
        <w:widowControl w:val="0"/>
        <w:shd w:val="clear" w:color="auto" w:fill="auto"/>
        <w:tabs>
          <w:tab w:pos="358" w:val="left"/>
        </w:tabs>
        <w:bidi w:val="0"/>
        <w:spacing w:before="0" w:after="360" w:line="314" w:lineRule="exact"/>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bookmarkEnd w:id="1773"/>
      <w:r>
        <w:rPr>
          <w:color w:val="000000"/>
          <w:spacing w:val="0"/>
          <w:w w:val="100"/>
          <w:position w:val="0"/>
        </w:rPr>
        <w:t>、</w:t>
        <w:tab/>
        <w:t>重要承诺事项</w:t>
      </w:r>
      <w:bookmarkEnd w:id="1771"/>
      <w:bookmarkEnd w:id="1772"/>
      <w:bookmarkEnd w:id="1774"/>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资产负债表日存在的重要承诺</w:t>
      </w:r>
    </w:p>
    <w:p>
      <w:pPr>
        <w:pStyle w:val="Style13"/>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日，本公司无需要披露的重大承诺事项。</w:t>
      </w:r>
    </w:p>
    <w:p>
      <w:pPr>
        <w:pStyle w:val="Style23"/>
        <w:keepNext/>
        <w:keepLines/>
        <w:widowControl w:val="0"/>
        <w:shd w:val="clear" w:color="auto" w:fill="auto"/>
        <w:tabs>
          <w:tab w:pos="368" w:val="left"/>
        </w:tabs>
        <w:bidi w:val="0"/>
        <w:spacing w:before="0" w:after="300" w:line="314"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2</w:t>
      </w:r>
      <w:bookmarkEnd w:id="1777"/>
      <w:r>
        <w:rPr>
          <w:color w:val="000000"/>
          <w:spacing w:val="0"/>
          <w:w w:val="100"/>
          <w:position w:val="0"/>
        </w:rPr>
        <w:t>、</w:t>
        <w:tab/>
        <w:t>或有事项</w:t>
      </w:r>
      <w:bookmarkEnd w:id="1775"/>
      <w:bookmarkEnd w:id="1776"/>
      <w:bookmarkEnd w:id="1778"/>
    </w:p>
    <w:p>
      <w:pPr>
        <w:pStyle w:val="Style29"/>
        <w:keepNext/>
        <w:keepLines/>
        <w:widowControl w:val="0"/>
        <w:shd w:val="clear" w:color="auto" w:fill="auto"/>
        <w:bidi w:val="0"/>
        <w:spacing w:before="0" w:after="300" w:line="314" w:lineRule="exact"/>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79"/>
      <w:bookmarkEnd w:id="1780"/>
      <w:bookmarkEnd w:id="1781"/>
    </w:p>
    <w:p>
      <w:pPr>
        <w:pStyle w:val="Style29"/>
        <w:keepNext/>
        <w:keepLines/>
        <w:widowControl w:val="0"/>
        <w:numPr>
          <w:ilvl w:val="0"/>
          <w:numId w:val="73"/>
        </w:numPr>
        <w:shd w:val="clear" w:color="auto" w:fill="auto"/>
        <w:tabs>
          <w:tab w:pos="774" w:val="left"/>
        </w:tabs>
        <w:bidi w:val="0"/>
        <w:spacing w:before="0" w:after="0" w:line="314" w:lineRule="exact"/>
        <w:ind w:left="0" w:right="0" w:firstLine="440"/>
        <w:jc w:val="both"/>
      </w:pPr>
      <w:bookmarkStart w:id="1779" w:name="bookmark1779"/>
      <w:bookmarkStart w:id="1780" w:name="bookmark1780"/>
      <w:bookmarkStart w:id="1782" w:name="bookmark1782"/>
      <w:bookmarkEnd w:id="1782"/>
      <w:r>
        <w:rPr>
          <w:color w:val="000000"/>
          <w:spacing w:val="0"/>
          <w:w w:val="100"/>
          <w:position w:val="0"/>
        </w:rPr>
        <w:t>股权转让款支付项</w:t>
      </w:r>
      <w:bookmarkEnd w:id="1779"/>
      <w:bookmarkEnd w:id="1780"/>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月与北京翡翠教育科技集团有限公司的子公司创思兰博（北京）科技股份有限 公司、北京完美空间教育科技有限公司签署借款协议，分别向其借款</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万元向安卓易（北京） 科技有限公司支付股权转让款</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亿元，截至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日，公司未收到安卓易（北京）科技有限公司已 经收到相关股权转让款的通知（银行进账单、收据），由于北京翡翠教育科技集团有限公司已经失控，公 司未能向创思兰博（北京）科技股份有限公司、北京完美空间教育科技有限公司、安卓易（北京）科技有 限公司等公司核实相关资金的支付情况。</w:t>
      </w:r>
    </w:p>
    <w:p>
      <w:pPr>
        <w:pStyle w:val="Style13"/>
        <w:keepNext w:val="0"/>
        <w:keepLines w:val="0"/>
        <w:widowControl w:val="0"/>
        <w:numPr>
          <w:ilvl w:val="0"/>
          <w:numId w:val="73"/>
        </w:numPr>
        <w:shd w:val="clear" w:color="auto" w:fill="auto"/>
        <w:tabs>
          <w:tab w:pos="784" w:val="left"/>
        </w:tabs>
        <w:bidi w:val="0"/>
        <w:spacing w:before="0" w:after="0" w:line="314" w:lineRule="exact"/>
        <w:ind w:left="0" w:right="0" w:firstLine="440"/>
        <w:jc w:val="both"/>
        <w:rPr>
          <w:sz w:val="20"/>
          <w:szCs w:val="20"/>
        </w:rPr>
      </w:pPr>
      <w:bookmarkStart w:id="1783" w:name="bookmark1783"/>
      <w:bookmarkEnd w:id="1783"/>
      <w:r>
        <w:rPr>
          <w:b/>
          <w:bCs/>
          <w:color w:val="000000"/>
          <w:spacing w:val="0"/>
          <w:w w:val="100"/>
          <w:position w:val="0"/>
          <w:sz w:val="20"/>
          <w:szCs w:val="20"/>
        </w:rPr>
        <w:t>诉讼事项</w:t>
      </w:r>
    </w:p>
    <w:p>
      <w:pPr>
        <w:pStyle w:val="Style13"/>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）公司作为原告</w:t>
      </w:r>
      <w:r>
        <w:br w:type="page"/>
      </w:r>
    </w:p>
    <w:p>
      <w:pPr>
        <w:pStyle w:val="Style13"/>
        <w:keepNext w:val="0"/>
        <w:keepLines w:val="0"/>
        <w:widowControl w:val="0"/>
        <w:shd w:val="clear" w:color="auto" w:fill="auto"/>
        <w:tabs>
          <w:tab w:pos="781" w:val="left"/>
        </w:tabs>
        <w:bidi w:val="0"/>
        <w:spacing w:before="0" w:after="0" w:line="312" w:lineRule="exact"/>
        <w:ind w:left="0" w:right="0" w:firstLine="440"/>
        <w:jc w:val="left"/>
        <w:rPr>
          <w:sz w:val="20"/>
          <w:szCs w:val="20"/>
        </w:rPr>
      </w:pPr>
      <w:bookmarkStart w:id="1784" w:name="bookmark1784"/>
      <w:r>
        <w:rPr>
          <w:rFonts w:ascii="Times New Roman" w:eastAsia="Times New Roman" w:hAnsi="Times New Roman" w:cs="Times New Roman"/>
          <w:color w:val="000000"/>
          <w:spacing w:val="0"/>
          <w:w w:val="100"/>
          <w:position w:val="0"/>
          <w:sz w:val="20"/>
          <w:szCs w:val="20"/>
        </w:rPr>
        <w:t>1</w:t>
      </w:r>
      <w:bookmarkEnd w:id="178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公司在广东省深圳市中级人民法院起诉安卓易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科技有限公司、嘉兴卓智股权投资合伙企业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 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、新余卓趣资本管理合伙企业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、新余创思资产管理合伙企业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、天津钰美瑞科 技中心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、新余信公成长新兴资产管理合伙企业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、深圳普方达源力投资中心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共青城纳隆德投资管理合伙企业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、新余邦得投资合伙企业</w:t>
      </w:r>
      <w:r>
        <w:rPr>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、北京虹佳龙文化传播有 限公司、宁波梅山保税港区御泓投资合伙企业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、第三人：鲁志宏、李振舟、陈盛东、张熙的股 权转让纠纷案于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日立案，截至本财务报告批准报出日，目前仍在审理中。</w:t>
      </w:r>
    </w:p>
    <w:p>
      <w:pPr>
        <w:pStyle w:val="Style13"/>
        <w:keepNext w:val="0"/>
        <w:keepLines w:val="0"/>
        <w:widowControl w:val="0"/>
        <w:shd w:val="clear" w:color="auto" w:fill="auto"/>
        <w:tabs>
          <w:tab w:pos="805" w:val="left"/>
        </w:tabs>
        <w:bidi w:val="0"/>
        <w:spacing w:before="0" w:after="0" w:line="312" w:lineRule="exact"/>
        <w:ind w:left="0" w:right="0" w:firstLine="440"/>
        <w:jc w:val="left"/>
        <w:rPr>
          <w:sz w:val="20"/>
          <w:szCs w:val="20"/>
        </w:rPr>
      </w:pPr>
      <w:bookmarkStart w:id="1785" w:name="bookmark1785"/>
      <w:r>
        <w:rPr>
          <w:rFonts w:ascii="Times New Roman" w:eastAsia="Times New Roman" w:hAnsi="Times New Roman" w:cs="Times New Roman"/>
          <w:color w:val="000000"/>
          <w:spacing w:val="0"/>
          <w:w w:val="100"/>
          <w:position w:val="0"/>
          <w:sz w:val="20"/>
          <w:szCs w:val="20"/>
        </w:rPr>
        <w:t>2</w:t>
      </w:r>
      <w:bookmarkEnd w:id="1785"/>
      <w:r>
        <w:rPr>
          <w:color w:val="000000"/>
          <w:spacing w:val="0"/>
          <w:w w:val="100"/>
          <w:position w:val="0"/>
          <w:sz w:val="20"/>
          <w:szCs w:val="20"/>
        </w:rPr>
        <w:t>）</w:t>
        <w:tab/>
        <w:t>公司在潮州市中级人民法院起诉许高镭、许高云、雷凡、彭辉、李东英、广州商融投资咨询有限 公司的股权转让纠纷案于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日立案，并于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日首次开庭，截至本财务报告批准报出 日，目前仍在审理中。</w:t>
      </w:r>
    </w:p>
    <w:p>
      <w:pPr>
        <w:pStyle w:val="Style13"/>
        <w:keepNext w:val="0"/>
        <w:keepLines w:val="0"/>
        <w:widowControl w:val="0"/>
        <w:shd w:val="clear" w:color="auto" w:fill="auto"/>
        <w:tabs>
          <w:tab w:pos="928" w:val="left"/>
        </w:tabs>
        <w:bidi w:val="0"/>
        <w:spacing w:before="0" w:after="0" w:line="312" w:lineRule="exact"/>
        <w:ind w:left="0" w:right="0" w:firstLine="440"/>
        <w:jc w:val="left"/>
        <w:rPr>
          <w:sz w:val="20"/>
          <w:szCs w:val="20"/>
        </w:rPr>
      </w:pPr>
      <w:bookmarkStart w:id="1786" w:name="bookmark1786"/>
      <w:r>
        <w:rPr>
          <w:color w:val="000000"/>
          <w:spacing w:val="0"/>
          <w:w w:val="100"/>
          <w:position w:val="0"/>
          <w:sz w:val="20"/>
          <w:szCs w:val="20"/>
        </w:rPr>
        <w:t>（</w:t>
      </w:r>
      <w:bookmarkEnd w:id="17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公司作为被告</w:t>
      </w:r>
    </w:p>
    <w:p>
      <w:pPr>
        <w:pStyle w:val="Style13"/>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月支付现金并发行股份收购北京翡翠教育科技集团有限公司，引发股权转让款纠纷，北 京翡翠教育科技集团有限公司的共计</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名原股东分别起诉公司要求支付股权转让款、违约金及相关诉讼费 用，涉及的诉讼金额共计约</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亿元，其中已经判决公司支付股权转让的金额约</w:t>
      </w:r>
      <w:r>
        <w:rPr>
          <w:rFonts w:ascii="Times New Roman" w:eastAsia="Times New Roman" w:hAnsi="Times New Roman" w:cs="Times New Roman"/>
          <w:color w:val="000000"/>
          <w:spacing w:val="0"/>
          <w:w w:val="100"/>
          <w:position w:val="0"/>
          <w:sz w:val="20"/>
          <w:szCs w:val="20"/>
        </w:rPr>
        <w:t>4,389.03</w:t>
      </w:r>
      <w:r>
        <w:rPr>
          <w:color w:val="000000"/>
          <w:spacing w:val="0"/>
          <w:w w:val="100"/>
          <w:position w:val="0"/>
          <w:sz w:val="20"/>
          <w:szCs w:val="20"/>
        </w:rPr>
        <w:t xml:space="preserve">万元、尚未判决 </w:t>
      </w:r>
      <w:r>
        <w:rPr>
          <w:rFonts w:ascii="Times New Roman" w:eastAsia="Times New Roman" w:hAnsi="Times New Roman" w:cs="Times New Roman"/>
          <w:color w:val="000000"/>
          <w:spacing w:val="0"/>
          <w:w w:val="100"/>
          <w:position w:val="0"/>
          <w:sz w:val="20"/>
          <w:szCs w:val="20"/>
        </w:rPr>
        <w:t>19,827.</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万元、已结案或撤诉金额</w:t>
      </w:r>
      <w:r>
        <w:rPr>
          <w:rFonts w:ascii="Times New Roman" w:eastAsia="Times New Roman" w:hAnsi="Times New Roman" w:cs="Times New Roman"/>
          <w:color w:val="000000"/>
          <w:spacing w:val="0"/>
          <w:w w:val="100"/>
          <w:position w:val="0"/>
          <w:sz w:val="20"/>
          <w:szCs w:val="20"/>
        </w:rPr>
        <w:t>13,843.77</w:t>
      </w:r>
      <w:r>
        <w:rPr>
          <w:color w:val="000000"/>
          <w:spacing w:val="0"/>
          <w:w w:val="100"/>
          <w:position w:val="0"/>
          <w:sz w:val="20"/>
          <w:szCs w:val="20"/>
        </w:rPr>
        <w:t>万元，公司已经上诉深圳市中级人民法院，目前尚未开庭审理。</w:t>
      </w:r>
    </w:p>
    <w:p>
      <w:pPr>
        <w:pStyle w:val="Style13"/>
        <w:keepNext w:val="0"/>
        <w:keepLines w:val="0"/>
        <w:widowControl w:val="0"/>
        <w:shd w:val="clear" w:color="auto" w:fill="auto"/>
        <w:tabs>
          <w:tab w:pos="928" w:val="left"/>
        </w:tabs>
        <w:bidi w:val="0"/>
        <w:spacing w:before="0" w:after="0" w:line="312" w:lineRule="exact"/>
        <w:ind w:left="0" w:right="0" w:firstLine="440"/>
        <w:jc w:val="both"/>
        <w:rPr>
          <w:sz w:val="20"/>
          <w:szCs w:val="20"/>
        </w:rPr>
      </w:pPr>
      <w:bookmarkStart w:id="1787" w:name="bookmark1787"/>
      <w:r>
        <w:rPr>
          <w:color w:val="000000"/>
          <w:spacing w:val="0"/>
          <w:w w:val="100"/>
          <w:position w:val="0"/>
          <w:sz w:val="20"/>
          <w:szCs w:val="20"/>
        </w:rPr>
        <w:t>（</w:t>
      </w:r>
      <w:bookmarkEnd w:id="178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其他说明</w:t>
      </w:r>
    </w:p>
    <w:p>
      <w:pPr>
        <w:pStyle w:val="Style13"/>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公司因资金短缺未能偿还到期债务等，引发诸多诉讼事项。虽然公司对部分诉讼事项的影响在财务报 表中进行了必要列报，但由于诉讼事项的复杂性及其结果的不确定性，如诉讼事项的影响金额、违约金的 影响金额、诉讼事项的完整性等，我们无法获取充分、适当的审计证据，以确认诉讼事项对公司财务报表 可能产生的影响。</w:t>
      </w:r>
    </w:p>
    <w:p>
      <w:pPr>
        <w:pStyle w:val="Style29"/>
        <w:keepNext/>
        <w:keepLines/>
        <w:widowControl w:val="0"/>
        <w:shd w:val="clear" w:color="auto" w:fill="auto"/>
        <w:bidi w:val="0"/>
        <w:spacing w:before="0" w:after="400" w:line="240" w:lineRule="auto"/>
        <w:ind w:left="0" w:right="0" w:firstLine="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88"/>
      <w:bookmarkEnd w:id="1789"/>
      <w:bookmarkEnd w:id="179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36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、其他</w:t>
      </w:r>
      <w:bookmarkEnd w:id="1791"/>
      <w:bookmarkEnd w:id="1792"/>
      <w:bookmarkEnd w:id="1794"/>
    </w:p>
    <w:p>
      <w:pPr>
        <w:pStyle w:val="Style19"/>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十四、资产负债表日后事项</w:t>
      </w:r>
      <w:bookmarkEnd w:id="1795"/>
      <w:bookmarkEnd w:id="1796"/>
      <w:bookmarkEnd w:id="1797"/>
    </w:p>
    <w:p>
      <w:pPr>
        <w:pStyle w:val="Style23"/>
        <w:keepNext/>
        <w:keepLines/>
        <w:widowControl w:val="0"/>
        <w:shd w:val="clear" w:color="auto" w:fill="auto"/>
        <w:bidi w:val="0"/>
        <w:spacing w:before="0" w:after="40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98"/>
      <w:bookmarkEnd w:id="1799"/>
      <w:bookmarkEnd w:id="18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3"/>
        <w:keepNext/>
        <w:keepLines/>
        <w:widowControl w:val="0"/>
        <w:shd w:val="clear" w:color="auto" w:fill="auto"/>
        <w:tabs>
          <w:tab w:pos="368" w:val="left"/>
        </w:tabs>
        <w:bidi w:val="0"/>
        <w:spacing w:before="0" w:after="360" w:line="240" w:lineRule="auto"/>
        <w:ind w:left="0" w:right="0" w:firstLine="0"/>
        <w:jc w:val="left"/>
      </w:pPr>
      <w:r>
        <mc:AlternateContent>
          <mc:Choice Requires="wps">
            <w:drawing>
              <wp:anchor distT="0" distB="0" distL="114300" distR="114300" simplePos="0" relativeHeight="125829404" behindDoc="0" locked="0" layoutInCell="1" allowOverlap="1">
                <wp:simplePos x="0" y="0"/>
                <wp:positionH relativeFrom="page">
                  <wp:posOffset>6339205</wp:posOffset>
                </wp:positionH>
                <wp:positionV relativeFrom="paragraph">
                  <wp:posOffset>406400</wp:posOffset>
                </wp:positionV>
                <wp:extent cx="478790" cy="152400"/>
                <wp:wrapTopAndBottom/>
                <wp:docPr id="28" name="Shape 28"/>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4" type="#_x0000_t202" style="position:absolute;margin-left:499.15000000000003pt;margin-top:32.pt;width:37.700000000000003pt;height:12.pt;z-index:-12582934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bookmarkEnd w:id="1803"/>
      <w:r>
        <w:rPr>
          <w:color w:val="000000"/>
          <w:spacing w:val="0"/>
          <w:w w:val="100"/>
          <w:position w:val="0"/>
        </w:rPr>
        <w:t>、</w:t>
        <w:tab/>
        <w:t>利润分配情况</w:t>
      </w:r>
      <w:bookmarkEnd w:id="1801"/>
      <w:bookmarkEnd w:id="1802"/>
      <w:bookmarkEnd w:id="1804"/>
    </w:p>
    <w:p>
      <w:pPr>
        <w:pStyle w:val="Style23"/>
        <w:keepNext/>
        <w:keepLines/>
        <w:widowControl w:val="0"/>
        <w:shd w:val="clear" w:color="auto" w:fill="auto"/>
        <w:tabs>
          <w:tab w:pos="368" w:val="left"/>
        </w:tabs>
        <w:bidi w:val="0"/>
        <w:spacing w:before="36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w:t>
        <w:tab/>
        <w:t>销售退回</w:t>
      </w:r>
      <w:bookmarkEnd w:id="1805"/>
      <w:bookmarkEnd w:id="1806"/>
      <w:bookmarkEnd w:id="1808"/>
    </w:p>
    <w:p>
      <w:pPr>
        <w:pStyle w:val="Style23"/>
        <w:keepNext/>
        <w:keepLines/>
        <w:widowControl w:val="0"/>
        <w:shd w:val="clear" w:color="auto" w:fill="auto"/>
        <w:tabs>
          <w:tab w:pos="368" w:val="left"/>
        </w:tabs>
        <w:bidi w:val="0"/>
        <w:spacing w:before="0" w:after="3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w:t>
        <w:tab/>
        <w:t>其他资产负债表日后事项说明</w:t>
      </w:r>
      <w:bookmarkEnd w:id="1809"/>
      <w:bookmarkEnd w:id="1810"/>
      <w:bookmarkEnd w:id="1812"/>
    </w:p>
    <w:p>
      <w:pPr>
        <w:pStyle w:val="Style23"/>
        <w:keepNext/>
        <w:keepLines/>
        <w:widowControl w:val="0"/>
        <w:shd w:val="clear" w:color="auto" w:fill="auto"/>
        <w:bidi w:val="0"/>
        <w:spacing w:before="0" w:after="360" w:line="240" w:lineRule="auto"/>
        <w:ind w:left="0" w:right="0" w:firstLine="0"/>
        <w:jc w:val="left"/>
      </w:pPr>
      <w:bookmarkStart w:id="1809" w:name="bookmark1809"/>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、疫情对公司的影响</w:t>
      </w:r>
      <w:bookmarkEnd w:id="1809"/>
      <w:bookmarkEnd w:id="1810"/>
    </w:p>
    <w:p>
      <w:pPr>
        <w:pStyle w:val="Style13"/>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截止本财务报表批准报出日，新型冠状病毒肺炎仍在全球肆虐，而公司的境外营收占比较高，因 此，此次疫情将对公司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年营业收入以及应收款项的回款会产生一定的影响，公司将积极主动与客 户、供应商沟通，根据订单及客户需求情况调整生产经营计划，并提高海外应收账款的预期信用损失 率，将疫情造成的不利影响降至最低。</w:t>
      </w:r>
    </w:p>
    <w:p>
      <w:pPr>
        <w:pStyle w:val="Style13"/>
        <w:keepNext w:val="0"/>
        <w:keepLines w:val="0"/>
        <w:widowControl w:val="0"/>
        <w:shd w:val="clear" w:color="auto" w:fill="auto"/>
        <w:bidi w:val="0"/>
        <w:spacing w:before="0" w:after="0" w:line="326" w:lineRule="auto"/>
        <w:ind w:left="0" w:right="0" w:firstLine="0"/>
        <w:jc w:val="both"/>
        <w:rPr>
          <w:sz w:val="20"/>
          <w:szCs w:val="20"/>
        </w:rPr>
      </w:pPr>
      <w:bookmarkStart w:id="1813" w:name="bookmark1813"/>
      <w:r>
        <w:rPr>
          <w:rFonts w:ascii="Times New Roman" w:eastAsia="Times New Roman" w:hAnsi="Times New Roman" w:cs="Times New Roman"/>
          <w:b/>
          <w:bCs/>
          <w:color w:val="000000"/>
          <w:spacing w:val="0"/>
          <w:w w:val="100"/>
          <w:position w:val="0"/>
          <w:sz w:val="20"/>
          <w:szCs w:val="20"/>
        </w:rPr>
        <w:t>2</w:t>
      </w:r>
      <w:bookmarkEnd w:id="1813"/>
      <w:r>
        <w:rPr>
          <w:b/>
          <w:bCs/>
          <w:color w:val="000000"/>
          <w:spacing w:val="0"/>
          <w:w w:val="100"/>
          <w:position w:val="0"/>
          <w:sz w:val="20"/>
          <w:szCs w:val="20"/>
        </w:rPr>
        <w:t>、原控股股东资金占用归还情况</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日资金占用涉及的潮州市名源陶瓷有限公司（蔡廷祥等关联方）、潮州市枫溪区锦 汇陶瓷原料厂（蔡廷祥等关联方）、潮州市源发陶瓷有限公司（蔡廷祥等关联方）（以下简称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 关联方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）的资金占用仍未全部归还，</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年度仅由公司现实际控制人孙光亮先生代偿</w:t>
      </w:r>
      <w:r>
        <w:rPr>
          <w:rFonts w:ascii="Times New Roman" w:eastAsia="Times New Roman" w:hAnsi="Times New Roman" w:cs="Times New Roman"/>
          <w:color w:val="000000"/>
          <w:spacing w:val="0"/>
          <w:w w:val="100"/>
          <w:position w:val="0"/>
          <w:sz w:val="20"/>
          <w:szCs w:val="20"/>
        </w:rPr>
        <w:t>4,221.43</w:t>
      </w:r>
      <w:r>
        <w:rPr>
          <w:color w:val="000000"/>
          <w:spacing w:val="0"/>
          <w:w w:val="100"/>
          <w:position w:val="0"/>
          <w:sz w:val="20"/>
          <w:szCs w:val="20"/>
        </w:rPr>
        <w:t>万元，孙光 亮先生代偿后其他应收款资金占用账面原值</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7,111.90</w:t>
      </w:r>
      <w:r>
        <w:rPr>
          <w:color w:val="000000"/>
          <w:spacing w:val="0"/>
          <w:w w:val="100"/>
          <w:position w:val="0"/>
          <w:sz w:val="20"/>
          <w:szCs w:val="20"/>
        </w:rPr>
        <w:t>万元、减值准备余额</w:t>
      </w:r>
      <w:r>
        <w:rPr>
          <w:rFonts w:ascii="Times New Roman" w:eastAsia="Times New Roman" w:hAnsi="Times New Roman" w:cs="Times New Roman"/>
          <w:color w:val="000000"/>
          <w:spacing w:val="0"/>
          <w:w w:val="100"/>
          <w:position w:val="0"/>
          <w:sz w:val="20"/>
          <w:szCs w:val="20"/>
        </w:rPr>
        <w:t>12,827.</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万元。</w:t>
      </w:r>
    </w:p>
    <w:p>
      <w:pPr>
        <w:pStyle w:val="Style13"/>
        <w:keepNext w:val="0"/>
        <w:keepLines w:val="0"/>
        <w:widowControl w:val="0"/>
        <w:shd w:val="clear" w:color="auto" w:fill="auto"/>
        <w:bidi w:val="0"/>
        <w:spacing w:before="0" w:after="340" w:line="313" w:lineRule="exact"/>
        <w:ind w:left="0" w:right="0" w:firstLine="440"/>
        <w:jc w:val="both"/>
        <w:rPr>
          <w:sz w:val="20"/>
          <w:szCs w:val="20"/>
        </w:rPr>
      </w:pPr>
      <w:r>
        <w:rPr>
          <w:color w:val="000000"/>
          <w:spacing w:val="0"/>
          <w:w w:val="100"/>
          <w:position w:val="0"/>
          <w:sz w:val="20"/>
          <w:szCs w:val="20"/>
        </w:rPr>
        <w:t>截至审计报告日，由于蔡廷祥等关联方并未按照公司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年度报告披露的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其他应收款解决方案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 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前偿还占用文化长城资金</w:t>
      </w:r>
      <w:r>
        <w:rPr>
          <w:rFonts w:ascii="Times New Roman" w:eastAsia="Times New Roman" w:hAnsi="Times New Roman" w:cs="Times New Roman"/>
          <w:color w:val="000000"/>
          <w:spacing w:val="0"/>
          <w:w w:val="100"/>
          <w:position w:val="0"/>
          <w:sz w:val="20"/>
          <w:szCs w:val="20"/>
        </w:rPr>
        <w:t>7,679.99</w:t>
      </w:r>
      <w:r>
        <w:rPr>
          <w:color w:val="000000"/>
          <w:spacing w:val="0"/>
          <w:w w:val="100"/>
          <w:position w:val="0"/>
          <w:sz w:val="20"/>
          <w:szCs w:val="20"/>
        </w:rPr>
        <w:t>万元，公司已提起诉讼追偿。</w:t>
      </w:r>
    </w:p>
    <w:p>
      <w:pPr>
        <w:pStyle w:val="Style19"/>
        <w:keepNext/>
        <w:keepLines/>
        <w:widowControl w:val="0"/>
        <w:shd w:val="clear" w:color="auto" w:fill="auto"/>
        <w:bidi w:val="0"/>
        <w:spacing w:before="0" w:after="340" w:line="240" w:lineRule="auto"/>
        <w:ind w:left="0" w:right="0" w:firstLine="0"/>
        <w:jc w:val="both"/>
      </w:pPr>
      <w:bookmarkStart w:id="1814" w:name="bookmark1814"/>
      <w:bookmarkStart w:id="1815" w:name="bookmark1815"/>
      <w:bookmarkStart w:id="1816" w:name="bookmark1816"/>
      <w:r>
        <w:rPr>
          <w:color w:val="000000"/>
          <w:spacing w:val="0"/>
          <w:w w:val="100"/>
          <w:position w:val="0"/>
        </w:rPr>
        <w:t>十五、其他重要事项</w:t>
      </w:r>
      <w:bookmarkEnd w:id="1814"/>
      <w:bookmarkEnd w:id="1815"/>
      <w:bookmarkEnd w:id="1816"/>
    </w:p>
    <w:p>
      <w:pPr>
        <w:pStyle w:val="Style23"/>
        <w:keepNext/>
        <w:keepLines/>
        <w:widowControl w:val="0"/>
        <w:shd w:val="clear" w:color="auto" w:fill="auto"/>
        <w:bidi w:val="0"/>
        <w:spacing w:before="0" w:after="180" w:line="326" w:lineRule="auto"/>
        <w:ind w:left="0" w:right="0" w:firstLine="0"/>
        <w:jc w:val="both"/>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17"/>
      <w:bookmarkEnd w:id="1818"/>
      <w:bookmarkEnd w:id="1819"/>
    </w:p>
    <w:p>
      <w:pPr>
        <w:pStyle w:val="Style29"/>
        <w:keepNext/>
        <w:keepLines/>
        <w:widowControl w:val="0"/>
        <w:shd w:val="clear" w:color="auto" w:fill="auto"/>
        <w:bidi w:val="0"/>
        <w:spacing w:before="0" w:after="420" w:line="313" w:lineRule="exact"/>
        <w:ind w:left="0" w:right="0" w:firstLine="0"/>
        <w:jc w:val="both"/>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20"/>
      <w:bookmarkEnd w:id="1821"/>
      <w:bookmarkEnd w:id="18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14" w:right="0" w:firstLine="0"/>
        <w:jc w:val="left"/>
        <w:rPr>
          <w:sz w:val="20"/>
          <w:szCs w:val="20"/>
        </w:rPr>
      </w:pPr>
      <w:bookmarkStart w:id="1823" w:name="bookmark182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823"/>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3"/>
        <w:keepNext/>
        <w:keepLines/>
        <w:widowControl w:val="0"/>
        <w:shd w:val="clear" w:color="auto" w:fill="auto"/>
        <w:tabs>
          <w:tab w:pos="368" w:val="left"/>
        </w:tabs>
        <w:bidi w:val="0"/>
        <w:spacing w:before="0" w:after="34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2</w:t>
      </w:r>
      <w:bookmarkEnd w:id="1826"/>
      <w:r>
        <w:rPr>
          <w:color w:val="000000"/>
          <w:spacing w:val="0"/>
          <w:w w:val="100"/>
          <w:position w:val="0"/>
        </w:rPr>
        <w:t>、</w:t>
        <w:tab/>
        <w:t>债务重组</w:t>
      </w:r>
      <w:bookmarkEnd w:id="1824"/>
      <w:bookmarkEnd w:id="1825"/>
      <w:bookmarkEnd w:id="1827"/>
    </w:p>
    <w:p>
      <w:pPr>
        <w:pStyle w:val="Style23"/>
        <w:keepNext/>
        <w:keepLines/>
        <w:widowControl w:val="0"/>
        <w:shd w:val="clear" w:color="auto" w:fill="auto"/>
        <w:tabs>
          <w:tab w:pos="368" w:val="left"/>
        </w:tabs>
        <w:bidi w:val="0"/>
        <w:spacing w:before="0" w:after="340" w:line="240" w:lineRule="auto"/>
        <w:ind w:left="0" w:right="0" w:firstLine="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3</w:t>
      </w:r>
      <w:bookmarkEnd w:id="1830"/>
      <w:r>
        <w:rPr>
          <w:color w:val="000000"/>
          <w:spacing w:val="0"/>
          <w:w w:val="100"/>
          <w:position w:val="0"/>
        </w:rPr>
        <w:t>、</w:t>
        <w:tab/>
        <w:t>资产置换</w:t>
      </w:r>
      <w:bookmarkEnd w:id="1828"/>
      <w:bookmarkEnd w:id="1829"/>
      <w:bookmarkEnd w:id="1831"/>
    </w:p>
    <w:p>
      <w:pPr>
        <w:pStyle w:val="Style29"/>
        <w:keepNext/>
        <w:keepLines/>
        <w:widowControl w:val="0"/>
        <w:shd w:val="clear" w:color="auto" w:fill="auto"/>
        <w:tabs>
          <w:tab w:pos="483" w:val="left"/>
        </w:tabs>
        <w:bidi w:val="0"/>
        <w:spacing w:before="0" w:after="340" w:line="240" w:lineRule="auto"/>
        <w:ind w:left="0" w:right="0" w:firstLine="0"/>
        <w:jc w:val="both"/>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32"/>
      <w:bookmarkEnd w:id="1833"/>
      <w:bookmarkEnd w:id="1835"/>
    </w:p>
    <w:p>
      <w:pPr>
        <w:pStyle w:val="Style29"/>
        <w:keepNext/>
        <w:keepLines/>
        <w:widowControl w:val="0"/>
        <w:shd w:val="clear" w:color="auto" w:fill="auto"/>
        <w:tabs>
          <w:tab w:pos="483" w:val="left"/>
        </w:tabs>
        <w:bidi w:val="0"/>
        <w:spacing w:before="0" w:after="340" w:line="240" w:lineRule="auto"/>
        <w:ind w:left="0" w:right="0" w:firstLine="0"/>
        <w:jc w:val="both"/>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36"/>
      <w:bookmarkEnd w:id="1837"/>
      <w:bookmarkEnd w:id="1839"/>
    </w:p>
    <w:p>
      <w:pPr>
        <w:pStyle w:val="Style23"/>
        <w:keepNext/>
        <w:keepLines/>
        <w:widowControl w:val="0"/>
        <w:shd w:val="clear" w:color="auto" w:fill="auto"/>
        <w:tabs>
          <w:tab w:pos="368" w:val="left"/>
        </w:tabs>
        <w:bidi w:val="0"/>
        <w:spacing w:before="0" w:after="34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4</w:t>
      </w:r>
      <w:bookmarkEnd w:id="1842"/>
      <w:r>
        <w:rPr>
          <w:color w:val="000000"/>
          <w:spacing w:val="0"/>
          <w:w w:val="100"/>
          <w:position w:val="0"/>
        </w:rPr>
        <w:t>、</w:t>
        <w:tab/>
        <w:t>年金计划</w:t>
      </w:r>
      <w:bookmarkEnd w:id="1840"/>
      <w:bookmarkEnd w:id="1841"/>
      <w:bookmarkEnd w:id="1843"/>
    </w:p>
    <w:p>
      <w:pPr>
        <w:pStyle w:val="Style23"/>
        <w:keepNext/>
        <w:keepLines/>
        <w:widowControl w:val="0"/>
        <w:shd w:val="clear" w:color="auto" w:fill="auto"/>
        <w:tabs>
          <w:tab w:pos="368" w:val="left"/>
        </w:tabs>
        <w:bidi w:val="0"/>
        <w:spacing w:before="0" w:after="42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5</w:t>
      </w:r>
      <w:bookmarkEnd w:id="1846"/>
      <w:r>
        <w:rPr>
          <w:color w:val="000000"/>
          <w:spacing w:val="0"/>
          <w:w w:val="100"/>
          <w:position w:val="0"/>
        </w:rPr>
        <w:t>、</w:t>
        <w:tab/>
        <w:t>终止经营</w:t>
      </w:r>
      <w:bookmarkEnd w:id="1844"/>
      <w:bookmarkEnd w:id="1845"/>
      <w:bookmarkEnd w:id="18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归属于母公司所 有者的终止经营 利润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color w:val="000000"/>
          <w:spacing w:val="0"/>
          <w:w w:val="100"/>
          <w:position w:val="0"/>
        </w:rPr>
        <w:t>、分部信息</w:t>
      </w:r>
      <w:bookmarkEnd w:id="1848"/>
      <w:bookmarkEnd w:id="1849"/>
      <w:bookmarkEnd w:id="1851"/>
    </w:p>
    <w:p>
      <w:pPr>
        <w:pStyle w:val="Style29"/>
        <w:keepNext/>
        <w:keepLines/>
        <w:widowControl w:val="0"/>
        <w:shd w:val="clear" w:color="auto" w:fill="auto"/>
        <w:tabs>
          <w:tab w:pos="483" w:val="left"/>
        </w:tabs>
        <w:bidi w:val="0"/>
        <w:spacing w:before="0" w:after="36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52"/>
      <w:bookmarkEnd w:id="1853"/>
      <w:bookmarkEnd w:id="1855"/>
    </w:p>
    <w:p>
      <w:pPr>
        <w:pStyle w:val="Style29"/>
        <w:keepNext/>
        <w:keepLines/>
        <w:widowControl w:val="0"/>
        <w:shd w:val="clear" w:color="auto" w:fill="auto"/>
        <w:tabs>
          <w:tab w:pos="483" w:val="left"/>
        </w:tabs>
        <w:bidi w:val="0"/>
        <w:spacing w:before="0" w:after="36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56"/>
      <w:bookmarkEnd w:id="1857"/>
      <w:bookmarkEnd w:id="18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72,620,846.05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49,968,150.22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2,587,436.06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75,771,159.37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52,555,586.28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14" w:right="0" w:firstLine="0"/>
        <w:jc w:val="left"/>
        <w:rPr>
          <w:sz w:val="20"/>
          <w:szCs w:val="20"/>
        </w:rPr>
      </w:pPr>
      <w:bookmarkStart w:id="1860" w:name="bookmark186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）公司无报告分部的，或者不能披露各报告分部的资产总额和负债总额的，应说明原因</w:t>
      </w:r>
      <w:bookmarkEnd w:id="1860"/>
    </w:p>
    <w:p>
      <w:pPr>
        <w:widowControl w:val="0"/>
        <w:spacing w:after="279" w:line="1" w:lineRule="exact"/>
      </w:pPr>
    </w:p>
    <w:p>
      <w:pPr>
        <w:pStyle w:val="Style29"/>
        <w:keepNext/>
        <w:keepLines/>
        <w:widowControl w:val="0"/>
        <w:shd w:val="clear" w:color="auto" w:fill="auto"/>
        <w:bidi w:val="0"/>
        <w:spacing w:before="0" w:after="280" w:line="314" w:lineRule="exact"/>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861"/>
      <w:bookmarkEnd w:id="1862"/>
      <w:bookmarkEnd w:id="1864"/>
    </w:p>
    <w:p>
      <w:pPr>
        <w:pStyle w:val="Style23"/>
        <w:keepNext/>
        <w:keepLines/>
        <w:widowControl w:val="0"/>
        <w:shd w:val="clear" w:color="auto" w:fill="auto"/>
        <w:bidi w:val="0"/>
        <w:spacing w:before="0" w:after="280" w:line="314" w:lineRule="exact"/>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7</w:t>
      </w:r>
      <w:bookmarkEnd w:id="1867"/>
      <w:r>
        <w:rPr>
          <w:color w:val="000000"/>
          <w:spacing w:val="0"/>
          <w:w w:val="100"/>
          <w:position w:val="0"/>
        </w:rPr>
        <w:t>、其他对投资者决策有影响的重要交易和事项</w:t>
      </w:r>
      <w:bookmarkEnd w:id="1865"/>
      <w:bookmarkEnd w:id="1866"/>
      <w:bookmarkEnd w:id="1868"/>
    </w:p>
    <w:p>
      <w:pPr>
        <w:pStyle w:val="Style23"/>
        <w:keepNext/>
        <w:keepLines/>
        <w:widowControl w:val="0"/>
        <w:shd w:val="clear" w:color="auto" w:fill="auto"/>
        <w:bidi w:val="0"/>
        <w:spacing w:before="0" w:after="0" w:line="314" w:lineRule="exact"/>
        <w:ind w:left="0" w:right="0" w:firstLine="0"/>
        <w:jc w:val="left"/>
      </w:pPr>
      <w:bookmarkStart w:id="1865" w:name="bookmark1865"/>
      <w:bookmarkStart w:id="1866" w:name="bookmark1866"/>
      <w:r>
        <w:rPr>
          <w:color w:val="000000"/>
          <w:spacing w:val="0"/>
          <w:w w:val="100"/>
          <w:position w:val="0"/>
        </w:rPr>
        <w:t>一、失控子公司的进展情况</w:t>
      </w:r>
      <w:bookmarkEnd w:id="1865"/>
      <w:bookmarkEnd w:id="1866"/>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1869" w:name="bookmark1869"/>
      <w:r>
        <w:rPr>
          <w:color w:val="000000"/>
          <w:spacing w:val="0"/>
          <w:w w:val="100"/>
          <w:position w:val="0"/>
          <w:sz w:val="20"/>
          <w:szCs w:val="20"/>
        </w:rPr>
        <w:t>（</w:t>
      </w:r>
      <w:bookmarkEnd w:id="186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翡翠教育的进展情况</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翡翠教育失控后，向法院起诉申请解除协议，深圳市中级人民法院于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月受理该案，该案已于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日由广东省深圳市中级人民法院判决准许撤诉。</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公司就收购翡翠教育被诈骗向公安机关报案，公安机关对该案已经刑事立案侦查，目前仍在侦查中。</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根据中国证券监督管理委员会广东监管局（以下简称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广东监管局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）《行政处罚决定书》对翡翠教育 失控时间的认定，公司向法院起诉要求参与业绩对赌的</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个翡翠教育原股东按照《盈利及减值补偿协议》 约定进行赔偿，深圳市中级人民法院于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日受理该案。截至本财务报告批准报出日，公司未收 到案件结果。</w:t>
      </w:r>
    </w:p>
    <w:p>
      <w:pPr>
        <w:pStyle w:val="Style13"/>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1870" w:name="bookmark1870"/>
      <w:r>
        <w:rPr>
          <w:color w:val="000000"/>
          <w:spacing w:val="0"/>
          <w:w w:val="100"/>
          <w:position w:val="0"/>
          <w:sz w:val="20"/>
          <w:szCs w:val="20"/>
        </w:rPr>
        <w:t>（</w:t>
      </w:r>
      <w:bookmarkEnd w:id="187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联汛教育的进展情况</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联汛教育失控后向法院起诉许高镭（联汛教育业绩对赌承诺人）等人返还联汛教育的公章、证照及凭 证账册，该案件已经由广州市天河区人民法院于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日判决被告许高镭返还联汛教育的公章、证照 及账册。许高镭等人于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日提起上诉，广州市中级人民法院于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日判决许高镭返还营 业执照正本和副本的原件、税务登记证书及副本的原件、印鉴章（包括公章、合同专用章、财务专用章、 法定代表人印鉴章）、财务会计报告、财务会计账簿及原始会计凭证、银行账户信息、银行</w:t>
      </w:r>
      <w:r>
        <w:rPr>
          <w:rFonts w:ascii="Times New Roman" w:eastAsia="Times New Roman" w:hAnsi="Times New Roman" w:cs="Times New Roman"/>
          <w:color w:val="000000"/>
          <w:spacing w:val="0"/>
          <w:w w:val="100"/>
          <w:position w:val="0"/>
          <w:sz w:val="20"/>
          <w:szCs w:val="20"/>
        </w:rPr>
        <w:t>U</w:t>
      </w:r>
      <w:r>
        <w:rPr>
          <w:color w:val="000000"/>
          <w:spacing w:val="0"/>
          <w:w w:val="100"/>
          <w:position w:val="0"/>
          <w:sz w:val="20"/>
          <w:szCs w:val="20"/>
        </w:rPr>
        <w:t>盾。截至本 财务报告批准报出日，许高镭尚未归还，公司已向法院申请了强制执行。</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公司已于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年对翡翠教育、联汛教育的长期股权投资分别计提减值准备</w:t>
      </w:r>
      <w:r>
        <w:rPr>
          <w:rFonts w:ascii="Times New Roman" w:eastAsia="Times New Roman" w:hAnsi="Times New Roman" w:cs="Times New Roman"/>
          <w:color w:val="000000"/>
          <w:spacing w:val="0"/>
          <w:w w:val="100"/>
          <w:position w:val="0"/>
          <w:sz w:val="20"/>
          <w:szCs w:val="20"/>
        </w:rPr>
        <w:t>5.79</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0"/>
          <w:szCs w:val="20"/>
        </w:rPr>
        <w:t>6.26</w:t>
      </w:r>
      <w:r>
        <w:rPr>
          <w:color w:val="000000"/>
          <w:spacing w:val="0"/>
          <w:w w:val="100"/>
          <w:position w:val="0"/>
          <w:sz w:val="20"/>
          <w:szCs w:val="20"/>
        </w:rPr>
        <w:t>亿元，同时 对与翡翠教育相关的投资即新余智趣资产管理合伙企业（有限合伙）的长期股权投资计提了</w:t>
      </w:r>
      <w:r>
        <w:rPr>
          <w:rFonts w:ascii="Times New Roman" w:eastAsia="Times New Roman" w:hAnsi="Times New Roman" w:cs="Times New Roman"/>
          <w:color w:val="000000"/>
          <w:spacing w:val="0"/>
          <w:w w:val="100"/>
          <w:position w:val="0"/>
          <w:sz w:val="20"/>
          <w:szCs w:val="20"/>
        </w:rPr>
        <w:t>0.95</w:t>
      </w:r>
      <w:r>
        <w:rPr>
          <w:color w:val="000000"/>
          <w:spacing w:val="0"/>
          <w:w w:val="100"/>
          <w:position w:val="0"/>
          <w:sz w:val="20"/>
          <w:szCs w:val="20"/>
        </w:rPr>
        <w:t>亿元减值 准备。</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根据广东监管局《行政处罚决定书》对联汛教育虚增营业收入、营业利润事实的认定，公司已在潮州 市中级人民法院起诉许高镭、许高云、雷凡、彭辉、李东英、广州商融投资咨询有限公司，该股权转让纠 纷案于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日立案，并于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日首次开庭，截至本财务报告批准报出日，目前仍在审理 中。</w:t>
      </w:r>
    </w:p>
    <w:p>
      <w:pPr>
        <w:pStyle w:val="Style13"/>
        <w:keepNext w:val="0"/>
        <w:keepLines w:val="0"/>
        <w:widowControl w:val="0"/>
        <w:numPr>
          <w:ilvl w:val="0"/>
          <w:numId w:val="73"/>
        </w:numPr>
        <w:shd w:val="clear" w:color="auto" w:fill="auto"/>
        <w:bidi w:val="0"/>
        <w:spacing w:before="0" w:after="0" w:line="314" w:lineRule="exact"/>
        <w:ind w:left="0" w:right="0" w:firstLine="440"/>
        <w:jc w:val="both"/>
        <w:rPr>
          <w:sz w:val="20"/>
          <w:szCs w:val="20"/>
        </w:rPr>
      </w:pPr>
      <w:bookmarkStart w:id="1871" w:name="bookmark1871"/>
      <w:bookmarkEnd w:id="1871"/>
      <w:r>
        <w:rPr>
          <w:color w:val="000000"/>
          <w:spacing w:val="0"/>
          <w:w w:val="100"/>
          <w:position w:val="0"/>
          <w:sz w:val="20"/>
          <w:szCs w:val="20"/>
        </w:rPr>
        <w:t>其他对投资者决策有影响的重要交易和事项</w:t>
      </w:r>
    </w:p>
    <w:p>
      <w:pPr>
        <w:pStyle w:val="Style13"/>
        <w:keepNext w:val="0"/>
        <w:keepLines w:val="0"/>
        <w:widowControl w:val="0"/>
        <w:shd w:val="clear" w:color="auto" w:fill="auto"/>
        <w:bidi w:val="0"/>
        <w:spacing w:before="0" w:after="280" w:line="314" w:lineRule="exact"/>
        <w:ind w:left="0" w:right="0" w:firstLine="440"/>
        <w:jc w:val="both"/>
        <w:rPr>
          <w:sz w:val="20"/>
          <w:szCs w:val="20"/>
        </w:rPr>
      </w:pPr>
      <w:bookmarkStart w:id="1872" w:name="bookmark1872"/>
      <w:r>
        <w:rPr>
          <w:rFonts w:ascii="Times New Roman" w:eastAsia="Times New Roman" w:hAnsi="Times New Roman" w:cs="Times New Roman"/>
          <w:color w:val="000000"/>
          <w:spacing w:val="0"/>
          <w:w w:val="100"/>
          <w:position w:val="0"/>
          <w:sz w:val="20"/>
          <w:szCs w:val="20"/>
        </w:rPr>
        <w:t>1</w:t>
      </w:r>
      <w:bookmarkEnd w:id="1872"/>
      <w:r>
        <w:rPr>
          <w:color w:val="000000"/>
          <w:spacing w:val="0"/>
          <w:w w:val="100"/>
          <w:position w:val="0"/>
          <w:sz w:val="20"/>
          <w:szCs w:val="20"/>
        </w:rPr>
        <w:t>）涉嫌信息披露违法违规公司被广东监管局立案调查</w:t>
      </w:r>
    </w:p>
    <w:p>
      <w:pPr>
        <w:pStyle w:val="Style13"/>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因公司涉嫌信息披露违法违规于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日被广东监管局立案调查，截至本财务报表批准报出日， 已经收到广东监管局的《行政处罚决定书》</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p>
    <w:p>
      <w:pPr>
        <w:pStyle w:val="Style13"/>
        <w:keepNext w:val="0"/>
        <w:keepLines w:val="0"/>
        <w:widowControl w:val="0"/>
        <w:shd w:val="clear" w:color="auto" w:fill="auto"/>
        <w:tabs>
          <w:tab w:pos="759" w:val="left"/>
        </w:tabs>
        <w:bidi w:val="0"/>
        <w:spacing w:before="0" w:after="0" w:line="313" w:lineRule="exact"/>
        <w:ind w:left="0" w:right="0" w:firstLine="440"/>
        <w:jc w:val="left"/>
        <w:rPr>
          <w:sz w:val="20"/>
          <w:szCs w:val="20"/>
        </w:rPr>
      </w:pPr>
      <w:bookmarkStart w:id="1873" w:name="bookmark1873"/>
      <w:r>
        <w:rPr>
          <w:rFonts w:ascii="Times New Roman" w:eastAsia="Times New Roman" w:hAnsi="Times New Roman" w:cs="Times New Roman"/>
          <w:color w:val="000000"/>
          <w:spacing w:val="0"/>
          <w:w w:val="100"/>
          <w:position w:val="0"/>
          <w:sz w:val="20"/>
          <w:szCs w:val="20"/>
        </w:rPr>
        <w:t>2</w:t>
      </w:r>
      <w:bookmarkEnd w:id="1873"/>
      <w:r>
        <w:rPr>
          <w:color w:val="000000"/>
          <w:spacing w:val="0"/>
          <w:w w:val="100"/>
          <w:position w:val="0"/>
          <w:sz w:val="20"/>
          <w:szCs w:val="20"/>
        </w:rPr>
        <w:t>）</w:t>
        <w:tab/>
        <w:t>深圳市福田区人民法院将公司于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日依据文号</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41955</w:t>
      </w:r>
      <w:r>
        <w:rPr>
          <w:color w:val="000000"/>
          <w:spacing w:val="0"/>
          <w:w w:val="100"/>
          <w:position w:val="0"/>
          <w:sz w:val="20"/>
          <w:szCs w:val="20"/>
        </w:rPr>
        <w:t>号，将公司列为失 信被执行人，执行案号为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20015</w:t>
      </w:r>
      <w:r>
        <w:rPr>
          <w:color w:val="000000"/>
          <w:spacing w:val="0"/>
          <w:w w:val="100"/>
          <w:position w:val="0"/>
          <w:sz w:val="20"/>
          <w:szCs w:val="20"/>
        </w:rPr>
        <w:t>号。</w:t>
      </w:r>
    </w:p>
    <w:p>
      <w:pPr>
        <w:pStyle w:val="Style13"/>
        <w:keepNext w:val="0"/>
        <w:keepLines w:val="0"/>
        <w:widowControl w:val="0"/>
        <w:shd w:val="clear" w:color="auto" w:fill="auto"/>
        <w:tabs>
          <w:tab w:pos="764" w:val="left"/>
        </w:tabs>
        <w:bidi w:val="0"/>
        <w:spacing w:before="0" w:after="0" w:line="313" w:lineRule="exact"/>
        <w:ind w:left="0" w:right="0" w:firstLine="440"/>
        <w:jc w:val="left"/>
        <w:rPr>
          <w:sz w:val="20"/>
          <w:szCs w:val="20"/>
        </w:rPr>
      </w:pPr>
      <w:bookmarkStart w:id="1874" w:name="bookmark1874"/>
      <w:r>
        <w:rPr>
          <w:rFonts w:ascii="Times New Roman" w:eastAsia="Times New Roman" w:hAnsi="Times New Roman" w:cs="Times New Roman"/>
          <w:color w:val="000000"/>
          <w:spacing w:val="0"/>
          <w:w w:val="100"/>
          <w:position w:val="0"/>
          <w:sz w:val="20"/>
          <w:szCs w:val="20"/>
        </w:rPr>
        <w:t>3</w:t>
      </w:r>
      <w:bookmarkEnd w:id="1874"/>
      <w:r>
        <w:rPr>
          <w:color w:val="000000"/>
          <w:spacing w:val="0"/>
          <w:w w:val="100"/>
          <w:position w:val="0"/>
          <w:sz w:val="20"/>
          <w:szCs w:val="20"/>
        </w:rPr>
        <w:t>）</w:t>
        <w:tab/>
        <w:t>深圳市福田区人民法院将公司于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日依据文号</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41349</w:t>
      </w:r>
      <w:r>
        <w:rPr>
          <w:color w:val="000000"/>
          <w:spacing w:val="0"/>
          <w:w w:val="100"/>
          <w:position w:val="0"/>
          <w:sz w:val="20"/>
          <w:szCs w:val="20"/>
        </w:rPr>
        <w:t>号，将公司列为失 信被执行人，执行案号为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0304</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17750</w:t>
      </w:r>
      <w:r>
        <w:rPr>
          <w:color w:val="000000"/>
          <w:spacing w:val="0"/>
          <w:w w:val="100"/>
          <w:position w:val="0"/>
          <w:sz w:val="20"/>
          <w:szCs w:val="20"/>
        </w:rPr>
        <w:t>号。</w:t>
      </w:r>
    </w:p>
    <w:p>
      <w:pPr>
        <w:pStyle w:val="Style13"/>
        <w:keepNext w:val="0"/>
        <w:keepLines w:val="0"/>
        <w:widowControl w:val="0"/>
        <w:shd w:val="clear" w:color="auto" w:fill="auto"/>
        <w:tabs>
          <w:tab w:pos="754" w:val="left"/>
        </w:tabs>
        <w:bidi w:val="0"/>
        <w:spacing w:before="0" w:after="0" w:line="313" w:lineRule="exact"/>
        <w:ind w:left="0" w:right="0" w:firstLine="440"/>
        <w:jc w:val="left"/>
        <w:rPr>
          <w:sz w:val="20"/>
          <w:szCs w:val="20"/>
        </w:rPr>
      </w:pPr>
      <w:bookmarkStart w:id="1875" w:name="bookmark1875"/>
      <w:r>
        <w:rPr>
          <w:rFonts w:ascii="Times New Roman" w:eastAsia="Times New Roman" w:hAnsi="Times New Roman" w:cs="Times New Roman"/>
          <w:color w:val="000000"/>
          <w:spacing w:val="0"/>
          <w:w w:val="100"/>
          <w:position w:val="0"/>
          <w:sz w:val="20"/>
          <w:szCs w:val="20"/>
        </w:rPr>
        <w:t>4</w:t>
      </w:r>
      <w:bookmarkEnd w:id="1875"/>
      <w:r>
        <w:rPr>
          <w:color w:val="000000"/>
          <w:spacing w:val="0"/>
          <w:w w:val="100"/>
          <w:position w:val="0"/>
          <w:sz w:val="20"/>
          <w:szCs w:val="20"/>
        </w:rPr>
        <w:t>）</w:t>
        <w:tab/>
        <w:t>截至本财务报表批准报出日，由于公司涉及多起诉讼，公司包括基本户在内的</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户银行账户被冻 结，冻结资金共计</w:t>
      </w:r>
      <w:r>
        <w:rPr>
          <w:rFonts w:ascii="Times New Roman" w:eastAsia="Times New Roman" w:hAnsi="Times New Roman" w:cs="Times New Roman"/>
          <w:color w:val="000000"/>
          <w:spacing w:val="0"/>
          <w:w w:val="100"/>
          <w:position w:val="0"/>
          <w:sz w:val="20"/>
          <w:szCs w:val="20"/>
        </w:rPr>
        <w:t>652,169.76</w:t>
      </w:r>
      <w:r>
        <w:rPr>
          <w:color w:val="000000"/>
          <w:spacing w:val="0"/>
          <w:w w:val="100"/>
          <w:position w:val="0"/>
          <w:sz w:val="20"/>
          <w:szCs w:val="20"/>
        </w:rPr>
        <w:t>元；公司持有的翡翠教育</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的股权、潮州民营投资股份有限公司</w:t>
      </w:r>
      <w:r>
        <w:rPr>
          <w:rFonts w:ascii="Times New Roman" w:eastAsia="Times New Roman" w:hAnsi="Times New Roman" w:cs="Times New Roman"/>
          <w:color w:val="000000"/>
          <w:spacing w:val="0"/>
          <w:w w:val="100"/>
          <w:position w:val="0"/>
          <w:sz w:val="20"/>
          <w:szCs w:val="20"/>
        </w:rPr>
        <w:t xml:space="preserve">2.5209% </w:t>
      </w:r>
      <w:r>
        <w:rPr>
          <w:color w:val="000000"/>
          <w:spacing w:val="0"/>
          <w:w w:val="100"/>
          <w:position w:val="0"/>
          <w:sz w:val="20"/>
          <w:szCs w:val="20"/>
        </w:rPr>
        <w:t>的股权、联汛教育</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股权、河南智游臻龙教育科技有限公司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股权被冻结。</w:t>
      </w:r>
    </w:p>
    <w:p>
      <w:pPr>
        <w:pStyle w:val="Style13"/>
        <w:keepNext w:val="0"/>
        <w:keepLines w:val="0"/>
        <w:widowControl w:val="0"/>
        <w:shd w:val="clear" w:color="auto" w:fill="auto"/>
        <w:bidi w:val="0"/>
        <w:spacing w:before="0" w:after="0" w:line="313" w:lineRule="exact"/>
        <w:ind w:left="0" w:right="0" w:firstLine="0"/>
        <w:jc w:val="left"/>
        <w:rPr>
          <w:sz w:val="20"/>
          <w:szCs w:val="20"/>
        </w:rPr>
      </w:pPr>
      <w:r>
        <w:rPr>
          <w:b/>
          <w:bCs/>
          <w:color w:val="000000"/>
          <w:spacing w:val="0"/>
          <w:w w:val="100"/>
          <w:position w:val="0"/>
          <w:sz w:val="20"/>
          <w:szCs w:val="20"/>
        </w:rPr>
        <w:t>二、改善公司持续经营的措施</w:t>
      </w:r>
    </w:p>
    <w:p>
      <w:pPr>
        <w:pStyle w:val="Style13"/>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自本公司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年度完成董事换届、新一届董事会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月份正式接管公司后，新的实际控制人孙光 亮先生及其关联企业在资金（流动性）、诉讼、逾期债务、原业务梳理、新业务拓展、技术引进、人才引 进等几个主要方面已有序推进，具体如下：</w:t>
      </w:r>
    </w:p>
    <w:p>
      <w:pPr>
        <w:pStyle w:val="Style13"/>
        <w:keepNext w:val="0"/>
        <w:keepLines w:val="0"/>
        <w:widowControl w:val="0"/>
        <w:numPr>
          <w:ilvl w:val="0"/>
          <w:numId w:val="75"/>
        </w:numPr>
        <w:shd w:val="clear" w:color="auto" w:fill="auto"/>
        <w:tabs>
          <w:tab w:pos="700" w:val="left"/>
        </w:tabs>
        <w:bidi w:val="0"/>
        <w:spacing w:before="0" w:after="0" w:line="326" w:lineRule="auto"/>
        <w:ind w:left="0" w:right="0" w:firstLine="440"/>
        <w:jc w:val="left"/>
        <w:rPr>
          <w:sz w:val="20"/>
          <w:szCs w:val="20"/>
        </w:rPr>
      </w:pPr>
      <w:bookmarkStart w:id="1876" w:name="bookmark1876"/>
      <w:bookmarkEnd w:id="1876"/>
      <w:r>
        <w:rPr>
          <w:color w:val="000000"/>
          <w:spacing w:val="0"/>
          <w:w w:val="100"/>
          <w:position w:val="0"/>
          <w:sz w:val="20"/>
          <w:szCs w:val="20"/>
        </w:rPr>
        <w:t>资金方面</w:t>
      </w:r>
    </w:p>
    <w:p>
      <w:pPr>
        <w:pStyle w:val="Style13"/>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孙光亮先生已累计为上市公司提供了近亿元的流动性支持，解决日常持续经营及长期拖欠工资等问 题，现文化长城已全面恢复生产，保障了</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多名员工就业。</w:t>
      </w:r>
    </w:p>
    <w:p>
      <w:pPr>
        <w:pStyle w:val="Style13"/>
        <w:keepNext w:val="0"/>
        <w:keepLines w:val="0"/>
        <w:widowControl w:val="0"/>
        <w:numPr>
          <w:ilvl w:val="0"/>
          <w:numId w:val="75"/>
        </w:numPr>
        <w:shd w:val="clear" w:color="auto" w:fill="auto"/>
        <w:tabs>
          <w:tab w:pos="724" w:val="left"/>
        </w:tabs>
        <w:bidi w:val="0"/>
        <w:spacing w:before="0" w:after="0" w:line="326" w:lineRule="auto"/>
        <w:ind w:left="0" w:right="0" w:firstLine="440"/>
        <w:jc w:val="both"/>
        <w:rPr>
          <w:sz w:val="20"/>
          <w:szCs w:val="20"/>
        </w:rPr>
      </w:pPr>
      <w:bookmarkStart w:id="1877" w:name="bookmark1877"/>
      <w:bookmarkEnd w:id="1877"/>
      <w:r>
        <w:rPr>
          <w:color w:val="000000"/>
          <w:spacing w:val="0"/>
          <w:w w:val="100"/>
          <w:position w:val="0"/>
          <w:sz w:val="20"/>
          <w:szCs w:val="20"/>
        </w:rPr>
        <w:t>诉讼方面</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为维护全体股东利益，公司聘请了专业的律师团队就相关被侵权行为采取法律手段予以维权。根据中 国证监会广东证监局</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日出具的《行政处罚决定书》（</w:t>
      </w:r>
      <w:r>
        <w:rPr>
          <w:rFonts w:ascii="Times New Roman" w:eastAsia="Times New Roman" w:hAnsi="Times New Roman" w:cs="Times New Roman"/>
          <w:color w:val="000000"/>
          <w:spacing w:val="0"/>
          <w:w w:val="100"/>
          <w:position w:val="0"/>
          <w:sz w:val="20"/>
          <w:szCs w:val="20"/>
        </w:rPr>
        <w:t>[2021]12</w:t>
      </w:r>
      <w:r>
        <w:rPr>
          <w:color w:val="000000"/>
          <w:spacing w:val="0"/>
          <w:w w:val="100"/>
          <w:position w:val="0"/>
          <w:sz w:val="20"/>
          <w:szCs w:val="20"/>
        </w:rPr>
        <w:t>号）的认定结果，公司于</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月分别向潮州市中级人民法院和深圳市中级人民法院对广东联汛教育科技有限公司、北京翡翠教育科 技有限公司参与业绩对赌的原股东提起民事诉讼，要求按照各自《盈利及减值协议》对公司进行赔偿，涉 案金额共计约</w:t>
      </w:r>
      <w:r>
        <w:rPr>
          <w:rFonts w:ascii="Times New Roman" w:eastAsia="Times New Roman" w:hAnsi="Times New Roman" w:cs="Times New Roman"/>
          <w:color w:val="000000"/>
          <w:spacing w:val="0"/>
          <w:w w:val="100"/>
          <w:position w:val="0"/>
          <w:sz w:val="20"/>
          <w:szCs w:val="20"/>
        </w:rPr>
        <w:t>21.23</w:t>
      </w:r>
      <w:r>
        <w:rPr>
          <w:color w:val="000000"/>
          <w:spacing w:val="0"/>
          <w:w w:val="100"/>
          <w:position w:val="0"/>
          <w:sz w:val="20"/>
          <w:szCs w:val="20"/>
        </w:rPr>
        <w:t>亿，目前该案件均在审理中。</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创思兰博（北京）科技股份有限公司诉公司的民间借贷纠纷案【（</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）粤</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民终</w:t>
      </w:r>
      <w:r>
        <w:rPr>
          <w:rFonts w:ascii="Times New Roman" w:eastAsia="Times New Roman" w:hAnsi="Times New Roman" w:cs="Times New Roman"/>
          <w:color w:val="000000"/>
          <w:spacing w:val="0"/>
          <w:w w:val="100"/>
          <w:position w:val="0"/>
          <w:sz w:val="20"/>
          <w:szCs w:val="20"/>
        </w:rPr>
        <w:t>17410</w:t>
      </w:r>
      <w:r>
        <w:rPr>
          <w:color w:val="000000"/>
          <w:spacing w:val="0"/>
          <w:w w:val="100"/>
          <w:position w:val="0"/>
          <w:sz w:val="20"/>
          <w:szCs w:val="20"/>
        </w:rPr>
        <w:t>号】经广东 省深圳市中级人民法院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日审理认为该民间借贷纠纷涉嫌诈骗，裁定驳回创思兰博起诉，并移 交公安机关调查。广东省高级人民法院于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）粤民申</w:t>
      </w:r>
      <w:r>
        <w:rPr>
          <w:rFonts w:ascii="Times New Roman" w:eastAsia="Times New Roman" w:hAnsi="Times New Roman" w:cs="Times New Roman"/>
          <w:color w:val="000000"/>
          <w:spacing w:val="0"/>
          <w:w w:val="100"/>
          <w:position w:val="0"/>
          <w:sz w:val="20"/>
          <w:szCs w:val="20"/>
        </w:rPr>
        <w:t>13649</w:t>
      </w:r>
      <w:r>
        <w:rPr>
          <w:color w:val="000000"/>
          <w:spacing w:val="0"/>
          <w:w w:val="100"/>
          <w:position w:val="0"/>
          <w:sz w:val="20"/>
          <w:szCs w:val="20"/>
        </w:rPr>
        <w:t>号判决驳回创思兰博（北 京）科技股份有限公司的再审申请。该案涉及金额约</w:t>
      </w:r>
      <w:r>
        <w:rPr>
          <w:rFonts w:ascii="Times New Roman" w:eastAsia="Times New Roman" w:hAnsi="Times New Roman" w:cs="Times New Roman"/>
          <w:color w:val="000000"/>
          <w:spacing w:val="0"/>
          <w:w w:val="100"/>
          <w:position w:val="0"/>
          <w:sz w:val="20"/>
          <w:szCs w:val="20"/>
        </w:rPr>
        <w:t>3182.46</w:t>
      </w:r>
      <w:r>
        <w:rPr>
          <w:color w:val="000000"/>
          <w:spacing w:val="0"/>
          <w:w w:val="100"/>
          <w:position w:val="0"/>
          <w:sz w:val="20"/>
          <w:szCs w:val="20"/>
        </w:rPr>
        <w:t>万，类似由翡翠教育原股东及或其核心管理团 队控制的公司涉嫌以套路贷形式骗取上市公司资产的案件还有</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起，目前均在审理及抗辩阶段。</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广东联汛教育科技有限公司（为文化长城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年控股全资子公司）的原实控人许高镭拒绝向广东联汛 教育科技有限公司新任命的法人、总经理等管理团队移交公章证照账等公司资料，因此联汛教育起诉许高 镭等人，要求其返还公章证照账等公司资料。广州市天河区人民法院于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日二审终审判决许高 镭应于本判决发生法律效力之日起十日内向广东联汛教育科技有限公司返还营业执照正本和副本的原件、 税务登记证书及副本的原件、印鉴章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包括公章、合同专用章、财务专用章、法定代表人印鉴章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、财务会 计报告、财务会计账簿及原始会计凭证、银行账户信息、银行</w:t>
      </w:r>
      <w:r>
        <w:rPr>
          <w:rFonts w:ascii="Times New Roman" w:eastAsia="Times New Roman" w:hAnsi="Times New Roman" w:cs="Times New Roman"/>
          <w:color w:val="000000"/>
          <w:spacing w:val="0"/>
          <w:w w:val="100"/>
          <w:position w:val="0"/>
          <w:sz w:val="20"/>
          <w:szCs w:val="20"/>
        </w:rPr>
        <w:t>U</w:t>
      </w:r>
      <w:r>
        <w:rPr>
          <w:color w:val="000000"/>
          <w:spacing w:val="0"/>
          <w:w w:val="100"/>
          <w:position w:val="0"/>
          <w:sz w:val="20"/>
          <w:szCs w:val="20"/>
        </w:rPr>
        <w:t>盾。公司已经向相关部门递交了强制执行 的申请。</w:t>
      </w:r>
    </w:p>
    <w:p>
      <w:pPr>
        <w:pStyle w:val="Style13"/>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由于公司涉及诉讼较多，其他案件详见最新披露的关于公司诉讼事项的进展公告。</w:t>
      </w:r>
    </w:p>
    <w:p>
      <w:pPr>
        <w:pStyle w:val="Style13"/>
        <w:keepNext w:val="0"/>
        <w:keepLines w:val="0"/>
        <w:widowControl w:val="0"/>
        <w:numPr>
          <w:ilvl w:val="0"/>
          <w:numId w:val="75"/>
        </w:numPr>
        <w:shd w:val="clear" w:color="auto" w:fill="auto"/>
        <w:tabs>
          <w:tab w:pos="724" w:val="left"/>
        </w:tabs>
        <w:bidi w:val="0"/>
        <w:spacing w:before="0" w:after="0" w:line="326" w:lineRule="auto"/>
        <w:ind w:left="0" w:right="0" w:firstLine="440"/>
        <w:jc w:val="left"/>
        <w:rPr>
          <w:sz w:val="20"/>
          <w:szCs w:val="20"/>
        </w:rPr>
      </w:pPr>
      <w:bookmarkStart w:id="1878" w:name="bookmark1878"/>
      <w:bookmarkEnd w:id="1878"/>
      <w:r>
        <w:rPr>
          <w:color w:val="000000"/>
          <w:spacing w:val="0"/>
          <w:w w:val="100"/>
          <w:position w:val="0"/>
          <w:sz w:val="20"/>
          <w:szCs w:val="20"/>
        </w:rPr>
        <w:t>逾期债务方面</w:t>
      </w:r>
    </w:p>
    <w:p>
      <w:pPr>
        <w:pStyle w:val="Style13"/>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截至财务报表报出日，，新任管理团队多次拜访公司主要债权人，沟通相关纾困工作事宜。</w:t>
      </w:r>
    </w:p>
    <w:p>
      <w:pPr>
        <w:pStyle w:val="Style13"/>
        <w:keepNext w:val="0"/>
        <w:keepLines w:val="0"/>
        <w:widowControl w:val="0"/>
        <w:numPr>
          <w:ilvl w:val="0"/>
          <w:numId w:val="75"/>
        </w:numPr>
        <w:shd w:val="clear" w:color="auto" w:fill="auto"/>
        <w:tabs>
          <w:tab w:pos="724" w:val="left"/>
        </w:tabs>
        <w:bidi w:val="0"/>
        <w:spacing w:before="0" w:after="0" w:line="326" w:lineRule="auto"/>
        <w:ind w:left="0" w:right="0" w:firstLine="440"/>
        <w:jc w:val="left"/>
        <w:rPr>
          <w:sz w:val="20"/>
          <w:szCs w:val="20"/>
        </w:rPr>
      </w:pPr>
      <w:bookmarkStart w:id="1879" w:name="bookmark1879"/>
      <w:bookmarkEnd w:id="1879"/>
      <w:r>
        <w:rPr>
          <w:color w:val="000000"/>
          <w:spacing w:val="0"/>
          <w:w w:val="100"/>
          <w:position w:val="0"/>
          <w:sz w:val="20"/>
          <w:szCs w:val="20"/>
        </w:rPr>
        <w:t>业务持续经营方面</w:t>
      </w:r>
    </w:p>
    <w:p>
      <w:pPr>
        <w:pStyle w:val="Style13"/>
        <w:keepNext w:val="0"/>
        <w:keepLines w:val="0"/>
        <w:widowControl w:val="0"/>
        <w:shd w:val="clear" w:color="auto" w:fill="auto"/>
        <w:bidi w:val="0"/>
        <w:spacing w:before="0" w:after="80" w:line="313" w:lineRule="exact"/>
        <w:ind w:left="0" w:right="0" w:firstLine="440"/>
        <w:jc w:val="both"/>
        <w:rPr>
          <w:sz w:val="20"/>
          <w:szCs w:val="20"/>
        </w:rPr>
      </w:pPr>
      <w:r>
        <w:rPr>
          <w:color w:val="000000"/>
          <w:spacing w:val="0"/>
          <w:w w:val="100"/>
          <w:position w:val="0"/>
          <w:sz w:val="20"/>
          <w:szCs w:val="20"/>
        </w:rPr>
        <w:t>孙光亮先生在酒水产业深耕多年，在酒水产业链具有丰富的资源，长期专注于酒水产业链相关产品的 设计、生产、产品销售、品牌策划、媒体宣传。目前已经成立招纳专业各技术人员，帮助上市公司根据相 关酒厂需求开展酒瓶业务的研发、生产和销售团队的组建，已购置新的符合公司酒瓶业务生产配套的设施 设备，为上市公司推荐引入多个名酒厂陶瓷酒瓶生产业务做足准备。在条件成熟时帮助上市公司对接从酒 瓶到酒水上下游产业资源，为上市公司增加包括但不限于增量陶瓷酒瓶生产等和公司高度协同的相关业务 机会，发挥上市公司在陶瓷工艺方面的优势，根据战略部署在陶瓷酒瓶细分领域力争做到行业领先水平。</w:t>
      </w:r>
    </w:p>
    <w:p>
      <w:pPr>
        <w:pStyle w:val="Style13"/>
        <w:keepNext w:val="0"/>
        <w:keepLines w:val="0"/>
        <w:widowControl w:val="0"/>
        <w:numPr>
          <w:ilvl w:val="0"/>
          <w:numId w:val="75"/>
        </w:numPr>
        <w:shd w:val="clear" w:color="auto" w:fill="auto"/>
        <w:bidi w:val="0"/>
        <w:spacing w:before="0" w:after="0" w:line="313" w:lineRule="exact"/>
        <w:ind w:left="0" w:right="0" w:firstLine="440"/>
        <w:jc w:val="both"/>
        <w:rPr>
          <w:sz w:val="20"/>
          <w:szCs w:val="20"/>
        </w:rPr>
      </w:pPr>
      <w:bookmarkStart w:id="1880" w:name="bookmark1880"/>
      <w:bookmarkEnd w:id="1880"/>
      <w:r>
        <w:rPr>
          <w:color w:val="000000"/>
          <w:spacing w:val="0"/>
          <w:w w:val="100"/>
          <w:position w:val="0"/>
          <w:sz w:val="20"/>
          <w:szCs w:val="20"/>
        </w:rPr>
        <w:t>人力资源方面</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公司建立了完善的人力资源管控体系，并按照公司发展运营的实际情况不断完善。董事会提名委员会 也充分发挥专业委员会作用，为公司人力资源管理提供专业指导。公司重视人力资源开发工作，积极引入 专业高技工人员帮助上市公司打造酒瓶业务、高端日用瓷业务的研发、生产和销售团队，为公司开拓新的 业务增长点。</w:t>
      </w:r>
    </w:p>
    <w:p>
      <w:pPr>
        <w:pStyle w:val="Style1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另在上市公司债务危机得以化解、符合监管规定时，公司不排除通过外延式扩张的手段，加快上市公 司的业务转型升级，进一步改善上市公司经营情况，进而为上市公司为股民创造新的利润增长点，为企业 员工获取更大收入，为社会经济的发展助力。</w:t>
      </w:r>
    </w:p>
    <w:p>
      <w:pPr>
        <w:pStyle w:val="Style13"/>
        <w:keepNext w:val="0"/>
        <w:keepLines w:val="0"/>
        <w:widowControl w:val="0"/>
        <w:shd w:val="clear" w:color="auto" w:fill="auto"/>
        <w:bidi w:val="0"/>
        <w:spacing w:before="0" w:after="0" w:line="313" w:lineRule="exact"/>
        <w:ind w:left="0" w:right="0" w:firstLine="0"/>
        <w:jc w:val="left"/>
        <w:rPr>
          <w:sz w:val="20"/>
          <w:szCs w:val="20"/>
        </w:rPr>
      </w:pPr>
      <w:bookmarkStart w:id="1881" w:name="bookmark1881"/>
      <w:r>
        <w:rPr>
          <w:b/>
          <w:bCs/>
          <w:color w:val="000000"/>
          <w:spacing w:val="0"/>
          <w:w w:val="100"/>
          <w:position w:val="0"/>
          <w:sz w:val="20"/>
          <w:szCs w:val="20"/>
        </w:rPr>
        <w:t>三</w:t>
      </w:r>
      <w:bookmarkEnd w:id="1881"/>
      <w:r>
        <w:rPr>
          <w:b/>
          <w:bCs/>
          <w:color w:val="000000"/>
          <w:spacing w:val="0"/>
          <w:w w:val="100"/>
          <w:position w:val="0"/>
          <w:sz w:val="20"/>
          <w:szCs w:val="20"/>
        </w:rPr>
        <w:t>、以前年度立案调查进展</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日收到中国证券监督管理委员会《调查通知书》（粤证调查通字</w:t>
      </w:r>
      <w:r>
        <w:rPr>
          <w:rFonts w:ascii="Times New Roman" w:eastAsia="Times New Roman" w:hAnsi="Times New Roman" w:cs="Times New Roman"/>
          <w:color w:val="000000"/>
          <w:spacing w:val="0"/>
          <w:w w:val="100"/>
          <w:position w:val="0"/>
          <w:sz w:val="20"/>
          <w:szCs w:val="20"/>
        </w:rPr>
        <w:t>190221</w:t>
      </w:r>
      <w:r>
        <w:rPr>
          <w:color w:val="000000"/>
          <w:spacing w:val="0"/>
          <w:w w:val="100"/>
          <w:position w:val="0"/>
          <w:sz w:val="20"/>
          <w:szCs w:val="20"/>
        </w:rPr>
        <w:t>号）。 因公司涉嫌信息披露违法违规，根据《中华人民共和国证券法》的有关规定，中国证券监督管理委员会决 定对公司立案调查。</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日收到中国证监会广东监管局对原董监高及公司出具的《行政处罚及市场禁入事先 告知书》（广东证监处罚字</w:t>
      </w:r>
      <w:r>
        <w:rPr>
          <w:rFonts w:ascii="Times New Roman" w:eastAsia="Times New Roman" w:hAnsi="Times New Roman" w:cs="Times New Roman"/>
          <w:color w:val="000000"/>
          <w:spacing w:val="0"/>
          <w:w w:val="100"/>
          <w:position w:val="0"/>
          <w:sz w:val="20"/>
          <w:szCs w:val="20"/>
        </w:rPr>
        <w:t>（2021）7</w:t>
      </w:r>
      <w:r>
        <w:rPr>
          <w:color w:val="000000"/>
          <w:spacing w:val="0"/>
          <w:w w:val="100"/>
          <w:position w:val="0"/>
          <w:sz w:val="20"/>
          <w:szCs w:val="20"/>
        </w:rPr>
        <w:t>号）；公司于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日收到中国证监会广东监管局对原董监高及公 司出具的《行政处罚决定书》【</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号，对蔡廷祥、许高镭出具的《市场禁入决定书》【</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 相关处罚内容详见本公司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日《关于收到中国证监会广东监管局（以下简称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广东监管局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）《行 政处罚决定书》、《市场禁入决定书》的公告》。</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根据广东监管局</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日下发的《行政处罚决定书》文件违法事实二认定，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日，公司未经决策审批或授权审批程序，利用潮州市名源陶瓷有限公司（蔡廷祥等关联方）（以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名源陶瓷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）、潮州市源发陶瓷有限公司（蔡廷祥等关联方）（以下简称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源 发陶瓷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）、潮州市枫溪区锦汇陶瓷原料厂（蔡廷祥等关联方）（以下简称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锦汇 陶瓷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）、潮州市五洲房地产开发有限公司（蔡廷祥等关联方）（以下简称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伍洲 地产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蔡廷祥等关联方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）等四家关系密切公司的账户及员工账户层层转账后，累计向控股股东蔡廷 祥、吴淡珠等关联方提供非经营性资金约</w:t>
      </w:r>
      <w:r>
        <w:rPr>
          <w:rFonts w:ascii="Times New Roman" w:eastAsia="Times New Roman" w:hAnsi="Times New Roman" w:cs="Times New Roman"/>
          <w:color w:val="000000"/>
          <w:spacing w:val="0"/>
          <w:w w:val="100"/>
          <w:position w:val="0"/>
          <w:sz w:val="20"/>
          <w:szCs w:val="20"/>
        </w:rPr>
        <w:t>45,383</w:t>
      </w:r>
      <w:r>
        <w:rPr>
          <w:color w:val="000000"/>
          <w:spacing w:val="0"/>
          <w:w w:val="100"/>
          <w:position w:val="0"/>
          <w:sz w:val="20"/>
          <w:szCs w:val="20"/>
        </w:rPr>
        <w:t>万元，用于控股股东及关联方垫付解质押款、支付质押利 息、对外投资等个人事项。</w:t>
      </w:r>
    </w:p>
    <w:p>
      <w:pPr>
        <w:pStyle w:val="Style13"/>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年度经公司新实控人孙光亮及其管理层（以下简称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现任管理层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）自查，处罚决定书认定的非经 营性资金占用</w:t>
      </w:r>
      <w:r>
        <w:rPr>
          <w:rFonts w:ascii="Times New Roman" w:eastAsia="Times New Roman" w:hAnsi="Times New Roman" w:cs="Times New Roman"/>
          <w:color w:val="000000"/>
          <w:spacing w:val="0"/>
          <w:w w:val="100"/>
          <w:position w:val="0"/>
          <w:sz w:val="20"/>
          <w:szCs w:val="20"/>
        </w:rPr>
        <w:t>45,383</w:t>
      </w:r>
      <w:r>
        <w:rPr>
          <w:color w:val="000000"/>
          <w:spacing w:val="0"/>
          <w:w w:val="100"/>
          <w:position w:val="0"/>
          <w:sz w:val="20"/>
          <w:szCs w:val="20"/>
        </w:rPr>
        <w:t xml:space="preserve">万元中包括公司本部通过名源陶瓷、源发陶瓷、锦汇陶瓷及伍洲地产占用发生额 </w:t>
      </w:r>
      <w:r>
        <w:rPr>
          <w:rFonts w:ascii="Times New Roman" w:eastAsia="Times New Roman" w:hAnsi="Times New Roman" w:cs="Times New Roman"/>
          <w:color w:val="000000"/>
          <w:spacing w:val="0"/>
          <w:w w:val="100"/>
          <w:position w:val="0"/>
          <w:sz w:val="20"/>
          <w:szCs w:val="20"/>
        </w:rPr>
        <w:t>35,288.78</w:t>
      </w:r>
      <w:r>
        <w:rPr>
          <w:color w:val="000000"/>
          <w:spacing w:val="0"/>
          <w:w w:val="100"/>
          <w:position w:val="0"/>
          <w:sz w:val="20"/>
          <w:szCs w:val="20"/>
        </w:rPr>
        <w:t>万元，失控子公司翡翠教育的子公司创思兰博（北京）科技股份有限公司（以下简称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创思兰博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通过名源陶瓷占用</w:t>
      </w:r>
      <w:r>
        <w:rPr>
          <w:rFonts w:ascii="Times New Roman" w:eastAsia="Times New Roman" w:hAnsi="Times New Roman" w:cs="Times New Roman"/>
          <w:color w:val="000000"/>
          <w:spacing w:val="0"/>
          <w:w w:val="100"/>
          <w:position w:val="0"/>
          <w:sz w:val="20"/>
          <w:szCs w:val="20"/>
        </w:rPr>
        <w:t>10,097.56</w:t>
      </w:r>
      <w:r>
        <w:rPr>
          <w:color w:val="000000"/>
          <w:spacing w:val="0"/>
          <w:w w:val="100"/>
          <w:position w:val="0"/>
          <w:sz w:val="20"/>
          <w:szCs w:val="20"/>
        </w:rPr>
        <w:t>万元；另外现任管理层经自查，</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年度公司本部新增占用</w:t>
      </w:r>
      <w:r>
        <w:rPr>
          <w:rFonts w:ascii="Times New Roman" w:eastAsia="Times New Roman" w:hAnsi="Times New Roman" w:cs="Times New Roman"/>
          <w:color w:val="000000"/>
          <w:spacing w:val="0"/>
          <w:w w:val="100"/>
          <w:position w:val="0"/>
          <w:sz w:val="20"/>
          <w:szCs w:val="20"/>
        </w:rPr>
        <w:t>9,400.00</w:t>
      </w:r>
      <w:r>
        <w:rPr>
          <w:color w:val="000000"/>
          <w:spacing w:val="0"/>
          <w:w w:val="100"/>
          <w:position w:val="0"/>
          <w:sz w:val="20"/>
          <w:szCs w:val="20"/>
        </w:rPr>
        <w:t>万元；公 司自查认定累计占用发生额</w:t>
      </w:r>
      <w:r>
        <w:rPr>
          <w:rFonts w:ascii="Times New Roman" w:eastAsia="Times New Roman" w:hAnsi="Times New Roman" w:cs="Times New Roman"/>
          <w:color w:val="000000"/>
          <w:spacing w:val="0"/>
          <w:w w:val="100"/>
          <w:position w:val="0"/>
          <w:sz w:val="20"/>
          <w:szCs w:val="20"/>
        </w:rPr>
        <w:t>59,977.58</w:t>
      </w:r>
      <w:r>
        <w:rPr>
          <w:color w:val="000000"/>
          <w:spacing w:val="0"/>
          <w:w w:val="100"/>
          <w:position w:val="0"/>
          <w:sz w:val="20"/>
          <w:szCs w:val="20"/>
        </w:rPr>
        <w:t>万元、累计偿还</w:t>
      </w:r>
      <w:r>
        <w:rPr>
          <w:rFonts w:ascii="Times New Roman" w:eastAsia="Times New Roman" w:hAnsi="Times New Roman" w:cs="Times New Roman"/>
          <w:color w:val="000000"/>
          <w:spacing w:val="0"/>
          <w:w w:val="100"/>
          <w:position w:val="0"/>
          <w:sz w:val="20"/>
          <w:szCs w:val="20"/>
        </w:rPr>
        <w:t>22,768.12</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日占用资金余额 </w:t>
      </w:r>
      <w:r>
        <w:rPr>
          <w:rFonts w:ascii="Times New Roman" w:eastAsia="Times New Roman" w:hAnsi="Times New Roman" w:cs="Times New Roman"/>
          <w:color w:val="000000"/>
          <w:spacing w:val="0"/>
          <w:w w:val="100"/>
          <w:position w:val="0"/>
          <w:sz w:val="20"/>
          <w:szCs w:val="20"/>
        </w:rPr>
        <w:t>37,209.46</w:t>
      </w:r>
      <w:r>
        <w:rPr>
          <w:color w:val="000000"/>
          <w:spacing w:val="0"/>
          <w:w w:val="100"/>
          <w:position w:val="0"/>
          <w:sz w:val="20"/>
          <w:szCs w:val="20"/>
        </w:rPr>
        <w:t>万元（含创思兰博占用余额</w:t>
      </w:r>
      <w:r>
        <w:rPr>
          <w:rFonts w:ascii="Times New Roman" w:eastAsia="Times New Roman" w:hAnsi="Times New Roman" w:cs="Times New Roman"/>
          <w:color w:val="000000"/>
          <w:spacing w:val="0"/>
          <w:w w:val="100"/>
          <w:position w:val="0"/>
          <w:sz w:val="20"/>
          <w:szCs w:val="20"/>
        </w:rPr>
        <w:t>10,097.56</w:t>
      </w:r>
      <w:r>
        <w:rPr>
          <w:color w:val="000000"/>
          <w:spacing w:val="0"/>
          <w:w w:val="100"/>
          <w:position w:val="0"/>
          <w:sz w:val="20"/>
          <w:szCs w:val="20"/>
        </w:rPr>
        <w:t>万元，因翡翠教育仍在失控状态，公司无法知悉其占用变动 情况，仅以名源陶瓷向大华会计师事务所回函的</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日其他应收款余额为准）。截至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日，公司本部其他应收款（蔡廷祥等关联方）余额</w:t>
      </w:r>
      <w:r>
        <w:rPr>
          <w:rFonts w:ascii="Times New Roman" w:eastAsia="Times New Roman" w:hAnsi="Times New Roman" w:cs="Times New Roman"/>
          <w:color w:val="000000"/>
          <w:spacing w:val="0"/>
          <w:w w:val="100"/>
          <w:position w:val="0"/>
          <w:sz w:val="20"/>
          <w:szCs w:val="20"/>
        </w:rPr>
        <w:t>31,333.33</w:t>
      </w:r>
      <w:r>
        <w:rPr>
          <w:color w:val="000000"/>
          <w:spacing w:val="0"/>
          <w:w w:val="100"/>
          <w:position w:val="0"/>
          <w:sz w:val="20"/>
          <w:szCs w:val="20"/>
        </w:rPr>
        <w:t>万元，其中名源陶瓷</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2,877.66</w:t>
      </w:r>
      <w:r>
        <w:rPr>
          <w:color w:val="000000"/>
          <w:spacing w:val="0"/>
          <w:w w:val="100"/>
          <w:position w:val="0"/>
          <w:sz w:val="20"/>
          <w:szCs w:val="20"/>
        </w:rPr>
        <w:t>万元、源发 陶瓷</w:t>
      </w:r>
      <w:r>
        <w:rPr>
          <w:rFonts w:ascii="Times New Roman" w:eastAsia="Times New Roman" w:hAnsi="Times New Roman" w:cs="Times New Roman"/>
          <w:color w:val="000000"/>
          <w:spacing w:val="0"/>
          <w:w w:val="100"/>
          <w:position w:val="0"/>
          <w:sz w:val="20"/>
          <w:szCs w:val="20"/>
        </w:rPr>
        <w:t>8,750.23</w:t>
      </w:r>
      <w:r>
        <w:rPr>
          <w:color w:val="000000"/>
          <w:spacing w:val="0"/>
          <w:w w:val="100"/>
          <w:position w:val="0"/>
          <w:sz w:val="20"/>
          <w:szCs w:val="20"/>
        </w:rPr>
        <w:t>万元、锦汇陶瓷</w:t>
      </w:r>
      <w:r>
        <w:rPr>
          <w:rFonts w:ascii="Times New Roman" w:eastAsia="Times New Roman" w:hAnsi="Times New Roman" w:cs="Times New Roman"/>
          <w:color w:val="000000"/>
          <w:spacing w:val="0"/>
          <w:w w:val="100"/>
          <w:position w:val="0"/>
          <w:sz w:val="20"/>
          <w:szCs w:val="20"/>
        </w:rPr>
        <w:t>11,142.00</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日，公司本部其他应收款蔡廷祥等关联方 余额</w:t>
      </w:r>
      <w:r>
        <w:rPr>
          <w:rFonts w:ascii="Times New Roman" w:eastAsia="Times New Roman" w:hAnsi="Times New Roman" w:cs="Times New Roman"/>
          <w:color w:val="000000"/>
          <w:spacing w:val="0"/>
          <w:w w:val="100"/>
          <w:position w:val="0"/>
          <w:sz w:val="20"/>
          <w:szCs w:val="20"/>
        </w:rPr>
        <w:t>27,111.90</w:t>
      </w:r>
      <w:r>
        <w:rPr>
          <w:color w:val="000000"/>
          <w:spacing w:val="0"/>
          <w:w w:val="100"/>
          <w:position w:val="0"/>
          <w:sz w:val="20"/>
          <w:szCs w:val="20"/>
        </w:rPr>
        <w:t>万元，其中名源陶瓷</w:t>
      </w:r>
      <w:r>
        <w:rPr>
          <w:rFonts w:ascii="Times New Roman" w:eastAsia="Times New Roman" w:hAnsi="Times New Roman" w:cs="Times New Roman"/>
          <w:color w:val="000000"/>
          <w:spacing w:val="0"/>
          <w:w w:val="100"/>
          <w:position w:val="0"/>
          <w:sz w:val="20"/>
          <w:szCs w:val="20"/>
        </w:rPr>
        <w:t>11,441.10</w:t>
      </w:r>
      <w:r>
        <w:rPr>
          <w:color w:val="000000"/>
          <w:spacing w:val="0"/>
          <w:w w:val="100"/>
          <w:position w:val="0"/>
          <w:sz w:val="20"/>
          <w:szCs w:val="20"/>
        </w:rPr>
        <w:t>万元、源发陶瓷</w:t>
      </w:r>
      <w:r>
        <w:rPr>
          <w:rFonts w:ascii="Times New Roman" w:eastAsia="Times New Roman" w:hAnsi="Times New Roman" w:cs="Times New Roman"/>
          <w:color w:val="000000"/>
          <w:spacing w:val="0"/>
          <w:w w:val="100"/>
          <w:position w:val="0"/>
          <w:sz w:val="20"/>
          <w:szCs w:val="20"/>
        </w:rPr>
        <w:t>4,528.8</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万元、锦汇陶瓷</w:t>
      </w:r>
      <w:r>
        <w:rPr>
          <w:rFonts w:ascii="Times New Roman" w:eastAsia="Times New Roman" w:hAnsi="Times New Roman" w:cs="Times New Roman"/>
          <w:color w:val="000000"/>
          <w:spacing w:val="0"/>
          <w:w w:val="100"/>
          <w:position w:val="0"/>
          <w:sz w:val="20"/>
          <w:szCs w:val="20"/>
        </w:rPr>
        <w:t>11,142.00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年度源发陶瓷减少数系孙光亮先生根据公司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年度报告披露的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其他应收款解决方案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承诺，以代付公司 成本费用、职工薪酬等运营成本及子公司河南智游臻龙教育科技有限公司股权转让款的代偿金额。</w:t>
      </w:r>
      <w:r>
        <w:br w:type="page"/>
      </w:r>
    </w:p>
    <w:p>
      <w:pPr>
        <w:pStyle w:val="Style23"/>
        <w:keepNext/>
        <w:keepLines/>
        <w:widowControl w:val="0"/>
        <w:shd w:val="clear" w:color="auto" w:fill="auto"/>
        <w:bidi w:val="0"/>
        <w:spacing w:before="0" w:after="32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color w:val="000000"/>
          <w:spacing w:val="0"/>
          <w:w w:val="100"/>
          <w:position w:val="0"/>
        </w:rPr>
        <w:t>、其他</w:t>
      </w:r>
      <w:bookmarkEnd w:id="1882"/>
      <w:bookmarkEnd w:id="1883"/>
      <w:bookmarkEnd w:id="1885"/>
    </w:p>
    <w:p>
      <w:pPr>
        <w:pStyle w:val="Style19"/>
        <w:keepNext/>
        <w:keepLines/>
        <w:widowControl w:val="0"/>
        <w:shd w:val="clear" w:color="auto" w:fill="auto"/>
        <w:bidi w:val="0"/>
        <w:spacing w:before="0" w:after="380" w:line="240" w:lineRule="auto"/>
        <w:ind w:left="0" w:right="0" w:firstLine="0"/>
        <w:jc w:val="left"/>
      </w:pPr>
      <w:bookmarkStart w:id="1886" w:name="bookmark1886"/>
      <w:bookmarkStart w:id="1887" w:name="bookmark1887"/>
      <w:bookmarkStart w:id="1888" w:name="bookmark1888"/>
      <w:r>
        <w:rPr>
          <w:color w:val="000000"/>
          <w:spacing w:val="0"/>
          <w:w w:val="100"/>
          <w:position w:val="0"/>
        </w:rPr>
        <w:t>十六、母公司财务报表主要项目注释</w:t>
      </w:r>
      <w:bookmarkEnd w:id="1886"/>
      <w:bookmarkEnd w:id="1887"/>
      <w:bookmarkEnd w:id="1888"/>
    </w:p>
    <w:p>
      <w:pPr>
        <w:pStyle w:val="Style23"/>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89"/>
      <w:bookmarkEnd w:id="1890"/>
      <w:bookmarkEnd w:id="1891"/>
    </w:p>
    <w:p>
      <w:pPr>
        <w:pStyle w:val="Style29"/>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92"/>
      <w:bookmarkEnd w:id="1893"/>
      <w:bookmarkEnd w:id="189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85,044,3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88,311,39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81,340,66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6,970,728.3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17,852,51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4,336,574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17,852,51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4,336,574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89,628,3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85,67723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20,486,671.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85,044,305.35</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85,044,305.35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85,044,305.35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年以上，受海外 疫情影响，基于谨慎性 原则，全部计提坏账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85,044,305.35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85,044,305.35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4,584,005.09</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718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4,458,801.29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4,458,801.29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4,584,005.09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4,584,005.09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按账龄计提</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5"/>
        <w:gridCol w:w="245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181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14,520,021.20</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75,108289.24</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70,469,807.88</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179,680.07</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4,458,801.29</w:t>
            </w:r>
          </w:p>
        </w:tc>
      </w:tr>
      <w:tr>
        <w:trPr>
          <w:trHeight w:val="41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89,628,310.44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895" w:name="bookmark1895"/>
      <w:bookmarkStart w:id="1896" w:name="bookmark1896"/>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95"/>
      <w:bookmarkEnd w:id="1896"/>
      <w:bookmarkEnd w:id="1897"/>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单项计提预期信 用损失的应收账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81,340,662.67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3,703,642.68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85,044,305.35</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4,336,574.43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4,584,005.09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85,6772 37.10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3,951,073.34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89,628,310.44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98"/>
      <w:bookmarkEnd w:id="1899"/>
      <w:bookmarkEnd w:id="190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46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921" w:val="left"/>
                <w:tab w:pos="3649" w:val="left"/>
              </w:tabs>
              <w:bidi w:val="0"/>
              <w:spacing w:before="0" w:after="0" w:line="240" w:lineRule="auto"/>
              <w:ind w:left="0" w:right="0" w:firstLine="500"/>
              <w:jc w:val="left"/>
            </w:pPr>
            <w:r>
              <w:rPr>
                <w:color w:val="000000"/>
                <w:spacing w:val="0"/>
                <w:w w:val="100"/>
                <w:position w:val="0"/>
              </w:rPr>
              <w:t>单位名称</w:t>
              <w:tab/>
              <w:t>应收账款性质</w:t>
              <w:tab/>
              <w:t>核销金额</w:t>
            </w:r>
          </w:p>
        </w:tc>
        <w:tc>
          <w:tcPr>
            <w:tcBorders>
              <w:top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526" w:val="left"/>
              </w:tabs>
              <w:bidi w:val="0"/>
              <w:spacing w:before="0" w:after="0" w:line="240" w:lineRule="auto"/>
              <w:ind w:left="0" w:right="0" w:firstLine="2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9"/>
        <w:keepNext/>
        <w:keepLines/>
        <w:widowControl w:val="0"/>
        <w:shd w:val="clear" w:color="auto" w:fill="auto"/>
        <w:bidi w:val="0"/>
        <w:spacing w:before="0" w:line="240" w:lineRule="auto"/>
        <w:ind w:left="0" w:right="0" w:firstLine="140"/>
        <w:jc w:val="left"/>
      </w:pPr>
      <w:bookmarkStart w:id="1902" w:name="bookmark1902"/>
      <w:bookmarkStart w:id="1903" w:name="bookmark1903"/>
      <w:bookmarkStart w:id="1904" w:name="bookmark1904"/>
      <w:r>
        <w:rPr>
          <w:color w:val="000000"/>
          <w:spacing w:val="0"/>
          <w:w w:val="100"/>
          <w:position w:val="0"/>
        </w:rPr>
        <w:t>⑷按欠款方归集的期末余额前五名的应收账款情况</w:t>
      </w:r>
      <w:bookmarkEnd w:id="1902"/>
      <w:bookmarkEnd w:id="1903"/>
      <w:bookmarkEnd w:id="190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4,792,516.64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4,792,516.64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4,047,815.00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3,357,431.83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3,357,431.83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2,905,518.92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2,905,518.92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2,482,774.33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2,482,774.33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17,586,056.72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tabs>
          <w:tab w:pos="483" w:val="left"/>
        </w:tabs>
        <w:bidi w:val="0"/>
        <w:spacing w:before="0" w:line="240" w:lineRule="auto"/>
        <w:ind w:left="0" w:right="0" w:firstLine="0"/>
        <w:jc w:val="both"/>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05"/>
      <w:bookmarkEnd w:id="1906"/>
      <w:bookmarkEnd w:id="1908"/>
    </w:p>
    <w:p>
      <w:pPr>
        <w:pStyle w:val="Style29"/>
        <w:keepNext/>
        <w:keepLines/>
        <w:widowControl w:val="0"/>
        <w:shd w:val="clear" w:color="auto" w:fill="auto"/>
        <w:tabs>
          <w:tab w:pos="483" w:val="left"/>
        </w:tabs>
        <w:bidi w:val="0"/>
        <w:spacing w:before="0" w:line="240" w:lineRule="auto"/>
        <w:ind w:left="0" w:right="0" w:firstLine="0"/>
        <w:jc w:val="both"/>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09"/>
      <w:bookmarkEnd w:id="1910"/>
      <w:bookmarkEnd w:id="1912"/>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both"/>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13"/>
      <w:bookmarkEnd w:id="1914"/>
      <w:bookmarkEnd w:id="1915"/>
    </w:p>
    <w:p>
      <w:pPr>
        <w:pStyle w:val="Style1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411,521,726.65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430,898,139.54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427,521,726.65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446,898,139.54</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16"/>
      <w:bookmarkEnd w:id="1917"/>
      <w:bookmarkEnd w:id="1918"/>
    </w:p>
    <w:p>
      <w:pPr>
        <w:pStyle w:val="Style68"/>
        <w:keepNext/>
        <w:keepLines/>
        <w:widowControl w:val="0"/>
        <w:shd w:val="clear" w:color="auto" w:fill="auto"/>
        <w:bidi w:val="0"/>
        <w:spacing w:before="0" w:line="240" w:lineRule="auto"/>
        <w:ind w:left="0" w:right="0" w:firstLine="0"/>
        <w:jc w:val="both"/>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19"/>
      <w:bookmarkEnd w:id="1920"/>
      <w:bookmarkEnd w:id="192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68"/>
        <w:keepNext/>
        <w:keepLines/>
        <w:widowControl w:val="0"/>
        <w:shd w:val="clear" w:color="auto" w:fill="auto"/>
        <w:bidi w:val="0"/>
        <w:spacing w:before="0" w:after="34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bookmarkEnd w:id="1924"/>
      <w:r>
        <w:rPr>
          <w:color w:val="000000"/>
          <w:spacing w:val="0"/>
          <w:w w:val="100"/>
          <w:position w:val="0"/>
        </w:rPr>
        <w:t>）重要逾期利息</w:t>
      </w:r>
      <w:bookmarkEnd w:id="1922"/>
      <w:bookmarkEnd w:id="1923"/>
      <w:bookmarkEnd w:id="1925"/>
    </w:p>
    <w:tbl>
      <w:tblPr>
        <w:tblOverlap w:val="never"/>
        <w:jc w:val="center"/>
        <w:tblLayout w:type="fixed"/>
      </w:tblPr>
      <w:tblGrid>
        <w:gridCol w:w="1930"/>
        <w:gridCol w:w="1920"/>
        <w:gridCol w:w="1910"/>
        <w:gridCol w:w="1920"/>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8"/>
        <w:keepNext/>
        <w:keepLines/>
        <w:widowControl w:val="0"/>
        <w:shd w:val="clear" w:color="auto" w:fill="auto"/>
        <w:bidi w:val="0"/>
        <w:spacing w:before="0" w:line="240" w:lineRule="auto"/>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3</w:t>
      </w:r>
      <w:bookmarkEnd w:id="1928"/>
      <w:r>
        <w:rPr>
          <w:color w:val="000000"/>
          <w:spacing w:val="0"/>
          <w:w w:val="100"/>
          <w:position w:val="0"/>
        </w:rPr>
        <w:t>）坏账准备计提情况</w:t>
      </w:r>
      <w:bookmarkEnd w:id="1926"/>
      <w:bookmarkEnd w:id="1927"/>
      <w:bookmarkEnd w:id="1929"/>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30"/>
      <w:bookmarkEnd w:id="1931"/>
      <w:bookmarkEnd w:id="1932"/>
    </w:p>
    <w:p>
      <w:pPr>
        <w:pStyle w:val="Style68"/>
        <w:keepNext/>
        <w:keepLines/>
        <w:widowControl w:val="0"/>
        <w:shd w:val="clear" w:color="auto" w:fill="auto"/>
        <w:bidi w:val="0"/>
        <w:spacing w:before="0" w:line="240" w:lineRule="auto"/>
        <w:ind w:left="0" w:right="0" w:firstLine="0"/>
        <w:jc w:val="both"/>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33"/>
      <w:bookmarkEnd w:id="1934"/>
      <w:bookmarkEnd w:id="193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bl>
    <w:p>
      <w:pPr>
        <w:widowControl w:val="0"/>
        <w:spacing w:after="339" w:line="1" w:lineRule="exact"/>
      </w:pPr>
    </w:p>
    <w:p>
      <w:pPr>
        <w:pStyle w:val="Style68"/>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36"/>
      <w:bookmarkEnd w:id="1937"/>
      <w:bookmarkEnd w:id="19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是否发生减值及其判断 依据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现金紧张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是，回收的可能性</w:t>
            </w:r>
          </w:p>
        </w:tc>
      </w:tr>
    </w:tbl>
    <w:p>
      <w:pPr>
        <w:widowControl w:val="0"/>
        <w:spacing w:line="1" w:lineRule="exact"/>
      </w:pPr>
      <w:r>
        <w:br w:type="page"/>
      </w:r>
    </w:p>
    <w:tbl>
      <w:tblPr>
        <w:tblOverlap w:val="never"/>
        <w:jc w:val="center"/>
        <w:tblLayout w:type="fixed"/>
      </w:tblPr>
      <w:tblGrid>
        <w:gridCol w:w="1930"/>
        <w:gridCol w:w="1915"/>
        <w:gridCol w:w="1915"/>
        <w:gridCol w:w="1915"/>
        <w:gridCol w:w="193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68"/>
        <w:keepNext/>
        <w:keepLines/>
        <w:widowControl w:val="0"/>
        <w:shd w:val="clear" w:color="auto" w:fill="auto"/>
        <w:bidi w:val="0"/>
        <w:spacing w:before="0" w:after="40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3</w:t>
      </w:r>
      <w:bookmarkEnd w:id="1941"/>
      <w:r>
        <w:rPr>
          <w:color w:val="000000"/>
          <w:spacing w:val="0"/>
          <w:w w:val="100"/>
          <w:position w:val="0"/>
        </w:rPr>
        <w:t>）坏账准备计提情况</w:t>
      </w:r>
      <w:bookmarkEnd w:id="1939"/>
      <w:bookmarkEnd w:id="1940"/>
      <w:bookmarkEnd w:id="1942"/>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42,000,000.00</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43"/>
      <w:bookmarkEnd w:id="1944"/>
      <w:bookmarkEnd w:id="1946"/>
    </w:p>
    <w:p>
      <w:pPr>
        <w:pStyle w:val="Style68"/>
        <w:keepNext/>
        <w:keepLines/>
        <w:widowControl w:val="0"/>
        <w:shd w:val="clear" w:color="auto" w:fill="auto"/>
        <w:bidi w:val="0"/>
        <w:spacing w:before="0" w:after="400" w:line="240" w:lineRule="auto"/>
        <w:ind w:left="0" w:right="0" w:firstLine="0"/>
        <w:jc w:val="left"/>
      </w:pPr>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47"/>
      <w:bookmarkEnd w:id="1948"/>
      <w:bookmarkEnd w:id="19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545,890,845.28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559,628,287.56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602,065.50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546,438,096.99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560,289,913.06</w:t>
            </w:r>
          </w:p>
        </w:tc>
      </w:tr>
    </w:tbl>
    <w:p>
      <w:pPr>
        <w:widowControl w:val="0"/>
        <w:spacing w:after="319" w:line="1" w:lineRule="exact"/>
      </w:pPr>
    </w:p>
    <w:p>
      <w:pPr>
        <w:pStyle w:val="Style68"/>
        <w:keepNext/>
        <w:keepLines/>
        <w:widowControl w:val="0"/>
        <w:shd w:val="clear" w:color="auto" w:fill="auto"/>
        <w:bidi w:val="0"/>
        <w:spacing w:before="0" w:after="400" w:line="240" w:lineRule="auto"/>
        <w:ind w:left="0" w:right="0" w:firstLine="0"/>
        <w:jc w:val="left"/>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50"/>
      <w:bookmarkEnd w:id="1951"/>
      <w:bookmarkEnd w:id="19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102"/>
        <w:gridCol w:w="2093"/>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34"/>
        <w:gridCol w:w="1642"/>
        <w:gridCol w:w="2102"/>
        <w:gridCol w:w="2102"/>
        <w:gridCol w:w="1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42,789.15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129,346,984.37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129,391,773.52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438,911.17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5,082,085.65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5,524,596.82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481,700.32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134,420,670.02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134,916,370.34</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221,884,828.12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221,884,828.12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11,338,989.11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174,908,863.92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138,305,415.84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72,854,134.07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46,551,873.34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18,899,408.43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546,438,096.99</w:t>
            </w:r>
          </w:p>
        </w:tc>
      </w:tr>
    </w:tbl>
    <w:p>
      <w:pPr>
        <w:widowControl w:val="0"/>
        <w:spacing w:after="319" w:line="1" w:lineRule="exact"/>
      </w:pPr>
    </w:p>
    <w:p>
      <w:pPr>
        <w:pStyle w:val="Style68"/>
        <w:keepNext/>
        <w:keepLines/>
        <w:widowControl w:val="0"/>
        <w:shd w:val="clear" w:color="auto" w:fill="auto"/>
        <w:bidi w:val="0"/>
        <w:spacing w:before="0" w:after="40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）本期计提、收回或转回的坏账准备情况</w:t>
      </w:r>
      <w:bookmarkEnd w:id="1953"/>
      <w:bookmarkEnd w:id="1954"/>
      <w:bookmarkEnd w:id="1956"/>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9"/>
        <w:gridCol w:w="1445"/>
        <w:gridCol w:w="1200"/>
        <w:gridCol w:w="1354"/>
        <w:gridCol w:w="15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8"/>
        <w:keepNext/>
        <w:keepLines/>
        <w:widowControl w:val="0"/>
        <w:shd w:val="clear" w:color="auto" w:fill="auto"/>
        <w:bidi w:val="0"/>
        <w:spacing w:before="0" w:after="40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4</w:t>
      </w:r>
      <w:bookmarkEnd w:id="1959"/>
      <w:r>
        <w:rPr>
          <w:color w:val="000000"/>
          <w:spacing w:val="0"/>
          <w:w w:val="100"/>
          <w:position w:val="0"/>
        </w:rPr>
        <w:t>）本期实际核销的其他应收款情况</w:t>
      </w:r>
      <w:bookmarkEnd w:id="1957"/>
      <w:bookmarkEnd w:id="1958"/>
      <w:bookmarkEnd w:id="196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94"/>
        <w:gridCol w:w="1555"/>
        <w:gridCol w:w="1555"/>
        <w:gridCol w:w="1550"/>
        <w:gridCol w:w="1622"/>
        <w:gridCol w:w="16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3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961" w:name="bookmark196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961"/>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潮州市万泉陶瓷花纸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183,588,637.70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潮州市名源陶瓷有限 公司（蔡廷祥等关联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114,411,038.07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64,388293.07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潮州市枫溪区锦汇陶 瓷原料厂（蔡廷祥等 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57,755,113.50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潮州市源发陶瓷有限 公司（蔡廷祥等关联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45288,000.00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6,128,406.59</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深圳长城世家商贸有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36,751,822.29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491,459,498.06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128,271,813.16</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6</w:t>
      </w:r>
      <w:bookmarkEnd w:id="1964"/>
      <w:r>
        <w:rPr>
          <w:color w:val="000000"/>
          <w:spacing w:val="0"/>
          <w:w w:val="100"/>
          <w:position w:val="0"/>
        </w:rPr>
        <w:t>）涉及政府补助的应收款项</w:t>
      </w:r>
      <w:bookmarkEnd w:id="1962"/>
      <w:bookmarkEnd w:id="1963"/>
      <w:bookmarkEnd w:id="196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68"/>
        <w:keepNext/>
        <w:keepLines/>
        <w:widowControl w:val="0"/>
        <w:shd w:val="clear" w:color="auto" w:fill="auto"/>
        <w:tabs>
          <w:tab w:pos="382" w:val="left"/>
        </w:tabs>
        <w:bidi w:val="0"/>
        <w:spacing w:before="0" w:line="240" w:lineRule="auto"/>
        <w:ind w:left="0" w:right="0" w:firstLine="0"/>
        <w:jc w:val="both"/>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7</w:t>
      </w:r>
      <w:bookmarkEnd w:id="1968"/>
      <w:r>
        <w:rPr>
          <w:color w:val="000000"/>
          <w:spacing w:val="0"/>
          <w:w w:val="100"/>
          <w:position w:val="0"/>
        </w:rPr>
        <w:t>）</w:t>
        <w:tab/>
        <w:t>因金融资产转移而终止确认的其他应收款</w:t>
      </w:r>
      <w:bookmarkEnd w:id="1966"/>
      <w:bookmarkEnd w:id="1967"/>
      <w:bookmarkEnd w:id="1969"/>
    </w:p>
    <w:p>
      <w:pPr>
        <w:pStyle w:val="Style68"/>
        <w:keepNext/>
        <w:keepLines/>
        <w:widowControl w:val="0"/>
        <w:shd w:val="clear" w:color="auto" w:fill="auto"/>
        <w:tabs>
          <w:tab w:pos="387" w:val="left"/>
        </w:tabs>
        <w:bidi w:val="0"/>
        <w:spacing w:before="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8</w:t>
      </w:r>
      <w:bookmarkEnd w:id="1972"/>
      <w:r>
        <w:rPr>
          <w:color w:val="000000"/>
          <w:spacing w:val="0"/>
          <w:w w:val="100"/>
          <w:position w:val="0"/>
        </w:rPr>
        <w:t>）</w:t>
        <w:tab/>
        <w:t>转移其他应收款且继续涉入形成的资产、负债金额</w:t>
      </w:r>
      <w:bookmarkEnd w:id="1970"/>
      <w:bookmarkEnd w:id="1971"/>
      <w:bookmarkEnd w:id="1973"/>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3</w:t>
      </w:r>
      <w:bookmarkEnd w:id="1976"/>
      <w:r>
        <w:rPr>
          <w:color w:val="000000"/>
          <w:spacing w:val="0"/>
          <w:w w:val="100"/>
          <w:position w:val="0"/>
        </w:rPr>
        <w:t>、长期股权投资</w:t>
      </w:r>
      <w:bookmarkEnd w:id="1974"/>
      <w:bookmarkEnd w:id="1975"/>
      <w:bookmarkEnd w:id="197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87"/>
        <w:gridCol w:w="4104"/>
        <w:gridCol w:w="41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585,768,014.40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295,667,800.00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290,100,214.40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585,768,014.40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579,868,014.40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209,613,881.03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60,360,480.14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209,629,907.90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60,376,507.01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795,381,895.43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444,921,200.89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350,460,694.54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795,397,922.30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155,153,400.89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640,244,521.41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78"/>
      <w:bookmarkEnd w:id="1979"/>
      <w:bookmarkEnd w:id="19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6"/>
        <w:gridCol w:w="1162"/>
        <w:gridCol w:w="1162"/>
        <w:gridCol w:w="1219"/>
        <w:gridCol w:w="1210"/>
        <w:gridCol w:w="123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潮州市万泉陶 瓷花纸有限公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潮州市三江陶 瓷原料有限公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广州长城世家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深圳长城世家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深圳市世家会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艺术品投资有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潮州市华沁瓷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深圳万城投资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 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289,767,800.0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4,332,200.00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295,667,800.00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潮州市润潮陶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579,868,014.4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289,767,800.0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290,100,214.40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295,667,800.00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81"/>
      <w:bookmarkEnd w:id="1982"/>
      <w:bookmarkEnd w:id="1983"/>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宜兴市金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鱼陶瓷有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潮州民营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新余智趣 资产管理 合伙企业 （有限合</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60,376,50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-16,026.8</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60,360,48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84"/>
      <w:bookmarkEnd w:id="1985"/>
      <w:bookmarkEnd w:id="1987"/>
    </w:p>
    <w:p>
      <w:pPr>
        <w:pStyle w:val="Style13"/>
        <w:keepNext w:val="0"/>
        <w:keepLines w:val="0"/>
        <w:widowControl w:val="0"/>
        <w:shd w:val="clear" w:color="auto" w:fill="auto"/>
        <w:bidi w:val="0"/>
        <w:spacing w:before="0" w:after="6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长期股权投资减值准备</w:t>
      </w:r>
    </w:p>
    <w:tbl>
      <w:tblPr>
        <w:tblOverlap w:val="never"/>
        <w:jc w:val="left"/>
        <w:tblLayout w:type="fixed"/>
      </w:tblPr>
      <w:tblGrid>
        <w:gridCol w:w="2712"/>
        <w:gridCol w:w="1992"/>
        <w:gridCol w:w="1373"/>
        <w:gridCol w:w="1282"/>
        <w:gridCol w:w="1531"/>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宜兴市金鱼陶瓷有限公司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53,690,622.83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53,690,622.83</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新余智趣资产管理合伙企业（有限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95,562,778.06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95,562,778.06</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149,253,400.89</w:t>
            </w:r>
          </w:p>
        </w:tc>
      </w:tr>
    </w:tbl>
    <w:p>
      <w:pPr>
        <w:widowControl w:val="0"/>
        <w:spacing w:after="999" w:line="1" w:lineRule="exact"/>
      </w:pPr>
    </w:p>
    <w:p>
      <w:pPr>
        <w:pStyle w:val="Style23"/>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、营业收入和营业成本</w:t>
      </w:r>
      <w:bookmarkEnd w:id="1988"/>
      <w:bookmarkEnd w:id="1989"/>
      <w:bookmarkEnd w:id="19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876,106.19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1,599,129.10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170,462.22</w:t>
            </w:r>
          </w:p>
        </w:tc>
      </w:tr>
    </w:tbl>
    <w:p>
      <w:pPr>
        <w:widowControl w:val="0"/>
        <w:spacing w:line="1" w:lineRule="exact"/>
      </w:pPr>
      <w:r>
        <w:br w:type="page"/>
      </w:r>
    </w:p>
    <w:tbl>
      <w:tblPr>
        <w:tblOverlap w:val="never"/>
        <w:jc w:val="center"/>
        <w:tblLayout w:type="fixed"/>
      </w:tblPr>
      <w:tblGrid>
        <w:gridCol w:w="2002"/>
        <w:gridCol w:w="1838"/>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4,044,815.10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4,253,622.87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4,036,177.20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4,140,388.47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4,920,921.29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4,456,639.26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5,635,306.30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4,310,850.69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其他说明：</w:t>
      </w:r>
      <w:r>
        <w:br w:type="page"/>
      </w:r>
    </w:p>
    <w:p>
      <w:pPr>
        <w:pStyle w:val="Style23"/>
        <w:keepNext/>
        <w:keepLines/>
        <w:widowControl w:val="0"/>
        <w:shd w:val="clear" w:color="auto" w:fill="auto"/>
        <w:bidi w:val="0"/>
        <w:spacing w:before="0" w:after="40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color w:val="000000"/>
          <w:spacing w:val="0"/>
          <w:w w:val="100"/>
          <w:position w:val="0"/>
        </w:rPr>
        <w:t>、投资收益</w:t>
      </w:r>
      <w:bookmarkEnd w:id="1992"/>
      <w:bookmarkEnd w:id="1993"/>
      <w:bookmarkEnd w:id="199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57,640,000.00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-16,026.87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-1,488,030.19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6,979,981.11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64,603,954.24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2,291,969.81</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6</w:t>
      </w:r>
      <w:bookmarkEnd w:id="1998"/>
      <w:r>
        <w:rPr>
          <w:color w:val="000000"/>
          <w:spacing w:val="0"/>
          <w:w w:val="100"/>
          <w:position w:val="0"/>
        </w:rPr>
        <w:t>、其他</w:t>
      </w:r>
      <w:bookmarkEnd w:id="1996"/>
      <w:bookmarkEnd w:id="1997"/>
      <w:bookmarkEnd w:id="1999"/>
    </w:p>
    <w:p>
      <w:pPr>
        <w:pStyle w:val="Style19"/>
        <w:keepNext/>
        <w:keepLines/>
        <w:widowControl w:val="0"/>
        <w:shd w:val="clear" w:color="auto" w:fill="auto"/>
        <w:bidi w:val="0"/>
        <w:spacing w:before="0" w:after="340" w:line="240" w:lineRule="auto"/>
        <w:ind w:left="0" w:right="0" w:firstLine="0"/>
        <w:jc w:val="both"/>
      </w:pPr>
      <w:bookmarkStart w:id="2000" w:name="bookmark2000"/>
      <w:bookmarkStart w:id="2001" w:name="bookmark2001"/>
      <w:bookmarkStart w:id="2002" w:name="bookmark2002"/>
      <w:r>
        <w:rPr>
          <w:color w:val="000000"/>
          <w:spacing w:val="0"/>
          <w:w w:val="100"/>
          <w:position w:val="0"/>
        </w:rPr>
        <w:t>十七、补充资料</w:t>
      </w:r>
      <w:bookmarkEnd w:id="2000"/>
      <w:bookmarkEnd w:id="2001"/>
      <w:bookmarkEnd w:id="2002"/>
    </w:p>
    <w:p>
      <w:pPr>
        <w:pStyle w:val="Style23"/>
        <w:keepNext/>
        <w:keepLines/>
        <w:widowControl w:val="0"/>
        <w:shd w:val="clear" w:color="auto" w:fill="auto"/>
        <w:bidi w:val="0"/>
        <w:spacing w:before="0" w:after="400" w:line="240" w:lineRule="auto"/>
        <w:ind w:left="0" w:right="0" w:firstLine="0"/>
        <w:jc w:val="both"/>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03"/>
      <w:bookmarkEnd w:id="2004"/>
      <w:bookmarkEnd w:id="2005"/>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6,631,548.29</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1,689,206.17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347,002.43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-6,603,930.24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1,068,216.52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998,727.25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10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rPr>
          <w:sz w:val="20"/>
          <w:szCs w:val="20"/>
        </w:rPr>
      </w:pPr>
      <w:bookmarkStart w:id="2006" w:name="bookmark200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006"/>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bl>
    <w:p>
      <w:pPr>
        <w:widowControl w:val="0"/>
        <w:spacing w:after="239" w:line="1" w:lineRule="exact"/>
      </w:pPr>
    </w:p>
    <w:p>
      <w:pPr>
        <w:pStyle w:val="Style23"/>
        <w:keepNext/>
        <w:keepLines/>
        <w:widowControl w:val="0"/>
        <w:shd w:val="clear" w:color="auto" w:fill="auto"/>
        <w:tabs>
          <w:tab w:pos="368" w:val="left"/>
        </w:tabs>
        <w:bidi w:val="0"/>
        <w:spacing w:before="0" w:after="300" w:line="322" w:lineRule="exact"/>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3</w:t>
      </w:r>
      <w:bookmarkEnd w:id="2009"/>
      <w:r>
        <w:rPr>
          <w:color w:val="000000"/>
          <w:spacing w:val="0"/>
          <w:w w:val="100"/>
          <w:position w:val="0"/>
        </w:rPr>
        <w:t>、</w:t>
        <w:tab/>
        <w:t>境内外会计准则下会计数据差异</w:t>
      </w:r>
      <w:bookmarkEnd w:id="2007"/>
      <w:bookmarkEnd w:id="2008"/>
      <w:bookmarkEnd w:id="2010"/>
    </w:p>
    <w:p>
      <w:pPr>
        <w:pStyle w:val="Style29"/>
        <w:keepNext/>
        <w:keepLines/>
        <w:widowControl w:val="0"/>
        <w:shd w:val="clear" w:color="auto" w:fill="auto"/>
        <w:tabs>
          <w:tab w:pos="483" w:val="left"/>
        </w:tabs>
        <w:bidi w:val="0"/>
        <w:spacing w:before="0" w:line="322" w:lineRule="exact"/>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11"/>
      <w:bookmarkEnd w:id="2012"/>
      <w:bookmarkEnd w:id="2014"/>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322"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15"/>
      <w:bookmarkEnd w:id="2016"/>
      <w:bookmarkEnd w:id="2018"/>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322" w:lineRule="exact"/>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19"/>
      <w:bookmarkEnd w:id="2020"/>
      <w:bookmarkEnd w:id="2022"/>
    </w:p>
    <w:p>
      <w:pPr>
        <w:pStyle w:val="Style23"/>
        <w:keepNext/>
        <w:keepLines/>
        <w:widowControl w:val="0"/>
        <w:shd w:val="clear" w:color="auto" w:fill="auto"/>
        <w:tabs>
          <w:tab w:pos="368" w:val="left"/>
        </w:tabs>
        <w:bidi w:val="0"/>
        <w:spacing w:before="0" w:after="300" w:line="322" w:lineRule="exact"/>
        <w:ind w:left="0" w:right="0" w:firstLine="0"/>
        <w:jc w:val="both"/>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4</w:t>
      </w:r>
      <w:bookmarkEnd w:id="2025"/>
      <w:r>
        <w:rPr>
          <w:color w:val="000000"/>
          <w:spacing w:val="0"/>
          <w:w w:val="100"/>
          <w:position w:val="0"/>
        </w:rPr>
        <w:t>、</w:t>
        <w:tab/>
        <w:t>其他</w:t>
      </w:r>
      <w:bookmarkEnd w:id="2023"/>
      <w:bookmarkEnd w:id="2024"/>
      <w:bookmarkEnd w:id="2026"/>
    </w:p>
    <w:sectPr>
      <w:footnotePr>
        <w:pos w:val="pageBottom"/>
        <w:numFmt w:val="decimal"/>
        <w:numRestart w:val="continuous"/>
      </w:footnotePr>
      <w:pgSz w:w="11900" w:h="16840"/>
      <w:pgMar w:top="1391" w:right="1038" w:bottom="1433" w:left="10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Body text (3)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30">
    <w:name w:val="Heading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Table caption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Body text (7)_"/>
    <w:basedOn w:val="DefaultParagraphFont"/>
    <w:link w:val="Style47"/>
    <w:rPr>
      <w:rFonts w:ascii="Times New Roman" w:eastAsia="Times New Roman" w:hAnsi="Times New Roman" w:cs="Times New Roman"/>
      <w:b/>
      <w:bCs/>
      <w:i w:val="0"/>
      <w:iCs w:val="0"/>
      <w:smallCaps w:val="0"/>
      <w:strike w:val="0"/>
      <w:color w:val="312732"/>
      <w:sz w:val="20"/>
      <w:szCs w:val="20"/>
      <w:u w:val="none"/>
      <w:shd w:val="clear" w:color="auto" w:fill="auto"/>
    </w:rPr>
  </w:style>
  <w:style w:type="character" w:customStyle="1" w:styleId="CharStyle51">
    <w:name w:val="Body text (6)_"/>
    <w:basedOn w:val="DefaultParagraphFont"/>
    <w:link w:val="Style50"/>
    <w:rPr>
      <w:rFonts w:ascii="SimHei" w:eastAsia="SimHei" w:hAnsi="SimHei" w:cs="SimHei"/>
      <w:b w:val="0"/>
      <w:bCs w:val="0"/>
      <w:i w:val="0"/>
      <w:iCs w:val="0"/>
      <w:smallCaps w:val="0"/>
      <w:strike w:val="0"/>
      <w:color w:val="565656"/>
      <w:sz w:val="13"/>
      <w:szCs w:val="13"/>
      <w:u w:val="none"/>
      <w:shd w:val="clear" w:color="auto" w:fill="auto"/>
    </w:rPr>
  </w:style>
  <w:style w:type="character" w:customStyle="1" w:styleId="CharStyle67">
    <w:name w:val="Body text (8)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9">
    <w:name w:val="Heading #5_"/>
    <w:basedOn w:val="DefaultParagraphFont"/>
    <w:link w:val="Style68"/>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49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6" w:lineRule="exact"/>
      <w:ind w:firstLine="240"/>
    </w:pPr>
    <w:rPr>
      <w:rFonts w:ascii="SimSun" w:eastAsia="SimSun" w:hAnsi="SimSun" w:cs="SimSun"/>
      <w:b/>
      <w:bCs/>
      <w:i w:val="0"/>
      <w:iCs w:val="0"/>
      <w:smallCaps w:val="0"/>
      <w:strike w:val="0"/>
      <w:sz w:val="26"/>
      <w:szCs w:val="26"/>
      <w:u w:val="none"/>
      <w:shd w:val="clear" w:color="auto" w:fill="auto"/>
    </w:rPr>
  </w:style>
  <w:style w:type="paragraph" w:styleId="Style13">
    <w:name w:val="Body text"/>
    <w:basedOn w:val="Normal"/>
    <w:link w:val="CharStyle14"/>
    <w:qFormat/>
    <w:pPr>
      <w:widowControl w:val="0"/>
      <w:shd w:val="clear" w:color="auto" w:fill="auto"/>
      <w:spacing w:line="300"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6">
    <w:name w:val="Body text (3)"/>
    <w:basedOn w:val="Normal"/>
    <w:link w:val="CharStyle1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Heading #2"/>
    <w:basedOn w:val="Normal"/>
    <w:link w:val="CharStyle20"/>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Heading #3"/>
    <w:basedOn w:val="Normal"/>
    <w:link w:val="CharStyle24"/>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9">
    <w:name w:val="Heading #4"/>
    <w:basedOn w:val="Normal"/>
    <w:link w:val="CharStyle3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2">
    <w:name w:val="Table caption"/>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Body text (7)"/>
    <w:basedOn w:val="Normal"/>
    <w:link w:val="CharStyle48"/>
    <w:pPr>
      <w:widowControl w:val="0"/>
      <w:shd w:val="clear" w:color="auto" w:fill="auto"/>
      <w:spacing w:after="560"/>
      <w:ind w:right="2040"/>
      <w:jc w:val="right"/>
    </w:pPr>
    <w:rPr>
      <w:rFonts w:ascii="Times New Roman" w:eastAsia="Times New Roman" w:hAnsi="Times New Roman" w:cs="Times New Roman"/>
      <w:b/>
      <w:bCs/>
      <w:i w:val="0"/>
      <w:iCs w:val="0"/>
      <w:smallCaps w:val="0"/>
      <w:strike w:val="0"/>
      <w:color w:val="312732"/>
      <w:sz w:val="20"/>
      <w:szCs w:val="20"/>
      <w:u w:val="none"/>
      <w:shd w:val="clear" w:color="auto" w:fill="auto"/>
    </w:rPr>
  </w:style>
  <w:style w:type="paragraph" w:customStyle="1" w:styleId="Style50">
    <w:name w:val="Body text (6)"/>
    <w:basedOn w:val="Normal"/>
    <w:link w:val="CharStyle51"/>
    <w:pPr>
      <w:widowControl w:val="0"/>
      <w:shd w:val="clear" w:color="auto" w:fill="auto"/>
      <w:spacing w:line="195" w:lineRule="exact"/>
      <w:ind w:left="1500" w:right="1340" w:firstLine="280"/>
    </w:pPr>
    <w:rPr>
      <w:rFonts w:ascii="SimHei" w:eastAsia="SimHei" w:hAnsi="SimHei" w:cs="SimHei"/>
      <w:b w:val="0"/>
      <w:bCs w:val="0"/>
      <w:i w:val="0"/>
      <w:iCs w:val="0"/>
      <w:smallCaps w:val="0"/>
      <w:strike w:val="0"/>
      <w:color w:val="565656"/>
      <w:sz w:val="13"/>
      <w:szCs w:val="13"/>
      <w:u w:val="none"/>
      <w:shd w:val="clear" w:color="auto" w:fill="auto"/>
    </w:rPr>
  </w:style>
  <w:style w:type="paragraph" w:customStyle="1" w:styleId="Style66">
    <w:name w:val="Body text (8)"/>
    <w:basedOn w:val="Normal"/>
    <w:link w:val="CharStyle67"/>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8">
    <w:name w:val="Heading #5"/>
    <w:basedOn w:val="Normal"/>
    <w:link w:val="CharStyle69"/>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广东文化长城集团股份有限公司2021年年度报告全文</dc:title>
  <dc:subject/>
  <dc:creator>广东文化长城集团股份有限公司</dc:creator>
  <cp:keywords/>
</cp:coreProperties>
</file>