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563" w:lineRule="exact"/>
        <w:ind w:left="407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drawing>
          <wp:inline distT="0" distB="0" distL="0" distR="0">
            <wp:extent cx="1144182" cy="162791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144182" cy="1627917"/>
                    </a:xfrm>
                    <a:prstGeom prst="rect">
                      <a:avLst/>
                    </a:prstGeom>
                  </pic:spPr>
                </pic:pic>
              </a:graphicData>
            </a:graphic>
          </wp:inline>
        </w:drawing>
      </w:r>
      <w:r>
        <w:rPr>
          <w:rFonts w:ascii="Times New Roman" w:hAnsi="Times New Roman" w:cs="Times New Roman" w:eastAsia="Times New Roman" w:hint="default"/>
          <w:position w:val="-50"/>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494" w:right="500"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94" w:right="49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494" w:right="49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0"/>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童斌</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工作原因（出差）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卢永华</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卢永华</w:t>
            </w:r>
          </w:p>
        </w:tc>
      </w:tr>
    </w:tbl>
    <w:p>
      <w:pPr>
        <w:spacing w:line="240" w:lineRule="auto" w:before="2"/>
        <w:rPr>
          <w:rFonts w:ascii="宋体" w:hAnsi="宋体" w:cs="宋体" w:eastAsia="宋体" w:hint="default"/>
          <w:b/>
          <w:bCs/>
          <w:sz w:val="13"/>
          <w:szCs w:val="13"/>
        </w:rPr>
      </w:pPr>
    </w:p>
    <w:p>
      <w:pPr>
        <w:spacing w:line="386" w:lineRule="auto" w:before="14"/>
        <w:ind w:left="152"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公司负责人古培坚、主管会计工作负责人陈东红及会计机构负责人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4" w:right="49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w:t>
            </w:r>
            <w:r>
              <w:rPr>
                <w:spacing w:val="1"/>
              </w:rPr>
              <w:t> </w:t>
            </w:r>
            <w:r>
              <w:rPr/>
              <w:t>公司基本情况简介</w:t>
            </w:r>
            <w:r>
              <w:rPr>
                <w:rFonts w:ascii="Times New Roman" w:hAnsi="Times New Roman" w:cs="Times New Roman" w:eastAsia="Times New Roman" w:hint="default"/>
              </w:rPr>
              <w:tab/>
              <w:t>6</w:t>
            </w:r>
          </w:hyperlink>
        </w:p>
        <w:p>
          <w:pPr>
            <w:pStyle w:val="TOC1"/>
            <w:tabs>
              <w:tab w:pos="9782" w:val="right" w:leader="dot"/>
            </w:tabs>
            <w:spacing w:line="240" w:lineRule="auto" w:before="102"/>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8</w:t>
            </w:r>
          </w:hyperlink>
        </w:p>
        <w:p>
          <w:pPr>
            <w:pStyle w:val="TOC1"/>
            <w:tabs>
              <w:tab w:pos="9778"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6"/>
              </w:rPr>
              <w:t>11</w:t>
            </w:r>
            <w:r>
              <w:rPr>
                <w:rFonts w:ascii="Times New Roman" w:hAnsi="Times New Roman" w:cs="Times New Roman" w:eastAsia="Times New Roman" w:hint="default"/>
              </w:rPr>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44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48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56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第九节</w:t>
            </w:r>
            <w:r>
              <w:rPr>
                <w:spacing w:val="1"/>
              </w:rPr>
              <w:t> </w:t>
            </w:r>
            <w:r>
              <w:rPr/>
              <w:t>财务报告</w:t>
            </w:r>
            <w:r>
              <w:rPr>
                <w:rFonts w:ascii="Times New Roman" w:hAnsi="Times New Roman" w:cs="Times New Roman" w:eastAsia="Times New Roman" w:hint="default"/>
              </w:rPr>
              <w:tab/>
              <w:t>59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备查文件目录</w:t>
            </w:r>
            <w:r>
              <w:rPr>
                <w:rFonts w:ascii="Times New Roman" w:hAnsi="Times New Roman" w:cs="Times New Roman" w:eastAsia="Times New Roman" w:hint="default"/>
              </w:rPr>
              <w:tab/>
              <w:t>141</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494" w:right="49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53"/>
        <w:gridCol w:w="582"/>
        <w:gridCol w:w="5436"/>
      </w:tblGrid>
      <w:tr>
        <w:trPr>
          <w:trHeight w:val="401" w:hRule="exact"/>
        </w:trPr>
        <w:tc>
          <w:tcPr>
            <w:tcW w:w="3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r>
      <w:tr>
        <w:trPr>
          <w:trHeight w:val="404"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大连易联众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大连易联众科技有限公司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易联众电子科技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中职动力</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实际控制人、控股股东</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天健正信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天健正信会计师事务所有限公司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保荐机构、主承销商</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招商证券股份有限公司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律师、律师顾问</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北京市天元律师事务所</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发行人首次向社会公众发行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股的行为</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125" w:right="0"/>
        <w:jc w:val="left"/>
        <w:rPr>
          <w:b w:val="0"/>
          <w:bCs w:val="0"/>
        </w:rPr>
      </w:pPr>
      <w:bookmarkStart w:name="_bookmark1" w:id="2"/>
      <w:bookmarkEnd w:id="2"/>
      <w:r>
        <w:rPr>
          <w:b w:val="0"/>
          <w:bCs w:val="0"/>
        </w:rPr>
      </w:r>
      <w:r>
        <w:rPr/>
        <w:t>第二节</w:t>
      </w:r>
      <w:r>
        <w:rPr>
          <w:spacing w:val="-6"/>
        </w:rPr>
        <w:t> </w:t>
      </w:r>
      <w:r>
        <w:rPr/>
        <w:t>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YLZ Information Technology</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YLZ</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古培坚</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361008</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厦门市曾厝垵软件园创新大厦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祝少静</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zhushaojing553@163.com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59"/>
        <w:gridCol w:w="5711"/>
      </w:tblGrid>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2"/>
              <w:ind w:left="24"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室易联众信息技术股份有限公司董事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宋体" w:hAnsi="宋体" w:cs="宋体" w:eastAsia="宋体" w:hint="default"/>
          <w:b/>
          <w:bCs/>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2;top:14;width:3851;height:353" coordorigin="12,14" coordsize="3851,353">
              <v:shape style="position:absolute;left:12;top:14;width:3851;height:353" coordorigin="12,14" coordsize="3851,353" path="m12,367l3863,367,3863,14,12,14,12,367xe" filled="true" fillcolor="#d2d2d2" stroked="false">
                <v:path arrowok="t"/>
                <v:fill type="solid"/>
              </v:shape>
            </v:group>
            <v:group style="position:absolute;left:10;top:10;width:3851;height:2" coordorigin="10,10" coordsize="3851,2">
              <v:shape style="position:absolute;left:10;top:10;width:3851;height:2" coordorigin="10,10" coordsize="3851,0" path="m10,10l3860,10e" filled="false" stroked="true" strokeweight=".48pt" strokecolor="#000000">
                <v:path arrowok="t"/>
              </v:shape>
            </v:group>
            <v:group style="position:absolute;left:3870;top:10;width:5701;height:2" coordorigin="3870,10" coordsize="5701,2">
              <v:shape style="position:absolute;left:3870;top:10;width:5701;height:2" coordorigin="3870,10" coordsize="5701,0" path="m3870,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3851;height:2" coordorigin="10,372" coordsize="3851,2">
              <v:shape style="position:absolute;left:10;top:372;width:3851;height:2" coordorigin="10,372" coordsize="3851,0" path="m10,372l3860,372e" filled="false" stroked="true" strokeweight=".48pt" strokecolor="#000000">
                <v:path arrowok="t"/>
              </v:shape>
            </v:group>
            <v:group style="position:absolute;left:3865;top:5;width:2;height:372" coordorigin="3865,5" coordsize="2,372">
              <v:shape style="position:absolute;left:3865;top:5;width:2;height:372" coordorigin="3865,5" coordsize="0,372" path="m3865,5l3865,377e" filled="false" stroked="true" strokeweight=".48pt" strokecolor="#000000">
                <v:path arrowok="t"/>
              </v:shape>
            </v:group>
            <v:group style="position:absolute;left:3870;top:372;width:5701;height:2" coordorigin="3870,372" coordsize="5701,2">
              <v:shape style="position:absolute;left:3870;top:372;width:5701;height:2" coordorigin="3870,372" coordsize="5701,0" path="m3870,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7998pt" strokecolor="#000000">
                <v:path arrowok="t"/>
              </v:shape>
              <v:shape style="position:absolute;left:3865;top:10;width:5711;height:363" type="#_x0000_t202" filled="false" stroked="false">
                <v:textbox inset="0,0,0,0">
                  <w:txbxContent>
                    <w:p>
                      <w:pPr>
                        <w:spacing w:before="13"/>
                        <w:ind w:left="28" w:right="0" w:firstLine="0"/>
                        <w:jc w:val="left"/>
                        <w:rPr>
                          <w:rFonts w:ascii="宋体" w:hAnsi="宋体" w:cs="宋体" w:eastAsia="宋体" w:hint="default"/>
                          <w:sz w:val="18"/>
                          <w:szCs w:val="18"/>
                        </w:rPr>
                      </w:pPr>
                      <w:r>
                        <w:rPr>
                          <w:rFonts w:ascii="宋体" w:hAnsi="宋体" w:cs="宋体" w:eastAsia="宋体" w:hint="default"/>
                          <w:sz w:val="18"/>
                          <w:szCs w:val="18"/>
                        </w:rPr>
                        <w:t>会办公室</w:t>
                      </w:r>
                    </w:p>
                  </w:txbxContent>
                </v:textbox>
                <w10:wrap type="none"/>
              </v:shape>
            </v:group>
          </v:group>
        </w:pict>
      </w:r>
      <w:r>
        <w:rPr>
          <w:rFonts w:ascii="宋体" w:hAnsi="宋体" w:cs="宋体" w:eastAsia="宋体" w:hint="default"/>
          <w:position w:val="-7"/>
          <w:sz w:val="20"/>
          <w:szCs w:val="20"/>
        </w:rPr>
      </w:r>
    </w:p>
    <w:p>
      <w:pPr>
        <w:spacing w:line="240" w:lineRule="auto" w:before="10"/>
        <w:rPr>
          <w:rFonts w:ascii="宋体" w:hAnsi="宋体" w:cs="宋体" w:eastAsia="宋体" w:hint="default"/>
          <w:b/>
          <w:bCs/>
          <w:sz w:val="17"/>
          <w:szCs w:val="17"/>
        </w:rPr>
      </w:pPr>
    </w:p>
    <w:p>
      <w:pPr>
        <w:pStyle w:val="Heading2"/>
        <w:spacing w:line="240" w:lineRule="auto" w:before="26"/>
        <w:ind w:right="0"/>
        <w:jc w:val="left"/>
        <w:rPr>
          <w:b w:val="0"/>
          <w:bCs w:val="0"/>
        </w:rPr>
      </w:pP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厦门软件园软件技 术服务大楼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5F-B</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企独闽厦总副字第</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05235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350206612040492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61204049-2</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both"/>
              <w:rPr>
                <w:rFonts w:ascii="宋体" w:hAnsi="宋体" w:cs="宋体" w:eastAsia="宋体" w:hint="default"/>
                <w:sz w:val="18"/>
                <w:szCs w:val="18"/>
              </w:rPr>
            </w:pPr>
            <w:r>
              <w:rPr>
                <w:rFonts w:ascii="宋体" w:hAnsi="宋体" w:cs="宋体" w:eastAsia="宋体" w:hint="default"/>
                <w:sz w:val="18"/>
                <w:szCs w:val="18"/>
              </w:rPr>
              <w:t>有限公司整体变更 为股份有限公司注 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both"/>
              <w:rPr>
                <w:rFonts w:ascii="宋体" w:hAnsi="宋体" w:cs="宋体" w:eastAsia="宋体" w:hint="default"/>
                <w:sz w:val="18"/>
                <w:szCs w:val="18"/>
              </w:rPr>
            </w:pPr>
            <w:r>
              <w:rPr>
                <w:rFonts w:ascii="宋体" w:hAnsi="宋体" w:cs="宋体" w:eastAsia="宋体" w:hint="default"/>
                <w:sz w:val="18"/>
                <w:szCs w:val="18"/>
              </w:rPr>
              <w:t>厦门火炬高新区软 件园软件技术服务 大楼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5F-B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61204049-2</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首次公开发行股票 资本变更注册登记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61204049-2</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资本公积转增股本 资本变更注册登记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61204049-2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经营范围变更注册 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厦门市软件园二期 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350298200002795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pacing w:val="-1"/>
                <w:sz w:val="18"/>
              </w:rPr>
              <w:t>350206612040492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61204049-2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38" w:lineRule="auto" w:before="117"/>
        <w:ind w:right="8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08"/>
        <w:gridCol w:w="1749"/>
        <w:gridCol w:w="1740"/>
        <w:gridCol w:w="1738"/>
        <w:gridCol w:w="1736"/>
      </w:tblGrid>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279,797,747.85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382,517,145.28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185,320,054.27</w:t>
            </w:r>
          </w:p>
        </w:tc>
      </w:tr>
      <w:tr>
        <w:trPr>
          <w:trHeight w:val="404"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51,247,001.71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96,591,987.52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-46.94%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31,005,440.53</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70,709,683.84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102,555,091.60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39,101,865.20</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56,241,855.51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86,353,307.85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32,512,663.11</w:t>
            </w:r>
          </w:p>
        </w:tc>
      </w:tr>
      <w:tr>
        <w:trPr>
          <w:trHeight w:val="71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48,924,331.98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84,418,604.45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30,224,797.47</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51,340,826.82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85,443,677.60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-38,627,683.97</w:t>
            </w:r>
          </w:p>
        </w:tc>
      </w:tr>
      <w:tr>
        <w:trPr>
          <w:trHeight w:val="161" w:hRule="exact"/>
        </w:trPr>
        <w:tc>
          <w:tcPr>
            <w:tcW w:w="26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8"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759,411,423.38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732,785,368.49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605,567,813.13</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118,590,176.47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133,909,654.40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71,998,585.98</w:t>
            </w:r>
          </w:p>
        </w:tc>
      </w:tr>
      <w:tr>
        <w:trPr>
          <w:trHeight w:val="715"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630,516,853.52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591,474,998.01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524,333,557.69</w:t>
            </w:r>
          </w:p>
        </w:tc>
      </w:tr>
      <w:tr>
        <w:trPr>
          <w:trHeight w:val="401" w:hRule="exact"/>
        </w:trPr>
        <w:tc>
          <w:tcPr>
            <w:tcW w:w="2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86,000,000.00</w:t>
            </w:r>
          </w:p>
        </w:tc>
      </w:tr>
    </w:tbl>
    <w:p>
      <w:pPr>
        <w:pStyle w:val="BodyText"/>
        <w:spacing w:line="240" w:lineRule="auto" w:before="49"/>
        <w:ind w:right="0"/>
        <w:jc w:val="left"/>
      </w:pPr>
      <w:r>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6"/>
      </w:tblGrid>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716"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0.21</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11.68%</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w:t>
            </w:r>
          </w:p>
        </w:tc>
      </w:tr>
      <w:tr>
        <w:trPr>
          <w:trHeight w:val="40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4"/>
        <w:gridCol w:w="1738"/>
        <w:gridCol w:w="1736"/>
        <w:gridCol w:w="1738"/>
        <w:gridCol w:w="1736"/>
      </w:tblGrid>
      <w:tr>
        <w:trPr>
          <w:trHeight w:val="362"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0.30</w:t>
            </w:r>
            <w:r>
              <w:rPr>
                <w:rFonts w:ascii="Times New Roman"/>
                <w:sz w:val="18"/>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0.50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-39.92%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-0.45</w:t>
            </w:r>
          </w:p>
        </w:tc>
      </w:tr>
      <w:tr>
        <w:trPr>
          <w:trHeight w:val="161" w:hRule="exact"/>
        </w:trPr>
        <w:tc>
          <w:tcPr>
            <w:tcW w:w="2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8"/>
              <w:ind w:left="4"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24"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6.10</w:t>
            </w:r>
            <w:r>
              <w:rPr>
                <w:rFonts w:ascii="Times New Roman"/>
                <w:sz w:val="18"/>
              </w:rPr>
            </w:r>
          </w:p>
        </w:tc>
      </w:tr>
      <w:tr>
        <w:trPr>
          <w:trHeight w:val="403" w:hRule="exact"/>
        </w:trPr>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11.89%</w:t>
            </w:r>
          </w:p>
        </w:tc>
      </w:tr>
    </w:tbl>
    <w:p>
      <w:pPr>
        <w:spacing w:line="240" w:lineRule="auto" w:before="1"/>
        <w:rPr>
          <w:rFonts w:ascii="宋体" w:hAnsi="宋体" w:cs="宋体" w:eastAsia="宋体" w:hint="default"/>
          <w:sz w:val="18"/>
          <w:szCs w:val="18"/>
        </w:rPr>
      </w:pPr>
    </w:p>
    <w:p>
      <w:pPr>
        <w:pStyle w:val="Heading2"/>
        <w:spacing w:line="240" w:lineRule="auto" w:before="26"/>
        <w:ind w:right="94"/>
        <w:jc w:val="left"/>
        <w:rPr>
          <w:b w:val="0"/>
          <w:bCs w:val="0"/>
        </w:rPr>
      </w:pPr>
      <w:r>
        <w:rPr/>
        <w:t>二、报告期内非经常性损益的项目及金额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2"/>
      </w:tblGrid>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-63,257.34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-28,264.79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-9,607.15</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8,804,833.33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2,318,070.94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3,780,103.36</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-63,934.86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-32,856.76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65,612.69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-1,130,997.44</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1,360,821.12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321,820.99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411,702.83</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-703.52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5,542.99</w:t>
            </w:r>
          </w:p>
        </w:tc>
        <w:tc>
          <w:tcPr>
            <w:tcW w:w="17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7,317,523.53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1,934,703.40</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2,287,865.64</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7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94"/>
        <w:jc w:val="left"/>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41" w:right="94" w:firstLine="72"/>
        <w:jc w:val="left"/>
      </w:pPr>
      <w:r>
        <w:rPr>
          <w:rFonts w:ascii="Times New Roman" w:hAnsi="Times New Roman" w:cs="Times New Roman" w:eastAsia="Times New Roman" w:hint="default"/>
        </w:rPr>
        <w:t>1</w:t>
      </w:r>
      <w:r>
        <w:rPr/>
        <w:t>、不能持续进行技术创新或产品更新的风险 </w:t>
      </w:r>
      <w:r>
        <w:rPr>
          <w:spacing w:val="-1"/>
        </w:rPr>
        <w:t>由于软件等信息技术类产品具有技术更新快、产品生命周期短的特点，用户对软件及相关产品的功能要求不断提高，因</w:t>
      </w:r>
    </w:p>
    <w:p>
      <w:pPr>
        <w:pStyle w:val="BodyText"/>
        <w:spacing w:line="319" w:lineRule="auto" w:before="31"/>
        <w:ind w:right="189"/>
        <w:jc w:val="both"/>
      </w:pPr>
      <w:r>
        <w:rPr>
          <w:spacing w:val="-2"/>
        </w:rPr>
        <w:t>此公司需要不断进行新技术、新产品的研发和升级。如果公司不能持续进行技术创新，则难以保持行业领先地位，陷入同质</w:t>
      </w:r>
      <w:r>
        <w:rPr>
          <w:spacing w:val="-64"/>
        </w:rPr>
        <w:t> </w:t>
      </w:r>
      <w:r>
        <w:rPr>
          <w:spacing w:val="-64"/>
        </w:rPr>
      </w:r>
      <w:r>
        <w:rPr>
          <w:spacing w:val="-2"/>
        </w:rPr>
        <w:t>化经营。因此未来，公司仍需要不断进行技术创新，坚持技术领先的发展战略，注重引进和培养优秀技术人才，从而保持核</w:t>
      </w:r>
      <w:r>
        <w:rPr>
          <w:spacing w:val="-67"/>
        </w:rPr>
        <w:t> </w:t>
      </w:r>
      <w:r>
        <w:rPr>
          <w:spacing w:val="-67"/>
        </w:rPr>
      </w:r>
      <w:r>
        <w:rPr/>
        <w:t>心竞争力，确保在行业的领先地位。</w:t>
      </w:r>
    </w:p>
    <w:p>
      <w:pPr>
        <w:pStyle w:val="BodyText"/>
        <w:spacing w:line="300" w:lineRule="auto" w:before="17"/>
        <w:ind w:left="513" w:right="94"/>
        <w:jc w:val="left"/>
      </w:pPr>
      <w:r>
        <w:rPr>
          <w:rFonts w:ascii="Times New Roman" w:hAnsi="Times New Roman" w:cs="Times New Roman" w:eastAsia="Times New Roman" w:hint="default"/>
        </w:rPr>
        <w:t>2</w:t>
      </w:r>
      <w:r>
        <w:rPr/>
        <w:t>、产品的市场竞争风险 </w:t>
      </w:r>
      <w:r>
        <w:rPr>
          <w:spacing w:val="-2"/>
        </w:rPr>
        <w:t>近年来，民生行业呈加快发展的趋势。随着市场规模的不断扩大，市场竞争越发激烈。尽管公司在国内细分市场拥有明</w:t>
      </w:r>
    </w:p>
    <w:p>
      <w:pPr>
        <w:pStyle w:val="BodyText"/>
        <w:spacing w:line="316" w:lineRule="auto" w:before="31"/>
        <w:ind w:right="94"/>
        <w:jc w:val="left"/>
      </w:pPr>
      <w:r>
        <w:rPr/>
        <w:t>显的竞争优势，市场竞争的风险仍可能对公司的产品和服务的价格、市场份额等产生不利影响。公司针对面临的市场风险， </w:t>
      </w:r>
      <w:r>
        <w:rPr>
          <w:spacing w:val="-2"/>
        </w:rPr>
        <w:t>将充分利用社保平台建设及民生信息服务提供等方面具备的优势及经验，建立完善的政策分析与监测机制，避免可能造成的</w:t>
      </w:r>
      <w:r>
        <w:rPr>
          <w:spacing w:val="-63"/>
        </w:rPr>
        <w:t> </w:t>
      </w:r>
      <w:r>
        <w:rPr>
          <w:spacing w:val="-63"/>
        </w:rPr>
      </w:r>
      <w:r>
        <w:rPr/>
        <w:t>风险。</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rFonts w:ascii="Times New Roman" w:hAnsi="Times New Roman" w:cs="Times New Roman" w:eastAsia="Times New Roman" w:hint="default"/>
        </w:rPr>
        <w:t>3</w:t>
      </w:r>
      <w:r>
        <w:rPr/>
        <w:t>、关键技术人员流失的风险 </w:t>
      </w:r>
      <w:r>
        <w:rPr>
          <w:spacing w:val="-2"/>
        </w:rPr>
        <w:t>软件企业一般都面临人员流动大、知识结构更新快的问题，行业内的市场竞争也越来越体现为对高素质人才的竞争。核</w:t>
      </w:r>
    </w:p>
    <w:p>
      <w:pPr>
        <w:pStyle w:val="BodyText"/>
        <w:spacing w:line="316" w:lineRule="auto" w:before="31"/>
        <w:ind w:right="155"/>
        <w:jc w:val="both"/>
      </w:pPr>
      <w:r>
        <w:rPr>
          <w:spacing w:val="-2"/>
        </w:rPr>
        <w:t>心骨干人员流失、无法吸引新的优秀人才，将对公司生产经营带来一定的影响。为了稳定公司的管理、技术和销售队伍，公</w:t>
      </w:r>
      <w:r>
        <w:rPr>
          <w:spacing w:val="-67"/>
        </w:rPr>
        <w:t> </w:t>
      </w:r>
      <w:r>
        <w:rPr>
          <w:spacing w:val="-67"/>
        </w:rPr>
      </w:r>
      <w:r>
        <w:rPr>
          <w:spacing w:val="-2"/>
        </w:rPr>
        <w:t>司通过提供有竞争力的薪酬、福利和建立公平的竞争晋升机制，提供全面、完善的培训计划，创造开放、协作的工作环境和</w:t>
      </w:r>
      <w:r>
        <w:rPr>
          <w:spacing w:val="-67"/>
        </w:rPr>
        <w:t> </w:t>
      </w:r>
      <w:r>
        <w:rPr>
          <w:spacing w:val="-67"/>
        </w:rPr>
      </w:r>
      <w:r>
        <w:rPr/>
        <w:t>提倡</w:t>
      </w:r>
      <w:r>
        <w:rPr>
          <w:rFonts w:ascii="Times New Roman" w:hAnsi="Times New Roman" w:cs="Times New Roman" w:eastAsia="Times New Roman" w:hint="default"/>
        </w:rPr>
        <w:t>“</w:t>
      </w:r>
      <w:r>
        <w:rPr/>
        <w:t>专注、创新</w:t>
      </w:r>
      <w:r>
        <w:rPr>
          <w:rFonts w:ascii="Times New Roman" w:hAnsi="Times New Roman" w:cs="Times New Roman" w:eastAsia="Times New Roman" w:hint="default"/>
        </w:rPr>
        <w:t>”</w:t>
      </w:r>
      <w:r>
        <w:rPr/>
        <w:t>的企业理念来吸引、培养人才。</w:t>
      </w:r>
    </w:p>
    <w:p>
      <w:pPr>
        <w:pStyle w:val="BodyText"/>
        <w:spacing w:line="300" w:lineRule="auto"/>
        <w:ind w:left="513" w:right="0"/>
        <w:jc w:val="left"/>
      </w:pPr>
      <w:r>
        <w:rPr>
          <w:rFonts w:ascii="Times New Roman" w:hAnsi="Times New Roman" w:cs="Times New Roman" w:eastAsia="Times New Roman" w:hint="default"/>
        </w:rPr>
        <w:t>4</w:t>
      </w:r>
      <w:r>
        <w:rPr/>
        <w:t>、募集资金投资项目风险 </w:t>
      </w:r>
      <w:r>
        <w:rPr>
          <w:spacing w:val="-2"/>
        </w:rPr>
        <w:t>募集资金投资项目具有软件行业所特有的高投入、高收益和高风险的特点。尽管公司募集资金投向均是公司专注多年主</w:t>
      </w:r>
    </w:p>
    <w:p>
      <w:pPr>
        <w:pStyle w:val="BodyText"/>
        <w:spacing w:line="316" w:lineRule="auto" w:before="31"/>
        <w:ind w:right="151"/>
        <w:jc w:val="both"/>
      </w:pPr>
      <w:r>
        <w:rPr>
          <w:spacing w:val="-2"/>
        </w:rPr>
        <w:t>营业务的升级或必要延伸，但在项目建设及开发过程中，面临着技术开发的不确定性、技术替代、宏观政策变化、市场变化</w:t>
      </w:r>
      <w:r>
        <w:rPr>
          <w:spacing w:val="-67"/>
        </w:rPr>
        <w:t> </w:t>
      </w:r>
      <w:r>
        <w:rPr>
          <w:spacing w:val="-67"/>
        </w:rPr>
      </w:r>
      <w:r>
        <w:rPr>
          <w:spacing w:val="-2"/>
        </w:rPr>
        <w:t>等诸多风险，任何一项因素向不利于公司的方向转化，都有可能影响项目的投资效益。此外，也可能由于主、客观原因导致</w:t>
      </w:r>
      <w:r>
        <w:rPr>
          <w:spacing w:val="-67"/>
        </w:rPr>
        <w:t> </w:t>
      </w:r>
      <w:r>
        <w:rPr>
          <w:spacing w:val="-67"/>
        </w:rPr>
      </w:r>
      <w:r>
        <w:rPr>
          <w:spacing w:val="-2"/>
        </w:rPr>
        <w:t>项目实施延误，或项目在短时间内达不到原设计要求，因此，亦不排除公司在项目管理和组织实施中存在一定的风险。面对</w:t>
      </w:r>
      <w:r>
        <w:rPr>
          <w:spacing w:val="-65"/>
        </w:rPr>
        <w:t> </w:t>
      </w:r>
      <w:r>
        <w:rPr>
          <w:spacing w:val="-65"/>
        </w:rPr>
      </w:r>
      <w:r>
        <w:rPr>
          <w:spacing w:val="-2"/>
        </w:rPr>
        <w:t>募集资金项目风险，公司将认真组织募集资金投资项目的实施，争取尽快投产，促进公司生产规模的扩大和设备技术水平的</w:t>
      </w:r>
      <w:r>
        <w:rPr>
          <w:spacing w:val="-66"/>
        </w:rPr>
        <w:t> </w:t>
      </w:r>
      <w:r>
        <w:rPr>
          <w:spacing w:val="-66"/>
        </w:rPr>
      </w:r>
      <w:r>
        <w:rPr/>
        <w:t>提高，增强公司行业的核心竞争力。</w:t>
      </w:r>
    </w:p>
    <w:p>
      <w:pPr>
        <w:spacing w:after="0" w:line="316"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71" w:right="3312"/>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0"/>
        <w:jc w:val="both"/>
        <w:rPr>
          <w:b w:val="0"/>
          <w:bCs w:val="0"/>
        </w:rPr>
      </w:pPr>
      <w:r>
        <w:rPr/>
        <w:t>（一）整体情况概述</w:t>
      </w:r>
      <w:r>
        <w:rPr>
          <w:b w:val="0"/>
          <w:bCs w:val="0"/>
        </w:rPr>
      </w:r>
    </w:p>
    <w:p>
      <w:pPr>
        <w:pStyle w:val="BodyText"/>
        <w:spacing w:line="300" w:lineRule="auto" w:before="76"/>
        <w:ind w:right="194" w:firstLine="360"/>
        <w:jc w:val="both"/>
      </w:pPr>
      <w:r>
        <w:rPr>
          <w:rFonts w:ascii="Times New Roman" w:hAnsi="Times New Roman" w:cs="Times New Roman" w:eastAsia="Times New Roman" w:hint="default"/>
        </w:rPr>
        <w:t>2012</w:t>
      </w:r>
      <w:r>
        <w:rPr/>
        <w:t>年，公司紧抓国家</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规划及政府</w:t>
      </w:r>
      <w:r>
        <w:rPr>
          <w:rFonts w:ascii="Times New Roman" w:hAnsi="Times New Roman" w:cs="Times New Roman" w:eastAsia="Times New Roman" w:hint="default"/>
        </w:rPr>
        <w:t>“</w:t>
      </w:r>
      <w:r>
        <w:rPr/>
        <w:t>保民生</w:t>
      </w:r>
      <w:r>
        <w:rPr>
          <w:rFonts w:ascii="Times New Roman" w:hAnsi="Times New Roman" w:cs="Times New Roman" w:eastAsia="Times New Roman" w:hint="default"/>
        </w:rPr>
        <w:t>”</w:t>
      </w:r>
      <w:r>
        <w:rPr/>
        <w:t>主题的发展机遇，继续重点关注以</w:t>
      </w:r>
      <w:r>
        <w:rPr>
          <w:rFonts w:ascii="Times New Roman" w:hAnsi="Times New Roman" w:cs="Times New Roman" w:eastAsia="Times New Roman" w:hint="default"/>
        </w:rPr>
        <w:t>“</w:t>
      </w:r>
      <w:r>
        <w:rPr/>
        <w:t>医疗卫生、社会保障、劳动就 业</w:t>
      </w:r>
      <w:r>
        <w:rPr>
          <w:rFonts w:ascii="Times New Roman" w:hAnsi="Times New Roman" w:cs="Times New Roman" w:eastAsia="Times New Roman" w:hint="default"/>
        </w:rPr>
        <w:t>”</w:t>
      </w:r>
      <w:r>
        <w:rPr/>
        <w:t>为核心的民生相关业务领域，有序开展研发、销售、管理、市场开拓等各项工作，坚持自主创新，强化管理提升，继续</w:t>
      </w:r>
      <w:r>
        <w:rPr>
          <w:spacing w:val="-76"/>
        </w:rPr>
        <w:t> </w:t>
      </w:r>
      <w:r>
        <w:rPr>
          <w:spacing w:val="-76"/>
        </w:rPr>
      </w:r>
      <w:r>
        <w:rPr/>
        <w:t>加大新产品的研究开发和新技术的运用力度，不断夯实企业在国内民生信息化领域的领先地位。</w:t>
      </w:r>
    </w:p>
    <w:p>
      <w:pPr>
        <w:pStyle w:val="BodyText"/>
        <w:spacing w:line="319" w:lineRule="auto" w:before="31"/>
        <w:ind w:right="191" w:firstLine="360"/>
        <w:jc w:val="both"/>
      </w:pPr>
      <w:r>
        <w:rPr/>
        <w:t>报告期内，公司实现营业收入</w:t>
      </w:r>
      <w:r>
        <w:rPr>
          <w:rFonts w:ascii="宋体" w:hAnsi="宋体" w:cs="宋体" w:eastAsia="宋体" w:hint="default"/>
        </w:rPr>
        <w:t>27,979.77</w:t>
      </w:r>
      <w:r>
        <w:rPr/>
        <w:t>万元，同比下降</w:t>
      </w:r>
      <w:r>
        <w:rPr>
          <w:rFonts w:ascii="宋体" w:hAnsi="宋体" w:cs="宋体" w:eastAsia="宋体" w:hint="default"/>
        </w:rPr>
        <w:t>26.85%</w:t>
      </w:r>
      <w:r>
        <w:rPr/>
        <w:t>；营业利润</w:t>
      </w:r>
      <w:r>
        <w:rPr>
          <w:rFonts w:ascii="宋体" w:hAnsi="宋体" w:cs="宋体" w:eastAsia="宋体" w:hint="default"/>
        </w:rPr>
        <w:t>5,124.70</w:t>
      </w:r>
      <w:r>
        <w:rPr/>
        <w:t>万元，同比下降</w:t>
      </w:r>
      <w:r>
        <w:rPr>
          <w:rFonts w:ascii="宋体" w:hAnsi="宋体" w:cs="宋体" w:eastAsia="宋体" w:hint="default"/>
        </w:rPr>
        <w:t>46.94%</w:t>
      </w:r>
      <w:r>
        <w:rPr/>
        <w:t>。公司收入 </w:t>
      </w:r>
      <w:r>
        <w:rPr>
          <w:spacing w:val="-2"/>
        </w:rPr>
        <w:t>与利润同比下降的主要原因是：报告期内，由于公司正在拓展的项目推迟，使公司整体销售规模有所下降。加之研发持续投</w:t>
      </w:r>
      <w:r>
        <w:rPr>
          <w:spacing w:val="-64"/>
        </w:rPr>
        <w:t> </w:t>
      </w:r>
      <w:r>
        <w:rPr>
          <w:spacing w:val="-64"/>
        </w:rPr>
      </w:r>
      <w:r>
        <w:rPr>
          <w:spacing w:val="-2"/>
        </w:rPr>
        <w:t>入增加及社会保障卡及读写终端制作中心项目完成后形成的固定资产折旧费用增加导致公司管理费用有所上升。整体销售规</w:t>
      </w:r>
      <w:r>
        <w:rPr>
          <w:spacing w:val="-64"/>
        </w:rPr>
        <w:t> </w:t>
      </w:r>
      <w:r>
        <w:rPr>
          <w:spacing w:val="-64"/>
        </w:rPr>
      </w:r>
      <w:r>
        <w:rPr/>
        <w:t>模的下降和管理费用的上升使得本报告期经营业绩相应下降。</w:t>
      </w:r>
    </w:p>
    <w:p>
      <w:pPr>
        <w:pStyle w:val="Heading4"/>
        <w:spacing w:line="240" w:lineRule="auto" w:before="17"/>
        <w:ind w:right="0"/>
        <w:jc w:val="both"/>
        <w:rPr>
          <w:b w:val="0"/>
          <w:bCs w:val="0"/>
        </w:rPr>
      </w:pPr>
      <w:r>
        <w:rPr/>
        <w:t>（二）报告期内经营情况</w:t>
      </w:r>
      <w:r>
        <w:rPr>
          <w:b w:val="0"/>
          <w:bCs w:val="0"/>
        </w:rPr>
      </w:r>
    </w:p>
    <w:p>
      <w:pPr>
        <w:spacing w:line="300" w:lineRule="auto" w:before="76"/>
        <w:ind w:left="513"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、整合现有资源，努力实现综合性业务发展</w:t>
      </w:r>
      <w:r>
        <w:rPr>
          <w:rFonts w:ascii="宋体" w:hAnsi="宋体" w:cs="宋体" w:eastAsia="宋体" w:hint="default"/>
          <w:b/>
          <w:bCs/>
          <w:w w:val="99"/>
          <w:sz w:val="18"/>
          <w:szCs w:val="18"/>
        </w:rPr>
        <w:t> </w:t>
      </w:r>
      <w:r>
        <w:rPr>
          <w:rFonts w:ascii="宋体" w:hAnsi="宋体" w:cs="宋体" w:eastAsia="宋体" w:hint="default"/>
          <w:spacing w:val="-2"/>
          <w:sz w:val="18"/>
          <w:szCs w:val="18"/>
        </w:rPr>
        <w:t>为增强公司的综合竞争能力及产品间的融合性、关联性，形成完整的公司业务链，公司积极构建以公司产品和服务为主</w:t>
      </w:r>
    </w:p>
    <w:p>
      <w:pPr>
        <w:pStyle w:val="BodyText"/>
        <w:spacing w:line="309" w:lineRule="auto" w:before="31"/>
        <w:ind w:right="192"/>
        <w:jc w:val="both"/>
      </w:pPr>
      <w:r>
        <w:rPr/>
        <w:t>体的民生云，通过互联互通的网络和各类软件应用系统、社保</w:t>
      </w:r>
      <w:r>
        <w:rPr>
          <w:rFonts w:ascii="Times New Roman" w:hAnsi="Times New Roman" w:cs="Times New Roman" w:eastAsia="Times New Roman" w:hint="default"/>
        </w:rPr>
        <w:t>IC </w:t>
      </w:r>
      <w:r>
        <w:rPr/>
        <w:t>卡、读卡机具及民生服务自助终端，面向政府、企业和社</w:t>
      </w:r>
      <w:r>
        <w:rPr>
          <w:spacing w:val="-84"/>
        </w:rPr>
        <w:t> </w:t>
      </w:r>
      <w:r>
        <w:rPr>
          <w:spacing w:val="-84"/>
        </w:rPr>
      </w:r>
      <w:r>
        <w:rPr>
          <w:spacing w:val="-2"/>
        </w:rPr>
        <w:t>会公众提供涵盖劳动就业、教育培训、社会保障、医疗健康、城乡统筹、新农合、社区民政、住房及轨道交通等一系列领域</w:t>
      </w:r>
      <w:r>
        <w:rPr>
          <w:spacing w:val="-73"/>
        </w:rPr>
        <w:t> </w:t>
      </w:r>
      <w:r>
        <w:rPr>
          <w:spacing w:val="-73"/>
        </w:rPr>
      </w:r>
      <w:r>
        <w:rPr/>
        <w:t>的民生信息服务及市场化的增值服务。</w:t>
      </w:r>
    </w:p>
    <w:p>
      <w:pPr>
        <w:pStyle w:val="BodyText"/>
        <w:spacing w:line="302" w:lineRule="auto" w:before="24"/>
        <w:ind w:right="186" w:firstLine="360"/>
        <w:jc w:val="both"/>
      </w:pPr>
      <w:r>
        <w:rPr>
          <w:spacing w:val="-2"/>
        </w:rPr>
        <w:t>报告期内，公司自建了年生产能力达</w:t>
      </w:r>
      <w:r>
        <w:rPr>
          <w:rFonts w:ascii="Times New Roman" w:hAnsi="Times New Roman" w:cs="Times New Roman" w:eastAsia="Times New Roman" w:hint="default"/>
          <w:spacing w:val="-2"/>
        </w:rPr>
        <w:t>5000</w:t>
      </w:r>
      <w:r>
        <w:rPr>
          <w:spacing w:val="-2"/>
        </w:rPr>
        <w:t>万张的各类</w:t>
      </w:r>
      <w:r>
        <w:rPr>
          <w:rFonts w:ascii="Times New Roman" w:hAnsi="Times New Roman" w:cs="Times New Roman" w:eastAsia="Times New Roman" w:hint="default"/>
          <w:spacing w:val="-2"/>
        </w:rPr>
        <w:t>IC</w:t>
      </w:r>
      <w:r>
        <w:rPr>
          <w:spacing w:val="-2"/>
        </w:rPr>
        <w:t>卡封装印刷卡厂；一次性通过并获得包括卡基生产、磁条信息个</w:t>
      </w:r>
      <w:r>
        <w:rPr/>
        <w:t> 人化、</w:t>
      </w:r>
      <w:r>
        <w:rPr>
          <w:rFonts w:ascii="Times New Roman" w:hAnsi="Times New Roman" w:cs="Times New Roman" w:eastAsia="Times New Roman" w:hint="default"/>
        </w:rPr>
        <w:t>IC</w:t>
      </w:r>
      <w:r>
        <w:rPr/>
        <w:t>卡片封装和</w:t>
      </w:r>
      <w:r>
        <w:rPr>
          <w:rFonts w:ascii="Times New Roman" w:hAnsi="Times New Roman" w:cs="Times New Roman" w:eastAsia="Times New Roman" w:hint="default"/>
        </w:rPr>
        <w:t>IC</w:t>
      </w:r>
      <w:r>
        <w:rPr/>
        <w:t>卡芯片个人化的四项银联卡产品所有资格认证；获得与银联认证相关的国家集成电路卡注册证、</w:t>
      </w:r>
      <w:r>
        <w:rPr>
          <w:rFonts w:ascii="Times New Roman" w:hAnsi="Times New Roman" w:cs="Times New Roman" w:eastAsia="Times New Roman" w:hint="default"/>
        </w:rPr>
        <w:t>IC</w:t>
      </w:r>
      <w:r>
        <w:rPr>
          <w:rFonts w:ascii="Times New Roman" w:hAnsi="Times New Roman" w:cs="Times New Roman" w:eastAsia="Times New Roman" w:hint="default"/>
          <w:spacing w:val="40"/>
        </w:rPr>
        <w:t> </w:t>
      </w:r>
      <w:r>
        <w:rPr/>
        <w:t>生产许可证、防伪生产许可证；通过与银联认证相关的</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ISO14000</w:t>
      </w:r>
      <w:r>
        <w:rPr/>
        <w:t>、</w:t>
      </w:r>
      <w:r>
        <w:rPr>
          <w:rFonts w:ascii="Times New Roman" w:hAnsi="Times New Roman" w:cs="Times New Roman" w:eastAsia="Times New Roman" w:hint="default"/>
        </w:rPr>
        <w:t>OHSAS18000</w:t>
      </w:r>
      <w:r>
        <w:rPr/>
        <w:t>三个体系审核；积极跟进人力资 源和社会保障部金融社保卡标准制定和</w:t>
      </w:r>
      <w:r>
        <w:rPr>
          <w:rFonts w:ascii="Times New Roman" w:hAnsi="Times New Roman" w:cs="Times New Roman" w:eastAsia="Times New Roman" w:hint="default"/>
        </w:rPr>
        <w:t>COS</w:t>
      </w:r>
      <w:r>
        <w:rPr/>
        <w:t>检测认证工作，</w:t>
      </w:r>
      <w:r>
        <w:rPr>
          <w:rFonts w:ascii="Times New Roman" w:hAnsi="Times New Roman" w:cs="Times New Roman" w:eastAsia="Times New Roman" w:hint="default"/>
        </w:rPr>
        <w:t>7</w:t>
      </w:r>
      <w:r>
        <w:rPr/>
        <w:t>月份通过人社保、人民银行检测，成为人社部第一批通过检测</w:t>
      </w:r>
      <w:r>
        <w:rPr>
          <w:spacing w:val="-75"/>
        </w:rPr>
        <w:t> </w:t>
      </w:r>
      <w:r>
        <w:rPr>
          <w:spacing w:val="-75"/>
        </w:rPr>
      </w:r>
      <w:r>
        <w:rPr>
          <w:spacing w:val="-2"/>
        </w:rPr>
        <w:t>并获得证明的十三家企业之一；自主研发的自助服务一体机获得国家科技部重点新产品认证；公司被评为国家火炬计划软件</w:t>
      </w:r>
      <w:r>
        <w:rPr>
          <w:spacing w:val="-64"/>
        </w:rPr>
        <w:t> </w:t>
      </w:r>
      <w:r>
        <w:rPr>
          <w:spacing w:val="-64"/>
        </w:rPr>
      </w:r>
      <w:r>
        <w:rPr>
          <w:spacing w:val="-1"/>
        </w:rPr>
        <w:t>产业基地骨干企业、</w:t>
      </w:r>
      <w:r>
        <w:rPr>
          <w:rFonts w:ascii="Times New Roman" w:hAnsi="Times New Roman" w:cs="Times New Roman" w:eastAsia="Times New Roman" w:hint="default"/>
          <w:spacing w:val="-1"/>
        </w:rPr>
        <w:t>2011-2012</w:t>
      </w:r>
      <w:r>
        <w:rPr>
          <w:spacing w:val="-1"/>
        </w:rPr>
        <w:t>中国智慧城市杰出服务商、</w:t>
      </w:r>
      <w:r>
        <w:rPr>
          <w:rFonts w:ascii="Times New Roman" w:hAnsi="Times New Roman" w:cs="Times New Roman" w:eastAsia="Times New Roman" w:hint="default"/>
          <w:spacing w:val="-1"/>
        </w:rPr>
        <w:t>2012</w:t>
      </w:r>
      <w:r>
        <w:rPr>
          <w:spacing w:val="-1"/>
        </w:rPr>
        <w:t>中国信息产业年度影响力企业，获得</w:t>
      </w:r>
      <w:r>
        <w:rPr>
          <w:rFonts w:ascii="Times New Roman" w:hAnsi="Times New Roman" w:cs="Times New Roman" w:eastAsia="Times New Roman" w:hint="default"/>
          <w:spacing w:val="-1"/>
        </w:rPr>
        <w:t>2011-2012</w:t>
      </w:r>
      <w:r>
        <w:rPr>
          <w:spacing w:val="-1"/>
        </w:rPr>
        <w:t>中国智慧城市</w:t>
      </w:r>
      <w:r>
        <w:rPr>
          <w:spacing w:val="-49"/>
        </w:rPr>
        <w:t> </w:t>
      </w:r>
      <w:r>
        <w:rPr>
          <w:spacing w:val="-2"/>
        </w:rPr>
        <w:t>推进案例、</w:t>
      </w:r>
      <w:r>
        <w:rPr>
          <w:rFonts w:ascii="Times New Roman" w:hAnsi="Times New Roman" w:cs="Times New Roman" w:eastAsia="Times New Roman" w:hint="default"/>
          <w:spacing w:val="-2"/>
        </w:rPr>
        <w:t>2012</w:t>
      </w:r>
      <w:r>
        <w:rPr>
          <w:spacing w:val="-2"/>
        </w:rPr>
        <w:t>年中国软件行业医疗信息化优秀解决方案奖项。同时，为了适应公司长期持续发展的需要，进一步提高公司</w:t>
      </w:r>
    </w:p>
    <w:p>
      <w:pPr>
        <w:pStyle w:val="BodyText"/>
        <w:spacing w:line="309" w:lineRule="auto" w:before="11"/>
        <w:ind w:left="513" w:right="93" w:hanging="361"/>
        <w:jc w:val="left"/>
      </w:pPr>
      <w:r>
        <w:rPr>
          <w:spacing w:val="-4"/>
        </w:rPr>
        <w:t>各部门和分子公司之间的协同效率，公司对组织架构进行了相应调整。这些为公司综合性业务的进一步开展奠定了坚实基础。</w:t>
      </w:r>
      <w:r>
        <w:rPr>
          <w:spacing w:val="-44"/>
        </w:rPr>
        <w:t> </w:t>
      </w:r>
      <w:r>
        <w:rPr>
          <w:spacing w:val="-44"/>
        </w:rPr>
      </w:r>
      <w:r>
        <w:rPr>
          <w:rFonts w:ascii="Times New Roman" w:hAnsi="Times New Roman" w:cs="Times New Roman" w:eastAsia="Times New Roman" w:hint="default"/>
          <w:b/>
          <w:bCs/>
        </w:rPr>
        <w:t>2</w:t>
      </w:r>
      <w:r>
        <w:rPr>
          <w:rFonts w:ascii="宋体" w:hAnsi="宋体" w:cs="宋体" w:eastAsia="宋体" w:hint="default"/>
          <w:b/>
          <w:bCs/>
        </w:rPr>
        <w:t>、巩固已有优势，坚持自主创新</w:t>
      </w:r>
      <w:r>
        <w:rPr>
          <w:rFonts w:ascii="宋体" w:hAnsi="宋体" w:cs="宋体" w:eastAsia="宋体" w:hint="default"/>
          <w:b/>
          <w:bCs/>
          <w:w w:val="99"/>
        </w:rPr>
        <w:t> </w:t>
      </w:r>
      <w:r>
        <w:rPr/>
        <w:t>公司结合行业发展趋势与市场需求，在已有的产品资源基础上，不断提升软件成熟度和完善产品线，并实施创新战略，</w:t>
      </w:r>
    </w:p>
    <w:p>
      <w:pPr>
        <w:pStyle w:val="BodyText"/>
        <w:spacing w:line="309" w:lineRule="auto" w:before="24"/>
        <w:ind w:right="191"/>
        <w:jc w:val="both"/>
      </w:pPr>
      <w:r>
        <w:rPr>
          <w:spacing w:val="-2"/>
        </w:rPr>
        <w:t>进一步规划和研发增值服务产品。报告期内，公司根据人民银行对社保应用和金融应用的新标准要求，做好社保卡的技术过</w:t>
      </w:r>
      <w:r>
        <w:rPr>
          <w:spacing w:val="-66"/>
        </w:rPr>
        <w:t> </w:t>
      </w:r>
      <w:r>
        <w:rPr>
          <w:spacing w:val="-66"/>
        </w:rPr>
      </w:r>
      <w:r>
        <w:rPr>
          <w:spacing w:val="-1"/>
        </w:rPr>
        <w:t>渡工作，并继续加快加载金融功能的社会保障卡制作发放工作，推进社会保障</w:t>
      </w:r>
      <w:r>
        <w:rPr>
          <w:rFonts w:ascii="Times New Roman" w:hAnsi="Times New Roman" w:cs="Times New Roman" w:eastAsia="Times New Roman" w:hint="default"/>
          <w:spacing w:val="-1"/>
        </w:rPr>
        <w:t>“</w:t>
      </w:r>
      <w:r>
        <w:rPr>
          <w:spacing w:val="-1"/>
        </w:rPr>
        <w:t>一卡通</w:t>
      </w:r>
      <w:r>
        <w:rPr>
          <w:rFonts w:ascii="Times New Roman" w:hAnsi="Times New Roman" w:cs="Times New Roman" w:eastAsia="Times New Roman" w:hint="default"/>
          <w:spacing w:val="-1"/>
        </w:rPr>
        <w:t>”</w:t>
      </w:r>
      <w:r>
        <w:rPr>
          <w:spacing w:val="-1"/>
        </w:rPr>
        <w:t>应用；规划</w:t>
      </w:r>
      <w:r>
        <w:rPr>
          <w:rFonts w:ascii="Times New Roman" w:hAnsi="Times New Roman" w:cs="Times New Roman" w:eastAsia="Times New Roman" w:hint="default"/>
          <w:spacing w:val="-1"/>
        </w:rPr>
        <w:t>“</w:t>
      </w:r>
      <w:r>
        <w:rPr>
          <w:spacing w:val="-1"/>
        </w:rPr>
        <w:t>易系列</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云系列</w:t>
      </w:r>
      <w:r>
        <w:rPr>
          <w:rFonts w:ascii="Times New Roman" w:hAnsi="Times New Roman" w:cs="Times New Roman" w:eastAsia="Times New Roman" w:hint="default"/>
          <w:spacing w:val="-1"/>
        </w:rPr>
        <w:t>”</w:t>
      </w:r>
      <w:r>
        <w:rPr>
          <w:spacing w:val="-1"/>
        </w:rPr>
        <w:t>民生</w:t>
      </w:r>
      <w:r>
        <w:rPr>
          <w:spacing w:val="-58"/>
        </w:rPr>
        <w:t> </w:t>
      </w:r>
      <w:r>
        <w:rPr/>
        <w:t>信息服务产品，并开发上线</w:t>
      </w:r>
      <w:r>
        <w:rPr>
          <w:rFonts w:ascii="Times New Roman" w:hAnsi="Times New Roman" w:cs="Times New Roman" w:eastAsia="Times New Roman" w:hint="default"/>
        </w:rPr>
        <w:t>“</w:t>
      </w:r>
      <w:r>
        <w:rPr/>
        <w:t>民生网</w:t>
      </w:r>
      <w:r>
        <w:rPr>
          <w:rFonts w:ascii="Times New Roman" w:hAnsi="Times New Roman" w:cs="Times New Roman" w:eastAsia="Times New Roman" w:hint="default"/>
        </w:rPr>
        <w:t>”</w:t>
      </w:r>
      <w:r>
        <w:rPr/>
        <w:t>，通过网站、手机、自助终端等渠道应用研发，推动电子政务与电子商务融合。</w:t>
      </w:r>
    </w:p>
    <w:p>
      <w:pPr>
        <w:spacing w:line="300" w:lineRule="auto" w:before="5"/>
        <w:ind w:left="513" w:right="94"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、示范项目进展良好，助推业务持续发展</w:t>
      </w:r>
      <w:r>
        <w:rPr>
          <w:rFonts w:ascii="宋体" w:hAnsi="宋体" w:cs="宋体" w:eastAsia="宋体" w:hint="default"/>
          <w:b/>
          <w:bCs/>
          <w:w w:val="99"/>
          <w:sz w:val="18"/>
          <w:szCs w:val="18"/>
        </w:rPr>
        <w:t> </w:t>
      </w:r>
      <w:r>
        <w:rPr>
          <w:rFonts w:ascii="宋体" w:hAnsi="宋体" w:cs="宋体" w:eastAsia="宋体" w:hint="default"/>
          <w:spacing w:val="-2"/>
          <w:sz w:val="18"/>
          <w:szCs w:val="18"/>
        </w:rPr>
        <w:t>公司的自助服务一体机作为在人力资源和社会保障公共服务信息化领域重点研发与推广的一款产品，被列入《人力资源</w:t>
      </w:r>
    </w:p>
    <w:p>
      <w:pPr>
        <w:pStyle w:val="BodyText"/>
        <w:spacing w:line="312" w:lineRule="auto" w:before="31"/>
        <w:ind w:right="94"/>
        <w:jc w:val="left"/>
      </w:pPr>
      <w:r>
        <w:rPr/>
        <w:t>和社会保障信息化建设</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规划》，人社部拟加快一体机在各经办网点与基层的布署实施力度。报告期内，公司完成了 </w:t>
      </w:r>
      <w:r>
        <w:rPr>
          <w:spacing w:val="-4"/>
        </w:rPr>
        <w:t>部课题试点的软件研发与二次升级任务，并将设备协调与安装实施到位。自助服务一体机的功能应用引起了市场的广泛关注，</w:t>
      </w:r>
      <w:r>
        <w:rPr>
          <w:spacing w:val="-44"/>
        </w:rPr>
        <w:t> </w:t>
      </w:r>
      <w:r>
        <w:rPr>
          <w:spacing w:val="-44"/>
        </w:rPr>
      </w:r>
      <w:r>
        <w:rPr>
          <w:spacing w:val="-2"/>
        </w:rPr>
        <w:t>起到了以点带面的示范作用。报告期内，公司积极推进社保卡公共服务应用平台项目建设，力争打造一个民生云、智慧城市</w:t>
      </w:r>
      <w:r>
        <w:rPr>
          <w:spacing w:val="-63"/>
        </w:rPr>
        <w:t> </w:t>
      </w:r>
      <w:r>
        <w:rPr>
          <w:spacing w:val="-63"/>
        </w:rPr>
      </w:r>
      <w:r>
        <w:rPr/>
        <w:t>建设的试点与样板工程。</w:t>
      </w:r>
    </w:p>
    <w:p>
      <w:pPr>
        <w:spacing w:line="300" w:lineRule="auto" w:before="22"/>
        <w:ind w:left="513" w:right="94"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、积极拓展市场空间，提升市场开发能力</w:t>
      </w:r>
      <w:r>
        <w:rPr>
          <w:rFonts w:ascii="宋体" w:hAnsi="宋体" w:cs="宋体" w:eastAsia="宋体" w:hint="default"/>
          <w:b/>
          <w:bCs/>
          <w:w w:val="99"/>
          <w:sz w:val="18"/>
          <w:szCs w:val="18"/>
        </w:rPr>
        <w:t> </w:t>
      </w:r>
      <w:r>
        <w:rPr>
          <w:rFonts w:ascii="宋体" w:hAnsi="宋体" w:cs="宋体" w:eastAsia="宋体" w:hint="default"/>
          <w:spacing w:val="-2"/>
          <w:sz w:val="18"/>
          <w:szCs w:val="18"/>
        </w:rPr>
        <w:t>为进一步强化重点产品的销售、重要客户的开发，公司在继续深挖原有市场的基础上，积极推进省外市场开拓。报告期</w:t>
      </w:r>
    </w:p>
    <w:p>
      <w:pPr>
        <w:pStyle w:val="BodyText"/>
        <w:spacing w:line="316" w:lineRule="auto" w:before="31"/>
        <w:ind w:right="195"/>
        <w:jc w:val="both"/>
      </w:pPr>
      <w:r>
        <w:rPr>
          <w:spacing w:val="-2"/>
        </w:rPr>
        <w:t>内，公司在广东、广西两省设立子公司；公司与其他公司进行增资扩股合作，利用双方的资源优势，完善业务市场布局；同</w:t>
      </w:r>
      <w:r>
        <w:rPr>
          <w:spacing w:val="-69"/>
        </w:rPr>
        <w:t> </w:t>
      </w:r>
      <w:r>
        <w:rPr>
          <w:spacing w:val="-69"/>
        </w:rPr>
      </w:r>
      <w:r>
        <w:rPr>
          <w:spacing w:val="-2"/>
        </w:rPr>
        <w:t>时，公司承接了广西省全省医保大集中项目，医保项目在陕西获得一定成绩。拓展市场空间，强化客户关系管理，为公司发</w:t>
      </w:r>
      <w:r>
        <w:rPr>
          <w:spacing w:val="-67"/>
        </w:rPr>
        <w:t> </w:t>
      </w:r>
      <w:r>
        <w:rPr>
          <w:spacing w:val="-67"/>
        </w:rPr>
      </w:r>
      <w:r>
        <w:rPr/>
        <w:t>展带来更多机会。</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line="300" w:lineRule="auto" w:before="44"/>
        <w:ind w:left="513" w:right="93" w:firstLine="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、进一步规范管理制度，提高企业管理水平</w:t>
      </w:r>
      <w:r>
        <w:rPr>
          <w:rFonts w:ascii="宋体" w:hAnsi="宋体" w:cs="宋体" w:eastAsia="宋体" w:hint="default"/>
          <w:b/>
          <w:bCs/>
          <w:w w:val="99"/>
          <w:sz w:val="18"/>
          <w:szCs w:val="18"/>
        </w:rPr>
        <w:t> </w:t>
      </w:r>
      <w:r>
        <w:rPr>
          <w:rFonts w:ascii="宋体" w:hAnsi="宋体" w:cs="宋体" w:eastAsia="宋体" w:hint="default"/>
          <w:sz w:val="18"/>
          <w:szCs w:val="18"/>
        </w:rPr>
        <w:t>为提升企业管理水平，公司建立了一系列公平、公正、有效的考核制度。报告期内，公司为充分调动员工工作积极性，</w:t>
      </w:r>
    </w:p>
    <w:p>
      <w:pPr>
        <w:pStyle w:val="BodyText"/>
        <w:spacing w:line="316" w:lineRule="auto" w:before="31"/>
        <w:ind w:right="94"/>
        <w:jc w:val="left"/>
      </w:pPr>
      <w:r>
        <w:rPr>
          <w:spacing w:val="-7"/>
        </w:rPr>
        <w:t>拟定了《易联众信息技术股份有限公司考核奖励方案》；为规范各子公司间协作管理，制定了《子公司间技术协作管理办法》；</w:t>
      </w:r>
      <w:r>
        <w:rPr>
          <w:spacing w:val="-49"/>
        </w:rPr>
        <w:t> </w:t>
      </w:r>
      <w:r>
        <w:rPr>
          <w:spacing w:val="-49"/>
        </w:rPr>
      </w:r>
      <w:r>
        <w:rPr>
          <w:spacing w:val="-2"/>
        </w:rPr>
        <w:t>为全面提高企业经营与管理水平，激励创新，规范创新，营造良好的创新环境，全面提升核心竞争力，制定了创新方案。公</w:t>
      </w:r>
      <w:r>
        <w:rPr>
          <w:spacing w:val="-70"/>
        </w:rPr>
        <w:t> </w:t>
      </w:r>
      <w:r>
        <w:rPr>
          <w:spacing w:val="-70"/>
        </w:rPr>
      </w:r>
      <w:r>
        <w:rPr/>
        <w:t>司的管理水平有了进一步的提高。</w:t>
      </w:r>
    </w:p>
    <w:p>
      <w:pPr>
        <w:pStyle w:val="Heading4"/>
        <w:spacing w:line="240" w:lineRule="auto" w:before="19"/>
        <w:ind w:left="515" w:right="94"/>
        <w:jc w:val="left"/>
        <w:rPr>
          <w:b w:val="0"/>
          <w:bCs w:val="0"/>
        </w:rPr>
      </w:pPr>
      <w:r>
        <w:rPr>
          <w:rFonts w:ascii="Times New Roman" w:hAnsi="Times New Roman" w:cs="Times New Roman" w:eastAsia="Times New Roman" w:hint="default"/>
        </w:rPr>
        <w:t>6</w:t>
      </w:r>
      <w:r>
        <w:rPr/>
        <w:t>、树立</w:t>
      </w:r>
      <w:r>
        <w:rPr>
          <w:rFonts w:ascii="Times New Roman" w:hAnsi="Times New Roman" w:cs="Times New Roman" w:eastAsia="Times New Roman" w:hint="default"/>
        </w:rPr>
        <w:t>“</w:t>
      </w:r>
      <w:r>
        <w:rPr/>
        <w:t>以文化兴企业</w:t>
      </w:r>
      <w:r>
        <w:rPr>
          <w:rFonts w:ascii="Times New Roman" w:hAnsi="Times New Roman" w:cs="Times New Roman" w:eastAsia="Times New Roman" w:hint="default"/>
        </w:rPr>
        <w:t>”</w:t>
      </w:r>
      <w:r>
        <w:rPr/>
        <w:t>的理念，助力公司发展。</w:t>
      </w:r>
      <w:r>
        <w:rPr>
          <w:b w:val="0"/>
          <w:bCs w:val="0"/>
        </w:rPr>
      </w:r>
    </w:p>
    <w:p>
      <w:pPr>
        <w:pStyle w:val="BodyText"/>
        <w:spacing w:line="300" w:lineRule="auto" w:before="63"/>
        <w:ind w:right="191" w:firstLine="365"/>
        <w:jc w:val="both"/>
      </w:pPr>
      <w:r>
        <w:rPr>
          <w:spacing w:val="2"/>
        </w:rPr>
        <w:t>为提升企业管理水平，完成公司战略发展目标，实现企业的跨越式发展，公司树立</w:t>
      </w:r>
      <w:r>
        <w:rPr>
          <w:rFonts w:ascii="Times New Roman" w:hAnsi="Times New Roman" w:cs="Times New Roman" w:eastAsia="Times New Roman" w:hint="default"/>
          <w:spacing w:val="2"/>
        </w:rPr>
        <w:t>“</w:t>
      </w:r>
      <w:r>
        <w:rPr>
          <w:spacing w:val="2"/>
        </w:rPr>
        <w:t>用文化管企业</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以文化兴企业</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的理念。报告期内，公司按照创立精神文化、规范和制度文化、提升物质文化、推进行为文化的总体建设思路，以</w:t>
      </w:r>
      <w:r>
        <w:rPr>
          <w:rFonts w:ascii="Times New Roman" w:hAnsi="Times New Roman" w:cs="Times New Roman" w:eastAsia="Times New Roman" w:hint="default"/>
        </w:rPr>
        <w:t>“</w:t>
      </w:r>
      <w:r>
        <w:rPr/>
        <w:t>以人为</w:t>
      </w:r>
      <w:r>
        <w:rPr>
          <w:spacing w:val="-73"/>
        </w:rPr>
        <w:t> </w:t>
      </w:r>
      <w:r>
        <w:rPr>
          <w:spacing w:val="-73"/>
        </w:rPr>
      </w:r>
      <w:r>
        <w:rPr>
          <w:spacing w:val="-1"/>
        </w:rPr>
        <w:t>本</w:t>
      </w:r>
      <w:r>
        <w:rPr>
          <w:rFonts w:ascii="Times New Roman" w:hAnsi="Times New Roman" w:cs="Times New Roman" w:eastAsia="Times New Roman" w:hint="default"/>
          <w:spacing w:val="-1"/>
        </w:rPr>
        <w:t>”</w:t>
      </w:r>
      <w:r>
        <w:rPr>
          <w:spacing w:val="-1"/>
        </w:rPr>
        <w:t>为指导思想，提倡</w:t>
      </w:r>
      <w:r>
        <w:rPr>
          <w:rFonts w:ascii="Times New Roman" w:hAnsi="Times New Roman" w:cs="Times New Roman" w:eastAsia="Times New Roman" w:hint="default"/>
          <w:spacing w:val="-1"/>
        </w:rPr>
        <w:t>“</w:t>
      </w:r>
      <w:r>
        <w:rPr>
          <w:spacing w:val="-1"/>
        </w:rPr>
        <w:t>幸福生活</w:t>
      </w:r>
      <w:r>
        <w:rPr>
          <w:rFonts w:ascii="Times New Roman" w:hAnsi="Times New Roman" w:cs="Times New Roman" w:eastAsia="Times New Roman" w:hint="default"/>
          <w:spacing w:val="-1"/>
        </w:rPr>
        <w:t>·</w:t>
      </w:r>
      <w:r>
        <w:rPr>
          <w:spacing w:val="-1"/>
        </w:rPr>
        <w:t>快乐工作</w:t>
      </w:r>
      <w:r>
        <w:rPr>
          <w:rFonts w:ascii="Times New Roman" w:hAnsi="Times New Roman" w:cs="Times New Roman" w:eastAsia="Times New Roman" w:hint="default"/>
          <w:spacing w:val="-1"/>
        </w:rPr>
        <w:t>”</w:t>
      </w:r>
      <w:r>
        <w:rPr>
          <w:spacing w:val="-1"/>
        </w:rPr>
        <w:t>，总结企业核心价值观和企业精神，结合企业经营发展战略，提炼符合企业实际</w:t>
      </w:r>
      <w:r>
        <w:rPr>
          <w:spacing w:val="-63"/>
        </w:rPr>
        <w:t> </w:t>
      </w:r>
      <w:r>
        <w:rPr>
          <w:spacing w:val="-63"/>
        </w:rPr>
      </w:r>
      <w:r>
        <w:rPr/>
        <w:t>发展的、具有生机的企业经营理念，打造具有易联众特色的企业文化。</w:t>
      </w:r>
    </w:p>
    <w:p>
      <w:pPr>
        <w:spacing w:line="316" w:lineRule="auto" w:before="31"/>
        <w:ind w:left="441" w:right="3405" w:hanging="289"/>
        <w:jc w:val="left"/>
        <w:rPr>
          <w:rFonts w:ascii="宋体" w:hAnsi="宋体" w:cs="宋体" w:eastAsia="宋体" w:hint="default"/>
          <w:sz w:val="18"/>
          <w:szCs w:val="18"/>
        </w:rPr>
      </w:pPr>
      <w:r>
        <w:rPr>
          <w:rFonts w:ascii="宋体" w:hAnsi="宋体" w:cs="宋体" w:eastAsia="宋体" w:hint="default"/>
          <w:b/>
          <w:bCs/>
          <w:sz w:val="18"/>
          <w:szCs w:val="18"/>
        </w:rPr>
        <w:t>（三）报告期内自主研发和开发的无形资产情况</w:t>
      </w:r>
      <w:r>
        <w:rPr>
          <w:rFonts w:ascii="宋体" w:hAnsi="宋体" w:cs="宋体" w:eastAsia="宋体" w:hint="default"/>
          <w:b/>
          <w:bCs/>
          <w:w w:val="99"/>
          <w:sz w:val="18"/>
          <w:szCs w:val="18"/>
        </w:rPr>
        <w:t> </w:t>
      </w:r>
      <w:r>
        <w:rPr>
          <w:rFonts w:ascii="宋体" w:hAnsi="宋体" w:cs="宋体" w:eastAsia="宋体" w:hint="default"/>
          <w:sz w:val="18"/>
          <w:szCs w:val="18"/>
        </w:rPr>
        <w:t>本报告期内，公司所拥有的商标、专利与非专利技术均未作为无形资产入账。 本报告期内，公司新增取得软件著作权</w:t>
      </w:r>
      <w:r>
        <w:rPr>
          <w:rFonts w:ascii="Times New Roman" w:hAnsi="Times New Roman" w:cs="Times New Roman" w:eastAsia="Times New Roman" w:hint="default"/>
          <w:sz w:val="18"/>
          <w:szCs w:val="18"/>
        </w:rPr>
        <w:t>30</w:t>
      </w:r>
      <w:r>
        <w:rPr>
          <w:rFonts w:ascii="宋体" w:hAnsi="宋体" w:cs="宋体" w:eastAsia="宋体" w:hint="default"/>
          <w:sz w:val="18"/>
          <w:szCs w:val="18"/>
        </w:rPr>
        <w:t>项，分别为：</w:t>
      </w:r>
    </w:p>
    <w:tbl>
      <w:tblPr>
        <w:tblW w:w="0" w:type="auto"/>
        <w:jc w:val="left"/>
        <w:tblInd w:w="148" w:type="dxa"/>
        <w:tblLayout w:type="fixed"/>
        <w:tblCellMar>
          <w:top w:w="0" w:type="dxa"/>
          <w:left w:w="0" w:type="dxa"/>
          <w:bottom w:w="0" w:type="dxa"/>
          <w:right w:w="0" w:type="dxa"/>
        </w:tblCellMar>
        <w:tblLook w:val="01E0"/>
      </w:tblPr>
      <w:tblGrid>
        <w:gridCol w:w="526"/>
        <w:gridCol w:w="2741"/>
        <w:gridCol w:w="1094"/>
        <w:gridCol w:w="1349"/>
        <w:gridCol w:w="1066"/>
        <w:gridCol w:w="1080"/>
        <w:gridCol w:w="1285"/>
      </w:tblGrid>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
              <w:jc w:val="center"/>
              <w:rPr>
                <w:rFonts w:ascii="宋体" w:hAnsi="宋体" w:cs="宋体" w:eastAsia="宋体" w:hint="default"/>
                <w:sz w:val="18"/>
                <w:szCs w:val="18"/>
              </w:rPr>
            </w:pPr>
            <w:r>
              <w:rPr>
                <w:rFonts w:ascii="宋体" w:hAnsi="宋体" w:cs="宋体" w:eastAsia="宋体" w:hint="default"/>
                <w:b/>
                <w:bCs/>
                <w:sz w:val="18"/>
                <w:szCs w:val="18"/>
              </w:rPr>
              <w:t>软件名称</w:t>
            </w:r>
            <w:r>
              <w:rPr>
                <w:rFonts w:ascii="宋体" w:hAnsi="宋体" w:cs="宋体" w:eastAsia="宋体" w:hint="default"/>
                <w:sz w:val="18"/>
                <w:szCs w:val="18"/>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71" w:right="0"/>
              <w:jc w:val="left"/>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487" w:right="308" w:hanging="180"/>
              <w:jc w:val="left"/>
              <w:rPr>
                <w:rFonts w:ascii="宋体" w:hAnsi="宋体" w:cs="宋体" w:eastAsia="宋体" w:hint="default"/>
                <w:sz w:val="18"/>
                <w:szCs w:val="18"/>
              </w:rPr>
            </w:pPr>
            <w:r>
              <w:rPr>
                <w:rFonts w:ascii="宋体" w:hAnsi="宋体" w:cs="宋体" w:eastAsia="宋体" w:hint="default"/>
                <w:b/>
                <w:bCs/>
                <w:sz w:val="18"/>
                <w:szCs w:val="18"/>
              </w:rPr>
              <w:t>登记证书</w:t>
            </w:r>
            <w:r>
              <w:rPr>
                <w:rFonts w:ascii="宋体" w:hAnsi="宋体" w:cs="宋体" w:eastAsia="宋体" w:hint="default"/>
                <w:b/>
                <w:bCs/>
                <w:w w:val="99"/>
                <w:sz w:val="18"/>
                <w:szCs w:val="18"/>
              </w:rPr>
              <w:t> </w:t>
            </w:r>
            <w:r>
              <w:rPr>
                <w:rFonts w:ascii="宋体" w:hAnsi="宋体" w:cs="宋体" w:eastAsia="宋体" w:hint="default"/>
                <w:b/>
                <w:bCs/>
                <w:sz w:val="18"/>
                <w:szCs w:val="18"/>
              </w:rPr>
              <w:t>编号</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
              <w:ind w:left="439" w:right="75" w:hanging="363"/>
              <w:jc w:val="left"/>
              <w:rPr>
                <w:rFonts w:ascii="宋体" w:hAnsi="宋体" w:cs="宋体" w:eastAsia="宋体" w:hint="default"/>
                <w:sz w:val="18"/>
                <w:szCs w:val="18"/>
              </w:rPr>
            </w:pPr>
            <w:r>
              <w:rPr>
                <w:rFonts w:ascii="宋体" w:hAnsi="宋体" w:cs="宋体" w:eastAsia="宋体" w:hint="default"/>
                <w:b/>
                <w:bCs/>
                <w:sz w:val="18"/>
                <w:szCs w:val="18"/>
              </w:rPr>
              <w:t>权利取得方</w:t>
            </w:r>
            <w:r>
              <w:rPr>
                <w:rFonts w:ascii="宋体" w:hAnsi="宋体" w:cs="宋体" w:eastAsia="宋体" w:hint="default"/>
                <w:b/>
                <w:bCs/>
                <w:w w:val="99"/>
                <w:sz w:val="18"/>
                <w:szCs w:val="18"/>
              </w:rPr>
              <w:t> </w:t>
            </w:r>
            <w:r>
              <w:rPr>
                <w:rFonts w:ascii="宋体" w:hAnsi="宋体" w:cs="宋体" w:eastAsia="宋体" w:hint="default"/>
                <w:b/>
                <w:bCs/>
                <w:sz w:val="18"/>
                <w:szCs w:val="18"/>
              </w:rPr>
              <w:t>式</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 w:right="0"/>
              <w:jc w:val="center"/>
              <w:rPr>
                <w:rFonts w:ascii="宋体" w:hAnsi="宋体" w:cs="宋体" w:eastAsia="宋体" w:hint="default"/>
                <w:sz w:val="18"/>
                <w:szCs w:val="18"/>
              </w:rPr>
            </w:pPr>
            <w:r>
              <w:rPr>
                <w:rFonts w:ascii="宋体" w:hAnsi="宋体" w:cs="宋体" w:eastAsia="宋体" w:hint="default"/>
                <w:b/>
                <w:bCs/>
                <w:sz w:val="18"/>
                <w:szCs w:val="18"/>
              </w:rPr>
              <w:t>权利范围</w:t>
            </w:r>
            <w:r>
              <w:rPr>
                <w:rFonts w:ascii="宋体" w:hAnsi="宋体" w:cs="宋体" w:eastAsia="宋体" w:hint="default"/>
                <w:sz w:val="18"/>
                <w:szCs w:val="18"/>
              </w:rPr>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 w:right="0"/>
              <w:jc w:val="center"/>
              <w:rPr>
                <w:rFonts w:ascii="宋体" w:hAnsi="宋体" w:cs="宋体" w:eastAsia="宋体" w:hint="default"/>
                <w:sz w:val="18"/>
                <w:szCs w:val="18"/>
              </w:rPr>
            </w:pPr>
            <w:r>
              <w:rPr>
                <w:rFonts w:ascii="宋体" w:hAnsi="宋体" w:cs="宋体" w:eastAsia="宋体" w:hint="default"/>
                <w:b/>
                <w:bCs/>
                <w:sz w:val="18"/>
                <w:szCs w:val="18"/>
              </w:rPr>
              <w:t>首次发表日期</w:t>
            </w:r>
            <w:r>
              <w:rPr>
                <w:rFonts w:ascii="宋体" w:hAnsi="宋体" w:cs="宋体" w:eastAsia="宋体" w:hint="default"/>
                <w:sz w:val="18"/>
                <w:szCs w:val="18"/>
              </w:rPr>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易联众村卫生室管理信息系统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2012SR02325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039128Y</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2012-03-26</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易联众区域基层医疗机构综合信息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管理系统</w:t>
            </w:r>
            <w:r>
              <w:rPr>
                <w:rFonts w:ascii="Times New Roman" w:hAnsi="Times New Roman" w:cs="Times New Roman" w:eastAsia="Times New Roman" w:hint="default"/>
                <w:sz w:val="18"/>
                <w:szCs w:val="18"/>
              </w:rPr>
              <w:t>V1.1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2012SR02669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0394726</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2012-04-9</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易联众社会保险退休管理信息系统</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2012SR02712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0395164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2012-04-9</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易联众民生服务自助终端系统</w:t>
            </w:r>
            <w:r>
              <w:rPr>
                <w:rFonts w:ascii="Times New Roman" w:hAnsi="Times New Roman" w:cs="Times New Roman" w:eastAsia="Times New Roman" w:hint="default"/>
                <w:sz w:val="18"/>
                <w:szCs w:val="18"/>
              </w:rPr>
              <w:t>V1.1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Times New Roman" w:hAnsi="Times New Roman" w:cs="Times New Roman" w:eastAsia="Times New Roman" w:hint="default"/>
                <w:sz w:val="18"/>
                <w:szCs w:val="18"/>
              </w:rPr>
            </w:pPr>
            <w:r>
              <w:rPr>
                <w:rFonts w:ascii="Times New Roman"/>
                <w:sz w:val="18"/>
              </w:rPr>
              <w:t>2012SR02726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0395300</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2012-04-10</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社会保险费统一征缴信息管理系统</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2012SR04396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0412003</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2012-05-26</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旅游基础数据管理系统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2012SR04463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0412671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2012-05-29</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指纹异地协查管理系统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2012SR04571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0413754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2012-06-01</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易联众基于金融应用的社保卡平台</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YLZCOS</w:t>
            </w:r>
            <w:r>
              <w:rPr>
                <w:rFonts w:ascii="Times New Roman"/>
                <w:spacing w:val="-4"/>
                <w:sz w:val="18"/>
              </w:rPr>
              <w:t> </w:t>
            </w:r>
            <w:r>
              <w:rPr>
                <w:rFonts w:ascii="Times New Roman"/>
                <w:sz w:val="18"/>
              </w:rPr>
              <w:t>V1.1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2012SR05815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0426194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2012-07-02</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易联众人事信息管理系统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2012SR06194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0429976</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2012-7-11</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易联众区域影像软件系统</w:t>
            </w:r>
            <w:r>
              <w:rPr>
                <w:rFonts w:ascii="Times New Roman" w:hAnsi="Times New Roman" w:cs="Times New Roman" w:eastAsia="Times New Roman" w:hint="default"/>
                <w:sz w:val="18"/>
                <w:szCs w:val="18"/>
              </w:rPr>
              <w:t>V2.0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2012SR07037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0438414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2012-08-03</w:t>
            </w:r>
          </w:p>
        </w:tc>
      </w:tr>
      <w:tr>
        <w:trPr>
          <w:trHeight w:val="656"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易联众居民健康档案信息系统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2012SR07050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0438542</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2012-08-03</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易联众健康体检信息系统</w:t>
            </w:r>
            <w:r>
              <w:rPr>
                <w:rFonts w:ascii="Times New Roman" w:hAnsi="Times New Roman" w:cs="Times New Roman" w:eastAsia="Times New Roman" w:hint="default"/>
                <w:sz w:val="18"/>
                <w:szCs w:val="18"/>
              </w:rPr>
              <w:t>V5.1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Times New Roman" w:hAnsi="Times New Roman" w:cs="Times New Roman" w:eastAsia="Times New Roman" w:hint="default"/>
                <w:sz w:val="18"/>
                <w:szCs w:val="18"/>
              </w:rPr>
            </w:pPr>
            <w:r>
              <w:rPr>
                <w:rFonts w:ascii="Times New Roman"/>
                <w:sz w:val="18"/>
              </w:rPr>
              <w:t>2012SR07053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0438542</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8"/>
                <w:szCs w:val="18"/>
              </w:rPr>
            </w:pPr>
            <w:r>
              <w:rPr>
                <w:rFonts w:ascii="Times New Roman"/>
                <w:sz w:val="18"/>
              </w:rPr>
              <w:t>2012-08-03</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Times New Roman" w:hAnsi="Times New Roman" w:cs="Times New Roman" w:eastAsia="Times New Roman" w:hint="default"/>
                <w:sz w:val="18"/>
                <w:szCs w:val="18"/>
              </w:rPr>
            </w:pPr>
            <w:r>
              <w:rPr>
                <w:rFonts w:ascii="Times New Roman"/>
                <w:sz w:val="18"/>
              </w:rPr>
              <w:t>13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易联众门诊输液系统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2012SR07281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0440851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2012-08-03</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易联众电子病历系统</w:t>
            </w:r>
            <w:r>
              <w:rPr>
                <w:rFonts w:ascii="Times New Roman" w:hAnsi="Times New Roman" w:cs="Times New Roman" w:eastAsia="Times New Roman" w:hint="default"/>
                <w:sz w:val="18"/>
                <w:szCs w:val="18"/>
              </w:rPr>
              <w:t>V2.0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Times New Roman" w:hAnsi="Times New Roman" w:cs="Times New Roman" w:eastAsia="Times New Roman" w:hint="default"/>
                <w:sz w:val="18"/>
                <w:szCs w:val="18"/>
              </w:rPr>
            </w:pPr>
            <w:r>
              <w:rPr>
                <w:rFonts w:ascii="Times New Roman"/>
                <w:sz w:val="18"/>
              </w:rPr>
              <w:t>2012SR07053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0438566</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2012-08-03</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26"/>
        <w:gridCol w:w="2741"/>
        <w:gridCol w:w="1094"/>
        <w:gridCol w:w="1349"/>
        <w:gridCol w:w="1066"/>
        <w:gridCol w:w="1080"/>
        <w:gridCol w:w="1285"/>
      </w:tblGrid>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湖</w:t>
            </w:r>
            <w:r>
              <w:rPr>
                <w:rFonts w:ascii="宋体" w:hAnsi="宋体" w:cs="宋体" w:eastAsia="宋体" w:hint="default"/>
                <w:spacing w:val="-60"/>
                <w:sz w:val="18"/>
                <w:szCs w:val="18"/>
              </w:rPr>
              <w:t> </w:t>
            </w:r>
            <w:r>
              <w:rPr>
                <w:rFonts w:ascii="宋体" w:hAnsi="宋体" w:cs="宋体" w:eastAsia="宋体" w:hint="default"/>
                <w:sz w:val="18"/>
                <w:szCs w:val="18"/>
              </w:rPr>
              <w:t>南</w:t>
            </w:r>
            <w:r>
              <w:rPr>
                <w:rFonts w:ascii="宋体" w:hAnsi="宋体" w:cs="宋体" w:eastAsia="宋体" w:hint="default"/>
                <w:spacing w:val="-60"/>
                <w:sz w:val="18"/>
                <w:szCs w:val="18"/>
              </w:rPr>
              <w:t> </w:t>
            </w:r>
            <w:r>
              <w:rPr>
                <w:rFonts w:ascii="宋体" w:hAnsi="宋体" w:cs="宋体" w:eastAsia="宋体" w:hint="default"/>
                <w:sz w:val="18"/>
                <w:szCs w:val="18"/>
              </w:rPr>
              <w:t>省</w:t>
            </w:r>
            <w:r>
              <w:rPr>
                <w:rFonts w:ascii="宋体" w:hAnsi="宋体" w:cs="宋体" w:eastAsia="宋体" w:hint="default"/>
                <w:spacing w:val="-60"/>
                <w:sz w:val="18"/>
                <w:szCs w:val="18"/>
              </w:rPr>
              <w:t> </w:t>
            </w:r>
            <w:r>
              <w:rPr>
                <w:rFonts w:ascii="宋体" w:hAnsi="宋体" w:cs="宋体" w:eastAsia="宋体" w:hint="default"/>
                <w:sz w:val="18"/>
                <w:szCs w:val="18"/>
              </w:rPr>
              <w:t>养</w:t>
            </w:r>
            <w:r>
              <w:rPr>
                <w:rFonts w:ascii="宋体" w:hAnsi="宋体" w:cs="宋体" w:eastAsia="宋体" w:hint="default"/>
                <w:spacing w:val="-60"/>
                <w:sz w:val="18"/>
                <w:szCs w:val="18"/>
              </w:rPr>
              <w:t> </w:t>
            </w:r>
            <w:r>
              <w:rPr>
                <w:rFonts w:ascii="宋体" w:hAnsi="宋体" w:cs="宋体" w:eastAsia="宋体" w:hint="default"/>
                <w:sz w:val="18"/>
                <w:szCs w:val="18"/>
              </w:rPr>
              <w:t>老</w:t>
            </w:r>
            <w:r>
              <w:rPr>
                <w:rFonts w:ascii="宋体" w:hAnsi="宋体" w:cs="宋体" w:eastAsia="宋体" w:hint="default"/>
                <w:spacing w:val="-57"/>
                <w:sz w:val="18"/>
                <w:szCs w:val="18"/>
              </w:rPr>
              <w:t> </w:t>
            </w:r>
            <w:r>
              <w:rPr>
                <w:rFonts w:ascii="宋体" w:hAnsi="宋体" w:cs="宋体" w:eastAsia="宋体" w:hint="default"/>
                <w:sz w:val="18"/>
                <w:szCs w:val="18"/>
              </w:rPr>
              <w:t>保</w:t>
            </w:r>
            <w:r>
              <w:rPr>
                <w:rFonts w:ascii="宋体" w:hAnsi="宋体" w:cs="宋体" w:eastAsia="宋体" w:hint="default"/>
                <w:spacing w:val="-60"/>
                <w:sz w:val="18"/>
                <w:szCs w:val="18"/>
              </w:rPr>
              <w:t> </w:t>
            </w:r>
            <w:r>
              <w:rPr>
                <w:rFonts w:ascii="宋体" w:hAnsi="宋体" w:cs="宋体" w:eastAsia="宋体" w:hint="default"/>
                <w:sz w:val="18"/>
                <w:szCs w:val="18"/>
              </w:rPr>
              <w:t>险</w:t>
            </w:r>
            <w:r>
              <w:rPr>
                <w:rFonts w:ascii="宋体" w:hAnsi="宋体" w:cs="宋体" w:eastAsia="宋体" w:hint="default"/>
                <w:spacing w:val="-60"/>
                <w:sz w:val="18"/>
                <w:szCs w:val="18"/>
              </w:rPr>
              <w:t> </w:t>
            </w:r>
            <w:r>
              <w:rPr>
                <w:rFonts w:ascii="宋体" w:hAnsi="宋体" w:cs="宋体" w:eastAsia="宋体" w:hint="default"/>
                <w:sz w:val="18"/>
                <w:szCs w:val="18"/>
              </w:rPr>
              <w:t>信</w:t>
            </w:r>
            <w:r>
              <w:rPr>
                <w:rFonts w:ascii="宋体" w:hAnsi="宋体" w:cs="宋体" w:eastAsia="宋体" w:hint="default"/>
                <w:spacing w:val="-60"/>
                <w:sz w:val="18"/>
                <w:szCs w:val="18"/>
              </w:rPr>
              <w:t> </w:t>
            </w:r>
            <w:r>
              <w:rPr>
                <w:rFonts w:ascii="宋体" w:hAnsi="宋体" w:cs="宋体" w:eastAsia="宋体" w:hint="default"/>
                <w:sz w:val="18"/>
                <w:szCs w:val="18"/>
              </w:rPr>
              <w:t>息</w:t>
            </w:r>
            <w:r>
              <w:rPr>
                <w:rFonts w:ascii="宋体" w:hAnsi="宋体" w:cs="宋体" w:eastAsia="宋体" w:hint="default"/>
                <w:spacing w:val="-57"/>
                <w:sz w:val="18"/>
                <w:szCs w:val="18"/>
              </w:rPr>
              <w:t> </w:t>
            </w:r>
            <w:r>
              <w:rPr>
                <w:rFonts w:ascii="宋体" w:hAnsi="宋体" w:cs="宋体" w:eastAsia="宋体" w:hint="default"/>
                <w:sz w:val="18"/>
                <w:szCs w:val="18"/>
              </w:rPr>
              <w:t>管</w:t>
            </w:r>
            <w:r>
              <w:rPr>
                <w:rFonts w:ascii="宋体" w:hAnsi="宋体" w:cs="宋体" w:eastAsia="宋体" w:hint="default"/>
                <w:spacing w:val="-60"/>
                <w:sz w:val="18"/>
                <w:szCs w:val="18"/>
              </w:rPr>
              <w:t> </w:t>
            </w:r>
            <w:r>
              <w:rPr>
                <w:rFonts w:ascii="宋体" w:hAnsi="宋体" w:cs="宋体" w:eastAsia="宋体" w:hint="default"/>
                <w:sz w:val="18"/>
                <w:szCs w:val="18"/>
              </w:rPr>
              <w:t>理</w:t>
            </w:r>
            <w:r>
              <w:rPr>
                <w:rFonts w:ascii="宋体" w:hAnsi="宋体" w:cs="宋体" w:eastAsia="宋体" w:hint="default"/>
                <w:spacing w:val="-57"/>
                <w:sz w:val="18"/>
                <w:szCs w:val="18"/>
              </w:rPr>
              <w:t> </w:t>
            </w:r>
            <w:r>
              <w:rPr>
                <w:rFonts w:ascii="宋体" w:hAnsi="宋体" w:cs="宋体" w:eastAsia="宋体" w:hint="default"/>
                <w:sz w:val="18"/>
                <w:szCs w:val="18"/>
              </w:rPr>
              <w:t>系</w:t>
            </w:r>
            <w:r>
              <w:rPr>
                <w:rFonts w:ascii="宋体" w:hAnsi="宋体" w:cs="宋体" w:eastAsia="宋体" w:hint="default"/>
                <w:spacing w:val="-60"/>
                <w:sz w:val="18"/>
                <w:szCs w:val="18"/>
              </w:rPr>
              <w:t> </w:t>
            </w:r>
            <w:r>
              <w:rPr>
                <w:rFonts w:ascii="宋体" w:hAnsi="宋体" w:cs="宋体" w:eastAsia="宋体" w:hint="default"/>
                <w:sz w:val="18"/>
                <w:szCs w:val="18"/>
              </w:rPr>
              <w:t>统</w:t>
            </w:r>
          </w:p>
          <w:p>
            <w:pPr>
              <w:pStyle w:val="TableParagraph"/>
              <w:spacing w:line="240" w:lineRule="auto" w:before="119"/>
              <w:ind w:left="4" w:right="0"/>
              <w:jc w:val="left"/>
              <w:rPr>
                <w:rFonts w:ascii="Times New Roman" w:hAnsi="Times New Roman" w:cs="Times New Roman" w:eastAsia="Times New Roman" w:hint="default"/>
                <w:sz w:val="18"/>
                <w:szCs w:val="18"/>
              </w:rPr>
            </w:pPr>
            <w:r>
              <w:rPr>
                <w:rFonts w:ascii="Times New Roman"/>
                <w:sz w:val="18"/>
              </w:rPr>
              <w:t>V5.0018</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2012SR07577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0443814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2012-08-16</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人力资源市场信息系统</w:t>
            </w:r>
            <w:r>
              <w:rPr>
                <w:rFonts w:ascii="Times New Roman" w:hAnsi="Times New Roman" w:cs="Times New Roman" w:eastAsia="Times New Roman" w:hint="default"/>
                <w:sz w:val="18"/>
                <w:szCs w:val="18"/>
              </w:rPr>
              <w:t>V2.0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2012SR07687</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0444909</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2012-08-21</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13"/>
                <w:sz w:val="18"/>
                <w:szCs w:val="18"/>
              </w:rPr>
              <w:t>易联众劳动力市场管理信息系统</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V2.0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2012SR10054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0468582</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2012-10-25</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18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易联众电子钱包支付平台</w:t>
            </w:r>
            <w:r>
              <w:rPr>
                <w:rFonts w:ascii="Times New Roman" w:hAnsi="Times New Roman" w:cs="Times New Roman" w:eastAsia="Times New Roman" w:hint="default"/>
                <w:sz w:val="18"/>
                <w:szCs w:val="18"/>
              </w:rPr>
              <w:t>V1.1</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2012SR10054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0468579</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2012-10-25</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13"/>
                <w:sz w:val="18"/>
                <w:szCs w:val="18"/>
              </w:rPr>
              <w:t>易联众外来工培训管理信息系统</w:t>
            </w:r>
          </w:p>
          <w:p>
            <w:pPr>
              <w:pStyle w:val="TableParagraph"/>
              <w:spacing w:line="240" w:lineRule="auto" w:before="118"/>
              <w:ind w:left="4" w:right="0"/>
              <w:jc w:val="left"/>
              <w:rPr>
                <w:rFonts w:ascii="Times New Roman" w:hAnsi="Times New Roman" w:cs="Times New Roman" w:eastAsia="Times New Roman" w:hint="default"/>
                <w:sz w:val="18"/>
                <w:szCs w:val="18"/>
              </w:rPr>
            </w:pPr>
            <w:r>
              <w:rPr>
                <w:rFonts w:ascii="Times New Roman"/>
                <w:sz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2012SR10054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0481141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2012-10-25</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易联众社会保险统一退保管理信息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2012SR10098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0469021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2012-10-26</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21</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易联众社会保障卡数据采集处理系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2012SR11310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7"/>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0481141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2012-11-23</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22</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易联众社会保障卡一卡通应用测试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2012SR12858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0496624</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2012-12-19</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23</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易联众社会保障卡初始化及个人系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2012SR12858</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0496621</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2012-12-19</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24</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易联众社会保障卡管理系统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2012SR12855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0496595</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2012-12-19</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25</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银行业务预处理系统</w:t>
            </w:r>
            <w:r>
              <w:rPr>
                <w:rFonts w:ascii="Times New Roman" w:hAnsi="Times New Roman" w:cs="Times New Roman" w:eastAsia="Times New Roman" w:hint="default"/>
                <w:sz w:val="18"/>
                <w:szCs w:val="18"/>
              </w:rPr>
              <w:t>V1.3</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2012SR13132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0499357</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2012-12-22</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26</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易联众技能鉴定管理信息系统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2012SR13723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0505268</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2012-12-28</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27</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易联众劳动就业社区应用平台</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2012SR13671</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0504752</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2012-12-28</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28</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易联众劳动仲裁管理信息系统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2012SR13755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0505593</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2012-12-31</w:t>
            </w:r>
          </w:p>
        </w:tc>
      </w:tr>
      <w:tr>
        <w:trPr>
          <w:trHeight w:val="653"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29</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易联众就业培训管理信息系统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2012SR13754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0505578</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11"/>
              <w:jc w:val="right"/>
              <w:rPr>
                <w:rFonts w:ascii="Times New Roman" w:hAnsi="Times New Roman" w:cs="Times New Roman" w:eastAsia="Times New Roman" w:hint="default"/>
                <w:sz w:val="18"/>
                <w:szCs w:val="18"/>
              </w:rPr>
            </w:pPr>
            <w:r>
              <w:rPr>
                <w:rFonts w:ascii="Times New Roman"/>
                <w:sz w:val="18"/>
              </w:rPr>
              <w:t>2012-12-31</w:t>
            </w:r>
          </w:p>
        </w:tc>
      </w:tr>
      <w:tr>
        <w:trPr>
          <w:trHeight w:val="655" w:hRule="exact"/>
        </w:trPr>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30</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易联众劳动派遣管理信息系统</w:t>
            </w:r>
            <w:r>
              <w:rPr>
                <w:rFonts w:ascii="Times New Roman" w:hAnsi="Times New Roman" w:cs="Times New Roman" w:eastAsia="Times New Roman" w:hint="default"/>
                <w:sz w:val="18"/>
                <w:szCs w:val="18"/>
              </w:rPr>
              <w:t>V1.0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2012SR13752</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宋体" w:hAnsi="宋体" w:cs="宋体" w:eastAsia="宋体" w:hint="default"/>
                <w:sz w:val="18"/>
                <w:szCs w:val="18"/>
              </w:rPr>
            </w:pPr>
            <w:r>
              <w:rPr>
                <w:rFonts w:ascii="宋体" w:hAnsi="宋体" w:cs="宋体" w:eastAsia="宋体" w:hint="default"/>
                <w:sz w:val="18"/>
                <w:szCs w:val="18"/>
              </w:rPr>
              <w:t>软著登字第</w:t>
            </w:r>
          </w:p>
          <w:p>
            <w:pPr>
              <w:pStyle w:val="TableParagraph"/>
              <w:spacing w:line="240" w:lineRule="auto" w:before="76"/>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0505556</w:t>
            </w:r>
            <w:r>
              <w:rPr>
                <w:rFonts w:ascii="宋体" w:hAnsi="宋体" w:cs="宋体" w:eastAsia="宋体" w:hint="default"/>
                <w:sz w:val="18"/>
                <w:szCs w:val="18"/>
              </w:rPr>
              <w:t>号</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原始取得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全部权利</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1"/>
              <w:jc w:val="right"/>
              <w:rPr>
                <w:rFonts w:ascii="Times New Roman" w:hAnsi="Times New Roman" w:cs="Times New Roman" w:eastAsia="Times New Roman" w:hint="default"/>
                <w:sz w:val="18"/>
                <w:szCs w:val="18"/>
              </w:rPr>
            </w:pPr>
            <w:r>
              <w:rPr>
                <w:rFonts w:ascii="Times New Roman"/>
                <w:sz w:val="18"/>
              </w:rPr>
              <w:t>2012-12-31</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959" w:type="dxa"/>
        <w:tblLayout w:type="fixed"/>
        <w:tblCellMar>
          <w:top w:w="0" w:type="dxa"/>
          <w:left w:w="0" w:type="dxa"/>
          <w:bottom w:w="0" w:type="dxa"/>
          <w:right w:w="0" w:type="dxa"/>
        </w:tblCellMar>
        <w:tblLook w:val="01E0"/>
      </w:tblPr>
      <w:tblGrid>
        <w:gridCol w:w="2139"/>
        <w:gridCol w:w="2071"/>
        <w:gridCol w:w="1906"/>
        <w:gridCol w:w="1901"/>
      </w:tblGrid>
      <w:tr>
        <w:trPr>
          <w:trHeight w:val="40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6"/>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年营业收入</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8"/>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年营业收入</w:t>
            </w:r>
            <w:r>
              <w:rPr>
                <w:rFonts w:ascii="宋体" w:hAnsi="宋体" w:cs="宋体" w:eastAsia="宋体" w:hint="default"/>
                <w:sz w:val="18"/>
                <w:szCs w:val="18"/>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宋体" w:hAnsi="宋体" w:cs="宋体" w:eastAsia="宋体" w:hint="default"/>
                <w:sz w:val="18"/>
                <w:szCs w:val="18"/>
              </w:rPr>
            </w:pPr>
            <w:r>
              <w:rPr>
                <w:rFonts w:ascii="宋体" w:hAnsi="宋体" w:cs="宋体" w:eastAsia="宋体" w:hint="default"/>
                <w:b/>
                <w:bCs/>
                <w:w w:val="95"/>
                <w:sz w:val="18"/>
                <w:szCs w:val="18"/>
              </w:rPr>
              <w:t>同比增减情况</w:t>
            </w:r>
            <w:r>
              <w:rPr>
                <w:rFonts w:ascii="宋体" w:hAnsi="宋体" w:cs="宋体" w:eastAsia="宋体" w:hint="default"/>
                <w:sz w:val="18"/>
                <w:szCs w:val="18"/>
              </w:rPr>
            </w:r>
          </w:p>
        </w:tc>
      </w:tr>
      <w:tr>
        <w:trPr>
          <w:trHeight w:val="40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IC</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183,864,439.33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284,246,705.00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-35.32%</w:t>
            </w:r>
          </w:p>
        </w:tc>
      </w:tr>
      <w:tr>
        <w:trPr>
          <w:trHeight w:val="40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31,906,518.65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27,018,236.80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18.09%</w:t>
            </w:r>
          </w:p>
        </w:tc>
      </w:tr>
      <w:tr>
        <w:trPr>
          <w:trHeight w:val="40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61,616,667.20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70,662,203.48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-12.80%</w:t>
            </w:r>
          </w:p>
        </w:tc>
      </w:tr>
      <w:tr>
        <w:trPr>
          <w:trHeight w:val="401"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2,410,122.67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590,000.00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308.50%</w:t>
            </w:r>
          </w:p>
        </w:tc>
      </w:tr>
      <w:tr>
        <w:trPr>
          <w:trHeight w:val="403" w:hRule="exact"/>
        </w:trPr>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90"/>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279,797,747.85</w:t>
            </w:r>
            <w:r>
              <w:rPr>
                <w:rFonts w:ascii="Times New Roman"/>
                <w:spacing w:val="-1"/>
                <w:sz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b/>
                <w:spacing w:val="-1"/>
                <w:sz w:val="18"/>
              </w:rPr>
              <w:t>382,517,145.28</w:t>
            </w:r>
            <w:r>
              <w:rPr>
                <w:rFonts w:ascii="Times New Roman"/>
                <w:spacing w:val="-1"/>
                <w:sz w:val="18"/>
              </w:rPr>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b/>
                <w:sz w:val="18"/>
              </w:rPr>
              <w:t>-26.85%</w:t>
            </w:r>
            <w:r>
              <w:rPr>
                <w:rFonts w:ascii="Times New Roman"/>
                <w:sz w:val="18"/>
              </w:rPr>
            </w:r>
          </w:p>
        </w:tc>
      </w:tr>
    </w:tbl>
    <w:p>
      <w:pPr>
        <w:spacing w:line="240" w:lineRule="auto" w:before="1"/>
        <w:rPr>
          <w:rFonts w:ascii="宋体" w:hAnsi="宋体" w:cs="宋体" w:eastAsia="宋体" w:hint="default"/>
          <w:sz w:val="21"/>
          <w:szCs w:val="21"/>
        </w:rPr>
      </w:pPr>
    </w:p>
    <w:p>
      <w:pPr>
        <w:pStyle w:val="BodyText"/>
        <w:spacing w:line="232" w:lineRule="exact" w:before="69"/>
        <w:ind w:right="177" w:firstLine="360"/>
        <w:jc w:val="left"/>
      </w:pPr>
      <w:r>
        <w:rPr>
          <w:rFonts w:ascii="Times New Roman" w:hAnsi="Times New Roman" w:cs="Times New Roman" w:eastAsia="Times New Roman" w:hint="default"/>
          <w:spacing w:val="-3"/>
        </w:rPr>
        <w:t>1</w:t>
      </w:r>
      <w:r>
        <w:rPr>
          <w:spacing w:val="-3"/>
        </w:rPr>
        <w:t>、定制软件及</w:t>
      </w:r>
      <w:r>
        <w:rPr>
          <w:spacing w:val="-57"/>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业务较去年同期下降</w:t>
      </w:r>
      <w:r>
        <w:rPr>
          <w:rFonts w:ascii="Times New Roman" w:hAnsi="Times New Roman" w:cs="Times New Roman" w:eastAsia="Times New Roman" w:hint="default"/>
        </w:rPr>
        <w:t>-35.32%</w:t>
      </w:r>
      <w:r>
        <w:rPr/>
        <w:t>，其主要原因一是正在拓展的项目推迟，二是报告期内大部分</w:t>
      </w:r>
      <w:r>
        <w:rPr>
          <w:spacing w:val="-56"/>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卡业务 不包含芯片的销售，故使得定制软件及</w:t>
      </w:r>
      <w:r>
        <w:rPr>
          <w:spacing w:val="-44"/>
        </w:rPr>
        <w:t> </w:t>
      </w:r>
      <w:r>
        <w:rPr>
          <w:rFonts w:ascii="Times New Roman" w:hAnsi="Times New Roman" w:cs="Times New Roman" w:eastAsia="Times New Roman" w:hint="default"/>
        </w:rPr>
        <w:t>IC </w:t>
      </w:r>
      <w:r>
        <w:rPr/>
        <w:t>业务营业收入出现较大幅度的减少。</w:t>
      </w:r>
    </w:p>
    <w:p>
      <w:pPr>
        <w:pStyle w:val="BodyText"/>
        <w:spacing w:line="240" w:lineRule="auto" w:before="17"/>
        <w:ind w:left="513" w:right="94"/>
        <w:jc w:val="left"/>
      </w:pPr>
      <w:r>
        <w:rPr>
          <w:rFonts w:ascii="Times New Roman" w:hAnsi="Times New Roman" w:cs="Times New Roman" w:eastAsia="Times New Roman" w:hint="default"/>
        </w:rPr>
        <w:t>2</w:t>
      </w:r>
      <w:r>
        <w:rPr/>
        <w:t>、技术服务业务较去年同期增加</w:t>
      </w:r>
      <w:r>
        <w:rPr>
          <w:spacing w:val="-45"/>
        </w:rPr>
        <w:t> </w:t>
      </w:r>
      <w:r>
        <w:rPr>
          <w:rFonts w:ascii="Times New Roman" w:hAnsi="Times New Roman" w:cs="Times New Roman" w:eastAsia="Times New Roman" w:hint="default"/>
        </w:rPr>
        <w:t>18.09%</w:t>
      </w:r>
      <w:r>
        <w:rPr/>
        <w:t>，主要是公司根据市场需求变化及客户需求，积极拓展服务渠道所致。</w:t>
      </w:r>
    </w:p>
    <w:p>
      <w:pPr>
        <w:pStyle w:val="BodyText"/>
        <w:spacing w:line="230" w:lineRule="exact" w:before="53"/>
        <w:ind w:right="94" w:firstLine="360"/>
        <w:jc w:val="left"/>
      </w:pPr>
      <w:r>
        <w:rPr>
          <w:rFonts w:ascii="Times New Roman" w:hAnsi="Times New Roman" w:cs="Times New Roman" w:eastAsia="Times New Roman" w:hint="default"/>
          <w:spacing w:val="-2"/>
        </w:rPr>
        <w:t>3</w:t>
      </w:r>
      <w:r>
        <w:rPr>
          <w:spacing w:val="-2"/>
        </w:rPr>
        <w:t>、系统集成及硬件业务较去年同期下降</w:t>
      </w:r>
      <w:r>
        <w:rPr>
          <w:rFonts w:ascii="Times New Roman" w:hAnsi="Times New Roman" w:cs="Times New Roman" w:eastAsia="Times New Roman" w:hint="default"/>
          <w:spacing w:val="-2"/>
        </w:rPr>
        <w:t>-12.80%</w:t>
      </w:r>
      <w:r>
        <w:rPr>
          <w:spacing w:val="-2"/>
        </w:rPr>
        <w:t>，主要是公司自助服务终端业务在报告期内尚处于销售渠道的建设推广</w:t>
      </w:r>
      <w:r>
        <w:rPr/>
        <w:t> 阶段，尚未取得较为明显的经济效益。</w:t>
      </w:r>
    </w:p>
    <w:p>
      <w:pPr>
        <w:pStyle w:val="BodyText"/>
        <w:spacing w:line="240" w:lineRule="auto" w:before="58"/>
        <w:ind w:left="604" w:right="0"/>
        <w:jc w:val="left"/>
      </w:pPr>
      <w:r>
        <w:rPr>
          <w:rFonts w:ascii="Times New Roman" w:hAnsi="Times New Roman" w:cs="Times New Roman" w:eastAsia="Times New Roman" w:hint="default"/>
          <w:spacing w:val="-3"/>
        </w:rPr>
        <w:t>4</w:t>
      </w:r>
      <w:r>
        <w:rPr>
          <w:spacing w:val="-3"/>
        </w:rPr>
        <w:t>、其他服务较去年同期增加</w:t>
      </w:r>
      <w:r>
        <w:rPr>
          <w:spacing w:val="-22"/>
        </w:rPr>
        <w:t> </w:t>
      </w:r>
      <w:r>
        <w:rPr>
          <w:rFonts w:ascii="Times New Roman" w:hAnsi="Times New Roman" w:cs="Times New Roman" w:eastAsia="Times New Roman" w:hint="default"/>
          <w:spacing w:val="-3"/>
        </w:rPr>
        <w:t>308.50%</w:t>
      </w:r>
      <w:r>
        <w:rPr>
          <w:spacing w:val="-3"/>
        </w:rPr>
        <w:t>，主要是公司控股子公司中职动力（北京）科技有限公司网上培训平台服务收入。</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94"/>
        <w:jc w:val="left"/>
      </w:pPr>
      <w:r>
        <w:rPr/>
        <w:t>公司实物销售收入是否大于劳务收入</w:t>
      </w:r>
    </w:p>
    <w:p>
      <w:pPr>
        <w:pStyle w:val="BodyText"/>
        <w:spacing w:line="357" w:lineRule="auto" w:before="117"/>
        <w:ind w:right="7834"/>
        <w:jc w:val="left"/>
      </w:pPr>
      <w:r>
        <w:rPr/>
        <w:t>□ 是 √</w:t>
      </w:r>
      <w:r>
        <w:rPr>
          <w:spacing w:val="3"/>
        </w:rPr>
        <w:t> </w:t>
      </w:r>
      <w:r>
        <w:rPr/>
        <w:t>否</w:t>
      </w:r>
      <w:r>
        <w:rPr/>
        <w:t> 公司重大的在手订单情况</w:t>
      </w:r>
    </w:p>
    <w:p>
      <w:pPr>
        <w:pStyle w:val="BodyText"/>
        <w:spacing w:line="360" w:lineRule="auto" w:before="29"/>
        <w:ind w:right="8194"/>
        <w:jc w:val="left"/>
      </w:pPr>
      <w:r>
        <w:rPr/>
        <w:t>□ 适用 √</w:t>
      </w:r>
      <w:r>
        <w:rPr>
          <w:spacing w:val="3"/>
        </w:rPr>
        <w:t> </w:t>
      </w:r>
      <w:r>
        <w:rPr/>
        <w:t>不适用</w:t>
      </w:r>
      <w:r>
        <w:rPr/>
        <w:t> 数量分散的订单情况</w:t>
      </w:r>
    </w:p>
    <w:p>
      <w:pPr>
        <w:pStyle w:val="BodyText"/>
        <w:spacing w:line="360" w:lineRule="auto" w:before="25"/>
        <w:ind w:right="5494"/>
        <w:jc w:val="left"/>
      </w:pPr>
      <w:r>
        <w:rPr/>
        <w:t>□ 适用 √</w:t>
      </w:r>
      <w:r>
        <w:rPr>
          <w:spacing w:val="3"/>
        </w:rPr>
        <w:t> </w:t>
      </w:r>
      <w:r>
        <w:rPr/>
        <w:t>不适用</w:t>
      </w:r>
      <w:r>
        <w:rPr/>
        <w:t> 公司报告期内产品或服务发生重大变化或调整有关情况</w:t>
      </w:r>
    </w:p>
    <w:p>
      <w:pPr>
        <w:pStyle w:val="BodyText"/>
        <w:spacing w:line="240" w:lineRule="auto" w:before="27"/>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91,364,030.31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172,265,146.14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55,857,503.43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56,298,144.99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14,204,834.75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9" w:right="0"/>
              <w:jc w:val="left"/>
              <w:rPr>
                <w:rFonts w:ascii="Times New Roman" w:hAnsi="Times New Roman" w:cs="Times New Roman" w:eastAsia="Times New Roman" w:hint="default"/>
                <w:sz w:val="18"/>
                <w:szCs w:val="18"/>
              </w:rPr>
            </w:pPr>
            <w:r>
              <w:rPr>
                <w:rFonts w:ascii="Times New Roman"/>
                <w:sz w:val="18"/>
              </w:rPr>
              <w:t>8,491,960.79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67.27%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本年度增加营销投入，职工薪酬、差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旅费等也相应增加</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565" w:right="0"/>
              <w:jc w:val="left"/>
              <w:rPr>
                <w:rFonts w:ascii="Times New Roman" w:hAnsi="Times New Roman" w:cs="Times New Roman" w:eastAsia="Times New Roman" w:hint="default"/>
                <w:sz w:val="18"/>
                <w:szCs w:val="18"/>
              </w:rPr>
            </w:pPr>
            <w:r>
              <w:rPr>
                <w:rFonts w:ascii="Times New Roman"/>
                <w:sz w:val="18"/>
              </w:rPr>
              <w:t>61,110,570.29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43,260,969.59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3" w:right="0"/>
              <w:jc w:val="left"/>
              <w:rPr>
                <w:rFonts w:ascii="Times New Roman" w:hAnsi="Times New Roman" w:cs="Times New Roman" w:eastAsia="Times New Roman" w:hint="default"/>
                <w:sz w:val="18"/>
                <w:szCs w:val="18"/>
              </w:rPr>
            </w:pPr>
            <w:r>
              <w:rPr>
                <w:rFonts w:ascii="Times New Roman"/>
                <w:sz w:val="18"/>
              </w:rPr>
              <w:t>41.26%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8"/>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）本年度增加对研究开发项目的</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462"/>
        <w:gridCol w:w="2919"/>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投入，研究开发费较上年增加</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1,158.69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）本年度职工薪酬增加。</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-6,877,047.53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-6,490,931.42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12,564,151.02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16,333,804.66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1" w:firstLine="434"/>
        <w:jc w:val="both"/>
      </w:pPr>
      <w:r>
        <w:rPr/>
        <w:t>公司自成立以来，一直将技术创新、产品研发作为企业发展壮大的动力。报告期内，为增强公司的技术研发实力和产 </w:t>
      </w:r>
      <w:r>
        <w:rPr>
          <w:spacing w:val="-2"/>
        </w:rPr>
        <w:t>品的市场竞争力，公司持续不断推进技术创新，加大了对民生一体化门户网站系统、易联众居民健康信息系统、社保核心平</w:t>
      </w:r>
      <w:r>
        <w:rPr>
          <w:spacing w:val="-65"/>
        </w:rPr>
        <w:t> </w:t>
      </w:r>
      <w:r>
        <w:rPr>
          <w:spacing w:val="-65"/>
        </w:rPr>
      </w:r>
      <w:r>
        <w:rPr>
          <w:spacing w:val="-2"/>
        </w:rPr>
        <w:t>台和新增易联众电子病历管理系统、社区化在线学习云服务平台等产品的研发投入力度，以保障公司在行业内的技术领先地</w:t>
      </w:r>
      <w:r>
        <w:rPr>
          <w:spacing w:val="-64"/>
        </w:rPr>
        <w:t> </w:t>
      </w:r>
      <w:r>
        <w:rPr>
          <w:spacing w:val="-64"/>
        </w:rPr>
      </w:r>
      <w:r>
        <w:rPr/>
        <w:t>位。</w:t>
      </w:r>
    </w:p>
    <w:p>
      <w:pPr>
        <w:pStyle w:val="BodyText"/>
        <w:spacing w:line="309" w:lineRule="auto" w:before="19"/>
        <w:ind w:right="130" w:firstLine="300"/>
        <w:jc w:val="both"/>
      </w:pPr>
      <w:r>
        <w:rPr/>
        <w:t>报告期内，正在研发中的项目包括易联众电子病历管理系统、社区化在线学习云服务平台、民生一体化门户网站系统、 易联众居民健康信息系统以及社会保障核心平台工伤、生育保险信息系统等项目。报告期内研发投入总计</w:t>
      </w:r>
      <w:r>
        <w:rPr>
          <w:rFonts w:ascii="Times New Roman" w:hAnsi="Times New Roman" w:cs="Times New Roman" w:eastAsia="Times New Roman" w:hint="default"/>
        </w:rPr>
        <w:t>3,665.07</w:t>
      </w:r>
      <w:r>
        <w:rPr/>
        <w:t>万元，其</w:t>
      </w:r>
      <w:r>
        <w:rPr>
          <w:spacing w:val="-85"/>
        </w:rPr>
        <w:t> </w:t>
      </w:r>
      <w:r>
        <w:rPr>
          <w:spacing w:val="-85"/>
        </w:rPr>
      </w:r>
      <w:r>
        <w:rPr/>
        <w:t>中资本化金额为</w:t>
      </w:r>
      <w:r>
        <w:rPr>
          <w:rFonts w:ascii="Times New Roman" w:hAnsi="Times New Roman" w:cs="Times New Roman" w:eastAsia="Times New Roman" w:hint="default"/>
        </w:rPr>
        <w:t>1,135.94</w:t>
      </w:r>
      <w:r>
        <w:rPr/>
        <w:t>万元，资本化金额占研发投入比重为</w:t>
      </w:r>
      <w:r>
        <w:rPr>
          <w:rFonts w:ascii="Times New Roman" w:hAnsi="Times New Roman" w:cs="Times New Roman" w:eastAsia="Times New Roman" w:hint="default"/>
        </w:rPr>
        <w:t>30.99%</w:t>
      </w:r>
      <w:r>
        <w:rPr/>
        <w:t>，报告期内研发投入占当期营业收入的</w:t>
      </w:r>
      <w:r>
        <w:rPr>
          <w:rFonts w:ascii="Times New Roman" w:hAnsi="Times New Roman" w:cs="Times New Roman" w:eastAsia="Times New Roman" w:hint="default"/>
        </w:rPr>
        <w:t>13.10%</w:t>
      </w:r>
      <w:r>
        <w:rPr/>
        <w:t>。</w:t>
      </w:r>
    </w:p>
    <w:p>
      <w:pPr>
        <w:spacing w:line="240" w:lineRule="auto" w:before="0"/>
        <w:rPr>
          <w:rFonts w:ascii="宋体" w:hAnsi="宋体" w:cs="宋体" w:eastAsia="宋体" w:hint="default"/>
          <w:sz w:val="18"/>
          <w:szCs w:val="18"/>
        </w:rPr>
      </w:pPr>
    </w:p>
    <w:p>
      <w:pPr>
        <w:pStyle w:val="BodyText"/>
        <w:spacing w:line="240" w:lineRule="auto" w:before="122"/>
        <w:ind w:right="0"/>
        <w:jc w:val="left"/>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91"/>
        <w:gridCol w:w="1412"/>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30" w:right="0"/>
              <w:jc w:val="left"/>
              <w:rPr>
                <w:rFonts w:ascii="Times New Roman" w:hAnsi="Times New Roman" w:cs="Times New Roman" w:eastAsia="Times New Roman" w:hint="default"/>
                <w:sz w:val="18"/>
                <w:szCs w:val="18"/>
              </w:rPr>
            </w:pPr>
            <w:r>
              <w:rPr>
                <w:rFonts w:ascii="Times New Roman"/>
                <w:sz w:val="18"/>
              </w:rPr>
              <w:t>36,650,711.24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26,915,358.95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17,909,071.58</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91" w:type="dxa"/>
            <w:tcBorders>
              <w:top w:val="single" w:sz="4" w:space="0" w:color="000000"/>
              <w:left w:val="single" w:sz="23" w:space="0" w:color="FFFFFF"/>
              <w:bottom w:val="single" w:sz="4" w:space="0" w:color="000000"/>
              <w:right w:val="nil" w:sz="6" w:space="0" w:color="auto"/>
            </w:tcBorders>
          </w:tcPr>
          <w:p>
            <w:pPr/>
          </w:p>
        </w:tc>
        <w:tc>
          <w:tcPr>
            <w:tcW w:w="14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19" w:right="0"/>
              <w:jc w:val="left"/>
              <w:rPr>
                <w:rFonts w:ascii="Times New Roman" w:hAnsi="Times New Roman" w:cs="Times New Roman" w:eastAsia="Times New Roman" w:hint="default"/>
                <w:sz w:val="18"/>
                <w:szCs w:val="18"/>
              </w:rPr>
            </w:pPr>
            <w:r>
              <w:rPr>
                <w:rFonts w:ascii="Times New Roman"/>
                <w:sz w:val="18"/>
              </w:rPr>
              <w:t>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170.300003pt;margin-top:-32.616314pt;width:124.25pt;height:19.6pt;mso-position-horizontal-relative:page;mso-position-vertical-relative:paragraph;z-index:-82194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7.740005pt;margin-top:-32.616314pt;width:116.8pt;height:19.6pt;mso-position-horizontal-relative:page;mso-position-vertical-relative:paragraph;z-index:-821920" coordorigin="3555,-652" coordsize="2336,392">
            <v:shape style="position:absolute;left:3555;top:-652;width:2336;height:392" coordorigin="3555,-652" coordsize="2336,392" path="m3555,-261l5890,-261,5890,-652,3555,-652,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339,350,994.92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405,629,372.36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288,010,168.10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320,185,694.76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51,340,826.82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85,443,677.60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-39.91%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38,275,649.25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150,904,500.00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-74.64%</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44,114,314.43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186,088,141.32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-76.29%</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-5,838,665.18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-35,183,641.32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-83.41%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3,525,360.83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20,978,884.67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31,899,333.95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-34.23%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-18,636,384.67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-28,373,973.12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26,865,776.97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21,886,063.16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22.75%</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16" w:lineRule="auto" w:before="104"/>
        <w:ind w:right="129" w:firstLine="360"/>
        <w:jc w:val="left"/>
      </w:pPr>
      <w:r>
        <w:rPr>
          <w:rFonts w:ascii="宋体" w:hAnsi="宋体" w:cs="宋体" w:eastAsia="宋体" w:hint="default"/>
        </w:rPr>
        <w:t>1</w:t>
      </w:r>
      <w:r>
        <w:rPr/>
        <w:t>、经营活动产生的现金流量净额：本年度内公司经营活动产生的现金流量净额较上年同期减少</w:t>
      </w:r>
      <w:r>
        <w:rPr>
          <w:spacing w:val="-75"/>
        </w:rPr>
        <w:t> </w:t>
      </w:r>
      <w:r>
        <w:rPr>
          <w:rFonts w:ascii="宋体" w:hAnsi="宋体" w:cs="宋体" w:eastAsia="宋体" w:hint="default"/>
        </w:rPr>
        <w:t>39.91%</w:t>
      </w:r>
      <w:r>
        <w:rPr/>
        <w:t>，主要原因是本 年度销售规模下降，致使本期经营活动产生的现金流量净额较上年同期出现较大幅度减少。</w:t>
      </w:r>
    </w:p>
    <w:p>
      <w:pPr>
        <w:pStyle w:val="BodyText"/>
        <w:spacing w:line="240" w:lineRule="auto" w:before="57"/>
        <w:ind w:left="513" w:right="0"/>
        <w:jc w:val="left"/>
      </w:pPr>
      <w:r>
        <w:rPr>
          <w:rFonts w:ascii="宋体" w:hAnsi="宋体" w:cs="宋体" w:eastAsia="宋体" w:hint="default"/>
        </w:rPr>
        <w:t>2</w:t>
      </w:r>
      <w:r>
        <w:rPr/>
        <w:t>、投资活动现金流入较上年同期减少</w:t>
      </w:r>
      <w:r>
        <w:rPr>
          <w:spacing w:val="-46"/>
        </w:rPr>
        <w:t> </w:t>
      </w:r>
      <w:r>
        <w:rPr>
          <w:rFonts w:ascii="宋体" w:hAnsi="宋体" w:cs="宋体" w:eastAsia="宋体" w:hint="default"/>
        </w:rPr>
        <w:t>74.64%</w:t>
      </w:r>
      <w:r>
        <w:rPr/>
        <w:t>，主要是报告期定期存款转入减少所致。</w:t>
      </w:r>
    </w:p>
    <w:p>
      <w:pPr>
        <w:pStyle w:val="BodyText"/>
        <w:spacing w:line="240" w:lineRule="auto" w:before="117"/>
        <w:ind w:left="513" w:right="0"/>
        <w:jc w:val="left"/>
      </w:pPr>
      <w:r>
        <w:rPr>
          <w:rFonts w:ascii="宋体" w:hAnsi="宋体" w:cs="宋体" w:eastAsia="宋体" w:hint="default"/>
          <w:spacing w:val="-3"/>
        </w:rPr>
        <w:t>3</w:t>
      </w:r>
      <w:r>
        <w:rPr>
          <w:spacing w:val="-3"/>
        </w:rPr>
        <w:t>、投资活动现金流出较上年同期减少</w:t>
      </w:r>
      <w:r>
        <w:rPr>
          <w:spacing w:val="-11"/>
        </w:rPr>
        <w:t> </w:t>
      </w:r>
      <w:r>
        <w:rPr>
          <w:rFonts w:ascii="宋体" w:hAnsi="宋体" w:cs="宋体" w:eastAsia="宋体" w:hint="default"/>
          <w:spacing w:val="-2"/>
        </w:rPr>
        <w:t>76.29%</w:t>
      </w:r>
      <w:r>
        <w:rPr>
          <w:spacing w:val="-2"/>
        </w:rPr>
        <w:t>，主要是报告期定期存款转出减少及本年购置的固定资产减少所致。</w:t>
      </w:r>
    </w:p>
    <w:p>
      <w:pPr>
        <w:pStyle w:val="BodyText"/>
        <w:spacing w:line="316" w:lineRule="auto" w:before="117"/>
        <w:ind w:right="143" w:firstLine="360"/>
        <w:jc w:val="left"/>
      </w:pPr>
      <w:r>
        <w:rPr>
          <w:rFonts w:ascii="宋体" w:hAnsi="宋体" w:cs="宋体" w:eastAsia="宋体" w:hint="default"/>
          <w:spacing w:val="-1"/>
        </w:rPr>
        <w:t>4</w:t>
      </w:r>
      <w:r>
        <w:rPr>
          <w:spacing w:val="-1"/>
        </w:rPr>
        <w:t>、投资活动产生的现金流量净额：本年度内投资活动产生的现金流量净额较上年同期减少</w:t>
      </w:r>
      <w:r>
        <w:rPr>
          <w:spacing w:val="-34"/>
        </w:rPr>
        <w:t> </w:t>
      </w:r>
      <w:r>
        <w:rPr>
          <w:rFonts w:ascii="宋体" w:hAnsi="宋体" w:cs="宋体" w:eastAsia="宋体" w:hint="default"/>
          <w:spacing w:val="-1"/>
        </w:rPr>
        <w:t>83.41%</w:t>
      </w:r>
      <w:r>
        <w:rPr>
          <w:spacing w:val="-1"/>
        </w:rPr>
        <w:t>，主要原因是本年购</w:t>
      </w:r>
      <w:r>
        <w:rPr/>
        <w:t> 置的固定资产较上年减少。</w:t>
      </w:r>
    </w:p>
    <w:p>
      <w:pPr>
        <w:pStyle w:val="BodyText"/>
        <w:spacing w:line="240" w:lineRule="auto" w:before="57"/>
        <w:ind w:left="513" w:right="0"/>
        <w:jc w:val="left"/>
      </w:pPr>
      <w:r>
        <w:rPr>
          <w:rFonts w:ascii="宋体" w:hAnsi="宋体" w:cs="宋体" w:eastAsia="宋体" w:hint="default"/>
        </w:rPr>
        <w:t>5</w:t>
      </w:r>
      <w:r>
        <w:rPr/>
        <w:t>、筹资活动现金流入较上年同期减少</w:t>
      </w:r>
      <w:r>
        <w:rPr>
          <w:spacing w:val="-46"/>
        </w:rPr>
        <w:t> </w:t>
      </w:r>
      <w:r>
        <w:rPr>
          <w:rFonts w:ascii="宋体" w:hAnsi="宋体" w:cs="宋体" w:eastAsia="宋体" w:hint="default"/>
        </w:rPr>
        <w:t>33.55%</w:t>
      </w:r>
      <w:r>
        <w:rPr/>
        <w:t>，主要原因是报告期内子公司吸收少数股东投资收到的现金减少所致。</w:t>
      </w:r>
    </w:p>
    <w:p>
      <w:pPr>
        <w:pStyle w:val="BodyText"/>
        <w:spacing w:line="240" w:lineRule="auto" w:before="117"/>
        <w:ind w:left="513" w:right="0"/>
        <w:jc w:val="left"/>
      </w:pPr>
      <w:r>
        <w:rPr>
          <w:rFonts w:ascii="宋体" w:hAnsi="宋体" w:cs="宋体" w:eastAsia="宋体" w:hint="default"/>
        </w:rPr>
        <w:t>6</w:t>
      </w:r>
      <w:r>
        <w:rPr/>
        <w:t>、筹资活动现金流出较上年同期减少</w:t>
      </w:r>
      <w:r>
        <w:rPr>
          <w:spacing w:val="-46"/>
        </w:rPr>
        <w:t> </w:t>
      </w:r>
      <w:r>
        <w:rPr>
          <w:rFonts w:ascii="宋体" w:hAnsi="宋体" w:cs="宋体" w:eastAsia="宋体" w:hint="default"/>
        </w:rPr>
        <w:t>34.23%</w:t>
      </w:r>
      <w:r>
        <w:rPr/>
        <w:t>，主要原因是本年度未发生银行短期借款的借贷行为所致。</w:t>
      </w:r>
    </w:p>
    <w:p>
      <w:pPr>
        <w:pStyle w:val="BodyText"/>
        <w:spacing w:line="316" w:lineRule="auto" w:before="117"/>
        <w:ind w:right="0" w:firstLine="360"/>
        <w:jc w:val="left"/>
      </w:pPr>
      <w:r>
        <w:rPr>
          <w:rFonts w:ascii="宋体" w:hAnsi="宋体" w:cs="宋体" w:eastAsia="宋体" w:hint="default"/>
          <w:spacing w:val="-2"/>
        </w:rPr>
        <w:t>7</w:t>
      </w:r>
      <w:r>
        <w:rPr>
          <w:spacing w:val="-2"/>
        </w:rPr>
        <w:t>、筹资活动产生的现金流量净额：本年度内筹资活动产生的现金流量净额较上年同期减少</w:t>
      </w:r>
      <w:r>
        <w:rPr>
          <w:rFonts w:ascii="宋体" w:hAnsi="宋体" w:cs="宋体" w:eastAsia="宋体" w:hint="default"/>
          <w:spacing w:val="-2"/>
        </w:rPr>
        <w:t>-34.40%</w:t>
      </w:r>
      <w:r>
        <w:rPr>
          <w:spacing w:val="-2"/>
        </w:rPr>
        <w:t>，主要原因是本年度</w:t>
      </w:r>
      <w:r>
        <w:rPr/>
        <w:t> 未发生银行短期借款的借贷行为所致。</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报告期内公司经营活动的现金流量与本年度净利润存在重大差异的原因说明</w:t>
      </w:r>
    </w:p>
    <w:p>
      <w:pPr>
        <w:pStyle w:val="BodyText"/>
        <w:spacing w:line="240" w:lineRule="auto" w:before="11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85,745,820.98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30.65%</w:t>
            </w:r>
          </w:p>
        </w:tc>
      </w:tr>
    </w:tbl>
    <w:p>
      <w:pPr>
        <w:pStyle w:val="BodyText"/>
        <w:spacing w:line="240" w:lineRule="auto" w:before="49"/>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57" w:lineRule="auto" w:before="103"/>
        <w:ind w:right="8154"/>
        <w:jc w:val="left"/>
      </w:pPr>
      <w:r>
        <w:rPr/>
        <w:t>□ 适用 √</w:t>
      </w:r>
      <w:r>
        <w:rPr>
          <w:spacing w:val="3"/>
        </w:rPr>
        <w:t> </w:t>
      </w:r>
      <w:r>
        <w:rPr/>
        <w:t>不适用</w:t>
      </w:r>
      <w:r>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63,420,339.61</w:t>
            </w:r>
          </w:p>
        </w:tc>
      </w:tr>
      <w:tr>
        <w:trPr>
          <w:trHeight w:val="401" w:hRule="exact"/>
        </w:trPr>
        <w:tc>
          <w:tcPr>
            <w:tcW w:w="4257"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24.21%</w:t>
            </w:r>
          </w:p>
        </w:tc>
      </w:tr>
    </w:tbl>
    <w:p>
      <w:pPr>
        <w:pStyle w:val="BodyText"/>
        <w:spacing w:line="240" w:lineRule="auto" w:before="70"/>
        <w:ind w:right="0"/>
        <w:jc w:val="both"/>
      </w:pPr>
      <w:r>
        <w:rPr/>
        <w:pict>
          <v:shape style="position:absolute;margin-left:263.570007pt;margin-top:-18.988293pt;width:270.2pt;height:19.6pt;mso-position-horizontal-relative:page;mso-position-vertical-relative:paragraph;z-index:-82189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18.988293pt;width:262.75pt;height:19.6pt;mso-position-horizontal-relative:page;mso-position-vertical-relative:paragraph;z-index:-821872" coordorigin="5420,-380" coordsize="5255,392">
            <v:shape style="position:absolute;left:5420;top:-380;width:5255;height:392" coordorigin="5420,-380" coordsize="5255,392" path="m5420,11l10675,11,10675,-380,5420,-380,5420,11xe" filled="true" fillcolor="#ffffff" stroked="false">
              <v:path arrowok="t"/>
              <v:fill type="solid"/>
            </v:shape>
            <w10:wrap type="none"/>
          </v:group>
        </w:pict>
      </w: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首次公开发行招股说明书中披露的未来发展与规划在本报告期的实施情况</w:t>
      </w:r>
    </w:p>
    <w:p>
      <w:pPr>
        <w:pStyle w:val="BodyText"/>
        <w:spacing w:line="338" w:lineRule="auto" w:before="117"/>
        <w:ind w:left="441" w:right="12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报告期内，公司继续推进招股说明书中披露的三年发展规划。针对不同服务群体，包括政府相关部门、业务衍生机构、</w:t>
      </w:r>
    </w:p>
    <w:p>
      <w:pPr>
        <w:pStyle w:val="BodyText"/>
        <w:spacing w:line="314" w:lineRule="auto" w:before="2"/>
        <w:ind w:right="148"/>
        <w:jc w:val="both"/>
      </w:pPr>
      <w:r>
        <w:rPr>
          <w:spacing w:val="-2"/>
        </w:rPr>
        <w:t>社会公众，整合公司资源，建设研发中心、运维中心、民生信息服务中心、社保卡及读写终端制作中心等四个业务中心，构</w:t>
      </w:r>
      <w:r>
        <w:rPr>
          <w:spacing w:val="-68"/>
        </w:rPr>
        <w:t> </w:t>
      </w:r>
      <w:r>
        <w:rPr>
          <w:spacing w:val="-68"/>
        </w:rPr>
      </w:r>
      <w:r>
        <w:rPr>
          <w:spacing w:val="-2"/>
        </w:rPr>
        <w:t>建研发、市场和服务的完善业务运营架构，全面提升公司的综合运营能力，强化公司在</w:t>
      </w:r>
      <w:r>
        <w:rPr>
          <w:rFonts w:ascii="Times New Roman" w:hAnsi="Times New Roman" w:cs="Times New Roman" w:eastAsia="Times New Roman" w:hint="default"/>
          <w:spacing w:val="-2"/>
        </w:rPr>
        <w:t>“</w:t>
      </w:r>
      <w:r>
        <w:rPr>
          <w:spacing w:val="-2"/>
        </w:rPr>
        <w:t>以劳动和社会保障为核心</w:t>
      </w:r>
      <w:r>
        <w:rPr>
          <w:rFonts w:ascii="Times New Roman" w:hAnsi="Times New Roman" w:cs="Times New Roman" w:eastAsia="Times New Roman" w:hint="default"/>
          <w:spacing w:val="-2"/>
        </w:rPr>
        <w:t>”</w:t>
      </w:r>
      <w:r>
        <w:rPr>
          <w:spacing w:val="-2"/>
        </w:rPr>
        <w:t>的民生行</w:t>
      </w:r>
      <w:r>
        <w:rPr>
          <w:spacing w:val="-45"/>
        </w:rPr>
        <w:t> </w:t>
      </w:r>
      <w:r>
        <w:rPr>
          <w:spacing w:val="-2"/>
        </w:rPr>
        <w:t>业应用解决方案和信息服务领域的领先优势。鉴于社保卡是面向社会公众的最前端环节和民生信息交互的基础介质，公司将</w:t>
      </w:r>
      <w:r>
        <w:rPr>
          <w:spacing w:val="-64"/>
        </w:rPr>
        <w:t> </w:t>
      </w:r>
      <w:r>
        <w:rPr>
          <w:spacing w:val="-64"/>
        </w:rPr>
      </w:r>
      <w:r>
        <w:rPr>
          <w:spacing w:val="-2"/>
        </w:rPr>
        <w:t>强化与金融机构合作，积极拓展社保卡的金融应用功能，不仅可以扩大社保卡的使用范围，而且可大幅拓展公司信息服务的</w:t>
      </w:r>
      <w:r>
        <w:rPr>
          <w:spacing w:val="-61"/>
        </w:rPr>
        <w:t> </w:t>
      </w:r>
      <w:r>
        <w:rPr>
          <w:spacing w:val="-61"/>
        </w:rPr>
      </w:r>
      <w:r>
        <w:rPr>
          <w:spacing w:val="-2"/>
        </w:rPr>
        <w:t>人群。同时，公司将通过民生信息服务中心平台的建设，构建市场化、社会化的网络服务平台，通过商业模式的创新，为参</w:t>
      </w:r>
      <w:r>
        <w:rPr>
          <w:spacing w:val="-68"/>
        </w:rPr>
        <w:t> </w:t>
      </w:r>
      <w:r>
        <w:rPr>
          <w:spacing w:val="-68"/>
        </w:rPr>
      </w:r>
      <w:r>
        <w:rPr/>
        <w:t>保人群提供全面的综合民生信息服务，逐步将公司发展成为国内领先的民生行业信息服务提供商。</w:t>
      </w:r>
    </w:p>
    <w:p>
      <w:pPr>
        <w:spacing w:line="240" w:lineRule="auto" w:before="0"/>
        <w:rPr>
          <w:rFonts w:ascii="宋体" w:hAnsi="宋体" w:cs="宋体" w:eastAsia="宋体" w:hint="default"/>
          <w:sz w:val="18"/>
          <w:szCs w:val="18"/>
        </w:rPr>
      </w:pPr>
    </w:p>
    <w:p>
      <w:pPr>
        <w:pStyle w:val="BodyText"/>
        <w:spacing w:line="240" w:lineRule="auto" w:before="138"/>
        <w:ind w:right="0"/>
        <w:jc w:val="both"/>
      </w:pPr>
      <w:r>
        <w:rPr/>
        <w:t>公司回顾总结前期披露的发展战略和经营计划在报告期内的进展情况</w:t>
      </w:r>
    </w:p>
    <w:p>
      <w:pPr>
        <w:spacing w:after="0" w:line="24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right="151" w:firstLine="288"/>
        <w:jc w:val="both"/>
      </w:pPr>
      <w:r>
        <w:rPr>
          <w:spacing w:val="-1"/>
        </w:rPr>
        <w:t>本报告期内，公司紧紧围绕既定的发展战略和经营计划开展工作，完成了既定目标。公司将继续保持原有的市场，并突</w:t>
      </w:r>
      <w:r>
        <w:rPr/>
        <w:t> </w:t>
      </w:r>
      <w:r>
        <w:rPr>
          <w:spacing w:val="-2"/>
        </w:rPr>
        <w:t>出优势，扬长避短。注重省级中心市场开发，并利用平台优势向全省其他区域渗透，将产品的用途实现最大化。根据实际市</w:t>
      </w:r>
      <w:r>
        <w:rPr>
          <w:spacing w:val="-67"/>
        </w:rPr>
        <w:t> </w:t>
      </w:r>
      <w:r>
        <w:rPr>
          <w:spacing w:val="-67"/>
        </w:rPr>
      </w:r>
      <w:r>
        <w:rPr>
          <w:spacing w:val="-2"/>
        </w:rPr>
        <w:t>场需求状况，细分客户，细分市场，设法提供满足客户需求的产品和服务。面对行业竞争突出技术优势，保持良好口碑。建</w:t>
      </w:r>
      <w:r>
        <w:rPr>
          <w:spacing w:val="-70"/>
        </w:rPr>
        <w:t> </w:t>
      </w:r>
      <w:r>
        <w:rPr>
          <w:spacing w:val="-70"/>
        </w:rPr>
      </w:r>
      <w:r>
        <w:rPr>
          <w:spacing w:val="-2"/>
        </w:rPr>
        <w:t>立起企业防范风险体制，及早注意规避市场风险，防范风险带来的压力。争取发展成为国内覆盖人群面最大、服务最便捷的</w:t>
      </w:r>
      <w:r>
        <w:rPr>
          <w:spacing w:val="-65"/>
        </w:rPr>
        <w:t> </w:t>
      </w:r>
      <w:r>
        <w:rPr>
          <w:spacing w:val="-65"/>
        </w:rPr>
      </w:r>
      <w:r>
        <w:rPr/>
        <w:t>综合民生信息服务提供商。</w:t>
      </w:r>
    </w:p>
    <w:p>
      <w:pPr>
        <w:pStyle w:val="BodyText"/>
        <w:spacing w:line="240" w:lineRule="auto" w:before="58"/>
        <w:ind w:right="0"/>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6"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8"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6"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279,797,747.85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147,221,533.74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183,864,439.33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84,791,002.29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31,906,518.65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13,206,377.73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61,616,667.20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48,664,880.72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2,410,122.67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559,273.00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37.7%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119,109,847.55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63,899,836.19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-59.59%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87,149,121.82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32,632,589.86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-30.86%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29,222,222.22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21,777,657.46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5,898.25%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6,959.21%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w w:val="95"/>
                <w:sz w:val="18"/>
              </w:rPr>
              <w:t>-11.2%</w:t>
            </w:r>
            <w:r>
              <w:rPr>
                <w:rFonts w:ascii="Times New Roman"/>
                <w:spacing w:val="-1"/>
                <w:sz w:val="18"/>
              </w:rPr>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12,055,415.58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8,061,578.67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11,591,003.02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8,632,268.38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6,173,396.20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3,326,374.98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5,473,007.92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2,596,040.69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4,738,461.52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4,619,436.21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1,878,569.27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387,675.00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40.27%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1,293,207.55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879,616.74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531,553.40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171,598.00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581,941.80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236,861.56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-86.88%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-91.28%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20.52%</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416,603,863.1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54.86%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411,078,256.88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56.1%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-1.24%</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187,412,019.8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24.68%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170,845,631.44</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23.31%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1.37%</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46,344,427.93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49,688,730.82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1,378,116.88</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65,141,940.58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57,196,436.53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5,475,605.17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0"/>
        <w:gridCol w:w="1175"/>
        <w:gridCol w:w="1053"/>
        <w:gridCol w:w="1206"/>
        <w:gridCol w:w="1041"/>
        <w:gridCol w:w="808"/>
        <w:gridCol w:w="2919"/>
      </w:tblGrid>
      <w:tr>
        <w:trPr>
          <w:trHeight w:val="206" w:hRule="exact"/>
        </w:trPr>
        <w:tc>
          <w:tcPr>
            <w:tcW w:w="1370"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4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47" w:type="dxa"/>
            <w:gridSpan w:val="2"/>
            <w:vMerge/>
            <w:tcBorders>
              <w:left w:val="single" w:sz="4" w:space="0" w:color="000000"/>
              <w:bottom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10"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6"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6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08"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vMerge/>
            <w:tcBorders>
              <w:left w:val="single" w:sz="4" w:space="0" w:color="000000"/>
              <w:right w:val="single" w:sz="4" w:space="0" w:color="000000"/>
            </w:tcBorders>
            <w:shd w:val="clear" w:color="auto" w:fill="D2D2D2"/>
          </w:tcPr>
          <w:p>
            <w:pPr/>
          </w:p>
        </w:tc>
        <w:tc>
          <w:tcPr>
            <w:tcW w:w="12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206"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2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808"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8,699,166.80</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1.15%</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10,706,666.88</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1.46%</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0" w:right="0"/>
              <w:jc w:val="left"/>
              <w:rPr>
                <w:rFonts w:ascii="Times New Roman" w:hAnsi="Times New Roman" w:cs="Times New Roman" w:eastAsia="Times New Roman" w:hint="default"/>
                <w:sz w:val="18"/>
                <w:szCs w:val="18"/>
              </w:rPr>
            </w:pPr>
            <w:r>
              <w:rPr>
                <w:rFonts w:ascii="Times New Roman"/>
                <w:sz w:val="18"/>
              </w:rPr>
              <w:t>-0.31%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4"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39,373.9</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5,397.17</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19,043.6</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58.080002pt;margin-top:647.235962pt;width:124.7pt;height:19.6pt;mso-position-horizontal-relative:page;mso-position-vertical-relative:page;z-index:-821848" type="#_x0000_t202" filled="false" stroked="false">
            <v:textbox inset="0,0,0,0">
              <w:txbxContent>
                <w:p>
                  <w:pPr>
                    <w:pStyle w:val="BodyText"/>
                    <w:spacing w:line="240" w:lineRule="auto" w:before="49"/>
                    <w:ind w:left="0" w:right="0"/>
                    <w:jc w:val="left"/>
                  </w:pPr>
                  <w:r>
                    <w:rPr/>
                    <w:t>补充流动资金（如有）</w:t>
                  </w:r>
                </w:p>
              </w:txbxContent>
            </v:textbox>
            <w10:wrap type="none"/>
          </v:shape>
        </w:pict>
      </w: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0"/>
        <w:gridCol w:w="781"/>
        <w:gridCol w:w="780"/>
      </w:tblGrid>
      <w:tr>
        <w:trPr>
          <w:trHeight w:val="133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研发中心平台建设与 软件升级产业化项目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5,217.02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5,217.02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1,253.39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566.42</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运维体系及灾备服务 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4,989.72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4,989.72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1,392.17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432.84</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民生一体化综合信息 服务平台项目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4,811.1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4,811.1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2,035.81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61.27</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社会保障卡及读写终 端制作中心项目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3,761.23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1,860.23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3,152.23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149.12</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18,779.07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18,779.07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3,642.17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7,833.6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w w:val="95"/>
                <w:sz w:val="18"/>
              </w:rPr>
              <w:t>1,209.65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27"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17"/>
              <w:jc w:val="left"/>
              <w:rPr>
                <w:rFonts w:ascii="宋体" w:hAnsi="宋体" w:cs="宋体" w:eastAsia="宋体" w:hint="default"/>
                <w:sz w:val="18"/>
                <w:szCs w:val="18"/>
              </w:rPr>
            </w:pPr>
            <w:r>
              <w:rPr>
                <w:rFonts w:ascii="宋体" w:hAnsi="宋体" w:cs="宋体" w:eastAsia="宋体" w:hint="default"/>
                <w:sz w:val="18"/>
                <w:szCs w:val="18"/>
              </w:rPr>
              <w:t>大连易联众科技有限 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7"/>
              <w:jc w:val="left"/>
              <w:rPr>
                <w:rFonts w:ascii="宋体" w:hAnsi="宋体" w:cs="宋体" w:eastAsia="宋体" w:hint="default"/>
                <w:sz w:val="18"/>
                <w:szCs w:val="18"/>
              </w:rPr>
            </w:pPr>
            <w:r>
              <w:rPr>
                <w:rFonts w:ascii="宋体" w:hAnsi="宋体" w:cs="宋体" w:eastAsia="宋体" w:hint="default"/>
                <w:sz w:val="18"/>
                <w:szCs w:val="18"/>
              </w:rPr>
              <w:t>福建易联众电子科技 有限公司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7"/>
              <w:jc w:val="left"/>
              <w:rPr>
                <w:rFonts w:ascii="宋体" w:hAnsi="宋体" w:cs="宋体" w:eastAsia="宋体" w:hint="default"/>
                <w:sz w:val="18"/>
                <w:szCs w:val="18"/>
              </w:rPr>
            </w:pPr>
            <w:r>
              <w:rPr>
                <w:rFonts w:ascii="宋体" w:hAnsi="宋体" w:cs="宋体" w:eastAsia="宋体" w:hint="default"/>
                <w:sz w:val="18"/>
                <w:szCs w:val="18"/>
              </w:rPr>
              <w:t>福州软件园产业基地 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研发楼</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08" w:right="0"/>
              <w:jc w:val="left"/>
              <w:rPr>
                <w:rFonts w:ascii="宋体" w:hAnsi="宋体" w:cs="宋体" w:eastAsia="宋体" w:hint="default"/>
                <w:sz w:val="18"/>
                <w:szCs w:val="18"/>
              </w:rPr>
            </w:pPr>
            <w:r>
              <w:rPr>
                <w:rFonts w:ascii="宋体" w:hAnsi="宋体" w:cs="宋体" w:eastAsia="宋体" w:hint="default"/>
                <w:sz w:val="18"/>
                <w:szCs w:val="18"/>
              </w:rPr>
              <w:t>下半年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14,410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1,755</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2"/>
                <w:sz w:val="18"/>
              </w:rPr>
              <w:t>11,210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2"/>
                <w:sz w:val="18"/>
              </w:rPr>
              <w:t>116.85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7"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33,279.07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33,189.07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5,397.17</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19,043.6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1,326.5</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7"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8"/>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、研发中心平台建设与软件升级产业化项目，</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日经公司第一届董事会第二十</w:t>
            </w:r>
          </w:p>
          <w:p>
            <w:pPr>
              <w:pStyle w:val="TableParagraph"/>
              <w:spacing w:line="340" w:lineRule="auto" w:before="63"/>
              <w:ind w:left="376" w:right="22" w:hanging="360"/>
              <w:jc w:val="left"/>
              <w:rPr>
                <w:rFonts w:ascii="宋体" w:hAnsi="宋体" w:cs="宋体" w:eastAsia="宋体" w:hint="default"/>
                <w:sz w:val="18"/>
                <w:szCs w:val="18"/>
              </w:rPr>
            </w:pPr>
            <w:r>
              <w:rPr>
                <w:rFonts w:ascii="宋体" w:hAnsi="宋体" w:cs="宋体" w:eastAsia="宋体" w:hint="default"/>
                <w:sz w:val="18"/>
                <w:szCs w:val="18"/>
              </w:rPr>
              <w:t>次会议审议通过，决定将该项目完成日推迟至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日，推迟期一年。 进度推迟原因：由于该项目与另一募投项目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民生一体化综合信息服务平台项目在软、硬件</w:t>
            </w:r>
          </w:p>
        </w:tc>
      </w:tr>
    </w:tbl>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91.9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15"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建设内容及服务应用方面具有业务关联性。民生一体化综合信息服务平台项目建设正在按计划顺利</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推进，该项目建设采用大型云服务主机，而该平台的服务应用的市场推广则需要一个过程，因此，</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现阶段服务器空间及服务应用产能充足。</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hAnsi="宋体" w:cs="宋体" w:eastAsia="宋体" w:hint="default"/>
                            <w:sz w:val="18"/>
                            <w:szCs w:val="18"/>
                          </w:rPr>
                          <w:t>为合理配置资源，现暂时将民生一体化综合信息五服平台项目的云服务主机划出部分空间供研</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发中心平台建设与软件升级产业化项目使用，待民生一体化综合信息服务平台项目的市场推广效果</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充分显现，市场对民生领域信息化的服务应用需求被充分触发后，再启动对研发中心平台建设与软</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件升级产业化项目中与民生一体化综合信息服务平台重合部分的软、硬件建设投资。这不仅在各募</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投项目的阶段性建设中体现节能减耗的集约化建设优势，更充分体现了当初本公司各募投项目一体</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化建设的规划思路。</w:t>
                        </w:r>
                      </w:p>
                    </w:tc>
                  </w:tr>
                  <w:tr>
                    <w:trPr>
                      <w:trHeight w:val="336"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、运维体系及灾备服务平台项目，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日经公司第一届董事会第二十次会议审议</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通过，决定将该项目完成日推迟至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日，推迟期一年。</w:t>
                        </w:r>
                      </w:p>
                    </w:tc>
                  </w:tr>
                  <w:tr>
                    <w:trPr>
                      <w:trHeight w:val="32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3"/>
                          <w:jc w:val="right"/>
                          <w:rPr>
                            <w:rFonts w:ascii="宋体" w:hAnsi="宋体" w:cs="宋体" w:eastAsia="宋体" w:hint="default"/>
                            <w:sz w:val="18"/>
                            <w:szCs w:val="18"/>
                          </w:rPr>
                        </w:pPr>
                        <w:r>
                          <w:rPr>
                            <w:rFonts w:ascii="宋体" w:hAnsi="宋体" w:cs="宋体" w:eastAsia="宋体" w:hint="default"/>
                            <w:sz w:val="18"/>
                            <w:szCs w:val="18"/>
                          </w:rPr>
                          <w:t>进度推迟原因：该项目是为适应社保行业及医疗行业信息化建设发展的内在需求而立项，建设</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内容分为运维服务平台建设和灾备服务平台建设。其中，运维服务平台实际建设进度与本公司《上</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3"/>
                            <w:sz w:val="18"/>
                            <w:szCs w:val="18"/>
                          </w:rPr>
                          <w:t>市招股说明书》计划进度一致。灾备服务平台实际进度与本公司《上市招股说明书》计划进度推迟</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系因为灾备服务平台建成后的业务拓展能力和平台资源利用程度与信息化发展的阶段性及政府产业</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政策规划等外部环境密切相关。为了使募集资金产生良好的社会效益和经济效益，公司根据市场发</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展现状，主动推迟灾备服务平台的建设期。</w:t>
                        </w:r>
                      </w:p>
                    </w:tc>
                  </w:tr>
                  <w:tr>
                    <w:trPr>
                      <w:trHeight w:val="33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、社会保障卡及读写终端制作中心项目，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日经公司第一届董事会第二十次会</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议审议通过，决定将该项目完成日推迟至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日，推迟期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r>
                  <w:tr>
                    <w:trPr>
                      <w:trHeight w:val="326"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right="23"/>
                          <w:jc w:val="right"/>
                          <w:rPr>
                            <w:rFonts w:ascii="宋体" w:hAnsi="宋体" w:cs="宋体" w:eastAsia="宋体" w:hint="default"/>
                            <w:sz w:val="18"/>
                            <w:szCs w:val="18"/>
                          </w:rPr>
                        </w:pPr>
                        <w:r>
                          <w:rPr>
                            <w:rFonts w:ascii="宋体" w:hAnsi="宋体" w:cs="宋体" w:eastAsia="宋体" w:hint="default"/>
                            <w:sz w:val="18"/>
                            <w:szCs w:val="18"/>
                          </w:rPr>
                          <w:t>进度推迟原因：该项目是为了满足“全民参保”形成的巨大的社会保障卡市场需求而立项。项</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目建设伊始，恰逢本公司正承担福建设社会保障卡的建设工作，时间紧，任务重，为满足福建省政</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府对全省社会保障卡的制作和发放工作的规划要求，本公司进行流程优化将社会保障卡的部分制作</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交付第三方进行生产并在制作环</w:t>
                        </w:r>
                        <w:r>
                          <w:rPr>
                            <w:rFonts w:ascii="宋体" w:hAnsi="宋体" w:cs="宋体" w:eastAsia="宋体" w:hint="default"/>
                            <w:spacing w:val="-29"/>
                            <w:sz w:val="18"/>
                            <w:szCs w:val="18"/>
                          </w:rPr>
                          <w:t>节</w:t>
                        </w:r>
                        <w:r>
                          <w:rPr>
                            <w:rFonts w:ascii="宋体" w:hAnsi="宋体" w:cs="宋体" w:eastAsia="宋体" w:hint="default"/>
                            <w:sz w:val="18"/>
                            <w:szCs w:val="18"/>
                          </w:rPr>
                          <w:t>“增员扩容</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因此</w:t>
                        </w:r>
                        <w:r>
                          <w:rPr>
                            <w:rFonts w:ascii="宋体" w:hAnsi="宋体" w:cs="宋体" w:eastAsia="宋体" w:hint="default"/>
                            <w:spacing w:val="-29"/>
                            <w:sz w:val="18"/>
                            <w:szCs w:val="18"/>
                          </w:rPr>
                          <w:t>，</w:t>
                        </w:r>
                        <w:r>
                          <w:rPr>
                            <w:rFonts w:ascii="宋体" w:hAnsi="宋体" w:cs="宋体" w:eastAsia="宋体" w:hint="default"/>
                            <w:sz w:val="18"/>
                            <w:szCs w:val="18"/>
                          </w:rPr>
                          <w:t>本公司在社会保障卡及读写终端制作中心项</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目的建设进度作了推迟建设的安排。</w:t>
                        </w:r>
                      </w:p>
                    </w:tc>
                  </w:tr>
                  <w:tr>
                    <w:trPr>
                      <w:trHeight w:val="333"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3"/>
                          <w:jc w:val="right"/>
                          <w:rPr>
                            <w:rFonts w:ascii="宋体" w:hAnsi="宋体" w:cs="宋体" w:eastAsia="宋体" w:hint="default"/>
                            <w:sz w:val="18"/>
                            <w:szCs w:val="18"/>
                          </w:rPr>
                        </w:pPr>
                        <w:r>
                          <w:rPr>
                            <w:rFonts w:ascii="宋体" w:hAnsi="宋体" w:cs="宋体" w:eastAsia="宋体" w:hint="default"/>
                            <w:sz w:val="18"/>
                            <w:szCs w:val="18"/>
                          </w:rPr>
                          <w:t>其次，目前中国人民银行和人社部也正在合力推动金融社保卡的发行工作，这给规范主体和市</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场带来了新的变化和要求，为了顺应这一变化，本公司在社保卡项目的建设过程中，也要充分考虑</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到这些新的变化，以使募投资金的利用更有效率，产出更加良好，这在一定程度上也影响了社会保</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障卡及读写终端制作中心项目的建设进度。</w:t>
                        </w:r>
                      </w:p>
                    </w:tc>
                  </w:tr>
                  <w:tr>
                    <w:trPr>
                      <w:trHeight w:val="33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20"/>
                          <w:jc w:val="righ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宋体" w:hAnsi="宋体" w:cs="宋体" w:eastAsia="宋体" w:hint="default"/>
                            <w:spacing w:val="-89"/>
                            <w:sz w:val="18"/>
                            <w:szCs w:val="18"/>
                          </w:rPr>
                          <w:t>，</w:t>
                        </w:r>
                        <w:r>
                          <w:rPr>
                            <w:rFonts w:ascii="宋体" w:hAnsi="宋体" w:cs="宋体" w:eastAsia="宋体" w:hint="default"/>
                            <w:spacing w:val="-3"/>
                            <w:sz w:val="18"/>
                            <w:szCs w:val="18"/>
                          </w:rPr>
                          <w:t>社</w:t>
                        </w:r>
                        <w:r>
                          <w:rPr>
                            <w:rFonts w:ascii="宋体" w:hAnsi="宋体" w:cs="宋体" w:eastAsia="宋体" w:hint="default"/>
                            <w:sz w:val="18"/>
                            <w:szCs w:val="18"/>
                          </w:rPr>
                          <w:t>会保障卡及读写终端制作中心工程</w:t>
                        </w:r>
                        <w:r>
                          <w:rPr>
                            <w:rFonts w:ascii="Times New Roman" w:hAnsi="Times New Roman" w:cs="Times New Roman" w:eastAsia="Times New Roman" w:hint="default"/>
                            <w:sz w:val="18"/>
                            <w:szCs w:val="18"/>
                          </w:rPr>
                          <w:t>——</w:t>
                        </w:r>
                        <w:r>
                          <w:rPr>
                            <w:rFonts w:ascii="宋体" w:hAnsi="宋体" w:cs="宋体" w:eastAsia="宋体" w:hint="default"/>
                            <w:sz w:val="18"/>
                            <w:szCs w:val="18"/>
                          </w:rPr>
                          <w:t>社保卡生产线已竣工并正</w:t>
                        </w:r>
                      </w:p>
                    </w:tc>
                  </w:tr>
                  <w:tr>
                    <w:trPr>
                      <w:trHeight w:val="326"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式投入生产。</w:t>
                        </w:r>
                      </w:p>
                    </w:tc>
                  </w:tr>
                  <w:tr>
                    <w:trPr>
                      <w:trHeight w:val="331"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hAnsi="宋体" w:cs="宋体" w:eastAsia="宋体" w:hint="default"/>
                            <w:sz w:val="18"/>
                            <w:szCs w:val="18"/>
                          </w:rPr>
                          <w:t>综上所述，社会保障卡及读写终端制作中心项目建设资金已基本按募集资金使用计划进度投入</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使用，预计该项目的部分辅助设施尚需少量投入，工程尾款也将在期后支付。</w:t>
                        </w:r>
                      </w:p>
                    </w:tc>
                  </w:tr>
                  <w:tr>
                    <w:trPr>
                      <w:trHeight w:val="33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right="6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、民生一体化综合信息服务平台项目，</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日经公司第二届董事会第二次会议审议</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通过，决定将项目完成日推迟至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日，推迟期一年。</w:t>
                        </w:r>
                      </w:p>
                    </w:tc>
                  </w:tr>
                  <w:tr>
                    <w:trPr>
                      <w:trHeight w:val="33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0"/>
                          <w:jc w:val="right"/>
                          <w:rPr>
                            <w:rFonts w:ascii="宋体" w:hAnsi="宋体" w:cs="宋体" w:eastAsia="宋体" w:hint="default"/>
                            <w:sz w:val="18"/>
                            <w:szCs w:val="18"/>
                          </w:rPr>
                        </w:pPr>
                        <w:r>
                          <w:rPr>
                            <w:rFonts w:ascii="宋体" w:hAnsi="宋体" w:cs="宋体" w:eastAsia="宋体" w:hint="default"/>
                            <w:sz w:val="18"/>
                            <w:szCs w:val="18"/>
                          </w:rPr>
                          <w:t>进度推迟原因</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从目前国内现状和行业需求而言</w:t>
                        </w:r>
                        <w:r>
                          <w:rPr>
                            <w:rFonts w:ascii="宋体" w:hAnsi="宋体" w:cs="宋体" w:eastAsia="宋体" w:hint="default"/>
                            <w:spacing w:val="-22"/>
                            <w:sz w:val="18"/>
                            <w:szCs w:val="18"/>
                          </w:rPr>
                          <w:t>，</w:t>
                        </w:r>
                        <w:r>
                          <w:rPr>
                            <w:rFonts w:ascii="宋体" w:hAnsi="宋体" w:cs="宋体" w:eastAsia="宋体" w:hint="default"/>
                            <w:sz w:val="18"/>
                            <w:szCs w:val="18"/>
                          </w:rPr>
                          <w:t>云计算技术已经处于较成熟时期</w:t>
                        </w:r>
                        <w:r>
                          <w:rPr>
                            <w:rFonts w:ascii="宋体" w:hAnsi="宋体" w:cs="宋体" w:eastAsia="宋体" w:hint="default"/>
                            <w:spacing w:val="-22"/>
                            <w:sz w:val="18"/>
                            <w:szCs w:val="18"/>
                          </w:rPr>
                          <w:t>，</w:t>
                        </w:r>
                        <w:r>
                          <w:rPr>
                            <w:rFonts w:ascii="宋体" w:hAnsi="宋体" w:cs="宋体" w:eastAsia="宋体" w:hint="default"/>
                            <w:sz w:val="18"/>
                            <w:szCs w:val="18"/>
                          </w:rPr>
                          <w:t>是互</w:t>
                        </w:r>
                      </w:p>
                    </w:tc>
                  </w:tr>
                  <w:tr>
                    <w:trPr>
                      <w:trHeight w:val="307"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联网应用发展的一个必然阶段。云计算已经明确写入国家“十二五”规划之中，将成为国家未来信</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息化战略中不可或缺的一部分</w:t>
                        </w:r>
                        <w:r>
                          <w:rPr>
                            <w:rFonts w:ascii="宋体" w:hAnsi="宋体" w:cs="宋体" w:eastAsia="宋体" w:hint="default"/>
                            <w:spacing w:val="-22"/>
                            <w:sz w:val="18"/>
                            <w:szCs w:val="18"/>
                          </w:rPr>
                          <w:t>。</w:t>
                        </w:r>
                        <w:r>
                          <w:rPr>
                            <w:rFonts w:ascii="宋体" w:hAnsi="宋体" w:cs="宋体" w:eastAsia="宋体" w:hint="default"/>
                            <w:sz w:val="18"/>
                            <w:szCs w:val="18"/>
                          </w:rPr>
                          <w:t>国家发改委发布</w:t>
                        </w:r>
                        <w:r>
                          <w:rPr>
                            <w:rFonts w:ascii="宋体" w:hAnsi="宋体" w:cs="宋体" w:eastAsia="宋体" w:hint="default"/>
                            <w:spacing w:val="-22"/>
                            <w:sz w:val="18"/>
                            <w:szCs w:val="18"/>
                          </w:rPr>
                          <w:t>的</w:t>
                        </w:r>
                        <w:r>
                          <w:rPr>
                            <w:rFonts w:ascii="宋体" w:hAnsi="宋体" w:cs="宋体" w:eastAsia="宋体" w:hint="default"/>
                            <w:spacing w:val="-92"/>
                            <w:sz w:val="18"/>
                            <w:szCs w:val="18"/>
                          </w:rPr>
                          <w:t>《</w:t>
                        </w:r>
                        <w:r>
                          <w:rPr>
                            <w:rFonts w:ascii="宋体" w:hAnsi="宋体" w:cs="宋体" w:eastAsia="宋体" w:hint="default"/>
                            <w:sz w:val="18"/>
                            <w:szCs w:val="18"/>
                          </w:rPr>
                          <w:t>“十二五</w:t>
                        </w:r>
                        <w:r>
                          <w:rPr>
                            <w:rFonts w:ascii="宋体" w:hAnsi="宋体" w:cs="宋体" w:eastAsia="宋体" w:hint="default"/>
                            <w:spacing w:val="-22"/>
                            <w:sz w:val="18"/>
                            <w:szCs w:val="18"/>
                          </w:rPr>
                          <w:t>”</w:t>
                        </w:r>
                        <w:r>
                          <w:rPr>
                            <w:rFonts w:ascii="宋体" w:hAnsi="宋体" w:cs="宋体" w:eastAsia="宋体" w:hint="default"/>
                            <w:sz w:val="18"/>
                            <w:szCs w:val="18"/>
                          </w:rPr>
                          <w:t>国家政务信息化工程建设规划</w:t>
                        </w:r>
                        <w:r>
                          <w:rPr>
                            <w:rFonts w:ascii="宋体" w:hAnsi="宋体" w:cs="宋体" w:eastAsia="宋体" w:hint="default"/>
                            <w:spacing w:val="-22"/>
                            <w:sz w:val="18"/>
                            <w:szCs w:val="18"/>
                          </w:rPr>
                          <w:t>》</w:t>
                        </w:r>
                        <w:r>
                          <w:rPr>
                            <w:rFonts w:ascii="宋体" w:hAnsi="宋体" w:cs="宋体" w:eastAsia="宋体" w:hint="default"/>
                            <w:sz w:val="18"/>
                            <w:szCs w:val="18"/>
                          </w:rPr>
                          <w:t>鼓励</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采用云计算等新技术促进信息基础设施和信息资源共享，培育多元化公共服务。公司积极跟进信息</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服务产业的科技发展趋势，利用云计算理念和前沿技术，整合原有资源，构建起易联众云平台，有</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效提升民生一体化综合信息服务平台的运营能力，从安全性、灵活应变性等方面扩展现有平台的规</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模和功能，以期提供更方便、丰富的信息服务，符合企业今后在本行业长期发展的客观需要。而云</w:t>
                        </w:r>
                      </w:p>
                    </w:tc>
                  </w:tr>
                  <w:tr>
                    <w:trPr>
                      <w:trHeight w:val="312" w:hRule="exact"/>
                    </w:trPr>
                    <w:tc>
                      <w:tcPr>
                        <w:tcW w:w="1770" w:type="dxa"/>
                        <w:vMerge/>
                        <w:tcBorders>
                          <w:left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计算属于正在迅速发展中的前沿技术，一方面面向蓬勃发展中的服务于广大民众的我国电子政务与</w:t>
                        </w:r>
                      </w:p>
                    </w:tc>
                  </w:tr>
                  <w:tr>
                    <w:trPr>
                      <w:trHeight w:val="31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社会信息化建设，机遇巨大；另一方面由于目前尚未形成健全统一的标准规范体系，在面向民生的</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0" w:right="157"/>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7pt;mso-position-horizontal-relative:page;mso-position-vertical-relative:page;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5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z w:val="18"/>
                            <w:szCs w:val="18"/>
                          </w:rPr>
                          <w:t>公共服务体系信息化建设中，其具体的商业模式尚需积极探索，逐步成熟，因此引入该技术，既是 企业一个难得的发展机会，也需要经历一个更充分的落实时间。</w:t>
                        </w:r>
                      </w:p>
                      <w:p>
                        <w:pPr>
                          <w:pStyle w:val="TableParagraph"/>
                          <w:spacing w:line="314" w:lineRule="auto" w:before="58"/>
                          <w:ind w:left="24" w:right="23" w:firstLine="36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）、就本项目而言，计划布设于经办网点、社区、医疗机构、人群密集点等地的自助交互终</w:t>
                        </w:r>
                        <w:r>
                          <w:rPr>
                            <w:rFonts w:ascii="宋体" w:hAnsi="宋体" w:cs="宋体" w:eastAsia="宋体" w:hint="default"/>
                            <w:sz w:val="18"/>
                            <w:szCs w:val="18"/>
                          </w:rPr>
                          <w:t> 端，须符合人力资源和社会保障部公共服务自助终端的标准规范。目前，人社部正在制定相关的规 范及检测标准。作为科技部《劳动保障公共服务业务和信息技术体系关键技术研究及重大应用》课 题的重要研究成果，自助交互终端的研制和推广已被列入《人力资源和社会保障信息化建设“十二 </w:t>
                        </w:r>
                        <w:r>
                          <w:rPr>
                            <w:rFonts w:ascii="宋体" w:hAnsi="宋体" w:cs="宋体" w:eastAsia="宋体" w:hint="default"/>
                            <w:spacing w:val="-7"/>
                            <w:sz w:val="18"/>
                            <w:szCs w:val="18"/>
                          </w:rPr>
                          <w:t>五”规划》，目前已由我司在无锡等地圆满地完成了课题试点工作。随着政府工作的推进，我们预计</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自助交互终端的布设也会加速实现，进而带动相关民生部门在公共服务领域的广泛部署，也使公司 自主布放的自助交互终端能与政府部门进一步良好衔接。</w:t>
                        </w:r>
                      </w:p>
                      <w:p>
                        <w:pPr>
                          <w:pStyle w:val="TableParagraph"/>
                          <w:spacing w:line="316" w:lineRule="auto" w:before="59"/>
                          <w:ind w:left="24" w:right="111" w:firstLine="360"/>
                          <w:jc w:val="left"/>
                          <w:rPr>
                            <w:rFonts w:ascii="宋体" w:hAnsi="宋体" w:cs="宋体" w:eastAsia="宋体" w:hint="default"/>
                            <w:sz w:val="18"/>
                            <w:szCs w:val="18"/>
                          </w:rPr>
                        </w:pPr>
                        <w:r>
                          <w:rPr>
                            <w:rFonts w:ascii="宋体" w:hAnsi="宋体" w:cs="宋体" w:eastAsia="宋体" w:hint="default"/>
                            <w:spacing w:val="-3"/>
                            <w:sz w:val="18"/>
                            <w:szCs w:val="18"/>
                          </w:rPr>
                          <w:t>根据上述实际情况，并结合适应公司内部战略规划、业务拓展的需要，实现募投资效益最大化</w:t>
                        </w:r>
                        <w:r>
                          <w:rPr>
                            <w:rFonts w:ascii="宋体" w:hAnsi="宋体" w:cs="宋体" w:eastAsia="宋体" w:hint="default"/>
                            <w:sz w:val="18"/>
                            <w:szCs w:val="18"/>
                          </w:rPr>
                          <w:t> </w:t>
                        </w:r>
                        <w:r>
                          <w:rPr>
                            <w:rFonts w:ascii="宋体" w:hAnsi="宋体" w:cs="宋体" w:eastAsia="宋体" w:hint="default"/>
                            <w:spacing w:val="-3"/>
                            <w:sz w:val="18"/>
                            <w:szCs w:val="18"/>
                          </w:rPr>
                          <w:t>公司实事求是地调整推迟了民生一体化综合信息服务平台项目的建设完工时间，项目实施内容不变</w:t>
                        </w:r>
                      </w:p>
                    </w:tc>
                  </w:tr>
                  <w:tr>
                    <w:trPr>
                      <w:trHeight w:val="71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3"/>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54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本公司募集资金净额</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39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与预计募集资金</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万元相比</w:t>
                        </w:r>
                        <w:r>
                          <w:rPr>
                            <w:rFonts w:ascii="宋体" w:hAnsi="宋体" w:cs="宋体" w:eastAsia="宋体" w:hint="default"/>
                            <w:spacing w:val="-92"/>
                            <w:sz w:val="18"/>
                            <w:szCs w:val="18"/>
                          </w:rPr>
                          <w:t>，</w:t>
                        </w:r>
                        <w:r>
                          <w:rPr>
                            <w:rFonts w:ascii="宋体" w:hAnsi="宋体" w:cs="宋体" w:eastAsia="宋体" w:hint="default"/>
                            <w:sz w:val="18"/>
                            <w:szCs w:val="18"/>
                          </w:rPr>
                          <w:t>超募资金为</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万元，超募资金实际使用情况如下：</w:t>
                        </w:r>
                      </w:p>
                      <w:p>
                        <w:pPr>
                          <w:pStyle w:val="TableParagraph"/>
                          <w:spacing w:line="300" w:lineRule="auto" w:before="117"/>
                          <w:ind w:left="24" w:right="21"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日第一届董事会第七次会议审议通过，本公司使用超募资金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万元用于 永久性补充公司流动资金；</w:t>
                        </w:r>
                      </w:p>
                      <w:p>
                        <w:pPr>
                          <w:pStyle w:val="TableParagraph"/>
                          <w:spacing w:line="240" w:lineRule="auto" w:before="70"/>
                          <w:ind w:left="38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万元投资设</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立福建易联众电子科技有限公司。</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万元用于福建易联众电</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子科技有限公司的首期注册资金。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万元用于福建易联众电子</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科技有限公司的第二期出资。</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日，经本公司第一届董事会第十七次会议审议通过，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将所持有福建易联众电子科技有限公司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的股权（出资额为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万元人民币）以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 </w:t>
                        </w:r>
                        <w:r>
                          <w:rPr>
                            <w:rFonts w:ascii="宋体" w:hAnsi="宋体" w:cs="宋体" w:eastAsia="宋体" w:hint="default"/>
                            <w:sz w:val="18"/>
                            <w:szCs w:val="18"/>
                          </w:rPr>
                          <w:t>万元人民币的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价格转让给新股东施莹、高扬和阮文华，股权转让款于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日归还至募集资金专用账户</w:t>
                        </w:r>
                      </w:p>
                      <w:p>
                        <w:pPr>
                          <w:pStyle w:val="TableParagraph"/>
                          <w:spacing w:line="240" w:lineRule="auto" w:before="104"/>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日第一届董事会第八次会议审议通过，本公司使用超募资金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设立大连易联众科技有限公司。</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月，本公司使用超募资金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万元用于大连易联众科技</w:t>
                        </w:r>
                      </w:p>
                      <w:p>
                        <w:pPr>
                          <w:pStyle w:val="TableParagraph"/>
                          <w:spacing w:line="300" w:lineRule="auto" w:before="63"/>
                          <w:ind w:left="24" w:right="22"/>
                          <w:jc w:val="left"/>
                          <w:rPr>
                            <w:rFonts w:ascii="宋体" w:hAnsi="宋体" w:cs="宋体" w:eastAsia="宋体" w:hint="default"/>
                            <w:sz w:val="18"/>
                            <w:szCs w:val="18"/>
                          </w:rPr>
                        </w:pPr>
                        <w:r>
                          <w:rPr>
                            <w:rFonts w:ascii="宋体" w:hAnsi="宋体" w:cs="宋体" w:eastAsia="宋体" w:hint="default"/>
                            <w:spacing w:val="-3"/>
                            <w:sz w:val="18"/>
                            <w:szCs w:val="18"/>
                          </w:rPr>
                          <w:t>有限公司的首期注册资金。</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月，本公司使用超募资金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万元用于大连易联众科技有限 公司第二期出资；</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日第一届董事会第十一次会议审议通过，本公司使用超募资金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w:t>
                        </w:r>
                      </w:p>
                      <w:p>
                        <w:pPr>
                          <w:pStyle w:val="TableParagraph"/>
                          <w:spacing w:line="300"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于临时补充公司流动资金，使用期限不超过董事会批准之日起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 已在规定期限内将上述资金一次性全部归还至募集资金专用账户；</w:t>
                        </w:r>
                      </w:p>
                      <w:p>
                        <w:pPr>
                          <w:pStyle w:val="TableParagraph"/>
                          <w:spacing w:line="300" w:lineRule="auto" w:before="70"/>
                          <w:ind w:left="24" w:right="2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日第一届董事会第十七次会议审议通过，本公司使用超募资金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 于永久性补充公司流动资金；</w:t>
                        </w:r>
                      </w:p>
                      <w:p>
                        <w:pPr>
                          <w:pStyle w:val="TableParagraph"/>
                          <w:spacing w:line="240" w:lineRule="auto" w:before="72"/>
                          <w:ind w:left="384"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6</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日第二届董事会第五次会议审议通过，本公司使用超募资金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购置位于福州市鼓楼区软件大道</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号的“福州软件园动漫游戏产业基地二期”的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3691.2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平方米</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A3</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独栋研发楼。截至本报告期末止，该项目尚未投入。</w:t>
                        </w:r>
                      </w:p>
                      <w:p>
                        <w:pPr>
                          <w:pStyle w:val="TableParagraph"/>
                          <w:spacing w:line="240" w:lineRule="auto" w:before="118"/>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日，公司累计使用超募资金人民币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67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日，本公司第一届董事会第二十次会议审议通过了《关于变更募投项目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社</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会保障卡及读写终端制作中心项目实施地点的议案</w:t>
                        </w:r>
                        <w:r>
                          <w:rPr>
                            <w:rFonts w:ascii="宋体" w:hAnsi="宋体" w:cs="宋体" w:eastAsia="宋体" w:hint="default"/>
                            <w:spacing w:val="-92"/>
                            <w:sz w:val="18"/>
                            <w:szCs w:val="18"/>
                          </w:rPr>
                          <w:t>》</w:t>
                        </w:r>
                        <w:r>
                          <w:rPr>
                            <w:rFonts w:ascii="宋体" w:hAnsi="宋体" w:cs="宋体" w:eastAsia="宋体" w:hint="default"/>
                            <w:sz w:val="18"/>
                            <w:szCs w:val="18"/>
                          </w:rPr>
                          <w:t>，由于</w:t>
                        </w:r>
                        <w:r>
                          <w:rPr>
                            <w:rFonts w:ascii="宋体" w:hAnsi="宋体" w:cs="宋体" w:eastAsia="宋体" w:hint="default"/>
                            <w:spacing w:val="2"/>
                            <w:sz w:val="18"/>
                            <w:szCs w:val="18"/>
                          </w:rPr>
                          <w:t>福</w:t>
                        </w:r>
                        <w:r>
                          <w:rPr>
                            <w:rFonts w:ascii="宋体" w:hAnsi="宋体" w:cs="宋体" w:eastAsia="宋体" w:hint="default"/>
                            <w:sz w:val="18"/>
                            <w:szCs w:val="18"/>
                          </w:rPr>
                          <w:t>建省政府于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年下半年率</w:t>
                        </w:r>
                        <w:r>
                          <w:rPr>
                            <w:rFonts w:ascii="宋体" w:hAnsi="宋体" w:cs="宋体" w:eastAsia="宋体" w:hint="default"/>
                            <w:spacing w:val="-3"/>
                            <w:sz w:val="18"/>
                            <w:szCs w:val="18"/>
                          </w:rPr>
                          <w:t>先</w:t>
                        </w:r>
                        <w:r>
                          <w:rPr>
                            <w:rFonts w:ascii="宋体" w:hAnsi="宋体" w:cs="宋体" w:eastAsia="宋体" w:hint="default"/>
                            <w:sz w:val="18"/>
                            <w:szCs w:val="18"/>
                          </w:rPr>
                          <w:t>开始推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57"/>
        <w:jc w:val="right"/>
      </w:pPr>
      <w:r>
        <w:rPr/>
        <w:t>，</w:t>
      </w:r>
    </w:p>
    <w:p>
      <w:pPr>
        <w:pStyle w:val="BodyText"/>
        <w:spacing w:line="240" w:lineRule="auto" w:before="76"/>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2897"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07" w:lineRule="auto" w:before="8"/>
              <w:ind w:left="24" w:right="18"/>
              <w:jc w:val="left"/>
              <w:rPr>
                <w:rFonts w:ascii="宋体" w:hAnsi="宋体" w:cs="宋体" w:eastAsia="宋体" w:hint="default"/>
                <w:sz w:val="18"/>
                <w:szCs w:val="18"/>
              </w:rPr>
            </w:pPr>
            <w:r>
              <w:rPr>
                <w:rFonts w:ascii="宋体" w:hAnsi="宋体" w:cs="宋体" w:eastAsia="宋体" w:hint="default"/>
                <w:sz w:val="18"/>
                <w:szCs w:val="18"/>
              </w:rPr>
              <w:t>行社保卡和就诊一卡通项目建设，本公司承接了福建省全省金融社保卡业务，组建了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人的卡业 务数据采集和处理团队，加上生产线建设用地，原规划场地厦门市软件园二期公司办公大楼面积 </w:t>
            </w:r>
            <w:r>
              <w:rPr>
                <w:rFonts w:ascii="Times New Roman" w:hAnsi="Times New Roman" w:cs="Times New Roman" w:eastAsia="Times New Roman" w:hint="default"/>
                <w:sz w:val="18"/>
                <w:szCs w:val="18"/>
              </w:rPr>
              <w:t>1200</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平方米，不能满足项目建设发展需求，长远来看，产业发展空间受限，而且软件园二期公司办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公大楼现有剩余空间不能满足项目实施产地扩充的要求。因此，决定将该募投项目实施地点变更至</w:t>
            </w:r>
            <w:r>
              <w:rPr>
                <w:rFonts w:ascii="宋体" w:hAnsi="宋体" w:cs="宋体" w:eastAsia="宋体" w:hint="default"/>
                <w:sz w:val="18"/>
                <w:szCs w:val="18"/>
              </w:rPr>
              <w:t> 厦门思明区前埔西路</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0"/>
                <w:sz w:val="18"/>
                <w:szCs w:val="18"/>
              </w:rPr>
              <w:t> </w:t>
            </w:r>
            <w:r>
              <w:rPr>
                <w:rFonts w:ascii="宋体" w:hAnsi="宋体" w:cs="宋体" w:eastAsia="宋体" w:hint="default"/>
                <w:spacing w:val="-8"/>
                <w:sz w:val="18"/>
                <w:szCs w:val="18"/>
              </w:rPr>
              <w:t>号，场地面积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2613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平方米能够适应募投项目建设需求，实现公司产业发展 战略。</w:t>
            </w:r>
          </w:p>
          <w:p>
            <w:pPr>
              <w:pStyle w:val="TableParagraph"/>
              <w:spacing w:line="316" w:lineRule="auto" w:before="67"/>
              <w:ind w:left="24" w:right="23" w:firstLine="360"/>
              <w:jc w:val="both"/>
              <w:rPr>
                <w:rFonts w:ascii="宋体" w:hAnsi="宋体" w:cs="宋体" w:eastAsia="宋体" w:hint="default"/>
                <w:sz w:val="18"/>
                <w:szCs w:val="18"/>
              </w:rPr>
            </w:pPr>
            <w:r>
              <w:rPr>
                <w:rFonts w:ascii="宋体" w:hAnsi="宋体" w:cs="宋体" w:eastAsia="宋体" w:hint="default"/>
                <w:sz w:val="18"/>
                <w:szCs w:val="18"/>
              </w:rPr>
              <w:t>此次项目实施地点变更，能优化募投项目的实施布局，使本公司获得较大的发展空间和优越的 发展环境，并且未改变募投项目的实施主体、建设内容和实施方式，不存在变相改变募集资金投向 和损害股东利益的情形。</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日，本公司第一届董事会第十二次会议审议通过了《关于用募集资金置换预先 </w:t>
            </w:r>
            <w:r>
              <w:rPr>
                <w:rFonts w:ascii="宋体" w:hAnsi="宋体" w:cs="宋体" w:eastAsia="宋体" w:hint="default"/>
                <w:spacing w:val="-5"/>
                <w:sz w:val="18"/>
                <w:szCs w:val="18"/>
              </w:rPr>
              <w:t>投入募投项目的自筹资金的议案》，同意以募集资金置换公司预先已投入募集资金投资项目的自筹资</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9,003,342.01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元，其中预先投入研发中心平台建设与软件升级产业化项目</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2,792,456.46</w:t>
            </w:r>
            <w:r>
              <w:rPr>
                <w:rFonts w:ascii="Times New Roman" w:hAnsi="Times New Roman" w:cs="Times New Roman" w:eastAsia="Times New Roman" w:hint="default"/>
                <w:spacing w:val="-12"/>
                <w:sz w:val="18"/>
                <w:szCs w:val="18"/>
              </w:rPr>
              <w:t> </w:t>
            </w:r>
            <w:r>
              <w:rPr>
                <w:rFonts w:ascii="宋体" w:hAnsi="宋体" w:cs="宋体" w:eastAsia="宋体" w:hint="default"/>
                <w:spacing w:val="-10"/>
                <w:sz w:val="18"/>
                <w:szCs w:val="18"/>
              </w:rPr>
              <w:t>元，运维体</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系及灾备服务平台项目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315,731.59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元，民生一体化综合信息服务平台项目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3,071,952.30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元，社会保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障卡及读写终端制作中心项目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2,823,201.66 </w:t>
            </w:r>
            <w:r>
              <w:rPr>
                <w:rFonts w:ascii="宋体" w:hAnsi="宋体" w:cs="宋体" w:eastAsia="宋体" w:hint="default"/>
                <w:sz w:val="18"/>
                <w:szCs w:val="18"/>
              </w:rPr>
              <w:t>元。</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日，上述募集资金置换完毕。</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5"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日第一届董事会第十一次会议审议通过，本公司使用超募资金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 </w:t>
            </w:r>
            <w:r>
              <w:rPr>
                <w:rFonts w:ascii="宋体" w:hAnsi="宋体" w:cs="宋体" w:eastAsia="宋体" w:hint="default"/>
                <w:sz w:val="18"/>
                <w:szCs w:val="18"/>
              </w:rPr>
              <w:t>万元用于</w:t>
            </w:r>
          </w:p>
          <w:p>
            <w:pPr>
              <w:pStyle w:val="TableParagraph"/>
              <w:spacing w:line="300" w:lineRule="auto" w:before="63"/>
              <w:ind w:left="24" w:right="72"/>
              <w:jc w:val="left"/>
              <w:rPr>
                <w:rFonts w:ascii="宋体" w:hAnsi="宋体" w:cs="宋体" w:eastAsia="宋体" w:hint="default"/>
                <w:sz w:val="18"/>
                <w:szCs w:val="18"/>
              </w:rPr>
            </w:pPr>
            <w:r>
              <w:rPr>
                <w:rFonts w:ascii="宋体" w:hAnsi="宋体" w:cs="宋体" w:eastAsia="宋体" w:hint="default"/>
                <w:sz w:val="18"/>
                <w:szCs w:val="18"/>
              </w:rPr>
              <w:t>临时补充公司流动资金，使用期限不超过董事会批准之日起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日，本公司已 在规定期限内将上述资金一次性全部归还至募集资金专用账户。</w:t>
            </w:r>
          </w:p>
        </w:tc>
      </w:tr>
      <w:tr>
        <w:trPr>
          <w:trHeight w:val="403"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4"/>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firstLine="360"/>
              <w:jc w:val="left"/>
              <w:rPr>
                <w:rFonts w:ascii="宋体" w:hAnsi="宋体" w:cs="宋体" w:eastAsia="宋体" w:hint="default"/>
                <w:sz w:val="18"/>
                <w:szCs w:val="18"/>
              </w:rPr>
            </w:pPr>
            <w:r>
              <w:rPr>
                <w:rFonts w:ascii="宋体" w:hAnsi="宋体" w:cs="宋体" w:eastAsia="宋体" w:hint="default"/>
                <w:sz w:val="18"/>
                <w:szCs w:val="18"/>
              </w:rPr>
              <w:t>尚未使用的募集资金（包括超募资金）存放于本公司募集资金专户。本公司将根据公司发展规 划，妥善安排剩余募集资金（包括超募资金）的使用，将其用于本公司主营业务。</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）非募集资金投资的重大项目情况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72"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20"/>
              <w:jc w:val="left"/>
              <w:rPr>
                <w:rFonts w:ascii="宋体" w:hAnsi="宋体" w:cs="宋体" w:eastAsia="宋体" w:hint="default"/>
                <w:sz w:val="18"/>
                <w:szCs w:val="18"/>
              </w:rPr>
            </w:pPr>
            <w:r>
              <w:rPr>
                <w:rFonts w:ascii="宋体" w:hAnsi="宋体" w:cs="宋体" w:eastAsia="宋体" w:hint="default"/>
                <w:sz w:val="18"/>
                <w:szCs w:val="18"/>
              </w:rPr>
              <w:t>广西易联众信息技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0.47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北京易联众信息技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-65.56</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广东易联众计算机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福州易联众信息技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福建易联众软件系 统开发有限公司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8,020</w:t>
            </w:r>
          </w:p>
        </w:tc>
        <w:tc>
          <w:tcPr>
            <w:tcW w:w="159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9,120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详见本节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、主要控股参股公司分析</w:t>
            </w:r>
          </w:p>
        </w:tc>
      </w:tr>
    </w:tbl>
    <w:p>
      <w:pPr>
        <w:spacing w:line="240" w:lineRule="auto" w:before="3"/>
        <w:rPr>
          <w:rFonts w:ascii="宋体" w:hAnsi="宋体" w:cs="宋体" w:eastAsia="宋体" w:hint="default"/>
          <w:sz w:val="19"/>
          <w:szCs w:val="19"/>
        </w:rPr>
      </w:pPr>
    </w:p>
    <w:p>
      <w:pPr>
        <w:pStyle w:val="Heading3"/>
        <w:spacing w:line="240" w:lineRule="auto" w:before="36"/>
        <w:ind w:left="212" w:right="4953"/>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left="212" w:right="193" w:firstLine="360"/>
        <w:jc w:val="both"/>
      </w:pPr>
      <w:r>
        <w:rPr/>
        <w:t>报告期内，公司拥有</w:t>
      </w:r>
      <w:r>
        <w:rPr>
          <w:rFonts w:ascii="Times New Roman" w:hAnsi="Times New Roman" w:cs="Times New Roman" w:eastAsia="Times New Roman" w:hint="default"/>
        </w:rPr>
        <w:t>7</w:t>
      </w:r>
      <w:r>
        <w:rPr/>
        <w:t>家全资子公司，</w:t>
      </w:r>
      <w:r>
        <w:rPr>
          <w:rFonts w:ascii="Times New Roman" w:hAnsi="Times New Roman" w:cs="Times New Roman" w:eastAsia="Times New Roman" w:hint="default"/>
        </w:rPr>
        <w:t>4</w:t>
      </w:r>
      <w:r>
        <w:rPr/>
        <w:t>家控股子公司，</w:t>
      </w:r>
      <w:r>
        <w:rPr>
          <w:rFonts w:ascii="Times New Roman" w:hAnsi="Times New Roman" w:cs="Times New Roman" w:eastAsia="Times New Roman" w:hint="default"/>
        </w:rPr>
        <w:t>1</w:t>
      </w:r>
      <w:r>
        <w:rPr/>
        <w:t>家参股公司。其中：广西易联众信息技术有限公司、北京易联 </w:t>
      </w:r>
      <w:r>
        <w:rPr>
          <w:spacing w:val="-2"/>
        </w:rPr>
        <w:t>众信息技术有限公司为报告期内公司新投资成立的全资子公司，广东易联众计算机技术有限公司为报告期内公司新投资成立</w:t>
      </w:r>
      <w:r>
        <w:rPr>
          <w:spacing w:val="-64"/>
        </w:rPr>
        <w:t> </w:t>
      </w:r>
      <w:r>
        <w:rPr>
          <w:spacing w:val="-64"/>
        </w:rPr>
      </w:r>
      <w:r>
        <w:rPr/>
        <w:t>的控股子公司，北京尚洋易捷信息技术有限公司为报告期内公司新投资参股的公司。</w:t>
      </w:r>
    </w:p>
    <w:p>
      <w:pPr>
        <w:spacing w:line="240" w:lineRule="auto" w:before="10"/>
        <w:rPr>
          <w:rFonts w:ascii="宋体" w:hAnsi="宋体" w:cs="宋体" w:eastAsia="宋体" w:hint="default"/>
          <w:sz w:val="13"/>
          <w:szCs w:val="13"/>
        </w:rPr>
      </w:pPr>
    </w:p>
    <w:p>
      <w:pPr>
        <w:spacing w:line="309" w:lineRule="auto" w:before="0"/>
        <w:ind w:left="573" w:right="49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、福州易联众信息技术有限公司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该公司是本公司出资设立的全资子公司，相关信息如下： 成立时间：</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p>
      <w:pPr>
        <w:pStyle w:val="BodyText"/>
        <w:spacing w:line="300" w:lineRule="auto" w:before="5"/>
        <w:ind w:left="573" w:right="7608"/>
        <w:jc w:val="left"/>
      </w:pPr>
      <w:r>
        <w:rPr/>
        <w:t>注册资本：</w:t>
      </w:r>
      <w:r>
        <w:rPr>
          <w:rFonts w:ascii="Times New Roman" w:hAnsi="Times New Roman" w:cs="Times New Roman" w:eastAsia="Times New Roman" w:hint="default"/>
        </w:rPr>
        <w:t>5,000</w:t>
      </w:r>
      <w:r>
        <w:rPr/>
        <w:t>万元； 实收资本：</w:t>
      </w:r>
      <w:r>
        <w:rPr>
          <w:rFonts w:ascii="Times New Roman" w:hAnsi="Times New Roman" w:cs="Times New Roman" w:eastAsia="Times New Roman" w:hint="default"/>
        </w:rPr>
        <w:t>5,000</w:t>
      </w:r>
      <w:r>
        <w:rPr/>
        <w:t>万元</w:t>
      </w:r>
    </w:p>
    <w:p>
      <w:pPr>
        <w:pStyle w:val="BodyText"/>
        <w:spacing w:line="300" w:lineRule="auto" w:before="13"/>
        <w:ind w:left="573" w:right="93"/>
        <w:jc w:val="left"/>
      </w:pPr>
      <w:r>
        <w:rPr/>
        <w:t>法定代表人：原法定代表人为雷彪，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月更为罗建森； 注册地址：福州市鼓楼区软件大道</w:t>
      </w:r>
      <w:r>
        <w:rPr>
          <w:rFonts w:ascii="Times New Roman" w:hAnsi="Times New Roman" w:cs="Times New Roman" w:eastAsia="Times New Roman" w:hint="default"/>
        </w:rPr>
        <w:t>89</w:t>
      </w:r>
      <w:r>
        <w:rPr/>
        <w:t>号福州软件园</w:t>
      </w:r>
      <w:r>
        <w:rPr>
          <w:rFonts w:ascii="Times New Roman" w:hAnsi="Times New Roman" w:cs="Times New Roman" w:eastAsia="Times New Roman" w:hint="default"/>
        </w:rPr>
        <w:t>D</w:t>
      </w:r>
      <w:r>
        <w:rPr/>
        <w:t>区</w:t>
      </w:r>
      <w:r>
        <w:rPr>
          <w:rFonts w:ascii="Times New Roman" w:hAnsi="Times New Roman" w:cs="Times New Roman" w:eastAsia="Times New Roman" w:hint="default"/>
        </w:rPr>
        <w:t>25</w:t>
      </w:r>
      <w:r>
        <w:rPr/>
        <w:t>号楼； </w:t>
      </w:r>
      <w:r>
        <w:rPr>
          <w:spacing w:val="-4"/>
        </w:rPr>
        <w:t>经营范围：开发、生产计算机软件产品；应用系统集成；销售计算机硬件和外部设备及提供相关的技术咨询、技术服务。</w:t>
      </w:r>
    </w:p>
    <w:p>
      <w:pPr>
        <w:pStyle w:val="BodyText"/>
        <w:spacing w:line="316" w:lineRule="auto" w:before="31"/>
        <w:ind w:left="573" w:right="1173" w:hanging="361"/>
        <w:jc w:val="left"/>
      </w:pPr>
      <w:r>
        <w:rPr/>
        <w:t>（以上经营范围涉及许可经营项目的，应在取得有关部门的许可后方可经营）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908"/>
        <w:gridCol w:w="4210"/>
      </w:tblGrid>
      <w:tr>
        <w:trPr>
          <w:trHeight w:val="322"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4"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76,034,453.17</w:t>
            </w:r>
          </w:p>
        </w:tc>
      </w:tr>
      <w:tr>
        <w:trPr>
          <w:trHeight w:val="322"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62,198,548.59</w:t>
            </w:r>
          </w:p>
        </w:tc>
      </w:tr>
      <w:tr>
        <w:trPr>
          <w:trHeight w:val="322"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46,348,847.85</w:t>
            </w:r>
          </w:p>
        </w:tc>
      </w:tr>
      <w:tr>
        <w:trPr>
          <w:trHeight w:val="322" w:hRule="exact"/>
        </w:trPr>
        <w:tc>
          <w:tcPr>
            <w:tcW w:w="3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4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2,441,193.12</w:t>
            </w:r>
          </w:p>
        </w:tc>
      </w:tr>
    </w:tbl>
    <w:p>
      <w:pPr>
        <w:spacing w:line="240" w:lineRule="auto" w:before="1"/>
        <w:rPr>
          <w:rFonts w:ascii="宋体" w:hAnsi="宋体" w:cs="宋体" w:eastAsia="宋体" w:hint="default"/>
          <w:sz w:val="21"/>
          <w:szCs w:val="21"/>
        </w:rPr>
      </w:pPr>
    </w:p>
    <w:p>
      <w:pPr>
        <w:spacing w:line="309" w:lineRule="auto" w:before="44"/>
        <w:ind w:left="573" w:right="49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、山西易联众信息技术有限公司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该公司是本公司出资设立的全资子公司，相关信息如下： 成立时间：</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p>
      <w:pPr>
        <w:pStyle w:val="BodyText"/>
        <w:spacing w:line="300" w:lineRule="auto" w:before="5"/>
        <w:ind w:left="573" w:right="7623"/>
        <w:jc w:val="both"/>
      </w:pPr>
      <w:r>
        <w:rPr/>
        <w:t>注册资本：</w:t>
      </w:r>
      <w:r>
        <w:rPr>
          <w:rFonts w:ascii="Times New Roman" w:hAnsi="Times New Roman" w:cs="Times New Roman" w:eastAsia="Times New Roman" w:hint="default"/>
        </w:rPr>
        <w:t>1,000</w:t>
      </w:r>
      <w:r>
        <w:rPr/>
        <w:t>万元； 实收资本：</w:t>
      </w:r>
      <w:r>
        <w:rPr>
          <w:rFonts w:ascii="Times New Roman" w:hAnsi="Times New Roman" w:cs="Times New Roman" w:eastAsia="Times New Roman" w:hint="default"/>
        </w:rPr>
        <w:t>1,000</w:t>
      </w:r>
      <w:r>
        <w:rPr/>
        <w:t>万元； 法定代表人：张眉河；</w:t>
      </w:r>
    </w:p>
    <w:p>
      <w:pPr>
        <w:pStyle w:val="BodyText"/>
        <w:spacing w:line="300" w:lineRule="auto" w:before="31"/>
        <w:ind w:left="573" w:right="93"/>
        <w:jc w:val="left"/>
      </w:pPr>
      <w:r>
        <w:rPr/>
        <w:t>注册地址：太原市高新区电子数码港</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B-2</w:t>
      </w:r>
      <w:r>
        <w:rPr/>
        <w:t>区</w:t>
      </w:r>
      <w:r>
        <w:rPr>
          <w:rFonts w:ascii="Times New Roman" w:hAnsi="Times New Roman" w:cs="Times New Roman" w:eastAsia="Times New Roman" w:hint="default"/>
        </w:rPr>
        <w:t>3</w:t>
      </w:r>
      <w:r>
        <w:rPr/>
        <w:t>层； </w:t>
      </w:r>
      <w:r>
        <w:rPr>
          <w:spacing w:val="-2"/>
        </w:rPr>
        <w:t>经营范围：计算机软硬件的开发；计算机系统集成及综合布线；计算机维修；计算机技术咨询、技术服务。（法律法规</w:t>
      </w:r>
    </w:p>
    <w:p>
      <w:pPr>
        <w:pStyle w:val="BodyText"/>
        <w:spacing w:line="316" w:lineRule="auto" w:before="31"/>
        <w:ind w:left="573" w:right="1173" w:hanging="361"/>
        <w:jc w:val="left"/>
      </w:pPr>
      <w:r>
        <w:rPr/>
        <w:t>禁止经营的不得经营，需经审批的未获批准前不得经营）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after="0" w:line="316" w:lineRule="auto"/>
        <w:jc w:val="left"/>
        <w:sectPr>
          <w:pgSz w:w="11910" w:h="16840"/>
          <w:pgMar w:header="745" w:footer="980" w:top="1060" w:bottom="1160" w:left="920" w:right="94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894"/>
        <w:gridCol w:w="3425"/>
      </w:tblGrid>
      <w:tr>
        <w:trPr>
          <w:trHeight w:val="322"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7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99,139,700.94</w:t>
            </w:r>
          </w:p>
        </w:tc>
      </w:tr>
      <w:tr>
        <w:trPr>
          <w:trHeight w:val="322"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56,082,085.71</w:t>
            </w:r>
          </w:p>
        </w:tc>
      </w:tr>
      <w:tr>
        <w:trPr>
          <w:trHeight w:val="324"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87,836,463.69</w:t>
            </w:r>
          </w:p>
        </w:tc>
      </w:tr>
      <w:tr>
        <w:trPr>
          <w:trHeight w:val="322" w:hRule="exact"/>
        </w:trPr>
        <w:tc>
          <w:tcPr>
            <w:tcW w:w="3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30,043,963.01</w:t>
            </w:r>
          </w:p>
        </w:tc>
      </w:tr>
    </w:tbl>
    <w:p>
      <w:pPr>
        <w:spacing w:line="240" w:lineRule="auto" w:before="1"/>
        <w:rPr>
          <w:rFonts w:ascii="宋体" w:hAnsi="宋体" w:cs="宋体" w:eastAsia="宋体" w:hint="default"/>
          <w:sz w:val="21"/>
          <w:szCs w:val="21"/>
        </w:rPr>
      </w:pPr>
    </w:p>
    <w:p>
      <w:pPr>
        <w:spacing w:line="300" w:lineRule="auto" w:before="44"/>
        <w:ind w:left="573" w:right="480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、安徽易联众信息技术有限公司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该公司是本公司占</w:t>
      </w:r>
      <w:r>
        <w:rPr>
          <w:rFonts w:ascii="Times New Roman" w:hAnsi="Times New Roman" w:cs="Times New Roman" w:eastAsia="Times New Roman" w:hint="default"/>
          <w:sz w:val="18"/>
          <w:szCs w:val="18"/>
        </w:rPr>
        <w:t>75%</w:t>
      </w:r>
      <w:r>
        <w:rPr>
          <w:rFonts w:ascii="宋体" w:hAnsi="宋体" w:cs="宋体" w:eastAsia="宋体" w:hint="default"/>
          <w:sz w:val="18"/>
          <w:szCs w:val="18"/>
        </w:rPr>
        <w:t>股权的控股子公司，相关信息如下： 成立时间：</w:t>
      </w: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p>
      <w:pPr>
        <w:pStyle w:val="BodyText"/>
        <w:spacing w:line="300" w:lineRule="auto" w:before="13"/>
        <w:ind w:left="573" w:right="7671"/>
        <w:jc w:val="both"/>
      </w:pPr>
      <w:r>
        <w:rPr/>
        <w:t>注册资本：</w:t>
      </w:r>
      <w:r>
        <w:rPr>
          <w:rFonts w:ascii="Times New Roman" w:hAnsi="Times New Roman" w:cs="Times New Roman" w:eastAsia="Times New Roman" w:hint="default"/>
        </w:rPr>
        <w:t>500</w:t>
      </w:r>
      <w:r>
        <w:rPr/>
        <w:t>万元； 实收资本：</w:t>
      </w:r>
      <w:r>
        <w:rPr>
          <w:rFonts w:ascii="Times New Roman" w:hAnsi="Times New Roman" w:cs="Times New Roman" w:eastAsia="Times New Roman" w:hint="default"/>
        </w:rPr>
        <w:t>500</w:t>
      </w:r>
      <w:r>
        <w:rPr/>
        <w:t>万元； 法定代表人：钟里明；</w:t>
      </w:r>
    </w:p>
    <w:p>
      <w:pPr>
        <w:pStyle w:val="BodyText"/>
        <w:spacing w:line="309" w:lineRule="auto" w:before="32"/>
        <w:ind w:left="573" w:right="93"/>
        <w:jc w:val="left"/>
      </w:pPr>
      <w:r>
        <w:rPr/>
        <w:t>注册地址：合肥市高新区黄山路</w:t>
      </w:r>
      <w:r>
        <w:rPr>
          <w:rFonts w:ascii="Times New Roman" w:hAnsi="Times New Roman" w:cs="Times New Roman" w:eastAsia="Times New Roman" w:hint="default"/>
        </w:rPr>
        <w:t>605</w:t>
      </w:r>
      <w:r>
        <w:rPr/>
        <w:t>号民创中心</w:t>
      </w:r>
      <w:r>
        <w:rPr>
          <w:rFonts w:ascii="Times New Roman" w:hAnsi="Times New Roman" w:cs="Times New Roman" w:eastAsia="Times New Roman" w:hint="default"/>
        </w:rPr>
        <w:t>512-515</w:t>
      </w:r>
      <w:r>
        <w:rPr/>
        <w:t>室； 经营范围：开发、生产及销售计算机软件、硬件、应用系统集成、网络通信产品；计算机及通讯产品的相关技术服务。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8"/>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26"/>
        <w:gridCol w:w="3276"/>
      </w:tblGrid>
      <w:tr>
        <w:trPr>
          <w:trHeight w:val="322"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0"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19,116,455.25</w:t>
            </w:r>
          </w:p>
        </w:tc>
      </w:tr>
      <w:tr>
        <w:trPr>
          <w:trHeight w:val="324"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11,981,317.81</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12,954,986.83</w:t>
            </w:r>
          </w:p>
        </w:tc>
      </w:tr>
      <w:tr>
        <w:trPr>
          <w:trHeight w:val="322"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1,463,906.72</w:t>
            </w:r>
          </w:p>
        </w:tc>
      </w:tr>
    </w:tbl>
    <w:p>
      <w:pPr>
        <w:spacing w:line="240" w:lineRule="auto" w:before="1"/>
        <w:rPr>
          <w:rFonts w:ascii="宋体" w:hAnsi="宋体" w:cs="宋体" w:eastAsia="宋体" w:hint="default"/>
          <w:sz w:val="21"/>
          <w:szCs w:val="21"/>
        </w:rPr>
      </w:pPr>
    </w:p>
    <w:p>
      <w:pPr>
        <w:spacing w:line="309" w:lineRule="auto" w:before="44"/>
        <w:ind w:left="573" w:right="56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、福建易联众软件系统开发有限公司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该公司是本公司的全资子公司，相关信息如下： 成立时间：</w:t>
      </w:r>
      <w:r>
        <w:rPr>
          <w:rFonts w:ascii="Times New Roman" w:hAnsi="Times New Roman" w:cs="Times New Roman" w:eastAsia="Times New Roman" w:hint="default"/>
          <w:sz w:val="18"/>
          <w:szCs w:val="18"/>
        </w:rPr>
        <w:t>2005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BodyText"/>
        <w:spacing w:line="300" w:lineRule="auto" w:before="5"/>
        <w:ind w:left="573" w:right="7608"/>
        <w:jc w:val="left"/>
      </w:pPr>
      <w:r>
        <w:rPr/>
        <w:t>注册资本：</w:t>
      </w:r>
      <w:r>
        <w:rPr>
          <w:rFonts w:ascii="Times New Roman" w:hAnsi="Times New Roman" w:cs="Times New Roman" w:eastAsia="Times New Roman" w:hint="default"/>
        </w:rPr>
        <w:t>2,000</w:t>
      </w:r>
      <w:r>
        <w:rPr/>
        <w:t>万元； 实收资本：</w:t>
      </w:r>
      <w:r>
        <w:rPr>
          <w:rFonts w:ascii="Times New Roman" w:hAnsi="Times New Roman" w:cs="Times New Roman" w:eastAsia="Times New Roman" w:hint="default"/>
        </w:rPr>
        <w:t>2,000</w:t>
      </w:r>
      <w:r>
        <w:rPr/>
        <w:t>万元；</w:t>
      </w:r>
    </w:p>
    <w:p>
      <w:pPr>
        <w:pStyle w:val="BodyText"/>
        <w:spacing w:line="300" w:lineRule="auto" w:before="13"/>
        <w:ind w:left="573" w:right="93"/>
        <w:jc w:val="left"/>
      </w:pPr>
      <w:r>
        <w:rPr/>
        <w:t>法定代表人：原法定代表人为江敦忠，</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日变更为吴文飞； 注册地址：福州市鼓楼区福二工业村实达科技城</w:t>
      </w:r>
      <w:r>
        <w:rPr>
          <w:rFonts w:ascii="Times New Roman" w:hAnsi="Times New Roman" w:cs="Times New Roman" w:eastAsia="Times New Roman" w:hint="default"/>
        </w:rPr>
        <w:t>A</w:t>
      </w:r>
      <w:r>
        <w:rPr/>
        <w:t>座四层； </w:t>
      </w:r>
      <w:r>
        <w:rPr>
          <w:spacing w:val="-2"/>
        </w:rPr>
        <w:t>经营范围：开发计算机软件产品；应用系统集成；提供相关的技术咨询、技术培训及技术服务。（以上经营范围涉及许</w:t>
      </w:r>
    </w:p>
    <w:p>
      <w:pPr>
        <w:pStyle w:val="BodyText"/>
        <w:spacing w:line="316" w:lineRule="auto" w:before="31"/>
        <w:ind w:left="573" w:right="1173" w:hanging="361"/>
        <w:jc w:val="left"/>
      </w:pPr>
      <w:r>
        <w:rPr/>
        <w:t>可经营项目的，应在取得有关部门的许可后方可经营）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38"/>
        <w:gridCol w:w="3288"/>
      </w:tblGrid>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4"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26,314,664.68</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21,404,875.05</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23,254,288.45</w:t>
            </w:r>
          </w:p>
        </w:tc>
      </w:tr>
      <w:tr>
        <w:trPr>
          <w:trHeight w:val="322" w:hRule="exact"/>
        </w:trPr>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410,642.90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4"/>
        <w:spacing w:line="240" w:lineRule="auto"/>
        <w:ind w:left="573" w:right="4953"/>
        <w:jc w:val="left"/>
        <w:rPr>
          <w:b w:val="0"/>
          <w:bCs w:val="0"/>
        </w:rPr>
      </w:pPr>
      <w:r>
        <w:rPr>
          <w:rFonts w:ascii="Times New Roman" w:hAnsi="Times New Roman" w:cs="Times New Roman" w:eastAsia="Times New Roman" w:hint="default"/>
        </w:rPr>
        <w:t>5</w:t>
      </w:r>
      <w:r>
        <w:rPr/>
        <w:t>、大连易联众科技有限公司</w:t>
      </w:r>
      <w:r>
        <w:rPr>
          <w:b w:val="0"/>
          <w:bCs w:val="0"/>
        </w:rPr>
      </w:r>
    </w:p>
    <w:p>
      <w:pPr>
        <w:spacing w:after="0" w:line="240" w:lineRule="auto"/>
        <w:jc w:val="left"/>
        <w:sectPr>
          <w:pgSz w:w="11910" w:h="16840"/>
          <w:pgMar w:header="745" w:footer="980" w:top="1060" w:bottom="1160" w:left="920" w:right="940"/>
        </w:sectPr>
      </w:pPr>
    </w:p>
    <w:p>
      <w:pPr>
        <w:spacing w:line="240" w:lineRule="auto" w:before="9"/>
        <w:rPr>
          <w:rFonts w:ascii="宋体" w:hAnsi="宋体" w:cs="宋体" w:eastAsia="宋体" w:hint="default"/>
          <w:b/>
          <w:bCs/>
          <w:sz w:val="25"/>
          <w:szCs w:val="25"/>
        </w:rPr>
      </w:pPr>
    </w:p>
    <w:p>
      <w:pPr>
        <w:pStyle w:val="BodyText"/>
        <w:spacing w:line="300" w:lineRule="auto" w:before="44"/>
        <w:ind w:left="212" w:right="219" w:firstLine="360"/>
        <w:jc w:val="left"/>
      </w:pPr>
      <w:r>
        <w:rPr/>
        <w:t>该公司是本公司实质全资子公司，本公司出资</w:t>
      </w:r>
      <w:r>
        <w:rPr>
          <w:rFonts w:ascii="Times New Roman" w:hAnsi="Times New Roman" w:cs="Times New Roman" w:eastAsia="Times New Roman" w:hint="default"/>
        </w:rPr>
        <w:t>2,700</w:t>
      </w:r>
      <w:r>
        <w:rPr/>
        <w:t>万元、占</w:t>
      </w:r>
      <w:r>
        <w:rPr>
          <w:rFonts w:ascii="Times New Roman" w:hAnsi="Times New Roman" w:cs="Times New Roman" w:eastAsia="Times New Roman" w:hint="default"/>
        </w:rPr>
        <w:t>90%</w:t>
      </w:r>
      <w:r>
        <w:rPr/>
        <w:t>股权，本公司全资子公司福州易联众信息技术有限公 司出资</w:t>
      </w:r>
      <w:r>
        <w:rPr>
          <w:rFonts w:ascii="Times New Roman" w:hAnsi="Times New Roman" w:cs="Times New Roman" w:eastAsia="Times New Roman" w:hint="default"/>
        </w:rPr>
        <w:t>300</w:t>
      </w:r>
      <w:r>
        <w:rPr/>
        <w:t>万元、占</w:t>
      </w:r>
      <w:r>
        <w:rPr>
          <w:rFonts w:ascii="Times New Roman" w:hAnsi="Times New Roman" w:cs="Times New Roman" w:eastAsia="Times New Roman" w:hint="default"/>
        </w:rPr>
        <w:t>10%</w:t>
      </w:r>
      <w:r>
        <w:rPr/>
        <w:t>股权，相关信息如下：</w:t>
      </w:r>
    </w:p>
    <w:p>
      <w:pPr>
        <w:pStyle w:val="BodyText"/>
        <w:spacing w:line="300" w:lineRule="auto" w:before="13"/>
        <w:ind w:left="573" w:right="7433"/>
        <w:jc w:val="left"/>
      </w:pPr>
      <w:r>
        <w:rPr/>
        <w:t>成立时间：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 注册资本：</w:t>
      </w:r>
      <w:r>
        <w:rPr>
          <w:rFonts w:ascii="Times New Roman" w:hAnsi="Times New Roman" w:cs="Times New Roman" w:eastAsia="Times New Roman" w:hint="default"/>
        </w:rPr>
        <w:t>3,000</w:t>
      </w:r>
      <w:r>
        <w:rPr/>
        <w:t>万元； 实收资本：</w:t>
      </w:r>
      <w:r>
        <w:rPr>
          <w:rFonts w:ascii="Times New Roman" w:hAnsi="Times New Roman" w:cs="Times New Roman" w:eastAsia="Times New Roman" w:hint="default"/>
        </w:rPr>
        <w:t>3,000</w:t>
      </w:r>
      <w:r>
        <w:rPr/>
        <w:t>万元； 法定代表人：江敦忠；</w:t>
      </w:r>
    </w:p>
    <w:p>
      <w:pPr>
        <w:pStyle w:val="BodyText"/>
        <w:spacing w:line="300" w:lineRule="auto" w:before="31"/>
        <w:ind w:left="573" w:right="138"/>
        <w:jc w:val="left"/>
      </w:pPr>
      <w:r>
        <w:rPr/>
        <w:t>注册地址：大连高新技术产业园区火炬路</w:t>
      </w:r>
      <w:r>
        <w:rPr>
          <w:rFonts w:ascii="Times New Roman" w:hAnsi="Times New Roman" w:cs="Times New Roman" w:eastAsia="Times New Roman" w:hint="default"/>
        </w:rPr>
        <w:t>32</w:t>
      </w:r>
      <w:r>
        <w:rPr/>
        <w:t>号</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19</w:t>
      </w:r>
      <w:r>
        <w:rPr/>
        <w:t>层； </w:t>
      </w:r>
      <w:r>
        <w:rPr>
          <w:spacing w:val="-5"/>
        </w:rPr>
        <w:t>经营范围：计算机软、硬件的技术开发、技术咨询、技术服务（涉及行政许可的，凭许可证经营）；计算机系统集成（凭</w:t>
      </w:r>
    </w:p>
    <w:p>
      <w:pPr>
        <w:pStyle w:val="BodyText"/>
        <w:spacing w:line="316" w:lineRule="auto" w:before="31"/>
        <w:ind w:left="212" w:right="138"/>
        <w:jc w:val="left"/>
      </w:pPr>
      <w:r>
        <w:rPr>
          <w:spacing w:val="-2"/>
        </w:rPr>
        <w:t>资质证经营）；国内一般贸易、货物进出口、技术进出口（法律、行政法规禁止的项目除外；法律、行政法规限制的取得行</w:t>
      </w:r>
      <w:r>
        <w:rPr>
          <w:spacing w:val="-65"/>
        </w:rPr>
        <w:t> </w:t>
      </w:r>
      <w:r>
        <w:rPr>
          <w:spacing w:val="-65"/>
        </w:rPr>
      </w:r>
      <w:r>
        <w:rPr/>
        <w:t>业许可后方可经营）。</w:t>
      </w:r>
    </w:p>
    <w:p>
      <w:pPr>
        <w:pStyle w:val="BodyText"/>
        <w:spacing w:line="240" w:lineRule="auto" w:before="19"/>
        <w:ind w:left="573" w:right="219"/>
        <w:jc w:val="left"/>
      </w:pPr>
      <w:r>
        <w:rPr/>
        <w:t>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0"/>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755"/>
        <w:gridCol w:w="4042"/>
      </w:tblGrid>
      <w:tr>
        <w:trPr>
          <w:trHeight w:val="322"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pacing w:val="-1"/>
                <w:sz w:val="18"/>
              </w:rPr>
              <w:t>28,970,826.48</w:t>
            </w:r>
          </w:p>
        </w:tc>
      </w:tr>
      <w:tr>
        <w:trPr>
          <w:trHeight w:val="322"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28,806,815.58</w:t>
            </w:r>
          </w:p>
        </w:tc>
      </w:tr>
      <w:tr>
        <w:trPr>
          <w:trHeight w:val="324"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2" w:hRule="exact"/>
        </w:trPr>
        <w:tc>
          <w:tcPr>
            <w:tcW w:w="3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-488,868.73</w:t>
            </w:r>
          </w:p>
        </w:tc>
      </w:tr>
    </w:tbl>
    <w:p>
      <w:pPr>
        <w:spacing w:line="240" w:lineRule="auto" w:before="1"/>
        <w:rPr>
          <w:rFonts w:ascii="宋体" w:hAnsi="宋体" w:cs="宋体" w:eastAsia="宋体" w:hint="default"/>
          <w:sz w:val="21"/>
          <w:szCs w:val="21"/>
        </w:rPr>
      </w:pPr>
    </w:p>
    <w:p>
      <w:pPr>
        <w:spacing w:line="300" w:lineRule="auto" w:before="44"/>
        <w:ind w:left="573" w:right="458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、福建易联众电子科技有限公司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该公司是本公司占</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股权的的控股子公司，相关信息如下： 成立时间：</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BodyText"/>
        <w:spacing w:line="300" w:lineRule="auto" w:before="13"/>
        <w:ind w:left="573" w:right="7583"/>
        <w:jc w:val="both"/>
      </w:pPr>
      <w:r>
        <w:rPr/>
        <w:t>注册资本：</w:t>
      </w:r>
      <w:r>
        <w:rPr>
          <w:rFonts w:ascii="Times New Roman" w:hAnsi="Times New Roman" w:cs="Times New Roman" w:eastAsia="Times New Roman" w:hint="default"/>
        </w:rPr>
        <w:t>1,000</w:t>
      </w:r>
      <w:r>
        <w:rPr/>
        <w:t>万元； 实收资本：</w:t>
      </w:r>
      <w:r>
        <w:rPr>
          <w:rFonts w:ascii="Times New Roman" w:hAnsi="Times New Roman" w:cs="Times New Roman" w:eastAsia="Times New Roman" w:hint="default"/>
        </w:rPr>
        <w:t>1,000</w:t>
      </w:r>
      <w:r>
        <w:rPr/>
        <w:t>万元； 法定代表人：吴松；</w:t>
      </w:r>
    </w:p>
    <w:p>
      <w:pPr>
        <w:pStyle w:val="BodyText"/>
        <w:spacing w:line="300" w:lineRule="auto" w:before="32"/>
        <w:ind w:left="573" w:right="138"/>
        <w:jc w:val="left"/>
      </w:pPr>
      <w:r>
        <w:rPr/>
        <w:t>注册地址：福州市鼓楼区软件大道</w:t>
      </w:r>
      <w:r>
        <w:rPr>
          <w:rFonts w:ascii="Times New Roman" w:hAnsi="Times New Roman" w:cs="Times New Roman" w:eastAsia="Times New Roman" w:hint="default"/>
        </w:rPr>
        <w:t>89</w:t>
      </w:r>
      <w:r>
        <w:rPr/>
        <w:t>号福州软件园</w:t>
      </w:r>
      <w:r>
        <w:rPr>
          <w:rFonts w:ascii="Times New Roman" w:hAnsi="Times New Roman" w:cs="Times New Roman" w:eastAsia="Times New Roman" w:hint="default"/>
        </w:rPr>
        <w:t>D</w:t>
      </w:r>
      <w:r>
        <w:rPr/>
        <w:t>区</w:t>
      </w:r>
      <w:r>
        <w:rPr>
          <w:rFonts w:ascii="Times New Roman" w:hAnsi="Times New Roman" w:cs="Times New Roman" w:eastAsia="Times New Roman" w:hint="default"/>
        </w:rPr>
        <w:t>25</w:t>
      </w:r>
      <w:r>
        <w:rPr/>
        <w:t>号楼； </w:t>
      </w:r>
      <w:r>
        <w:rPr>
          <w:spacing w:val="-2"/>
        </w:rPr>
        <w:t>经营范围：轨道交通技术产品的涉及、检测与销售，计算机软件、硬件技术开发、应用系统集成；网络通讯产品、通讯</w:t>
      </w:r>
    </w:p>
    <w:p>
      <w:pPr>
        <w:pStyle w:val="BodyText"/>
        <w:spacing w:line="316" w:lineRule="auto" w:before="31"/>
        <w:ind w:left="212" w:right="138"/>
        <w:jc w:val="left"/>
      </w:pPr>
      <w:r>
        <w:rPr>
          <w:spacing w:val="-2"/>
        </w:rPr>
        <w:t>器材（不含无线发射装置、卫星地面接收设施），电子产品及配套设施的开发及咨询服务。（以上经营范围涉及许可经营项</w:t>
      </w:r>
      <w:r>
        <w:rPr>
          <w:spacing w:val="-65"/>
        </w:rPr>
        <w:t> </w:t>
      </w:r>
      <w:r>
        <w:rPr>
          <w:spacing w:val="-65"/>
        </w:rPr>
      </w:r>
      <w:r>
        <w:rPr/>
        <w:t>目的，应在取得有关部门的许可后方可经营）</w:t>
      </w:r>
    </w:p>
    <w:p>
      <w:pPr>
        <w:pStyle w:val="BodyText"/>
        <w:spacing w:line="240" w:lineRule="auto" w:before="19"/>
        <w:ind w:left="573" w:right="219"/>
        <w:jc w:val="left"/>
      </w:pPr>
      <w:r>
        <w:rPr/>
        <w:t>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0"/>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13,428,025.75</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11,614,398.39</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19,461,448.98</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3,249,875.74</w:t>
            </w:r>
          </w:p>
        </w:tc>
      </w:tr>
    </w:tbl>
    <w:p>
      <w:pPr>
        <w:spacing w:line="240" w:lineRule="auto" w:before="2"/>
        <w:rPr>
          <w:rFonts w:ascii="宋体" w:hAnsi="宋体" w:cs="宋体" w:eastAsia="宋体" w:hint="default"/>
          <w:sz w:val="21"/>
          <w:szCs w:val="21"/>
        </w:rPr>
      </w:pPr>
    </w:p>
    <w:p>
      <w:pPr>
        <w:spacing w:line="300" w:lineRule="auto" w:before="44"/>
        <w:ind w:left="578" w:right="138"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、中职动力（北京）科技有限公司</w:t>
      </w:r>
      <w:r>
        <w:rPr>
          <w:rFonts w:ascii="宋体" w:hAnsi="宋体" w:cs="宋体" w:eastAsia="宋体" w:hint="default"/>
          <w:b/>
          <w:bCs/>
          <w:w w:val="99"/>
          <w:sz w:val="18"/>
          <w:szCs w:val="18"/>
        </w:rPr>
        <w:t> </w:t>
      </w:r>
      <w:r>
        <w:rPr>
          <w:rFonts w:ascii="宋体" w:hAnsi="宋体" w:cs="宋体" w:eastAsia="宋体" w:hint="default"/>
          <w:sz w:val="18"/>
          <w:szCs w:val="18"/>
        </w:rPr>
        <w:t>该公司是由本公司的全资子公司福州易联众信息技术有限公司以货币</w:t>
      </w:r>
      <w:r>
        <w:rPr>
          <w:rFonts w:ascii="Times New Roman" w:hAnsi="Times New Roman" w:cs="Times New Roman" w:eastAsia="Times New Roman" w:hint="default"/>
          <w:sz w:val="18"/>
          <w:szCs w:val="18"/>
        </w:rPr>
        <w:t>450</w:t>
      </w:r>
      <w:r>
        <w:rPr>
          <w:rFonts w:ascii="宋体" w:hAnsi="宋体" w:cs="宋体" w:eastAsia="宋体" w:hint="default"/>
          <w:sz w:val="18"/>
          <w:szCs w:val="18"/>
        </w:rPr>
        <w:t>万元出资设立的控股子公司，福州易联众占中</w:t>
      </w:r>
    </w:p>
    <w:p>
      <w:pPr>
        <w:pStyle w:val="BodyText"/>
        <w:spacing w:line="300" w:lineRule="auto" w:before="13"/>
        <w:ind w:left="573" w:right="7104" w:hanging="361"/>
        <w:jc w:val="left"/>
      </w:pPr>
      <w:r>
        <w:rPr/>
        <w:t>职动力</w:t>
      </w:r>
      <w:r>
        <w:rPr>
          <w:rFonts w:ascii="Times New Roman" w:hAnsi="Times New Roman" w:cs="Times New Roman" w:eastAsia="Times New Roman" w:hint="default"/>
        </w:rPr>
        <w:t>90%</w:t>
      </w:r>
      <w:r>
        <w:rPr/>
        <w:t>股权。相关信息如下： 成立时间：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 注册资本：</w:t>
      </w:r>
      <w:r>
        <w:rPr>
          <w:rFonts w:ascii="Times New Roman" w:hAnsi="Times New Roman" w:cs="Times New Roman" w:eastAsia="Times New Roman" w:hint="default"/>
        </w:rPr>
        <w:t>500</w:t>
      </w:r>
      <w:r>
        <w:rPr/>
        <w:t>万元； 实收资本：</w:t>
      </w:r>
      <w:r>
        <w:rPr>
          <w:spacing w:val="-16"/>
        </w:rPr>
        <w:t> </w:t>
      </w:r>
      <w:r>
        <w:rPr>
          <w:rFonts w:ascii="Times New Roman" w:hAnsi="Times New Roman" w:cs="Times New Roman" w:eastAsia="Times New Roman" w:hint="default"/>
        </w:rPr>
        <w:t>500</w:t>
      </w:r>
      <w:r>
        <w:rPr/>
        <w:t>万元；</w:t>
      </w:r>
    </w:p>
    <w:p>
      <w:pPr>
        <w:spacing w:after="0" w:line="300" w:lineRule="auto"/>
        <w:jc w:val="left"/>
        <w:sectPr>
          <w:pgSz w:w="11910" w:h="16840"/>
          <w:pgMar w:header="745" w:footer="980" w:top="1060" w:bottom="1160" w:left="920" w:right="980"/>
        </w:sectPr>
      </w:pPr>
    </w:p>
    <w:p>
      <w:pPr>
        <w:spacing w:line="240" w:lineRule="auto" w:before="9"/>
        <w:rPr>
          <w:rFonts w:ascii="宋体" w:hAnsi="宋体" w:cs="宋体" w:eastAsia="宋体" w:hint="default"/>
          <w:sz w:val="25"/>
          <w:szCs w:val="25"/>
        </w:rPr>
      </w:pPr>
    </w:p>
    <w:p>
      <w:pPr>
        <w:pStyle w:val="BodyText"/>
        <w:spacing w:line="300" w:lineRule="auto" w:before="44"/>
        <w:ind w:left="573" w:right="138"/>
        <w:jc w:val="left"/>
      </w:pPr>
      <w:r>
        <w:rPr/>
        <w:t>法定代表人：原法定代表人为吴文飞，</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月变更为游海涛； </w:t>
      </w:r>
      <w:r>
        <w:rPr>
          <w:spacing w:val="-2"/>
        </w:rPr>
        <w:t>注册地址：原注册地址为北京市海淀区中关村南大街乙</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1</w:t>
      </w:r>
      <w:r>
        <w:rPr>
          <w:spacing w:val="-2"/>
        </w:rPr>
        <w:t>号楼</w:t>
      </w:r>
      <w:r>
        <w:rPr>
          <w:rFonts w:ascii="Times New Roman" w:hAnsi="Times New Roman" w:cs="Times New Roman" w:eastAsia="Times New Roman" w:hint="default"/>
          <w:spacing w:val="-2"/>
        </w:rPr>
        <w:t>21</w:t>
      </w:r>
      <w:r>
        <w:rPr>
          <w:spacing w:val="-2"/>
        </w:rPr>
        <w:t>层</w:t>
      </w:r>
      <w:r>
        <w:rPr>
          <w:rFonts w:ascii="Times New Roman" w:hAnsi="Times New Roman" w:cs="Times New Roman" w:eastAsia="Times New Roman" w:hint="default"/>
          <w:spacing w:val="-2"/>
        </w:rPr>
        <w:t>2502</w:t>
      </w:r>
      <w:r>
        <w:rPr>
          <w:spacing w:val="-2"/>
        </w:rPr>
        <w:t>室，</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月变更为北京市海淀区清河西三</w:t>
      </w:r>
    </w:p>
    <w:p>
      <w:pPr>
        <w:pStyle w:val="BodyText"/>
        <w:spacing w:line="300" w:lineRule="auto" w:before="13"/>
        <w:ind w:left="573" w:right="138" w:hanging="361"/>
        <w:jc w:val="left"/>
      </w:pPr>
      <w:r>
        <w:rPr/>
        <w:t>旗环岛东</w:t>
      </w:r>
      <w:r>
        <w:rPr>
          <w:rFonts w:ascii="Times New Roman" w:hAnsi="Times New Roman" w:cs="Times New Roman" w:eastAsia="Times New Roman" w:hint="default"/>
        </w:rPr>
        <w:t>200</w:t>
      </w:r>
      <w:r>
        <w:rPr/>
        <w:t>米</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2006</w:t>
      </w:r>
      <w:r>
        <w:rPr/>
        <w:t>室； </w:t>
      </w:r>
      <w:r>
        <w:rPr>
          <w:spacing w:val="-2"/>
        </w:rPr>
        <w:t>经营范围：技术开发，技术咨询、技术服务、技术推广；计算机技术培训；计算机系统服务；设计、制作、代理、发布</w:t>
      </w:r>
    </w:p>
    <w:p>
      <w:pPr>
        <w:pStyle w:val="BodyText"/>
        <w:spacing w:line="316" w:lineRule="auto" w:before="31"/>
        <w:ind w:left="578" w:right="1128" w:hanging="366"/>
        <w:jc w:val="left"/>
      </w:pPr>
      <w:r>
        <w:rPr/>
        <w:t>广告；销售计算机、软件及辅助设备；企业策划、设计、会议服务；承办展览展示活动。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5,270,196.97</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4,847,896.24</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2,551,510.05</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-20,020.95</w:t>
            </w:r>
          </w:p>
        </w:tc>
      </w:tr>
    </w:tbl>
    <w:p>
      <w:pPr>
        <w:spacing w:line="240" w:lineRule="auto" w:before="2"/>
        <w:rPr>
          <w:rFonts w:ascii="宋体" w:hAnsi="宋体" w:cs="宋体" w:eastAsia="宋体" w:hint="default"/>
          <w:sz w:val="21"/>
          <w:szCs w:val="21"/>
        </w:rPr>
      </w:pPr>
    </w:p>
    <w:p>
      <w:pPr>
        <w:spacing w:line="307" w:lineRule="auto" w:before="44"/>
        <w:ind w:left="573" w:right="5633"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、湖南易联众信息技术有限公司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该公司是本公司的全资子公司，相关信息如下： 成立时间：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p>
      <w:pPr>
        <w:pStyle w:val="BodyText"/>
        <w:spacing w:line="300" w:lineRule="auto" w:before="7"/>
        <w:ind w:left="573" w:right="7568"/>
        <w:jc w:val="left"/>
      </w:pPr>
      <w:r>
        <w:rPr/>
        <w:t>实收资本：</w:t>
      </w:r>
      <w:r>
        <w:rPr>
          <w:rFonts w:ascii="Times New Roman" w:hAnsi="Times New Roman" w:cs="Times New Roman" w:eastAsia="Times New Roman" w:hint="default"/>
        </w:rPr>
        <w:t>1,000</w:t>
      </w:r>
      <w:r>
        <w:rPr/>
        <w:t>万元； 法定代表人：钟里明；</w:t>
      </w:r>
    </w:p>
    <w:p>
      <w:pPr>
        <w:pStyle w:val="BodyText"/>
        <w:spacing w:line="300" w:lineRule="auto" w:before="31"/>
        <w:ind w:left="573" w:right="463"/>
        <w:jc w:val="left"/>
      </w:pPr>
      <w:r>
        <w:rPr/>
        <w:t>注册地址：长沙市天心区芙蓉南路一段</w:t>
      </w:r>
      <w:r>
        <w:rPr>
          <w:rFonts w:ascii="Times New Roman" w:hAnsi="Times New Roman" w:cs="Times New Roman" w:eastAsia="Times New Roman" w:hint="default"/>
        </w:rPr>
        <w:t>368</w:t>
      </w:r>
      <w:r>
        <w:rPr/>
        <w:t>号</w:t>
      </w:r>
      <w:r>
        <w:rPr>
          <w:rFonts w:ascii="Times New Roman" w:hAnsi="Times New Roman" w:cs="Times New Roman" w:eastAsia="Times New Roman" w:hint="default"/>
        </w:rPr>
        <w:t>BOBO</w:t>
      </w:r>
      <w:r>
        <w:rPr/>
        <w:t>天下城</w:t>
      </w:r>
      <w:r>
        <w:rPr>
          <w:rFonts w:ascii="Times New Roman" w:hAnsi="Times New Roman" w:cs="Times New Roman" w:eastAsia="Times New Roman" w:hint="default"/>
        </w:rPr>
        <w:t>1</w:t>
      </w:r>
      <w:r>
        <w:rPr/>
        <w:t>、</w:t>
      </w:r>
      <w:r>
        <w:rPr>
          <w:rFonts w:ascii="Times New Roman" w:hAnsi="Times New Roman" w:cs="Times New Roman" w:eastAsia="Times New Roman" w:hint="default"/>
        </w:rPr>
        <w:t>5</w:t>
      </w:r>
      <w:r>
        <w:rPr/>
        <w:t>栋</w:t>
      </w:r>
      <w:r>
        <w:rPr>
          <w:rFonts w:ascii="Times New Roman" w:hAnsi="Times New Roman" w:cs="Times New Roman" w:eastAsia="Times New Roman" w:hint="default"/>
        </w:rPr>
        <w:t>22009</w:t>
      </w:r>
      <w:r>
        <w:rPr/>
        <w:t>、</w:t>
      </w:r>
      <w:r>
        <w:rPr>
          <w:rFonts w:ascii="Times New Roman" w:hAnsi="Times New Roman" w:cs="Times New Roman" w:eastAsia="Times New Roman" w:hint="default"/>
        </w:rPr>
        <w:t>22010</w:t>
      </w:r>
      <w:r>
        <w:rPr/>
        <w:t>房； </w:t>
      </w:r>
      <w:r>
        <w:rPr>
          <w:spacing w:val="-1"/>
        </w:rPr>
        <w:t>经营范围：计算机软硬件、应用系统集成、网络通信产品的开发、生产；网络工程、综合布线工程的施工以及相关</w:t>
      </w:r>
    </w:p>
    <w:p>
      <w:pPr>
        <w:pStyle w:val="BodyText"/>
        <w:spacing w:line="316" w:lineRule="auto" w:before="31"/>
        <w:ind w:left="578" w:right="1128" w:hanging="366"/>
        <w:jc w:val="left"/>
      </w:pPr>
      <w:r>
        <w:rPr/>
        <w:t>技术服务。（涉及行政许可的凭许可证经营）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11,651,803.46</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9,799,389.45</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5,709,600.00</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-199,610.55</w:t>
            </w:r>
          </w:p>
        </w:tc>
      </w:tr>
    </w:tbl>
    <w:p>
      <w:pPr>
        <w:spacing w:line="240" w:lineRule="auto" w:before="1"/>
        <w:rPr>
          <w:rFonts w:ascii="宋体" w:hAnsi="宋体" w:cs="宋体" w:eastAsia="宋体" w:hint="default"/>
          <w:sz w:val="21"/>
          <w:szCs w:val="21"/>
        </w:rPr>
      </w:pPr>
    </w:p>
    <w:p>
      <w:pPr>
        <w:spacing w:line="309" w:lineRule="auto" w:before="44"/>
        <w:ind w:left="573" w:right="5633"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、广西易联众信息技术有限公司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该公司是本公司的全资子公司，相关信息如下： 成立时间：</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p>
      <w:pPr>
        <w:pStyle w:val="BodyText"/>
        <w:spacing w:line="300" w:lineRule="auto" w:before="5"/>
        <w:ind w:left="573" w:right="7583"/>
        <w:jc w:val="both"/>
      </w:pPr>
      <w:r>
        <w:rPr/>
        <w:t>注册资本：</w:t>
      </w:r>
      <w:r>
        <w:rPr>
          <w:rFonts w:ascii="Times New Roman" w:hAnsi="Times New Roman" w:cs="Times New Roman" w:eastAsia="Times New Roman" w:hint="default"/>
        </w:rPr>
        <w:t>1,000</w:t>
      </w:r>
      <w:r>
        <w:rPr/>
        <w:t>万元； 实收资本：</w:t>
      </w:r>
      <w:r>
        <w:rPr>
          <w:rFonts w:ascii="Times New Roman" w:hAnsi="Times New Roman" w:cs="Times New Roman" w:eastAsia="Times New Roman" w:hint="default"/>
        </w:rPr>
        <w:t>1,000</w:t>
      </w:r>
      <w:r>
        <w:rPr/>
        <w:t>万元； 法定代表人：游海涛；</w:t>
      </w:r>
    </w:p>
    <w:p>
      <w:pPr>
        <w:pStyle w:val="BodyText"/>
        <w:spacing w:line="300" w:lineRule="auto" w:before="31"/>
        <w:ind w:left="573" w:right="463"/>
        <w:jc w:val="left"/>
      </w:pPr>
      <w:r>
        <w:rPr/>
        <w:t>注册地址：广西壮族自治区南宁市西乡塘区滨河路</w:t>
      </w:r>
      <w:r>
        <w:rPr>
          <w:rFonts w:ascii="Times New Roman" w:hAnsi="Times New Roman" w:cs="Times New Roman" w:eastAsia="Times New Roman" w:hint="default"/>
        </w:rPr>
        <w:t>5</w:t>
      </w:r>
      <w:r>
        <w:rPr/>
        <w:t>号</w:t>
      </w:r>
      <w:r>
        <w:rPr>
          <w:rFonts w:ascii="Times New Roman" w:hAnsi="Times New Roman" w:cs="Times New Roman" w:eastAsia="Times New Roman" w:hint="default"/>
        </w:rPr>
        <w:t>2</w:t>
      </w:r>
      <w:r>
        <w:rPr/>
        <w:t>号楼四层</w:t>
      </w:r>
      <w:r>
        <w:rPr>
          <w:rFonts w:ascii="Times New Roman" w:hAnsi="Times New Roman" w:cs="Times New Roman" w:eastAsia="Times New Roman" w:hint="default"/>
        </w:rPr>
        <w:t>405</w:t>
      </w:r>
      <w:r>
        <w:rPr/>
        <w:t>号； </w:t>
      </w:r>
      <w:r>
        <w:rPr>
          <w:spacing w:val="-1"/>
        </w:rPr>
        <w:t>经营范围：研发、设计和生产智能卡、银行卡；销售智能卡；开发、生产计算机软件、硬件；应用系统集成（凭资</w:t>
      </w:r>
    </w:p>
    <w:p>
      <w:pPr>
        <w:pStyle w:val="BodyText"/>
        <w:spacing w:line="316" w:lineRule="auto" w:before="31"/>
        <w:ind w:left="212" w:right="219"/>
        <w:jc w:val="left"/>
      </w:pPr>
      <w:r>
        <w:rPr>
          <w:spacing w:val="-3"/>
        </w:rPr>
        <w:t>质证经营）；网络通信产品销售；提供相关的技术咨询、技术服务；网络工程、综合布线（凭资质证经营）；从事技术、</w:t>
      </w:r>
      <w:r>
        <w:rPr>
          <w:spacing w:val="-66"/>
        </w:rPr>
        <w:t> </w:t>
      </w:r>
      <w:r>
        <w:rPr>
          <w:spacing w:val="-66"/>
        </w:rPr>
      </w:r>
      <w:r>
        <w:rPr/>
        <w:t>货物进出口，但国家限定公司经营或禁止进口的商品技术除外（不含境内分销）。（凡涉及许可证的项目凭许可证在有</w:t>
      </w:r>
      <w:r>
        <w:rPr/>
        <w:t> 效期限内经营）</w:t>
      </w:r>
    </w:p>
    <w:p>
      <w:pPr>
        <w:pStyle w:val="BodyText"/>
        <w:spacing w:line="240" w:lineRule="auto" w:before="19"/>
        <w:ind w:left="578" w:right="219"/>
        <w:jc w:val="left"/>
      </w:pPr>
      <w:r>
        <w:rPr/>
        <w:t>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after="0" w:line="240" w:lineRule="auto"/>
        <w:jc w:val="left"/>
        <w:sectPr>
          <w:pgSz w:w="11910" w:h="16840"/>
          <w:pgMar w:header="745" w:footer="980" w:top="1060" w:bottom="1160" w:left="9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10,318,843.17</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10,004,691.31</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612,000.00</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4691.31</w:t>
            </w:r>
          </w:p>
        </w:tc>
      </w:tr>
    </w:tbl>
    <w:p>
      <w:pPr>
        <w:spacing w:line="240" w:lineRule="auto" w:before="1"/>
        <w:rPr>
          <w:rFonts w:ascii="宋体" w:hAnsi="宋体" w:cs="宋体" w:eastAsia="宋体" w:hint="default"/>
          <w:sz w:val="21"/>
          <w:szCs w:val="21"/>
        </w:rPr>
      </w:pPr>
    </w:p>
    <w:p>
      <w:pPr>
        <w:spacing w:line="300" w:lineRule="auto" w:before="44"/>
        <w:ind w:left="573" w:right="4803"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10</w:t>
      </w:r>
      <w:r>
        <w:rPr>
          <w:rFonts w:ascii="宋体" w:hAnsi="宋体" w:cs="宋体" w:eastAsia="宋体" w:hint="default"/>
          <w:b/>
          <w:bCs/>
          <w:sz w:val="18"/>
          <w:szCs w:val="18"/>
        </w:rPr>
        <w:t>、广东易联众计算机技术有限公司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该公司是本公司占</w:t>
      </w:r>
      <w:r>
        <w:rPr>
          <w:rFonts w:ascii="Times New Roman" w:hAnsi="Times New Roman" w:cs="Times New Roman" w:eastAsia="Times New Roman" w:hint="default"/>
          <w:sz w:val="18"/>
          <w:szCs w:val="18"/>
        </w:rPr>
        <w:t>60%</w:t>
      </w:r>
      <w:r>
        <w:rPr>
          <w:rFonts w:ascii="宋体" w:hAnsi="宋体" w:cs="宋体" w:eastAsia="宋体" w:hint="default"/>
          <w:sz w:val="18"/>
          <w:szCs w:val="18"/>
        </w:rPr>
        <w:t>股权的控股子公司，相关信息如下： 成立时间：</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BodyText"/>
        <w:spacing w:line="300" w:lineRule="auto" w:before="13"/>
        <w:ind w:left="573" w:right="7608"/>
        <w:jc w:val="left"/>
      </w:pPr>
      <w:r>
        <w:rPr/>
        <w:t>注册资本：</w:t>
      </w:r>
      <w:r>
        <w:rPr>
          <w:rFonts w:ascii="Times New Roman" w:hAnsi="Times New Roman" w:cs="Times New Roman" w:eastAsia="Times New Roman" w:hint="default"/>
        </w:rPr>
        <w:t>1,000</w:t>
      </w:r>
      <w:r>
        <w:rPr/>
        <w:t>万元； 实收资本：</w:t>
      </w:r>
      <w:r>
        <w:rPr>
          <w:rFonts w:ascii="Times New Roman" w:hAnsi="Times New Roman" w:cs="Times New Roman" w:eastAsia="Times New Roman" w:hint="default"/>
        </w:rPr>
        <w:t>200</w:t>
      </w:r>
      <w:r>
        <w:rPr/>
        <w:t>万元； 法定代表人：陈企珠；</w:t>
      </w:r>
    </w:p>
    <w:p>
      <w:pPr>
        <w:pStyle w:val="BodyText"/>
        <w:spacing w:line="300" w:lineRule="auto" w:before="31"/>
        <w:ind w:left="573" w:right="93"/>
        <w:jc w:val="left"/>
      </w:pPr>
      <w:r>
        <w:rPr/>
        <w:t>注册地址：广州市天河区粤垦路</w:t>
      </w:r>
      <w:r>
        <w:rPr>
          <w:rFonts w:ascii="Times New Roman" w:hAnsi="Times New Roman" w:cs="Times New Roman" w:eastAsia="Times New Roman" w:hint="default"/>
        </w:rPr>
        <w:t>623</w:t>
      </w:r>
      <w:r>
        <w:rPr/>
        <w:t>号燕都商务大厦</w:t>
      </w:r>
      <w:r>
        <w:rPr>
          <w:rFonts w:ascii="Times New Roman" w:hAnsi="Times New Roman" w:cs="Times New Roman" w:eastAsia="Times New Roman" w:hint="default"/>
        </w:rPr>
        <w:t>13</w:t>
      </w:r>
      <w:r>
        <w:rPr/>
        <w:t>层</w:t>
      </w:r>
      <w:r>
        <w:rPr>
          <w:rFonts w:ascii="Times New Roman" w:hAnsi="Times New Roman" w:cs="Times New Roman" w:eastAsia="Times New Roman" w:hint="default"/>
        </w:rPr>
        <w:t>1301</w:t>
      </w:r>
      <w:r>
        <w:rPr/>
        <w:t>房； </w:t>
      </w:r>
      <w:r>
        <w:rPr>
          <w:spacing w:val="-3"/>
        </w:rPr>
        <w:t>经营范围：研究开发计算机软件、硬件、应用系统集成网络通信产品并提供相关技术咨询、技术服务；货物进出口、</w:t>
      </w:r>
    </w:p>
    <w:p>
      <w:pPr>
        <w:pStyle w:val="BodyText"/>
        <w:spacing w:line="316" w:lineRule="auto" w:before="31"/>
        <w:ind w:left="573" w:right="1173" w:hanging="361"/>
        <w:jc w:val="left"/>
      </w:pPr>
      <w:r>
        <w:rPr/>
        <w:t>技术进出口（法律、行政法规禁止的项目除外；法律、行政法规限制的项目须取得许可后方可经营）。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1,913,582.35</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1,868,159.04</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27,831.72</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-131,840.96</w:t>
            </w:r>
          </w:p>
        </w:tc>
      </w:tr>
    </w:tbl>
    <w:p>
      <w:pPr>
        <w:spacing w:line="240" w:lineRule="auto" w:before="1"/>
        <w:rPr>
          <w:rFonts w:ascii="宋体" w:hAnsi="宋体" w:cs="宋体" w:eastAsia="宋体" w:hint="default"/>
          <w:sz w:val="21"/>
          <w:szCs w:val="21"/>
        </w:rPr>
      </w:pPr>
    </w:p>
    <w:p>
      <w:pPr>
        <w:spacing w:line="307" w:lineRule="auto" w:before="44"/>
        <w:ind w:left="573" w:right="5673"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11</w:t>
      </w:r>
      <w:r>
        <w:rPr>
          <w:rFonts w:ascii="宋体" w:hAnsi="宋体" w:cs="宋体" w:eastAsia="宋体" w:hint="default"/>
          <w:b/>
          <w:bCs/>
          <w:sz w:val="18"/>
          <w:szCs w:val="18"/>
        </w:rPr>
        <w:t>、北京易联众信息技术有限公司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该公司是本公司的全资子公司，相关信息如下： 成立时间：</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注册资本：</w:t>
      </w: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p>
      <w:pPr>
        <w:pStyle w:val="BodyText"/>
        <w:spacing w:line="300" w:lineRule="auto" w:before="7"/>
        <w:ind w:left="573" w:right="7608"/>
        <w:jc w:val="left"/>
      </w:pPr>
      <w:r>
        <w:rPr/>
        <w:t>实收资本：</w:t>
      </w:r>
      <w:r>
        <w:rPr>
          <w:rFonts w:ascii="Times New Roman" w:hAnsi="Times New Roman" w:cs="Times New Roman" w:eastAsia="Times New Roman" w:hint="default"/>
        </w:rPr>
        <w:t>1,000</w:t>
      </w:r>
      <w:r>
        <w:rPr/>
        <w:t>万元； 法定代表人：吴文飞；</w:t>
      </w:r>
    </w:p>
    <w:p>
      <w:pPr>
        <w:pStyle w:val="BodyText"/>
        <w:spacing w:line="300" w:lineRule="auto" w:before="31"/>
        <w:ind w:left="573" w:right="93"/>
        <w:jc w:val="left"/>
      </w:pPr>
      <w:r>
        <w:rPr/>
        <w:t>注册地址：北京市朝阳区裕民路</w:t>
      </w:r>
      <w:r>
        <w:rPr>
          <w:rFonts w:ascii="Times New Roman" w:hAnsi="Times New Roman" w:cs="Times New Roman" w:eastAsia="Times New Roman" w:hint="default"/>
        </w:rPr>
        <w:t>12</w:t>
      </w:r>
      <w:r>
        <w:rPr/>
        <w:t>号第北幢十七单元</w:t>
      </w:r>
      <w:r>
        <w:rPr>
          <w:rFonts w:ascii="Times New Roman" w:hAnsi="Times New Roman" w:cs="Times New Roman" w:eastAsia="Times New Roman" w:hint="default"/>
        </w:rPr>
        <w:t>1707</w:t>
      </w:r>
      <w:r>
        <w:rPr/>
        <w:t>； </w:t>
      </w:r>
      <w:r>
        <w:rPr>
          <w:spacing w:val="-2"/>
        </w:rPr>
        <w:t>经营范围：技术推广服务；软件设计；生产计算机软硬件；计算机系统服务；计算机技术培训；技术进出口；货物进出</w:t>
      </w:r>
    </w:p>
    <w:p>
      <w:pPr>
        <w:pStyle w:val="BodyText"/>
        <w:spacing w:line="240" w:lineRule="auto" w:before="31"/>
        <w:ind w:left="212" w:right="4953"/>
        <w:jc w:val="left"/>
      </w:pPr>
      <w:r>
        <w:rPr/>
        <w:t>口。</w:t>
      </w:r>
    </w:p>
    <w:p>
      <w:pPr>
        <w:pStyle w:val="BodyText"/>
        <w:spacing w:line="240" w:lineRule="auto" w:before="76"/>
        <w:ind w:left="578" w:right="93"/>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日，公司第一届董事会第二十六次会议审议通过了《关于易联众信息技术股份有限公司北京分公司组织形</w:t>
      </w:r>
    </w:p>
    <w:p>
      <w:pPr>
        <w:pStyle w:val="BodyText"/>
        <w:spacing w:line="309" w:lineRule="auto" w:before="63"/>
        <w:ind w:left="212" w:right="93"/>
        <w:jc w:val="left"/>
      </w:pPr>
      <w:r>
        <w:rPr>
          <w:spacing w:val="-4"/>
        </w:rPr>
        <w:t>式转换为公司制企业法人相关事项的议案》。决定以将原设立的北京分公司组织形式直接整体转换为公司制企业法人的方式，</w:t>
      </w:r>
      <w:r>
        <w:rPr>
          <w:spacing w:val="-44"/>
        </w:rPr>
        <w:t> </w:t>
      </w:r>
      <w:r>
        <w:rPr>
          <w:spacing w:val="-44"/>
        </w:rPr>
      </w:r>
      <w:r>
        <w:rPr/>
        <w:t>以北京分公司经评估的净资产</w:t>
      </w:r>
      <w:r>
        <w:rPr>
          <w:rFonts w:ascii="Times New Roman" w:hAnsi="Times New Roman" w:cs="Times New Roman" w:eastAsia="Times New Roman" w:hint="default"/>
        </w:rPr>
        <w:t>2.68</w:t>
      </w:r>
      <w:r>
        <w:rPr/>
        <w:t>万元及货币</w:t>
      </w:r>
      <w:r>
        <w:rPr>
          <w:rFonts w:ascii="Times New Roman" w:hAnsi="Times New Roman" w:cs="Times New Roman" w:eastAsia="Times New Roman" w:hint="default"/>
        </w:rPr>
        <w:t>997.32</w:t>
      </w:r>
      <w:r>
        <w:rPr/>
        <w:t>万元合计</w:t>
      </w:r>
      <w:r>
        <w:rPr>
          <w:rFonts w:ascii="Times New Roman" w:hAnsi="Times New Roman" w:cs="Times New Roman" w:eastAsia="Times New Roman" w:hint="default"/>
        </w:rPr>
        <w:t>1,000</w:t>
      </w:r>
      <w:r>
        <w:rPr/>
        <w:t>万元出资，设立北京易联众信息技术有限公司，注册资本 </w:t>
      </w:r>
      <w:r>
        <w:rPr>
          <w:rFonts w:ascii="Times New Roman" w:hAnsi="Times New Roman" w:cs="Times New Roman" w:eastAsia="Times New Roman" w:hint="default"/>
        </w:rPr>
        <w:t>1000</w:t>
      </w:r>
      <w:r>
        <w:rPr/>
        <w:t>万元人民币，公司持有其</w:t>
      </w:r>
      <w:r>
        <w:rPr>
          <w:rFonts w:ascii="Times New Roman" w:hAnsi="Times New Roman" w:cs="Times New Roman" w:eastAsia="Times New Roman" w:hint="default"/>
        </w:rPr>
        <w:t>100%</w:t>
      </w:r>
      <w:r>
        <w:rPr/>
        <w:t>的股权。</w:t>
      </w:r>
    </w:p>
    <w:p>
      <w:pPr>
        <w:pStyle w:val="BodyText"/>
        <w:spacing w:line="316" w:lineRule="auto" w:before="5"/>
        <w:ind w:left="573" w:right="1173" w:firstLine="4"/>
        <w:jc w:val="left"/>
      </w:pPr>
      <w:r>
        <w:rPr/>
        <w:t>截至本报告期末，公司已完成转制登记。 经致同会计师事务所（特殊普通合伙）厦门分所审计，该公司</w:t>
      </w:r>
      <w:r>
        <w:rPr>
          <w:rFonts w:ascii="Times New Roman" w:hAnsi="Times New Roman" w:cs="Times New Roman" w:eastAsia="Times New Roman" w:hint="default"/>
        </w:rPr>
        <w:t>2012</w:t>
      </w:r>
      <w:r>
        <w:rPr/>
        <w:t>年的主要财务数据如下（单位：元）：</w:t>
      </w:r>
    </w:p>
    <w:p>
      <w:pPr>
        <w:spacing w:line="240" w:lineRule="auto" w:before="2"/>
        <w:rPr>
          <w:rFonts w:ascii="宋体" w:hAnsi="宋体" w:cs="宋体" w:eastAsia="宋体" w:hint="default"/>
          <w:sz w:val="23"/>
          <w:szCs w:val="23"/>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10,345,035.90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20" w:right="94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3707"/>
        <w:gridCol w:w="3989"/>
      </w:tblGrid>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9,344,419.37</w:t>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8"/>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22"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24" w:hRule="exact"/>
        </w:trPr>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-655,580.63</w:t>
            </w:r>
          </w:p>
        </w:tc>
      </w:tr>
    </w:tbl>
    <w:p>
      <w:pPr>
        <w:spacing w:line="240" w:lineRule="auto" w:before="1"/>
        <w:rPr>
          <w:rFonts w:ascii="宋体" w:hAnsi="宋体" w:cs="宋体" w:eastAsia="宋体" w:hint="default"/>
          <w:sz w:val="21"/>
          <w:szCs w:val="21"/>
        </w:rPr>
      </w:pPr>
    </w:p>
    <w:p>
      <w:pPr>
        <w:spacing w:line="300" w:lineRule="auto" w:before="44"/>
        <w:ind w:left="573" w:right="4443" w:firstLine="4"/>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、北京尚洋易捷信息技术有限公司</w:t>
      </w:r>
      <w:r>
        <w:rPr>
          <w:rFonts w:ascii="宋体" w:hAnsi="宋体" w:cs="宋体" w:eastAsia="宋体" w:hint="default"/>
          <w:b/>
          <w:bCs/>
          <w:w w:val="99"/>
          <w:sz w:val="18"/>
          <w:szCs w:val="18"/>
        </w:rPr>
        <w:t> </w:t>
      </w:r>
      <w:r>
        <w:rPr>
          <w:rFonts w:ascii="宋体" w:hAnsi="宋体" w:cs="宋体" w:eastAsia="宋体" w:hint="default"/>
          <w:sz w:val="18"/>
          <w:szCs w:val="18"/>
        </w:rPr>
        <w:t>该公司是本公司占</w:t>
      </w:r>
      <w:r>
        <w:rPr>
          <w:rFonts w:ascii="Times New Roman" w:hAnsi="Times New Roman" w:cs="Times New Roman" w:eastAsia="Times New Roman" w:hint="default"/>
          <w:sz w:val="18"/>
          <w:szCs w:val="18"/>
        </w:rPr>
        <w:t>34%</w:t>
      </w:r>
      <w:r>
        <w:rPr>
          <w:rFonts w:ascii="宋体" w:hAnsi="宋体" w:cs="宋体" w:eastAsia="宋体" w:hint="default"/>
          <w:sz w:val="18"/>
          <w:szCs w:val="18"/>
        </w:rPr>
        <w:t>股权的参股公司。该公司相关信息如下： 成立时间：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p>
      <w:pPr>
        <w:pStyle w:val="BodyText"/>
        <w:spacing w:line="300" w:lineRule="auto" w:before="13"/>
        <w:ind w:left="573" w:right="7671"/>
        <w:jc w:val="both"/>
      </w:pPr>
      <w:r>
        <w:rPr/>
        <w:t>注册资本：</w:t>
      </w:r>
      <w:r>
        <w:rPr>
          <w:rFonts w:ascii="Times New Roman" w:hAnsi="Times New Roman" w:cs="Times New Roman" w:eastAsia="Times New Roman" w:hint="default"/>
        </w:rPr>
        <w:t>200</w:t>
      </w:r>
      <w:r>
        <w:rPr/>
        <w:t>万元； 实收资本：</w:t>
      </w:r>
      <w:r>
        <w:rPr>
          <w:rFonts w:ascii="Times New Roman" w:hAnsi="Times New Roman" w:cs="Times New Roman" w:eastAsia="Times New Roman" w:hint="default"/>
        </w:rPr>
        <w:t>200</w:t>
      </w:r>
      <w:r>
        <w:rPr/>
        <w:t>万元； 法定代表人：陈建芳；</w:t>
      </w:r>
    </w:p>
    <w:p>
      <w:pPr>
        <w:pStyle w:val="BodyText"/>
        <w:spacing w:line="300" w:lineRule="auto" w:before="31"/>
        <w:ind w:left="573" w:right="93"/>
        <w:jc w:val="left"/>
      </w:pPr>
      <w:r>
        <w:rPr/>
        <w:t>注册地址：北京市海淀区苏州街</w:t>
      </w:r>
      <w:r>
        <w:rPr>
          <w:rFonts w:ascii="Times New Roman" w:hAnsi="Times New Roman" w:cs="Times New Roman" w:eastAsia="Times New Roman" w:hint="default"/>
        </w:rPr>
        <w:t>18</w:t>
      </w:r>
      <w:r>
        <w:rPr/>
        <w:t>号院</w:t>
      </w:r>
      <w:r>
        <w:rPr>
          <w:rFonts w:ascii="Times New Roman" w:hAnsi="Times New Roman" w:cs="Times New Roman" w:eastAsia="Times New Roman" w:hint="default"/>
        </w:rPr>
        <w:t>-4</w:t>
      </w:r>
      <w:r>
        <w:rPr/>
        <w:t>楼</w:t>
      </w:r>
      <w:r>
        <w:rPr>
          <w:rFonts w:ascii="Times New Roman" w:hAnsi="Times New Roman" w:cs="Times New Roman" w:eastAsia="Times New Roman" w:hint="default"/>
        </w:rPr>
        <w:t>12A10</w:t>
      </w:r>
      <w:r>
        <w:rPr/>
        <w:t>； </w:t>
      </w:r>
      <w:r>
        <w:rPr>
          <w:spacing w:val="-7"/>
        </w:rPr>
        <w:t>经营范围：软件研发；技术开发、技术咨询、技术转让、技术推广、技术服务、技术培训。（未经许可经营的项目除外）。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7"/>
        <w:ind w:left="212" w:right="4953"/>
        <w:jc w:val="left"/>
        <w:rPr>
          <w:b w:val="0"/>
          <w:bCs w:val="0"/>
        </w:rPr>
      </w:pPr>
      <w:r>
        <w:rPr/>
        <w:t>三、公司未来发展的展望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73" w:right="93"/>
        <w:jc w:val="left"/>
      </w:pPr>
      <w:r>
        <w:rPr>
          <w:rFonts w:ascii="Times New Roman" w:hAnsi="Times New Roman" w:cs="Times New Roman" w:eastAsia="Times New Roman" w:hint="default"/>
        </w:rPr>
        <w:t>1</w:t>
      </w:r>
      <w:r>
        <w:rPr/>
        <w:t>、行业格局和趋势 </w:t>
      </w:r>
      <w:r>
        <w:rPr>
          <w:spacing w:val="-2"/>
        </w:rPr>
        <w:t>民生信息化行业是一种新兴行业，正处于起步的阶段，是重要的朝阳产业。民生问题事关人民群众的根本利益和国家的</w:t>
      </w:r>
    </w:p>
    <w:p>
      <w:pPr>
        <w:pStyle w:val="BodyText"/>
        <w:spacing w:line="316" w:lineRule="auto" w:before="1"/>
        <w:ind w:left="212" w:right="93"/>
        <w:jc w:val="left"/>
      </w:pPr>
      <w:r>
        <w:rPr>
          <w:spacing w:val="-4"/>
        </w:rPr>
        <w:t>发展进步。保障和改善民生是政府工作的重要任务。随着民生问题的突出以及政府高度重视，运用信息化手段解决民生问题，</w:t>
      </w:r>
      <w:r>
        <w:rPr>
          <w:spacing w:val="-43"/>
        </w:rPr>
        <w:t> </w:t>
      </w:r>
      <w:r>
        <w:rPr>
          <w:spacing w:val="-43"/>
        </w:rPr>
      </w:r>
      <w:r>
        <w:rPr>
          <w:spacing w:val="-2"/>
        </w:rPr>
        <w:t>以信息化技术手段改善民生服务的呼声，催生出软件与民生相融合的民生信息化行业，并在多个民生应用领域具有广阔的市</w:t>
      </w:r>
      <w:r>
        <w:rPr>
          <w:spacing w:val="-64"/>
        </w:rPr>
        <w:t> </w:t>
      </w:r>
      <w:r>
        <w:rPr>
          <w:spacing w:val="-64"/>
        </w:rPr>
      </w:r>
      <w:r>
        <w:rPr/>
        <w:t>场及发展前景。</w:t>
      </w:r>
    </w:p>
    <w:p>
      <w:pPr>
        <w:pStyle w:val="BodyText"/>
        <w:spacing w:line="307" w:lineRule="auto" w:before="59"/>
        <w:ind w:left="212" w:right="188" w:firstLine="360"/>
        <w:jc w:val="both"/>
      </w:pPr>
      <w:r>
        <w:rPr>
          <w:spacing w:val="-1"/>
        </w:rPr>
        <w:t>从政策层面来看，</w:t>
      </w:r>
      <w:r>
        <w:rPr>
          <w:rFonts w:ascii="Times New Roman" w:hAnsi="Times New Roman" w:cs="Times New Roman" w:eastAsia="Times New Roman" w:hint="default"/>
          <w:spacing w:val="-1"/>
        </w:rPr>
        <w:t>“</w:t>
      </w:r>
      <w:r>
        <w:rPr>
          <w:spacing w:val="-1"/>
        </w:rPr>
        <w:t>十二五</w:t>
      </w:r>
      <w:r>
        <w:rPr>
          <w:rFonts w:ascii="Times New Roman" w:hAnsi="Times New Roman" w:cs="Times New Roman" w:eastAsia="Times New Roman" w:hint="default"/>
          <w:spacing w:val="-1"/>
        </w:rPr>
        <w:t>”</w:t>
      </w:r>
      <w:r>
        <w:rPr>
          <w:spacing w:val="-1"/>
        </w:rPr>
        <w:t>期间，政府提出在</w:t>
      </w:r>
      <w:r>
        <w:rPr>
          <w:rFonts w:ascii="Times New Roman" w:hAnsi="Times New Roman" w:cs="Times New Roman" w:eastAsia="Times New Roman" w:hint="default"/>
          <w:spacing w:val="-1"/>
        </w:rPr>
        <w:t>“</w:t>
      </w:r>
      <w:r>
        <w:rPr>
          <w:spacing w:val="-1"/>
        </w:rPr>
        <w:t>保民生</w:t>
      </w:r>
      <w:r>
        <w:rPr>
          <w:rFonts w:ascii="Times New Roman" w:hAnsi="Times New Roman" w:cs="Times New Roman" w:eastAsia="Times New Roman" w:hint="default"/>
          <w:spacing w:val="-1"/>
        </w:rPr>
        <w:t>”</w:t>
      </w:r>
      <w:r>
        <w:rPr>
          <w:spacing w:val="-1"/>
        </w:rPr>
        <w:t>的主题下，积极采用各种信息化手段提升医疗、社保、教育保障</w:t>
      </w:r>
      <w:r>
        <w:rPr/>
        <w:t> 的能力，助力解决就业问题、农村问题等，制定了《国家重大信息化工程建设规划（</w:t>
      </w:r>
      <w:r>
        <w:rPr>
          <w:rFonts w:ascii="Times New Roman" w:hAnsi="Times New Roman" w:cs="Times New Roman" w:eastAsia="Times New Roman" w:hint="default"/>
        </w:rPr>
        <w:t>2011-2015</w:t>
      </w:r>
      <w:r>
        <w:rPr/>
        <w:t>）》。同时在多个民生领域</w:t>
      </w:r>
      <w:r>
        <w:rPr>
          <w:spacing w:val="-57"/>
        </w:rPr>
        <w:t> </w:t>
      </w:r>
      <w:r>
        <w:rPr>
          <w:spacing w:val="-57"/>
        </w:rPr>
      </w:r>
      <w:r>
        <w:rPr/>
        <w:t>制定了信息化发展专项规划，如《人力资源和社会保障信息化建设</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规划》等。</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的五年，可以说是自有</w:t>
      </w:r>
      <w:r>
        <w:rPr>
          <w:rFonts w:ascii="Times New Roman" w:hAnsi="Times New Roman" w:cs="Times New Roman" w:eastAsia="Times New Roman" w:hint="default"/>
        </w:rPr>
        <w:t>“</w:t>
      </w:r>
      <w:r>
        <w:rPr/>
        <w:t>五</w:t>
      </w:r>
      <w:r>
        <w:rPr>
          <w:spacing w:val="-37"/>
        </w:rPr>
        <w:t> </w:t>
      </w:r>
      <w:r>
        <w:rPr/>
        <w:t>年规划</w:t>
      </w:r>
      <w:r>
        <w:rPr>
          <w:rFonts w:ascii="Times New Roman" w:hAnsi="Times New Roman" w:cs="Times New Roman" w:eastAsia="Times New Roman" w:hint="default"/>
        </w:rPr>
        <w:t>”</w:t>
      </w:r>
      <w:r>
        <w:rPr/>
        <w:t>以来民生领域投入最多的五年。</w:t>
      </w:r>
      <w:r>
        <w:rPr>
          <w:rFonts w:ascii="Times New Roman" w:hAnsi="Times New Roman" w:cs="Times New Roman" w:eastAsia="Times New Roman" w:hint="default"/>
        </w:rPr>
        <w:t>2012 </w:t>
      </w:r>
      <w:r>
        <w:rPr/>
        <w:t>年中央财政民生支出安排为</w:t>
      </w:r>
      <w:r>
        <w:rPr>
          <w:rFonts w:ascii="Times New Roman" w:hAnsi="Times New Roman" w:cs="Times New Roman" w:eastAsia="Times New Roman" w:hint="default"/>
        </w:rPr>
        <w:t>13,848 </w:t>
      </w:r>
      <w:r>
        <w:rPr/>
        <w:t>亿元，比上年增长</w:t>
      </w:r>
      <w:r>
        <w:rPr>
          <w:rFonts w:ascii="Times New Roman" w:hAnsi="Times New Roman" w:cs="Times New Roman" w:eastAsia="Times New Roman" w:hint="default"/>
        </w:rPr>
        <w:t>19.8%</w:t>
      </w:r>
      <w:r>
        <w:rPr/>
        <w:t>。</w:t>
      </w:r>
      <w:r>
        <w:rPr>
          <w:rFonts w:ascii="Times New Roman" w:hAnsi="Times New Roman" w:cs="Times New Roman" w:eastAsia="Times New Roman" w:hint="default"/>
        </w:rPr>
        <w:t>2013</w:t>
      </w:r>
      <w:r>
        <w:rPr/>
        <w:t>年政府工作 </w:t>
      </w:r>
      <w:r>
        <w:rPr>
          <w:spacing w:val="-2"/>
        </w:rPr>
        <w:t>报告指出，财政支出更加注重向民生领域倾斜，加大对医疗卫生、就业、社会保障、教育等方面的投入。国家发展和改革委</w:t>
      </w:r>
      <w:r>
        <w:rPr>
          <w:spacing w:val="-70"/>
        </w:rPr>
        <w:t> </w:t>
      </w:r>
      <w:r>
        <w:rPr>
          <w:spacing w:val="-70"/>
        </w:rPr>
      </w:r>
      <w:r>
        <w:rPr>
          <w:spacing w:val="-2"/>
        </w:rPr>
        <w:t>员会主任张平答中外记者提问时也指出，民生是政府投资安排的重点之一。对于从事民生行业信息化领域的易联众来说，是</w:t>
      </w:r>
      <w:r>
        <w:rPr>
          <w:spacing w:val="-63"/>
        </w:rPr>
        <w:t> </w:t>
      </w:r>
      <w:r>
        <w:rPr>
          <w:spacing w:val="-63"/>
        </w:rPr>
      </w:r>
      <w:r>
        <w:rPr/>
        <w:t>一个极好的发展机遇。</w:t>
      </w:r>
    </w:p>
    <w:p>
      <w:pPr>
        <w:pStyle w:val="BodyText"/>
        <w:spacing w:line="307" w:lineRule="auto" w:before="64"/>
        <w:ind w:left="212" w:right="190" w:firstLine="360"/>
        <w:jc w:val="both"/>
      </w:pPr>
      <w:r>
        <w:rPr>
          <w:spacing w:val="-3"/>
        </w:rPr>
        <w:t>从软件行业发展层面来看，在未来几年，加快软件服务业发展对于带动中国产业结构转型升级，实现从</w:t>
      </w:r>
      <w:r>
        <w:rPr>
          <w:rFonts w:ascii="Times New Roman" w:hAnsi="Times New Roman" w:cs="Times New Roman" w:eastAsia="Times New Roman" w:hint="default"/>
          <w:spacing w:val="-3"/>
        </w:rPr>
        <w:t>“</w:t>
      </w:r>
      <w:r>
        <w:rPr>
          <w:spacing w:val="-3"/>
        </w:rPr>
        <w:t>中国制造</w:t>
      </w:r>
      <w:r>
        <w:rPr>
          <w:rFonts w:ascii="Times New Roman" w:hAnsi="Times New Roman" w:cs="Times New Roman" w:eastAsia="Times New Roman" w:hint="default"/>
          <w:spacing w:val="-3"/>
        </w:rPr>
        <w:t>”</w:t>
      </w:r>
      <w:r>
        <w:rPr>
          <w:spacing w:val="-3"/>
        </w:rPr>
        <w:t>向</w:t>
      </w:r>
      <w:r>
        <w:rPr>
          <w:rFonts w:ascii="Times New Roman" w:hAnsi="Times New Roman" w:cs="Times New Roman" w:eastAsia="Times New Roman" w:hint="default"/>
          <w:spacing w:val="-3"/>
        </w:rPr>
        <w:t>“</w:t>
      </w:r>
      <w:r>
        <w:rPr>
          <w:spacing w:val="-3"/>
        </w:rPr>
        <w:t>中</w:t>
      </w:r>
      <w:r>
        <w:rPr/>
        <w:t> 国创造</w:t>
      </w:r>
      <w:r>
        <w:rPr>
          <w:rFonts w:ascii="Times New Roman" w:hAnsi="Times New Roman" w:cs="Times New Roman" w:eastAsia="Times New Roman" w:hint="default"/>
        </w:rPr>
        <w:t>”</w:t>
      </w:r>
      <w:r>
        <w:rPr/>
        <w:t>转变，加快经济发展方式转变具有重要战略意义，软件服务业因而成为</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期间重要的战略性产业。软件与民</w:t>
      </w:r>
      <w:r>
        <w:rPr>
          <w:spacing w:val="-55"/>
        </w:rPr>
        <w:t> </w:t>
      </w:r>
      <w:r>
        <w:rPr>
          <w:spacing w:val="-55"/>
        </w:rPr>
      </w:r>
      <w:r>
        <w:rPr>
          <w:spacing w:val="-2"/>
        </w:rPr>
        <w:t>生相结合的民生信息化行业，将成为新兴的发展领域，必然引来更多的软件企业与各方的关注与支持，成为又一创新型的朝</w:t>
      </w:r>
      <w:r>
        <w:rPr>
          <w:spacing w:val="-63"/>
        </w:rPr>
        <w:t> </w:t>
      </w:r>
      <w:r>
        <w:rPr>
          <w:spacing w:val="-63"/>
        </w:rPr>
      </w:r>
      <w:r>
        <w:rPr/>
        <w:t>阳产业，给公司发展带来更大的外部推动力。</w:t>
      </w:r>
    </w:p>
    <w:p>
      <w:pPr>
        <w:pStyle w:val="BodyText"/>
        <w:spacing w:line="312" w:lineRule="auto" w:before="67"/>
        <w:ind w:left="212" w:right="191" w:firstLine="360"/>
        <w:jc w:val="both"/>
      </w:pPr>
      <w:r>
        <w:rPr>
          <w:spacing w:val="-2"/>
        </w:rPr>
        <w:t>从行业信息化建设层面来看，《人力资源和社会保障信息化建设</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规划》明确指出，突出社会保障一卡通这一重</w:t>
      </w:r>
      <w:r>
        <w:rPr/>
        <w:t> </w:t>
      </w:r>
      <w:r>
        <w:rPr>
          <w:spacing w:val="-2"/>
        </w:rPr>
        <w:t>点，加强信息化工作的融合、信息化与业务工作的融合，推动信息化工作向统筹城乡、全国协调、功能全面转变，实现对业</w:t>
      </w:r>
      <w:r>
        <w:rPr>
          <w:spacing w:val="-68"/>
        </w:rPr>
        <w:t> </w:t>
      </w:r>
      <w:r>
        <w:rPr>
          <w:spacing w:val="-68"/>
        </w:rPr>
      </w:r>
      <w:r>
        <w:rPr>
          <w:spacing w:val="-2"/>
        </w:rPr>
        <w:t>务工作、服务人群、系统功能、网络应用的全覆盖。为公司已有项目优势的发挥以及社保卡、应用软件、云平台、终端等一</w:t>
      </w:r>
      <w:r>
        <w:rPr>
          <w:spacing w:val="-72"/>
        </w:rPr>
        <w:t> </w:t>
      </w:r>
      <w:r>
        <w:rPr>
          <w:spacing w:val="-72"/>
        </w:rPr>
      </w:r>
      <w:r>
        <w:rPr>
          <w:spacing w:val="-2"/>
        </w:rPr>
        <w:t>系列软硬件产品和技术的应用提供了市场空间，为公司业务的进一步拓展提供了机遇。在医疗卫生领域，深化医改，构建以</w:t>
      </w:r>
      <w:r>
        <w:rPr>
          <w:spacing w:val="-64"/>
        </w:rPr>
        <w:t> </w:t>
      </w:r>
      <w:r>
        <w:rPr>
          <w:spacing w:val="-64"/>
        </w:rPr>
      </w:r>
      <w:r>
        <w:rPr/>
        <w:t>信息化手段为支撑的公平、有效、方便、快捷的医疗卫生服务体系，为公司</w:t>
      </w:r>
      <w:r>
        <w:rPr>
          <w:rFonts w:ascii="Times New Roman" w:hAnsi="Times New Roman" w:cs="Times New Roman" w:eastAsia="Times New Roman" w:hint="default"/>
        </w:rPr>
        <w:t>“</w:t>
      </w:r>
      <w:r>
        <w:rPr/>
        <w:t>打造城市医疗卫生平台样板工程、推动省级医</w:t>
      </w:r>
      <w:r>
        <w:rPr>
          <w:spacing w:val="-74"/>
        </w:rPr>
        <w:t> </w:t>
      </w:r>
      <w:r>
        <w:rPr>
          <w:spacing w:val="-74"/>
        </w:rPr>
      </w:r>
      <w:r>
        <w:rPr/>
        <w:t>疗卫生平台建设</w:t>
      </w:r>
      <w:r>
        <w:rPr>
          <w:rFonts w:ascii="Times New Roman" w:hAnsi="Times New Roman" w:cs="Times New Roman" w:eastAsia="Times New Roman" w:hint="default"/>
        </w:rPr>
        <w:t>”</w:t>
      </w:r>
      <w:r>
        <w:rPr/>
        <w:t>的发展思路，提供了依据和契机。当前职业教育领域的信息化发展，如全国技工教育培训电子政务管理系</w:t>
      </w:r>
      <w:r>
        <w:rPr>
          <w:spacing w:val="-76"/>
        </w:rPr>
        <w:t> </w:t>
      </w:r>
      <w:r>
        <w:rPr>
          <w:spacing w:val="-76"/>
        </w:rPr>
      </w:r>
      <w:r>
        <w:rPr>
          <w:spacing w:val="-2"/>
        </w:rPr>
        <w:t>统的建设，以及国家职业教育信息化政策的支持，为我公司参与立足于职业教育民生云平台搭建和就业信息服务终端推广等</w:t>
      </w:r>
      <w:r>
        <w:rPr>
          <w:spacing w:val="-64"/>
        </w:rPr>
        <w:t> </w:t>
      </w:r>
      <w:r>
        <w:rPr>
          <w:spacing w:val="-64"/>
        </w:rPr>
      </w:r>
      <w:r>
        <w:rPr>
          <w:spacing w:val="-2"/>
        </w:rPr>
        <w:t>基础的职业技能培训数字化教学公共服务体系建设，继续深入职业培训领域的软硬件研发与推广，提供了方向指导和广阔的</w:t>
      </w:r>
      <w:r>
        <w:rPr>
          <w:spacing w:val="-64"/>
        </w:rPr>
        <w:t> </w:t>
      </w:r>
      <w:r>
        <w:rPr>
          <w:spacing w:val="-64"/>
        </w:rPr>
      </w:r>
      <w:r>
        <w:rPr/>
        <w:t>市场空间。住房、轨道交通等民生领域也都在积极开展信息化建设。</w:t>
      </w:r>
    </w:p>
    <w:p>
      <w:pPr>
        <w:pStyle w:val="BodyText"/>
        <w:spacing w:line="300" w:lineRule="auto" w:before="63"/>
        <w:ind w:left="212" w:right="194" w:firstLine="360"/>
        <w:jc w:val="both"/>
      </w:pPr>
      <w:r>
        <w:rPr>
          <w:spacing w:val="-2"/>
        </w:rPr>
        <w:t>从软件技术发展趋势来看，云计算已经明确写入国家</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规划之中，将成为国家未来信息化战略中不可或缺的一部</w:t>
      </w:r>
      <w:r>
        <w:rPr/>
        <w:t> </w:t>
      </w:r>
      <w:r>
        <w:rPr>
          <w:spacing w:val="-2"/>
        </w:rPr>
        <w:t>分。国家发改委发布的《</w:t>
      </w:r>
      <w:r>
        <w:rPr>
          <w:rFonts w:ascii="Times New Roman" w:hAnsi="Times New Roman" w:cs="Times New Roman" w:eastAsia="Times New Roman" w:hint="default"/>
          <w:spacing w:val="-2"/>
        </w:rPr>
        <w:t>“</w:t>
      </w:r>
      <w:r>
        <w:rPr>
          <w:spacing w:val="-2"/>
        </w:rPr>
        <w:t>十二五</w:t>
      </w:r>
      <w:r>
        <w:rPr>
          <w:rFonts w:ascii="Times New Roman" w:hAnsi="Times New Roman" w:cs="Times New Roman" w:eastAsia="Times New Roman" w:hint="default"/>
          <w:spacing w:val="-2"/>
        </w:rPr>
        <w:t>”</w:t>
      </w:r>
      <w:r>
        <w:rPr>
          <w:spacing w:val="-2"/>
        </w:rPr>
        <w:t>国家政务信息化工程建设规划》鼓励采用云计算等新技术促进信息基础设施和信息资源共</w:t>
      </w:r>
    </w:p>
    <w:p>
      <w:pPr>
        <w:spacing w:after="0" w:line="300" w:lineRule="auto"/>
        <w:jc w:val="both"/>
        <w:sectPr>
          <w:pgSz w:w="11910" w:h="16840"/>
          <w:pgMar w:header="745" w:footer="980" w:top="1060" w:bottom="1160" w:left="920" w:right="940"/>
        </w:sectPr>
      </w:pPr>
    </w:p>
    <w:p>
      <w:pPr>
        <w:spacing w:line="240" w:lineRule="auto" w:before="9"/>
        <w:rPr>
          <w:rFonts w:ascii="宋体" w:hAnsi="宋体" w:cs="宋体" w:eastAsia="宋体" w:hint="default"/>
          <w:sz w:val="25"/>
          <w:szCs w:val="25"/>
        </w:rPr>
      </w:pPr>
    </w:p>
    <w:p>
      <w:pPr>
        <w:pStyle w:val="BodyText"/>
        <w:spacing w:line="319" w:lineRule="auto" w:before="44"/>
        <w:ind w:right="189"/>
        <w:jc w:val="both"/>
      </w:pPr>
      <w:r>
        <w:rPr>
          <w:spacing w:val="-2"/>
        </w:rPr>
        <w:t>享，培育多元化公共服务。云计算属于正在迅速发展中的前沿技术，一方面面向蓬勃发展中的服务于广大民众的我国电子政</w:t>
      </w:r>
      <w:r>
        <w:rPr>
          <w:spacing w:val="-66"/>
        </w:rPr>
        <w:t> </w:t>
      </w:r>
      <w:r>
        <w:rPr>
          <w:spacing w:val="-66"/>
        </w:rPr>
      </w:r>
      <w:r>
        <w:rPr>
          <w:spacing w:val="-2"/>
        </w:rPr>
        <w:t>务与社会信息化建设，机遇巨大；另一方面由于目前尚未有形成的健全统一的标准规范体系，在面向民生的公共服务体系信</w:t>
      </w:r>
      <w:r>
        <w:rPr>
          <w:spacing w:val="-62"/>
        </w:rPr>
        <w:t> </w:t>
      </w:r>
      <w:r>
        <w:rPr>
          <w:spacing w:val="-62"/>
        </w:rPr>
      </w:r>
      <w:r>
        <w:rPr>
          <w:spacing w:val="-2"/>
        </w:rPr>
        <w:t>息化建设中，其具体的商业模式尚需积极探索，逐步成熟，因此引入该技术，既是企业一个难得的发展机会，也需要经历一</w:t>
      </w:r>
      <w:r>
        <w:rPr>
          <w:spacing w:val="-67"/>
        </w:rPr>
        <w:t> </w:t>
      </w:r>
      <w:r>
        <w:rPr>
          <w:spacing w:val="-67"/>
        </w:rPr>
      </w:r>
      <w:r>
        <w:rPr/>
        <w:t>个更充分的落实时间。</w:t>
      </w:r>
    </w:p>
    <w:p>
      <w:pPr>
        <w:pStyle w:val="BodyText"/>
        <w:spacing w:line="240" w:lineRule="auto" w:before="58"/>
        <w:ind w:left="513" w:right="94"/>
        <w:jc w:val="left"/>
      </w:pPr>
      <w:r>
        <w:rPr>
          <w:rFonts w:ascii="Times New Roman" w:hAnsi="Times New Roman" w:cs="Times New Roman" w:eastAsia="Times New Roman" w:hint="default"/>
        </w:rPr>
        <w:t>2</w:t>
      </w:r>
      <w:r>
        <w:rPr/>
        <w:t>、公司发展战略规划</w:t>
      </w:r>
    </w:p>
    <w:p>
      <w:pPr>
        <w:pStyle w:val="BodyText"/>
        <w:spacing w:line="309" w:lineRule="auto" w:before="101"/>
        <w:ind w:right="94" w:firstLine="365"/>
        <w:jc w:val="left"/>
      </w:pPr>
      <w:r>
        <w:rPr>
          <w:spacing w:val="2"/>
        </w:rPr>
        <w:t>公司将继续致力于以</w:t>
      </w:r>
      <w:r>
        <w:rPr>
          <w:rFonts w:ascii="Times New Roman" w:hAnsi="Times New Roman" w:cs="Times New Roman" w:eastAsia="Times New Roman" w:hint="default"/>
          <w:spacing w:val="2"/>
        </w:rPr>
        <w:t>“</w:t>
      </w:r>
      <w:r>
        <w:rPr>
          <w:spacing w:val="2"/>
        </w:rPr>
        <w:t>医疗卫生、社会保障、劳动就业</w:t>
      </w:r>
      <w:r>
        <w:rPr>
          <w:rFonts w:ascii="Times New Roman" w:hAnsi="Times New Roman" w:cs="Times New Roman" w:eastAsia="Times New Roman" w:hint="default"/>
          <w:spacing w:val="2"/>
        </w:rPr>
        <w:t>”</w:t>
      </w:r>
      <w:r>
        <w:rPr>
          <w:spacing w:val="2"/>
        </w:rPr>
        <w:t>为核心的民生相关业务领域，在原有业务基础上，以</w:t>
      </w:r>
      <w:r>
        <w:rPr>
          <w:rFonts w:ascii="Times New Roman" w:hAnsi="Times New Roman" w:cs="Times New Roman" w:eastAsia="Times New Roman" w:hint="default"/>
          <w:spacing w:val="2"/>
        </w:rPr>
        <w:t>“</w:t>
      </w:r>
      <w:r>
        <w:rPr>
          <w:spacing w:val="2"/>
        </w:rPr>
        <w:t>云计算</w:t>
      </w:r>
      <w:r>
        <w:rPr>
          <w:rFonts w:ascii="Times New Roman" w:hAnsi="Times New Roman" w:cs="Times New Roman" w:eastAsia="Times New Roman" w:hint="default"/>
          <w:spacing w:val="2"/>
        </w:rPr>
        <w:t>”</w:t>
      </w:r>
      <w:r>
        <w:rPr>
          <w:rFonts w:ascii="Times New Roman" w:hAnsi="Times New Roman" w:cs="Times New Roman" w:eastAsia="Times New Roman" w:hint="default"/>
          <w:w w:val="100"/>
        </w:rPr>
        <w:t> </w:t>
      </w:r>
      <w:r>
        <w:rPr/>
        <w:t>技术为依托，以</w:t>
      </w:r>
      <w:r>
        <w:rPr>
          <w:rFonts w:ascii="Times New Roman" w:hAnsi="Times New Roman" w:cs="Times New Roman" w:eastAsia="Times New Roman" w:hint="default"/>
        </w:rPr>
        <w:t>“</w:t>
      </w:r>
      <w:r>
        <w:rPr/>
        <w:t>民生云</w:t>
      </w:r>
      <w:r>
        <w:rPr>
          <w:rFonts w:ascii="Times New Roman" w:hAnsi="Times New Roman" w:cs="Times New Roman" w:eastAsia="Times New Roman" w:hint="default"/>
        </w:rPr>
        <w:t>”</w:t>
      </w:r>
      <w:r>
        <w:rPr/>
        <w:t>为媒介，将公司各应用软件系统、社保</w:t>
      </w:r>
      <w:r>
        <w:rPr>
          <w:rFonts w:ascii="Times New Roman" w:hAnsi="Times New Roman" w:cs="Times New Roman" w:eastAsia="Times New Roman" w:hint="default"/>
        </w:rPr>
        <w:t>IC</w:t>
      </w:r>
      <w:r>
        <w:rPr/>
        <w:t>卡、读卡机具及民生服务自助终端等一系列软硬件产品有 </w:t>
      </w:r>
      <w:r>
        <w:rPr>
          <w:spacing w:val="-4"/>
        </w:rPr>
        <w:t>效整合为全方位、立体化、综合性的产品服务网，同时面向政府、企业和社会公众等多重对象提供民生信息发布、就业服务、</w:t>
      </w:r>
      <w:r>
        <w:rPr>
          <w:spacing w:val="-42"/>
        </w:rPr>
        <w:t> </w:t>
      </w:r>
      <w:r>
        <w:rPr>
          <w:spacing w:val="-42"/>
        </w:rPr>
      </w:r>
      <w:r>
        <w:rPr>
          <w:spacing w:val="-2"/>
        </w:rPr>
        <w:t>教育培训、社会保障、医疗健康、城乡统筹、社区服务等全方位的民生信息服务，并通过金融平台与公司民生行业技术经验</w:t>
      </w:r>
      <w:r>
        <w:rPr>
          <w:spacing w:val="-67"/>
        </w:rPr>
        <w:t> </w:t>
      </w:r>
      <w:r>
        <w:rPr>
          <w:spacing w:val="-67"/>
        </w:rPr>
      </w:r>
      <w:r>
        <w:rPr/>
        <w:t>的融合，面向社会公众提供市场化的民生信息服务和增值服务。</w:t>
      </w:r>
    </w:p>
    <w:p>
      <w:pPr>
        <w:pStyle w:val="BodyText"/>
        <w:spacing w:line="240" w:lineRule="auto" w:before="65"/>
        <w:ind w:left="513" w:right="94"/>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2013</w:t>
      </w:r>
      <w:r>
        <w:rPr/>
        <w:t>年经营计划</w:t>
      </w:r>
    </w:p>
    <w:p>
      <w:pPr>
        <w:pStyle w:val="BodyText"/>
        <w:spacing w:line="300" w:lineRule="auto" w:before="103"/>
        <w:ind w:right="94" w:firstLine="36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t>年是</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时期承前启后的重要一年，公司将扎实做好基础铺垫，强化内部管理，顺应市场发展趋势，保证经 营目标的完成。重点做好以下工作（该经营计划并不构成公司对投资者的业绩承诺）：</w:t>
      </w:r>
    </w:p>
    <w:p>
      <w:pPr>
        <w:pStyle w:val="BodyText"/>
        <w:spacing w:line="340" w:lineRule="auto" w:before="70"/>
        <w:ind w:left="513" w:right="94"/>
        <w:jc w:val="left"/>
      </w:pPr>
      <w:r>
        <w:rPr/>
        <w:t>（</w:t>
      </w:r>
      <w:r>
        <w:rPr>
          <w:rFonts w:ascii="Times New Roman" w:hAnsi="Times New Roman" w:cs="Times New Roman" w:eastAsia="Times New Roman" w:hint="default"/>
        </w:rPr>
        <w:t>1</w:t>
      </w:r>
      <w:r>
        <w:rPr/>
        <w:t>）继续加大研发投入，提升研发水平 </w:t>
      </w:r>
      <w:r>
        <w:rPr>
          <w:spacing w:val="-2"/>
        </w:rPr>
        <w:t>公司将在新产品研发上加大资金投入，通过扩大招聘规模、加大培养力度等手段，建立更高水平的创新研发队伍；规范</w:t>
      </w:r>
    </w:p>
    <w:p>
      <w:pPr>
        <w:pStyle w:val="BodyText"/>
        <w:spacing w:line="316" w:lineRule="auto" w:before="1"/>
        <w:ind w:right="104"/>
        <w:jc w:val="both"/>
      </w:pPr>
      <w:r>
        <w:rPr>
          <w:spacing w:val="-2"/>
        </w:rPr>
        <w:t>研发管理的各项流程，建立培养研发人员的长效机制，用研发建立起市场竞争的一面壁垒。在现有产品基础上，公司将通过</w:t>
      </w:r>
      <w:r>
        <w:rPr>
          <w:spacing w:val="-64"/>
        </w:rPr>
        <w:t> </w:t>
      </w:r>
      <w:r>
        <w:rPr>
          <w:spacing w:val="-64"/>
        </w:rPr>
      </w:r>
      <w:r>
        <w:rPr>
          <w:spacing w:val="-2"/>
        </w:rPr>
        <w:t>产品功能的升级、降低成本等形成竞争优势，加大金融社保卡和自助服务终端配套软件、省级集中平台、公共服务软件等产</w:t>
      </w:r>
      <w:r>
        <w:rPr>
          <w:spacing w:val="-65"/>
        </w:rPr>
        <w:t> </w:t>
      </w:r>
      <w:r>
        <w:rPr>
          <w:spacing w:val="-65"/>
        </w:rPr>
      </w:r>
      <w:r>
        <w:rPr>
          <w:spacing w:val="-4"/>
        </w:rPr>
        <w:t>品的研发力度，加强调研与市场分析，形成与决策部门、专家、用户的互动机制，通过管理水平提高实现产品生产的稳定性。</w:t>
      </w:r>
    </w:p>
    <w:p>
      <w:pPr>
        <w:pStyle w:val="BodyText"/>
        <w:spacing w:line="338" w:lineRule="auto" w:before="59"/>
        <w:ind w:left="513" w:right="94"/>
        <w:jc w:val="left"/>
      </w:pPr>
      <w:r>
        <w:rPr/>
        <w:t>（</w:t>
      </w:r>
      <w:r>
        <w:rPr>
          <w:rFonts w:ascii="Times New Roman" w:hAnsi="Times New Roman" w:cs="Times New Roman" w:eastAsia="Times New Roman" w:hint="default"/>
        </w:rPr>
        <w:t>2</w:t>
      </w:r>
      <w:r>
        <w:rPr/>
        <w:t>）进一步增强市场开拓力度 </w:t>
      </w:r>
      <w:r>
        <w:rPr>
          <w:spacing w:val="-2"/>
        </w:rPr>
        <w:t>公司将努力打造</w:t>
      </w:r>
      <w:r>
        <w:rPr>
          <w:rFonts w:ascii="Times New Roman" w:hAnsi="Times New Roman" w:cs="Times New Roman" w:eastAsia="Times New Roman" w:hint="default"/>
          <w:spacing w:val="-2"/>
        </w:rPr>
        <w:t>“</w:t>
      </w:r>
      <w:r>
        <w:rPr>
          <w:spacing w:val="-2"/>
        </w:rPr>
        <w:t>民生云</w:t>
      </w:r>
      <w:r>
        <w:rPr>
          <w:rFonts w:ascii="Times New Roman" w:hAnsi="Times New Roman" w:cs="Times New Roman" w:eastAsia="Times New Roman" w:hint="default"/>
          <w:spacing w:val="-2"/>
        </w:rPr>
        <w:t>”</w:t>
      </w:r>
      <w:r>
        <w:rPr>
          <w:spacing w:val="-2"/>
        </w:rPr>
        <w:t>优势品牌，稳固延续原有项目，将已有成效的业务模式推广落地到新的市场，继续加大营销力</w:t>
      </w:r>
    </w:p>
    <w:p>
      <w:pPr>
        <w:pStyle w:val="BodyText"/>
        <w:spacing w:line="217" w:lineRule="exact"/>
        <w:ind w:right="0"/>
        <w:jc w:val="both"/>
      </w:pPr>
      <w:r>
        <w:rPr/>
        <w:t>度，进一步完善高素质的销售团队，建立符合公司高速发展的销售管理制度和激励机制。公司将主动加强与各地人力资源和</w:t>
      </w:r>
    </w:p>
    <w:p>
      <w:pPr>
        <w:pStyle w:val="BodyText"/>
        <w:spacing w:line="316" w:lineRule="auto" w:before="76"/>
        <w:ind w:right="196"/>
        <w:jc w:val="both"/>
      </w:pPr>
      <w:r>
        <w:rPr>
          <w:spacing w:val="-2"/>
        </w:rPr>
        <w:t>社会保障部门、公共事业部门等政府机构，医疗机构、药店、教育培训机构、参保企业等衍生服务机构，上下游企业、产学</w:t>
      </w:r>
      <w:r>
        <w:rPr>
          <w:spacing w:val="-73"/>
        </w:rPr>
        <w:t> </w:t>
      </w:r>
      <w:r>
        <w:rPr>
          <w:spacing w:val="-73"/>
        </w:rPr>
      </w:r>
      <w:r>
        <w:rPr/>
        <w:t>研基地等的横向与纵向联系、配合与联合。</w:t>
      </w:r>
    </w:p>
    <w:p>
      <w:pPr>
        <w:pStyle w:val="BodyText"/>
        <w:spacing w:line="340" w:lineRule="auto" w:before="59"/>
        <w:ind w:left="513" w:right="94"/>
        <w:jc w:val="left"/>
      </w:pPr>
      <w:r>
        <w:rPr/>
        <w:t>（</w:t>
      </w:r>
      <w:r>
        <w:rPr>
          <w:rFonts w:ascii="Times New Roman" w:hAnsi="Times New Roman" w:cs="Times New Roman" w:eastAsia="Times New Roman" w:hint="default"/>
        </w:rPr>
        <w:t>3</w:t>
      </w:r>
      <w:r>
        <w:rPr/>
        <w:t>）加强募投项目管理 </w:t>
      </w:r>
      <w:r>
        <w:rPr>
          <w:spacing w:val="-2"/>
        </w:rPr>
        <w:t>公司将继续加强募投项目管理。在募投项目的实施过程中，严格按照证监会和深交所的有关规定，规范实施。通过募投</w:t>
      </w:r>
    </w:p>
    <w:p>
      <w:pPr>
        <w:pStyle w:val="BodyText"/>
        <w:spacing w:line="316" w:lineRule="auto" w:before="1"/>
        <w:ind w:right="189"/>
        <w:jc w:val="both"/>
      </w:pPr>
      <w:r>
        <w:rPr>
          <w:spacing w:val="-2"/>
        </w:rPr>
        <w:t>项目的建设，提高公司综合竞争能力和盈利能力。对于超募部分资金，公司将严格按照证监会和深交所的有关规定，围绕主</w:t>
      </w:r>
      <w:r>
        <w:rPr>
          <w:spacing w:val="-63"/>
        </w:rPr>
        <w:t> </w:t>
      </w:r>
      <w:r>
        <w:rPr>
          <w:spacing w:val="-63"/>
        </w:rPr>
      </w:r>
      <w:r>
        <w:rPr>
          <w:spacing w:val="-2"/>
        </w:rPr>
        <w:t>业、合理规划、谨慎实施，在适当时机创建与主业密切相关并能有力促进主业发展的综合性投资开发公司，推动公司向更大</w:t>
      </w:r>
      <w:r>
        <w:rPr>
          <w:spacing w:val="-66"/>
        </w:rPr>
        <w:t> </w:t>
      </w:r>
      <w:r>
        <w:rPr>
          <w:spacing w:val="-66"/>
        </w:rPr>
      </w:r>
      <w:r>
        <w:rPr/>
        <w:t>空间发展。</w:t>
      </w:r>
    </w:p>
    <w:p>
      <w:pPr>
        <w:pStyle w:val="BodyText"/>
        <w:spacing w:line="340" w:lineRule="auto" w:before="57"/>
        <w:ind w:left="513" w:right="94"/>
        <w:jc w:val="left"/>
      </w:pPr>
      <w:r>
        <w:rPr/>
        <w:t>（</w:t>
      </w:r>
      <w:r>
        <w:rPr>
          <w:rFonts w:ascii="Times New Roman" w:hAnsi="Times New Roman" w:cs="Times New Roman" w:eastAsia="Times New Roman" w:hint="default"/>
        </w:rPr>
        <w:t>4</w:t>
      </w:r>
      <w:r>
        <w:rPr/>
        <w:t>）进一步完善制度建设 </w:t>
      </w:r>
      <w:r>
        <w:rPr>
          <w:spacing w:val="-2"/>
        </w:rPr>
        <w:t>根据公司战略发展规划，对管理制度、规范进行进一步调整和动态更新。明确每个部门、岗位的职责，建立一整套内部</w:t>
      </w:r>
    </w:p>
    <w:p>
      <w:pPr>
        <w:pStyle w:val="BodyText"/>
        <w:spacing w:line="316" w:lineRule="auto" w:before="1"/>
        <w:ind w:right="191"/>
        <w:jc w:val="both"/>
      </w:pPr>
      <w:r>
        <w:rPr>
          <w:spacing w:val="-2"/>
        </w:rPr>
        <w:t>控制的规章制度，形成内部约束制度。根据组织目标确定相应的组织职能，根据组织职能确定机构设置，根据岗位职责确定</w:t>
      </w:r>
      <w:r>
        <w:rPr>
          <w:spacing w:val="-65"/>
        </w:rPr>
        <w:t> </w:t>
      </w:r>
      <w:r>
        <w:rPr>
          <w:spacing w:val="-65"/>
        </w:rPr>
      </w:r>
      <w:r>
        <w:rPr>
          <w:spacing w:val="-2"/>
        </w:rPr>
        <w:t>职位位置，确保机构明确，机构职位与人员职能相称，精简部门层次。确保人员素质与其职位相称，依据岗位职责确定人员</w:t>
      </w:r>
      <w:r>
        <w:rPr>
          <w:spacing w:val="-67"/>
        </w:rPr>
        <w:t> </w:t>
      </w:r>
      <w:r>
        <w:rPr>
          <w:spacing w:val="-67"/>
        </w:rPr>
      </w:r>
      <w:r>
        <w:rPr/>
        <w:t>素质条件。</w:t>
      </w:r>
    </w:p>
    <w:p>
      <w:pPr>
        <w:pStyle w:val="BodyText"/>
        <w:spacing w:line="338" w:lineRule="auto" w:before="59"/>
        <w:ind w:left="513" w:right="94"/>
        <w:jc w:val="left"/>
      </w:pPr>
      <w:r>
        <w:rPr/>
        <w:t>（</w:t>
      </w:r>
      <w:r>
        <w:rPr>
          <w:rFonts w:ascii="Times New Roman" w:hAnsi="Times New Roman" w:cs="Times New Roman" w:eastAsia="Times New Roman" w:hint="default"/>
        </w:rPr>
        <w:t>5</w:t>
      </w:r>
      <w:r>
        <w:rPr/>
        <w:t>）重视高端人才引进及团队培养 </w:t>
      </w:r>
      <w:r>
        <w:rPr>
          <w:spacing w:val="-2"/>
        </w:rPr>
        <w:t>随着公司业务不断增多，业务范围逐步扩大，人力资源管理越来越重要。公司将进一步加强团队培养。主要从管理者定</w:t>
      </w:r>
    </w:p>
    <w:p>
      <w:pPr>
        <w:pStyle w:val="BodyText"/>
        <w:spacing w:line="319" w:lineRule="auto" w:before="2"/>
        <w:ind w:right="104"/>
        <w:jc w:val="both"/>
      </w:pPr>
      <w:r>
        <w:rPr>
          <w:spacing w:val="-2"/>
        </w:rPr>
        <w:t>位和团队成员定位的角度入手，融会贯通地讲解管理知识与技能，帮助员工掌握关键技巧和基本技术，从而全面提高管理效</w:t>
      </w:r>
      <w:r>
        <w:rPr>
          <w:spacing w:val="-63"/>
        </w:rPr>
        <w:t> </w:t>
      </w:r>
      <w:r>
        <w:rPr>
          <w:spacing w:val="-63"/>
        </w:rPr>
      </w:r>
      <w:r>
        <w:rPr>
          <w:spacing w:val="-2"/>
        </w:rPr>
        <w:t>率与水平。另外，重视高端人才的引进工作。设置多元化的人才引进渠道，人才的引进可采用自主推荐、高校建立战略合作</w:t>
      </w:r>
      <w:r>
        <w:rPr>
          <w:spacing w:val="-67"/>
        </w:rPr>
        <w:t> </w:t>
      </w:r>
      <w:r>
        <w:rPr>
          <w:spacing w:val="-67"/>
        </w:rPr>
      </w:r>
      <w:r>
        <w:rPr>
          <w:spacing w:val="-4"/>
        </w:rPr>
        <w:t>伙伴关系等方式。把职业培训视为一种投资，帮助员工制订职业生涯的发展规划，以求企业发展和员工个人发展的协调统一。</w:t>
      </w:r>
    </w:p>
    <w:p>
      <w:pPr>
        <w:pStyle w:val="BodyText"/>
        <w:spacing w:line="340" w:lineRule="auto" w:before="58"/>
        <w:ind w:left="513" w:right="94"/>
        <w:jc w:val="left"/>
      </w:pPr>
      <w:r>
        <w:rPr/>
        <w:t>（</w:t>
      </w:r>
      <w:r>
        <w:rPr>
          <w:rFonts w:ascii="Times New Roman" w:hAnsi="Times New Roman" w:cs="Times New Roman" w:eastAsia="Times New Roman" w:hint="default"/>
        </w:rPr>
        <w:t>6</w:t>
      </w:r>
      <w:r>
        <w:rPr/>
        <w:t>）加强企业文化建设 </w:t>
      </w:r>
      <w:r>
        <w:rPr>
          <w:spacing w:val="-4"/>
        </w:rPr>
        <w:t>企业价值观是企业文化的核心，决定企业的命脉，关系企业的兴衰。公司的发展不仅要实现物质价值，更需要文化价值，</w:t>
      </w:r>
    </w:p>
    <w:p>
      <w:pPr>
        <w:pStyle w:val="BodyText"/>
        <w:spacing w:line="316" w:lineRule="auto" w:before="1"/>
        <w:ind w:right="191"/>
        <w:jc w:val="both"/>
      </w:pPr>
      <w:r>
        <w:rPr>
          <w:spacing w:val="-2"/>
        </w:rPr>
        <w:t>要充分认识企业的最终目标是服务社会，实现社会价值最大化。让每一个员工都有发展的平台，注重员工培养，使其在工作</w:t>
      </w:r>
      <w:r>
        <w:rPr>
          <w:spacing w:val="-64"/>
        </w:rPr>
        <w:t> </w:t>
      </w:r>
      <w:r>
        <w:rPr>
          <w:spacing w:val="-64"/>
        </w:rPr>
      </w:r>
      <w:r>
        <w:rPr/>
        <w:t>中能够实现自身价值，巩固团队稳定性，让每一位员工深切地感受到自己从事的工作，关系民生，责任重大。</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40" w:lineRule="auto" w:before="44"/>
        <w:ind w:left="513" w:right="0"/>
        <w:jc w:val="left"/>
      </w:pPr>
      <w:r>
        <w:rPr/>
        <w:t>（</w:t>
      </w:r>
      <w:r>
        <w:rPr>
          <w:rFonts w:ascii="Times New Roman" w:hAnsi="Times New Roman" w:cs="Times New Roman" w:eastAsia="Times New Roman" w:hint="default"/>
        </w:rPr>
        <w:t>7</w:t>
      </w:r>
      <w:r>
        <w:rPr/>
        <w:t>）培育发展新业务 </w:t>
      </w:r>
      <w:r>
        <w:rPr>
          <w:spacing w:val="-2"/>
        </w:rPr>
        <w:t>公司将继续广泛开展项目调研，并科学决策超募资金投向。不断增强公司综合实力，培育新的增长点，提高公司抵御风</w:t>
      </w:r>
    </w:p>
    <w:p>
      <w:pPr>
        <w:pStyle w:val="BodyText"/>
        <w:spacing w:line="240" w:lineRule="auto" w:before="1"/>
        <w:ind w:right="0"/>
        <w:jc w:val="left"/>
      </w:pPr>
      <w:r>
        <w:rPr/>
        <w:t>险的能力。</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left"/>
        <w:rPr>
          <w:b w:val="0"/>
          <w:bCs w:val="0"/>
        </w:rPr>
      </w:pPr>
      <w:r>
        <w:rPr/>
        <w:t>四、公司利润分配及分红派息情况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spacing w:line="316" w:lineRule="auto" w:before="117"/>
        <w:ind w:left="453" w:right="0" w:firstLine="7"/>
        <w:jc w:val="left"/>
        <w:rPr>
          <w:rFonts w:ascii="宋体" w:hAnsi="宋体" w:cs="宋体" w:eastAsia="宋体" w:hint="default"/>
          <w:sz w:val="18"/>
          <w:szCs w:val="18"/>
        </w:rPr>
      </w:pPr>
      <w:r>
        <w:rPr>
          <w:rFonts w:ascii="宋体" w:hAnsi="宋体" w:cs="宋体" w:eastAsia="宋体" w:hint="default"/>
          <w:b/>
          <w:bCs/>
          <w:sz w:val="18"/>
          <w:szCs w:val="18"/>
        </w:rPr>
        <w:t>（一）公司利润分配政策的制定情况</w:t>
      </w:r>
      <w:r>
        <w:rPr>
          <w:rFonts w:ascii="宋体" w:hAnsi="宋体" w:cs="宋体" w:eastAsia="宋体" w:hint="default"/>
          <w:b/>
          <w:bCs/>
          <w:w w:val="99"/>
          <w:sz w:val="18"/>
          <w:szCs w:val="18"/>
        </w:rPr>
        <w:t> </w:t>
      </w:r>
      <w:r>
        <w:rPr>
          <w:rFonts w:ascii="宋体" w:hAnsi="宋体" w:cs="宋体" w:eastAsia="宋体" w:hint="default"/>
          <w:spacing w:val="-1"/>
          <w:sz w:val="18"/>
          <w:szCs w:val="18"/>
        </w:rPr>
        <w:t>公司董事会根据证监会、厦门证监局及深交所的有关规定，于</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日召开第二届董事会第二次会议，制定了公司</w:t>
      </w:r>
    </w:p>
    <w:p>
      <w:pPr>
        <w:pStyle w:val="BodyText"/>
        <w:spacing w:line="300" w:lineRule="auto"/>
        <w:ind w:right="144"/>
        <w:jc w:val="left"/>
      </w:pPr>
      <w:r>
        <w:rPr>
          <w:spacing w:val="-3"/>
        </w:rPr>
        <w:t>利润分配政策及未来三年股东回报规划，并同时对《公司章程》中的利润分配政策进行了修订，于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21</w:t>
      </w:r>
      <w:r>
        <w:rPr>
          <w:spacing w:val="-3"/>
        </w:rPr>
        <w:t>日经公司</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年第二次临时股东大会审议通过。公司的利润分配政策如下：</w:t>
      </w:r>
    </w:p>
    <w:p>
      <w:pPr>
        <w:pStyle w:val="BodyText"/>
        <w:spacing w:line="240" w:lineRule="auto" w:before="31"/>
        <w:ind w:left="453" w:right="0"/>
        <w:jc w:val="left"/>
      </w:pPr>
      <w:r>
        <w:rPr>
          <w:rFonts w:ascii="Times New Roman" w:hAnsi="Times New Roman" w:cs="Times New Roman" w:eastAsia="Times New Roman" w:hint="default"/>
        </w:rPr>
        <w:t>1</w:t>
      </w:r>
      <w:r>
        <w:rPr/>
        <w:t>、公司利润分配政策的基本原则：</w:t>
      </w:r>
    </w:p>
    <w:p>
      <w:pPr>
        <w:pStyle w:val="BodyText"/>
        <w:spacing w:line="240" w:lineRule="auto" w:before="104"/>
        <w:ind w:left="513" w:right="0"/>
        <w:jc w:val="left"/>
      </w:pPr>
      <w:r>
        <w:rPr/>
        <w:t>（</w:t>
      </w:r>
      <w:r>
        <w:rPr>
          <w:rFonts w:ascii="Times New Roman" w:hAnsi="Times New Roman" w:cs="Times New Roman" w:eastAsia="Times New Roman" w:hint="default"/>
        </w:rPr>
        <w:t>1</w:t>
      </w:r>
      <w:r>
        <w:rPr/>
        <w:t>）、公司应充分考虑对投资者的回报，每年按母公司当年实现可供分配的利润为基础向股东分配股利；</w:t>
      </w:r>
    </w:p>
    <w:p>
      <w:pPr>
        <w:pStyle w:val="BodyText"/>
        <w:spacing w:line="300" w:lineRule="auto" w:before="101"/>
        <w:ind w:right="144" w:firstLine="360"/>
        <w:jc w:val="left"/>
      </w:pPr>
      <w:r>
        <w:rPr/>
        <w:t>（</w:t>
      </w:r>
      <w:r>
        <w:rPr>
          <w:rFonts w:ascii="Times New Roman" w:hAnsi="Times New Roman" w:cs="Times New Roman" w:eastAsia="Times New Roman" w:hint="default"/>
        </w:rPr>
        <w:t>2</w:t>
      </w:r>
      <w:r>
        <w:rPr/>
        <w:t>）、公司的利润分配政策应保持持续性和稳定性，同时兼顾公司的长远利益、全体股东的整体利益及公司的可持续 发展；</w:t>
      </w:r>
    </w:p>
    <w:p>
      <w:pPr>
        <w:pStyle w:val="BodyText"/>
        <w:spacing w:line="240" w:lineRule="auto" w:before="72"/>
        <w:ind w:left="513" w:right="0"/>
        <w:jc w:val="left"/>
      </w:pPr>
      <w:r>
        <w:rPr/>
        <w:t>（</w:t>
      </w:r>
      <w:r>
        <w:rPr>
          <w:rFonts w:ascii="Times New Roman" w:hAnsi="Times New Roman" w:cs="Times New Roman" w:eastAsia="Times New Roman" w:hint="default"/>
        </w:rPr>
        <w:t>3</w:t>
      </w:r>
      <w:r>
        <w:rPr/>
        <w:t>）、公司利润分配政策应符合法律、法规的相关规定。在此基础上，公司优先采用现金分红的利润分配方式。</w:t>
      </w:r>
    </w:p>
    <w:p>
      <w:pPr>
        <w:pStyle w:val="BodyText"/>
        <w:spacing w:line="240" w:lineRule="auto" w:before="101"/>
        <w:ind w:left="513" w:right="0"/>
        <w:jc w:val="left"/>
      </w:pPr>
      <w:r>
        <w:rPr>
          <w:rFonts w:ascii="Times New Roman" w:hAnsi="Times New Roman" w:cs="Times New Roman" w:eastAsia="Times New Roman" w:hint="default"/>
        </w:rPr>
        <w:t>2</w:t>
      </w:r>
      <w:r>
        <w:rPr/>
        <w:t>、公司利润分配的具体政策：</w:t>
      </w:r>
    </w:p>
    <w:p>
      <w:pPr>
        <w:pStyle w:val="BodyText"/>
        <w:spacing w:line="300" w:lineRule="auto" w:before="103"/>
        <w:ind w:right="144" w:firstLine="360"/>
        <w:jc w:val="left"/>
      </w:pPr>
      <w:r>
        <w:rPr/>
        <w:t>（</w:t>
      </w:r>
      <w:r>
        <w:rPr>
          <w:rFonts w:ascii="Times New Roman" w:hAnsi="Times New Roman" w:cs="Times New Roman" w:eastAsia="Times New Roman" w:hint="default"/>
        </w:rPr>
        <w:t>1</w:t>
      </w:r>
      <w:r>
        <w:rPr/>
        <w:t>）、利润分配形式和期间间隔：公司利润分配可以采取现金、股票、现金与股票相结合或者法律、法规允许的其他 方式。原则上每年进行一次年度利润分配，在条件许可情况下，也可以进行中期利润分配。</w:t>
      </w:r>
    </w:p>
    <w:p>
      <w:pPr>
        <w:pStyle w:val="BodyText"/>
        <w:spacing w:line="240" w:lineRule="auto" w:before="72"/>
        <w:ind w:left="513" w:right="0"/>
        <w:jc w:val="left"/>
      </w:pPr>
      <w:r>
        <w:rPr/>
        <w:t>（</w:t>
      </w:r>
      <w:r>
        <w:rPr>
          <w:rFonts w:ascii="Times New Roman" w:hAnsi="Times New Roman" w:cs="Times New Roman" w:eastAsia="Times New Roman" w:hint="default"/>
        </w:rPr>
        <w:t>2</w:t>
      </w:r>
      <w:r>
        <w:rPr/>
        <w:t>）、现金分红的具体条件和比例：公司实施现金分红时应当同时满足以下条件：</w:t>
      </w:r>
    </w:p>
    <w:p>
      <w:pPr>
        <w:pStyle w:val="BodyText"/>
        <w:spacing w:line="300" w:lineRule="auto" w:before="101"/>
        <w:ind w:right="144" w:firstLine="360"/>
        <w:jc w:val="left"/>
      </w:pPr>
      <w:r>
        <w:rPr>
          <w:rFonts w:ascii="Times New Roman" w:hAnsi="Times New Roman" w:cs="Times New Roman" w:eastAsia="Times New Roman" w:hint="default"/>
        </w:rPr>
        <w:t>1</w:t>
      </w:r>
      <w:r>
        <w:rPr/>
        <w:t>）公司该年度（或半年度）实现的可分配利润（即公司弥补亏损、提取公积金后所余的税后利润）为正值，且累计可 供分配利润为正值；</w:t>
      </w:r>
    </w:p>
    <w:p>
      <w:pPr>
        <w:pStyle w:val="BodyText"/>
        <w:spacing w:line="348" w:lineRule="auto" w:before="72"/>
        <w:ind w:left="513" w:right="1133"/>
        <w:jc w:val="left"/>
      </w:pPr>
      <w:r>
        <w:rPr>
          <w:rFonts w:ascii="Times New Roman" w:hAnsi="Times New Roman" w:cs="Times New Roman" w:eastAsia="Times New Roman" w:hint="default"/>
        </w:rPr>
        <w:t>2</w:t>
      </w:r>
      <w:r>
        <w:rPr/>
        <w:t>）审计机构对公司的该年度财务报告出具标准无保留意见的审计报告； 公司在同时满足以上条件的情况下，如出现下列特殊情况之一，公司根据实际情况可以不进行现金分红： </w:t>
      </w:r>
      <w:r>
        <w:rPr>
          <w:rFonts w:ascii="Times New Roman" w:hAnsi="Times New Roman" w:cs="Times New Roman" w:eastAsia="Times New Roman" w:hint="default"/>
        </w:rPr>
        <w:t>1</w:t>
      </w:r>
      <w:r>
        <w:rPr/>
        <w:t>）公司回购股份；</w:t>
      </w:r>
    </w:p>
    <w:p>
      <w:pPr>
        <w:pStyle w:val="BodyText"/>
        <w:spacing w:line="240" w:lineRule="auto" w:before="14"/>
        <w:ind w:left="513" w:right="0"/>
        <w:jc w:val="left"/>
      </w:pPr>
      <w:r>
        <w:rPr>
          <w:rFonts w:ascii="Times New Roman" w:hAnsi="Times New Roman" w:cs="Times New Roman" w:eastAsia="Times New Roman" w:hint="default"/>
        </w:rPr>
        <w:t>2</w:t>
      </w:r>
      <w:r>
        <w:rPr/>
        <w:t>）公司因发行证券、债券或其他融资而需出具的不进行现金分红的承诺；</w:t>
      </w:r>
    </w:p>
    <w:p>
      <w:pPr>
        <w:pStyle w:val="BodyText"/>
        <w:spacing w:line="300" w:lineRule="auto" w:before="103"/>
        <w:ind w:right="144" w:firstLine="360"/>
        <w:jc w:val="left"/>
      </w:pPr>
      <w:r>
        <w:rPr>
          <w:rFonts w:ascii="Times New Roman" w:hAnsi="Times New Roman" w:cs="Times New Roman" w:eastAsia="Times New Roman" w:hint="default"/>
        </w:rPr>
        <w:t>3</w:t>
      </w:r>
      <w:r>
        <w:rPr/>
        <w:t>）公司在未来十二个月内计划发生的重大投资、收购资产、购买设备或重大项目现金支出的累计金额超过公司最近一 期经审计的合并报表净资产的</w:t>
      </w:r>
      <w:r>
        <w:rPr>
          <w:rFonts w:ascii="Times New Roman" w:hAnsi="Times New Roman" w:cs="Times New Roman" w:eastAsia="Times New Roman" w:hint="default"/>
        </w:rPr>
        <w:t>20%</w:t>
      </w:r>
      <w:r>
        <w:rPr/>
        <w:t>，且金额超过</w:t>
      </w:r>
      <w:r>
        <w:rPr>
          <w:rFonts w:ascii="Times New Roman" w:hAnsi="Times New Roman" w:cs="Times New Roman" w:eastAsia="Times New Roman" w:hint="default"/>
        </w:rPr>
        <w:t>5,000</w:t>
      </w:r>
      <w:r>
        <w:rPr/>
        <w:t>万元</w:t>
      </w:r>
      <w:r>
        <w:rPr>
          <w:spacing w:val="-20"/>
        </w:rPr>
        <w:t> </w:t>
      </w:r>
      <w:r>
        <w:rPr>
          <w:rFonts w:ascii="Times New Roman" w:hAnsi="Times New Roman" w:cs="Times New Roman" w:eastAsia="Times New Roman" w:hint="default"/>
        </w:rPr>
        <w:t>(</w:t>
      </w:r>
      <w:r>
        <w:rPr/>
        <w:t>募集资金项目除外）；</w:t>
      </w:r>
    </w:p>
    <w:p>
      <w:pPr>
        <w:pStyle w:val="BodyText"/>
        <w:spacing w:line="240" w:lineRule="auto" w:before="51"/>
        <w:ind w:left="513" w:right="0"/>
        <w:jc w:val="left"/>
      </w:pPr>
      <w:r>
        <w:rPr>
          <w:rFonts w:ascii="Times New Roman" w:hAnsi="Times New Roman" w:cs="Times New Roman" w:eastAsia="Times New Roman" w:hint="default"/>
        </w:rPr>
        <w:t>4</w:t>
      </w:r>
      <w:r>
        <w:rPr/>
        <w:t>）当年经审计的合并报表或母公司报表的资产负债率超过</w:t>
      </w:r>
      <w:r>
        <w:rPr>
          <w:rFonts w:ascii="Times New Roman" w:hAnsi="Times New Roman" w:cs="Times New Roman" w:eastAsia="Times New Roman" w:hint="default"/>
        </w:rPr>
        <w:t>70%</w:t>
      </w:r>
      <w:r>
        <w:rPr/>
        <w:t>以上；</w:t>
      </w:r>
    </w:p>
    <w:p>
      <w:pPr>
        <w:pStyle w:val="BodyText"/>
        <w:spacing w:line="240" w:lineRule="auto" w:before="103"/>
        <w:ind w:left="513" w:right="0"/>
        <w:jc w:val="left"/>
      </w:pPr>
      <w:r>
        <w:rPr>
          <w:rFonts w:ascii="Times New Roman" w:hAnsi="Times New Roman" w:cs="Times New Roman" w:eastAsia="Times New Roman" w:hint="default"/>
        </w:rPr>
        <w:t>5</w:t>
      </w:r>
      <w:r>
        <w:rPr/>
        <w:t>）连续两年经审计的合并报表或母公司报表的经营活动产生的现金流量净额为负数并且累计高于</w:t>
      </w:r>
      <w:r>
        <w:rPr>
          <w:rFonts w:ascii="Times New Roman" w:hAnsi="Times New Roman" w:cs="Times New Roman" w:eastAsia="Times New Roman" w:hint="default"/>
        </w:rPr>
        <w:t>5,000</w:t>
      </w:r>
      <w:r>
        <w:rPr/>
        <w:t>万元；</w:t>
      </w:r>
    </w:p>
    <w:p>
      <w:pPr>
        <w:pStyle w:val="BodyText"/>
        <w:spacing w:line="300" w:lineRule="auto" w:before="103"/>
        <w:ind w:right="151" w:firstLine="360"/>
        <w:jc w:val="both"/>
      </w:pPr>
      <w:r>
        <w:rPr>
          <w:rFonts w:ascii="Times New Roman" w:hAnsi="Times New Roman" w:cs="Times New Roman" w:eastAsia="Times New Roman" w:hint="default"/>
        </w:rPr>
        <w:t>6</w:t>
      </w:r>
      <w:r>
        <w:rPr/>
        <w:t>）法律、法规及其他规范性文件规定的其他不进行现金分红的情况。公司现金分红的比例：公司在达到现金分红条件 </w:t>
      </w:r>
      <w:r>
        <w:rPr>
          <w:spacing w:val="-1"/>
        </w:rPr>
        <w:t>的情况下，每年以现金方式分配的利润应不少于当年实现的可供分配利润的</w:t>
      </w:r>
      <w:r>
        <w:rPr>
          <w:rFonts w:ascii="Times New Roman" w:hAnsi="Times New Roman" w:cs="Times New Roman" w:eastAsia="Times New Roman" w:hint="default"/>
          <w:spacing w:val="-1"/>
        </w:rPr>
        <w:t>10%</w:t>
      </w:r>
      <w:r>
        <w:rPr>
          <w:spacing w:val="-1"/>
        </w:rPr>
        <w:t>，且公司最近三年以现金方式累计分配的利</w:t>
      </w:r>
      <w:r>
        <w:rPr>
          <w:spacing w:val="-88"/>
        </w:rPr>
        <w:t> </w:t>
      </w:r>
      <w:r>
        <w:rPr>
          <w:spacing w:val="-88"/>
        </w:rPr>
      </w:r>
      <w:r>
        <w:rPr/>
        <w:t>润应不少于最近三年实现的年均可分配利润的</w:t>
      </w:r>
      <w:r>
        <w:rPr>
          <w:rFonts w:ascii="Times New Roman" w:hAnsi="Times New Roman" w:cs="Times New Roman" w:eastAsia="Times New Roman" w:hint="default"/>
        </w:rPr>
        <w:t>30%</w:t>
      </w:r>
      <w:r>
        <w:rPr/>
        <w:t>。</w:t>
      </w:r>
    </w:p>
    <w:p>
      <w:pPr>
        <w:pStyle w:val="BodyText"/>
        <w:spacing w:line="300" w:lineRule="auto" w:before="51"/>
        <w:ind w:right="144" w:firstLine="360"/>
        <w:jc w:val="left"/>
      </w:pPr>
      <w:r>
        <w:rPr/>
        <w:t>（</w:t>
      </w:r>
      <w:r>
        <w:rPr>
          <w:rFonts w:ascii="Times New Roman" w:hAnsi="Times New Roman" w:cs="Times New Roman" w:eastAsia="Times New Roman" w:hint="default"/>
        </w:rPr>
        <w:t>3</w:t>
      </w:r>
      <w:r>
        <w:rPr/>
        <w:t>）、发放股票股利的具体条件：公司在经营情况良好，并且董事会认为公司股票价格与公司股本规模不匹配、发放 股票股利有利于公司全体股东整体利益时，可以在满足上述现金分红的条件下，提出股票股利分配预案。</w:t>
      </w:r>
    </w:p>
    <w:p>
      <w:pPr>
        <w:pStyle w:val="BodyText"/>
        <w:spacing w:line="240" w:lineRule="auto" w:before="72"/>
        <w:ind w:left="513" w:right="0"/>
        <w:jc w:val="left"/>
      </w:pPr>
      <w:r>
        <w:rPr>
          <w:rFonts w:ascii="Times New Roman" w:hAnsi="Times New Roman" w:cs="Times New Roman" w:eastAsia="Times New Roman" w:hint="default"/>
        </w:rPr>
        <w:t>3</w:t>
      </w:r>
      <w:r>
        <w:rPr/>
        <w:t>、利润分配的审议程序</w:t>
      </w:r>
    </w:p>
    <w:p>
      <w:pPr>
        <w:pStyle w:val="BodyText"/>
        <w:spacing w:line="314" w:lineRule="auto" w:before="101"/>
        <w:ind w:right="151" w:firstLine="360"/>
        <w:jc w:val="both"/>
      </w:pPr>
      <w:r>
        <w:rPr/>
        <w:t>（</w:t>
      </w:r>
      <w:r>
        <w:rPr>
          <w:rFonts w:ascii="Times New Roman" w:hAnsi="Times New Roman" w:cs="Times New Roman" w:eastAsia="Times New Roman" w:hint="default"/>
        </w:rPr>
        <w:t>1</w:t>
      </w:r>
      <w:r>
        <w:rPr/>
        <w:t>）、公司管理层、董事会结合公司具体经营数据、盈利规模、现金流量状况、发展阶段、当期资金需求及股东回报 </w:t>
      </w:r>
      <w:r>
        <w:rPr>
          <w:spacing w:val="-2"/>
        </w:rPr>
        <w:t>规划，拟定年度或中期利润分配预案。利润分配预案拟定后提交公司董事会、监事会审议。董事会就利润分配预案的合理性</w:t>
      </w:r>
      <w:r>
        <w:rPr>
          <w:spacing w:val="-65"/>
        </w:rPr>
        <w:t> </w:t>
      </w:r>
      <w:r>
        <w:rPr>
          <w:spacing w:val="-65"/>
        </w:rPr>
      </w:r>
      <w:r>
        <w:rPr>
          <w:spacing w:val="-2"/>
        </w:rPr>
        <w:t>进行充分讨论，形成专项决议后提交股东大会审议。股东大会审议利润分配方案时，除设置现场会议投票外，还应当为股东</w:t>
      </w:r>
      <w:r>
        <w:rPr>
          <w:spacing w:val="-65"/>
        </w:rPr>
        <w:t> </w:t>
      </w:r>
      <w:r>
        <w:rPr>
          <w:spacing w:val="-65"/>
        </w:rPr>
      </w:r>
      <w:r>
        <w:rPr>
          <w:spacing w:val="-2"/>
        </w:rPr>
        <w:t>提供网络投票方式。独立董事应对利润分配预案发表独立意见，监事会应对董事会制定的利润分配方案进行审核并发表审核</w:t>
      </w:r>
      <w:r>
        <w:rPr>
          <w:spacing w:val="-64"/>
        </w:rPr>
        <w:t> </w:t>
      </w:r>
      <w:r>
        <w:rPr>
          <w:spacing w:val="-64"/>
        </w:rPr>
      </w:r>
      <w:r>
        <w:rPr/>
        <w:t>意见。</w:t>
      </w:r>
    </w:p>
    <w:p>
      <w:pPr>
        <w:spacing w:after="0" w:line="314"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191" w:firstLine="360"/>
        <w:jc w:val="both"/>
      </w:pPr>
      <w:r>
        <w:rPr>
          <w:spacing w:val="-1"/>
        </w:rPr>
        <w:t>（</w:t>
      </w:r>
      <w:r>
        <w:rPr>
          <w:rFonts w:ascii="Times New Roman" w:hAnsi="Times New Roman" w:cs="Times New Roman" w:eastAsia="Times New Roman" w:hint="default"/>
          <w:spacing w:val="-1"/>
        </w:rPr>
        <w:t>2</w:t>
      </w:r>
      <w:r>
        <w:rPr>
          <w:spacing w:val="-1"/>
        </w:rPr>
        <w:t>）、公司因前述</w:t>
      </w:r>
      <w:r>
        <w:rPr>
          <w:rFonts w:ascii="Times New Roman" w:hAnsi="Times New Roman" w:cs="Times New Roman" w:eastAsia="Times New Roman" w:hint="default"/>
          <w:spacing w:val="-1"/>
        </w:rPr>
        <w:t>“</w:t>
      </w:r>
      <w:r>
        <w:rPr>
          <w:spacing w:val="-1"/>
        </w:rPr>
        <w:t>公司利润分配具体政策</w:t>
      </w:r>
      <w:r>
        <w:rPr>
          <w:rFonts w:ascii="Times New Roman" w:hAnsi="Times New Roman" w:cs="Times New Roman" w:eastAsia="Times New Roman" w:hint="default"/>
          <w:spacing w:val="-1"/>
        </w:rPr>
        <w:t>-</w:t>
      </w:r>
      <w:r>
        <w:rPr>
          <w:spacing w:val="-1"/>
        </w:rPr>
        <w:t>现金分红的具体条件和比例</w:t>
      </w:r>
      <w:r>
        <w:rPr>
          <w:rFonts w:ascii="Times New Roman" w:hAnsi="Times New Roman" w:cs="Times New Roman" w:eastAsia="Times New Roman" w:hint="default"/>
          <w:spacing w:val="-1"/>
        </w:rPr>
        <w:t>”</w:t>
      </w:r>
      <w:r>
        <w:rPr>
          <w:spacing w:val="-1"/>
        </w:rPr>
        <w:t>中规定的特殊情况而不进行现金分红时，董事</w:t>
      </w:r>
      <w:r>
        <w:rPr/>
        <w:t> </w:t>
      </w:r>
      <w:r>
        <w:rPr>
          <w:spacing w:val="-2"/>
        </w:rPr>
        <w:t>会应就不进行现金分红的具体原因、公司留存收益的确切用途及预计投资收益等事项进行专项说明，经独立董事发表意见后</w:t>
      </w:r>
      <w:r>
        <w:rPr>
          <w:spacing w:val="-64"/>
        </w:rPr>
        <w:t> </w:t>
      </w:r>
      <w:r>
        <w:rPr>
          <w:spacing w:val="-64"/>
        </w:rPr>
      </w:r>
      <w:r>
        <w:rPr/>
        <w:t>提交股东大会审议，并在公司指定信息披露媒体上进行披露。</w:t>
      </w:r>
    </w:p>
    <w:p>
      <w:pPr>
        <w:pStyle w:val="BodyText"/>
        <w:spacing w:line="300" w:lineRule="auto" w:before="65"/>
        <w:ind w:left="513" w:right="94"/>
        <w:jc w:val="left"/>
      </w:pPr>
      <w:r>
        <w:rPr>
          <w:rFonts w:ascii="Times New Roman" w:hAnsi="Times New Roman" w:cs="Times New Roman" w:eastAsia="Times New Roman" w:hint="default"/>
        </w:rPr>
        <w:t>4</w:t>
      </w:r>
      <w:r>
        <w:rPr/>
        <w:t>、利润分配政策的变更 </w:t>
      </w:r>
      <w:r>
        <w:rPr>
          <w:spacing w:val="-2"/>
        </w:rPr>
        <w:t>如遇战争、自然灾害等不可抗力、公司外部经营环境变化并对公司生产经营造成重大影响，或公司自身经营状况发生较</w:t>
      </w:r>
    </w:p>
    <w:p>
      <w:pPr>
        <w:pStyle w:val="BodyText"/>
        <w:spacing w:line="316" w:lineRule="auto" w:before="31"/>
        <w:ind w:left="513" w:right="94" w:hanging="361"/>
        <w:jc w:val="left"/>
      </w:pPr>
      <w:r>
        <w:rPr/>
        <w:t>大变化时，公司可对利润分配政策进行调整，调整后的利润分配政策应符合相关法律、法规的规定。 </w:t>
      </w:r>
      <w:r>
        <w:rPr>
          <w:spacing w:val="-2"/>
        </w:rPr>
        <w:t>公司调整利润分配政策应由董事会做出专题论述，详细论证调整理由，形成书面论证报告并经独立董事审议后提交股东</w:t>
      </w:r>
    </w:p>
    <w:p>
      <w:pPr>
        <w:pStyle w:val="BodyText"/>
        <w:spacing w:line="240" w:lineRule="auto" w:before="19"/>
        <w:ind w:right="94"/>
        <w:jc w:val="left"/>
      </w:pPr>
      <w:r>
        <w:rPr/>
        <w:t>大会特别决议通过。审议利润分配政策变更事项时，公司为股东提供网络投票方式。</w:t>
      </w:r>
    </w:p>
    <w:p>
      <w:pPr>
        <w:spacing w:line="240" w:lineRule="auto" w:before="0"/>
        <w:rPr>
          <w:rFonts w:ascii="宋体" w:hAnsi="宋体" w:cs="宋体" w:eastAsia="宋体" w:hint="default"/>
          <w:sz w:val="18"/>
          <w:szCs w:val="18"/>
        </w:rPr>
      </w:pPr>
    </w:p>
    <w:p>
      <w:pPr>
        <w:pStyle w:val="Heading4"/>
        <w:spacing w:line="240" w:lineRule="auto" w:before="153"/>
        <w:ind w:left="657" w:right="94"/>
        <w:jc w:val="left"/>
        <w:rPr>
          <w:b w:val="0"/>
          <w:bCs w:val="0"/>
        </w:rPr>
      </w:pPr>
      <w:r>
        <w:rPr/>
        <w:t>（二）公司利润分配政策的执行情况</w:t>
      </w:r>
      <w:r>
        <w:rPr>
          <w:b w:val="0"/>
          <w:bCs w:val="0"/>
        </w:rPr>
      </w:r>
    </w:p>
    <w:p>
      <w:pPr>
        <w:pStyle w:val="BodyText"/>
        <w:spacing w:line="300" w:lineRule="auto" w:before="76"/>
        <w:ind w:right="153" w:firstLine="288"/>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11</w:t>
      </w:r>
      <w:r>
        <w:rPr>
          <w:spacing w:val="-1"/>
        </w:rPr>
        <w:t>日，公司</w:t>
      </w:r>
      <w:r>
        <w:rPr>
          <w:rFonts w:ascii="Times New Roman" w:hAnsi="Times New Roman" w:cs="Times New Roman" w:eastAsia="Times New Roman" w:hint="default"/>
          <w:spacing w:val="-1"/>
        </w:rPr>
        <w:t>2011</w:t>
      </w:r>
      <w:r>
        <w:rPr>
          <w:spacing w:val="-1"/>
        </w:rPr>
        <w:t>年度股东大会审议通过了《</w:t>
      </w:r>
      <w:r>
        <w:rPr>
          <w:rFonts w:ascii="Times New Roman" w:hAnsi="Times New Roman" w:cs="Times New Roman" w:eastAsia="Times New Roman" w:hint="default"/>
          <w:spacing w:val="-1"/>
        </w:rPr>
        <w:t>2011</w:t>
      </w:r>
      <w:r>
        <w:rPr>
          <w:spacing w:val="-1"/>
        </w:rPr>
        <w:t>年度利润分配方案》：以</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17,200</w:t>
      </w:r>
      <w:r>
        <w:rPr>
          <w:spacing w:val="-1"/>
        </w:rPr>
        <w:t>万股为</w:t>
      </w:r>
      <w:r>
        <w:rPr/>
        <w:t> 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w:t>
      </w:r>
      <w:r>
        <w:rPr/>
        <w:t>元（含税），合计派发现金红利</w:t>
      </w:r>
      <w:r>
        <w:rPr>
          <w:rFonts w:ascii="Times New Roman" w:hAnsi="Times New Roman" w:cs="Times New Roman" w:eastAsia="Times New Roman" w:hint="default"/>
        </w:rPr>
        <w:t>1,720</w:t>
      </w:r>
      <w:r>
        <w:rPr/>
        <w:t>万元，剩余未分配利润结转至下一年度。 本方案已于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日实施完毕。</w:t>
      </w:r>
    </w:p>
    <w:p>
      <w:pPr>
        <w:pStyle w:val="BodyText"/>
        <w:spacing w:line="360" w:lineRule="auto" w:before="13"/>
        <w:ind w:right="2074" w:firstLine="216"/>
        <w:jc w:val="left"/>
      </w:pPr>
      <w:r>
        <w:rPr/>
        <w:t>公司报告期利润分配方案符合公司章程和利润分配政策等的相关规定。 公司报告期利润分配预案及资本公积金转增股本预案与公司章程和分红管理办法等的相关规定一致</w:t>
      </w:r>
    </w:p>
    <w:p>
      <w:pPr>
        <w:pStyle w:val="BodyText"/>
        <w:spacing w:line="357" w:lineRule="auto" w:before="25"/>
        <w:ind w:right="3334"/>
        <w:jc w:val="left"/>
      </w:pPr>
      <w:r>
        <w:rPr/>
        <w:t>√ 是 □ 否 □</w:t>
      </w:r>
      <w:r>
        <w:rPr>
          <w:spacing w:val="2"/>
        </w:rPr>
        <w:t> </w:t>
      </w:r>
      <w:r>
        <w:rPr/>
        <w:t>不适用</w:t>
      </w:r>
      <w:r>
        <w:rPr/>
        <w:t> 公司报告期利润分配预案及资本公积金转增股本预案符合公司章程等的相关规定。 本年度利润分配及资本公积金转增股本预案</w:t>
      </w: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17,200,000.00</w:t>
            </w:r>
          </w:p>
        </w:tc>
      </w:tr>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84,188,113.01</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200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firstLine="360"/>
              <w:jc w:val="left"/>
              <w:rPr>
                <w:rFonts w:ascii="宋体" w:hAnsi="宋体" w:cs="宋体" w:eastAsia="宋体" w:hint="default"/>
                <w:sz w:val="18"/>
                <w:szCs w:val="18"/>
              </w:rPr>
            </w:pPr>
            <w:r>
              <w:rPr>
                <w:rFonts w:ascii="宋体" w:hAnsi="宋体" w:cs="宋体" w:eastAsia="宋体" w:hint="default"/>
                <w:sz w:val="18"/>
                <w:szCs w:val="18"/>
              </w:rPr>
              <w:t>经致同会计师事务所审计，</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年度，公司归属于母公司所有者的净利润为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21,837,501.29</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元，根据《公司法》和《公</w:t>
            </w:r>
            <w:r>
              <w:rPr>
                <w:rFonts w:ascii="宋体" w:hAnsi="宋体" w:cs="宋体" w:eastAsia="宋体" w:hint="default"/>
                <w:sz w:val="18"/>
                <w:szCs w:val="18"/>
              </w:rPr>
              <w:t> 司章程》的有关规定，按照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年度母公司实现净利润的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2,183,750.13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元，剩余未分配利润</w:t>
            </w:r>
          </w:p>
          <w:p>
            <w:pPr>
              <w:pStyle w:val="TableParagraph"/>
              <w:spacing w:line="240" w:lineRule="auto" w:before="1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19,653,751.16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元，加上年初未分配利润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81,734,361.85</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元，减去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年派发</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17,200,000.00</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84,188,113.01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240" w:lineRule="auto" w:before="103"/>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万股为基数，向全体股东实施每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2"/>
                <w:sz w:val="18"/>
                <w:szCs w:val="18"/>
              </w:rPr>
              <w:t>红</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万元，剩余未分配</w:t>
            </w:r>
            <w:r>
              <w:rPr>
                <w:rFonts w:ascii="宋体" w:hAnsi="宋体" w:cs="宋体" w:eastAsia="宋体" w:hint="default"/>
                <w:spacing w:val="-3"/>
                <w:sz w:val="18"/>
                <w:szCs w:val="18"/>
              </w:rPr>
              <w:t>利</w:t>
            </w:r>
            <w:r>
              <w:rPr>
                <w:rFonts w:ascii="宋体" w:hAnsi="宋体" w:cs="宋体" w:eastAsia="宋体" w:hint="default"/>
                <w:sz w:val="18"/>
                <w:szCs w:val="18"/>
              </w:rPr>
              <w:t>润结转至下一年度。</w:t>
            </w:r>
          </w:p>
        </w:tc>
      </w:tr>
    </w:tbl>
    <w:p>
      <w:pPr>
        <w:pStyle w:val="BodyText"/>
        <w:spacing w:line="240" w:lineRule="auto" w:before="70"/>
        <w:ind w:right="9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0" w:lineRule="auto" w:before="101"/>
        <w:ind w:right="109" w:firstLine="288"/>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年度利润分配和资本公积金转增股本方案：以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8,600</w:t>
      </w:r>
      <w:r>
        <w:rPr/>
        <w:t>万股为基数，以资本公积金向全体 </w:t>
      </w:r>
      <w:r>
        <w:rPr>
          <w:spacing w:val="-5"/>
        </w:rPr>
        <w:t>股东每</w:t>
      </w:r>
      <w:r>
        <w:rPr>
          <w:rFonts w:ascii="Times New Roman" w:hAnsi="Times New Roman" w:cs="Times New Roman" w:eastAsia="Times New Roman" w:hint="default"/>
          <w:spacing w:val="-5"/>
        </w:rPr>
        <w:t>10</w:t>
      </w:r>
      <w:r>
        <w:rPr>
          <w:spacing w:val="-5"/>
        </w:rPr>
        <w:t>股转增</w:t>
      </w:r>
      <w:r>
        <w:rPr>
          <w:rFonts w:ascii="Times New Roman" w:hAnsi="Times New Roman" w:cs="Times New Roman" w:eastAsia="Times New Roman" w:hint="default"/>
          <w:spacing w:val="-5"/>
        </w:rPr>
        <w:t>10</w:t>
      </w:r>
      <w:r>
        <w:rPr>
          <w:spacing w:val="-5"/>
        </w:rPr>
        <w:t>股，合计转增股本</w:t>
      </w:r>
      <w:r>
        <w:rPr>
          <w:rFonts w:ascii="Times New Roman" w:hAnsi="Times New Roman" w:cs="Times New Roman" w:eastAsia="Times New Roman" w:hint="default"/>
          <w:spacing w:val="-5"/>
        </w:rPr>
        <w:t>8,600</w:t>
      </w:r>
      <w:r>
        <w:rPr>
          <w:spacing w:val="-5"/>
        </w:rPr>
        <w:t>万股；并按每</w:t>
      </w:r>
      <w:r>
        <w:rPr>
          <w:rFonts w:ascii="Times New Roman" w:hAnsi="Times New Roman" w:cs="Times New Roman" w:eastAsia="Times New Roman" w:hint="default"/>
          <w:spacing w:val="-5"/>
        </w:rPr>
        <w:t>10</w:t>
      </w:r>
      <w:r>
        <w:rPr>
          <w:spacing w:val="-5"/>
        </w:rPr>
        <w:t>股派发现金股利人民币</w:t>
      </w:r>
      <w:r>
        <w:rPr>
          <w:rFonts w:ascii="Times New Roman" w:hAnsi="Times New Roman" w:cs="Times New Roman" w:eastAsia="Times New Roman" w:hint="default"/>
          <w:spacing w:val="-5"/>
        </w:rPr>
        <w:t>2</w:t>
      </w:r>
      <w:r>
        <w:rPr>
          <w:spacing w:val="-5"/>
        </w:rPr>
        <w:t>元（含税），派发现金股利共计人民币</w:t>
      </w:r>
      <w:r>
        <w:rPr>
          <w:rFonts w:ascii="Times New Roman" w:hAnsi="Times New Roman" w:cs="Times New Roman" w:eastAsia="Times New Roman" w:hint="default"/>
          <w:spacing w:val="-5"/>
        </w:rPr>
        <w:t>1,720</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万元，剩余未分配利润结转以后年度。上述分配方案于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日实施完毕，公司总股本由</w:t>
      </w:r>
      <w:r>
        <w:rPr>
          <w:rFonts w:ascii="Times New Roman" w:hAnsi="Times New Roman" w:cs="Times New Roman" w:eastAsia="Times New Roman" w:hint="default"/>
        </w:rPr>
        <w:t>8,600</w:t>
      </w:r>
      <w:r>
        <w:rPr/>
        <w:t>万股增加至</w:t>
      </w:r>
      <w:r>
        <w:rPr>
          <w:rFonts w:ascii="Times New Roman" w:hAnsi="Times New Roman" w:cs="Times New Roman" w:eastAsia="Times New Roman" w:hint="default"/>
        </w:rPr>
        <w:t>17,200</w:t>
      </w:r>
      <w:r>
        <w:rPr/>
        <w:t>万股。</w:t>
      </w:r>
    </w:p>
    <w:p>
      <w:pPr>
        <w:pStyle w:val="BodyText"/>
        <w:spacing w:line="300" w:lineRule="auto" w:before="13"/>
        <w:ind w:right="191" w:firstLine="288"/>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2011</w:t>
      </w:r>
      <w:r>
        <w:rPr>
          <w:spacing w:val="-3"/>
        </w:rPr>
        <w:t>年度利润分配方案为：以</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17,200</w:t>
      </w:r>
      <w:r>
        <w:rPr>
          <w:spacing w:val="-3"/>
        </w:rPr>
        <w:t>万股为基数，向全体股东实施每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元（含</w:t>
      </w:r>
      <w:r>
        <w:rPr/>
        <w:t> 税），合计派发现金红利</w:t>
      </w:r>
      <w:r>
        <w:rPr>
          <w:rFonts w:ascii="Times New Roman" w:hAnsi="Times New Roman" w:cs="Times New Roman" w:eastAsia="Times New Roman" w:hint="default"/>
        </w:rPr>
        <w:t>1,720</w:t>
      </w:r>
      <w:r>
        <w:rPr/>
        <w:t>万元，剩余未分配利润结转至下一年度。</w:t>
      </w:r>
    </w:p>
    <w:p>
      <w:pPr>
        <w:pStyle w:val="BodyText"/>
        <w:spacing w:line="300" w:lineRule="auto" w:before="13"/>
        <w:ind w:right="191" w:firstLine="288"/>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2012</w:t>
      </w:r>
      <w:r>
        <w:rPr>
          <w:spacing w:val="-3"/>
        </w:rPr>
        <w:t>年度利润分配预案为：以</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17,200</w:t>
      </w:r>
      <w:r>
        <w:rPr>
          <w:spacing w:val="-3"/>
        </w:rPr>
        <w:t>万股为基数，向全体股东实施每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1</w:t>
      </w:r>
      <w:r>
        <w:rPr>
          <w:spacing w:val="-3"/>
        </w:rPr>
        <w:t>元（含</w:t>
      </w:r>
      <w:r>
        <w:rPr/>
        <w:t> 税），合计派发现金红利</w:t>
      </w:r>
      <w:r>
        <w:rPr>
          <w:rFonts w:ascii="Times New Roman" w:hAnsi="Times New Roman" w:cs="Times New Roman" w:eastAsia="Times New Roman" w:hint="default"/>
        </w:rPr>
        <w:t>1,720</w:t>
      </w:r>
      <w:r>
        <w:rPr/>
        <w:t>万元，剩余未分配利润结转至下一年度。</w:t>
      </w:r>
    </w:p>
    <w:p>
      <w:pPr>
        <w:pStyle w:val="BodyText"/>
        <w:spacing w:line="240" w:lineRule="auto" w:before="53"/>
        <w:ind w:right="94"/>
        <w:jc w:val="left"/>
      </w:pPr>
      <w:r>
        <w:rPr/>
        <w:t>公司近三年现金分红情况表</w:t>
      </w:r>
    </w:p>
    <w:p>
      <w:pPr>
        <w:pStyle w:val="BodyText"/>
        <w:spacing w:line="240" w:lineRule="auto" w:before="115"/>
        <w:ind w:left="0" w:right="191"/>
        <w:jc w:val="right"/>
      </w:pPr>
      <w:r>
        <w:rPr/>
        <w:t>单位：元</w:t>
      </w:r>
    </w:p>
    <w:p>
      <w:pPr>
        <w:spacing w:after="0" w:line="240" w:lineRule="auto"/>
        <w:jc w:val="right"/>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5"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2"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56,241,855.51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30.58%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86,353,307.85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32,512,663.11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52.9%</w:t>
            </w:r>
          </w:p>
        </w:tc>
      </w:tr>
    </w:tbl>
    <w:p>
      <w:pPr>
        <w:pStyle w:val="BodyText"/>
        <w:spacing w:line="240" w:lineRule="auto" w:before="49"/>
        <w:ind w:right="94"/>
        <w:jc w:val="left"/>
      </w:pPr>
      <w:r>
        <w:rPr/>
        <w:t>公司报告期内盈利且母公司未分配利润为正但未提出现金红利分配预案</w:t>
      </w:r>
    </w:p>
    <w:p>
      <w:pPr>
        <w:pStyle w:val="BodyText"/>
        <w:spacing w:line="240" w:lineRule="auto" w:before="115"/>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94"/>
        <w:jc w:val="left"/>
        <w:rPr>
          <w:b w:val="0"/>
          <w:bCs w:val="0"/>
        </w:rPr>
      </w:pPr>
      <w:r>
        <w:rPr/>
        <w:t>五、内幕信息知情人管理制度的建立和执行情况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（一）内幕信息知情人管理制度的建立</w:t>
      </w:r>
      <w:r>
        <w:rPr>
          <w:rFonts w:ascii="宋体" w:hAnsi="宋体" w:cs="宋体" w:eastAsia="宋体" w:hint="default"/>
          <w:b/>
          <w:bCs/>
          <w:w w:val="99"/>
          <w:sz w:val="18"/>
          <w:szCs w:val="18"/>
        </w:rPr>
        <w:t> </w:t>
      </w:r>
      <w:r>
        <w:rPr>
          <w:rFonts w:ascii="宋体" w:hAnsi="宋体" w:cs="宋体" w:eastAsia="宋体" w:hint="default"/>
          <w:spacing w:val="-2"/>
          <w:sz w:val="18"/>
          <w:szCs w:val="18"/>
        </w:rPr>
        <w:t>为进一步规范公司内幕信息管理，加强内幕信息保密工作，维护公司信息披露的公开、公平、公正原则，保护广大投资</w:t>
      </w:r>
    </w:p>
    <w:p>
      <w:pPr>
        <w:pStyle w:val="BodyText"/>
        <w:spacing w:line="314" w:lineRule="auto" w:before="19"/>
        <w:ind w:right="94"/>
        <w:jc w:val="left"/>
      </w:pPr>
      <w:r>
        <w:rPr/>
        <w:t>者的合法权益，</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日，公司第一届董事会第七次会议审议通过了《内幕信息知情人登记制度》。</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w:t>
      </w:r>
      <w:r>
        <w:rPr>
          <w:spacing w:val="-3"/>
        </w:rPr>
        <w:t> </w:t>
      </w:r>
      <w:r>
        <w:rPr>
          <w:spacing w:val="-2"/>
        </w:rPr>
        <w:t>根据《深圳证券交易所创业板股票上市规则》、《深圳证券交易所创业板上市公司规范运作指引》、《关于上市公司建立内</w:t>
      </w:r>
      <w:r>
        <w:rPr>
          <w:spacing w:val="-69"/>
        </w:rPr>
        <w:t> </w:t>
      </w:r>
      <w:r>
        <w:rPr>
          <w:spacing w:val="-69"/>
        </w:rPr>
      </w:r>
      <w:r>
        <w:rPr>
          <w:spacing w:val="-2"/>
        </w:rPr>
        <w:t>幕信息知情人登记管理制度的规定》等有关法律、法规、规范性文件对创业板上市公司的规定和要求，公司第一届董事会第</w:t>
      </w:r>
      <w:r>
        <w:rPr>
          <w:spacing w:val="-66"/>
        </w:rPr>
        <w:t> </w:t>
      </w:r>
      <w:r>
        <w:rPr>
          <w:spacing w:val="-66"/>
        </w:rPr>
      </w:r>
      <w:r>
        <w:rPr>
          <w:spacing w:val="-2"/>
        </w:rPr>
        <w:t>二十三次会议审议通过了《关于修订〈内幕信息知情人登记管理制度〉的议案》，同意将《内幕信息知情人登记制度》修改</w:t>
      </w:r>
      <w:r>
        <w:rPr>
          <w:spacing w:val="-73"/>
        </w:rPr>
        <w:t> </w:t>
      </w:r>
      <w:r>
        <w:rPr>
          <w:spacing w:val="-73"/>
        </w:rPr>
      </w:r>
      <w:r>
        <w:rPr/>
        <w:t>为《内幕信息知情人登记管理制度》并作相应修订。</w:t>
      </w:r>
    </w:p>
    <w:p>
      <w:pPr>
        <w:spacing w:line="316" w:lineRule="auto" w:before="20"/>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（二）内幕信息知情人管理制度的执行情况</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报告期内，公司严格执行内幕信息知情人登记管理制度，特别是在可能影响公司股价的重大敏感信息披露前，一方面控</w:t>
      </w:r>
    </w:p>
    <w:p>
      <w:pPr>
        <w:pStyle w:val="BodyText"/>
        <w:spacing w:line="316" w:lineRule="auto" w:before="19"/>
        <w:ind w:right="94"/>
        <w:jc w:val="left"/>
      </w:pPr>
      <w:r>
        <w:rPr>
          <w:spacing w:val="-2"/>
        </w:rPr>
        <w:t>制内幕信息知情人范围，对外报送涉及上市公司信息的报送时间均晚于公司业绩快报或公告的披露时间，另一方面积极展开</w:t>
      </w:r>
      <w:r>
        <w:rPr>
          <w:spacing w:val="-64"/>
        </w:rPr>
        <w:t> </w:t>
      </w:r>
      <w:r>
        <w:rPr>
          <w:spacing w:val="-64"/>
        </w:rPr>
      </w:r>
      <w:r>
        <w:rPr/>
        <w:t>自查活动，目前未发现有内幕信息知情人在敏感期买卖公司股票的情况。</w:t>
      </w:r>
    </w:p>
    <w:p>
      <w:pPr>
        <w:pStyle w:val="BodyText"/>
        <w:spacing w:line="300" w:lineRule="auto" w:before="19"/>
        <w:ind w:left="513" w:right="94"/>
        <w:jc w:val="left"/>
      </w:pPr>
      <w:r>
        <w:rPr>
          <w:rFonts w:ascii="Times New Roman" w:hAnsi="Times New Roman" w:cs="Times New Roman" w:eastAsia="Times New Roman" w:hint="default"/>
        </w:rPr>
        <w:t>1</w:t>
      </w:r>
      <w:r>
        <w:rPr/>
        <w:t>、定期报告披露期间的信息保密工作 </w:t>
      </w:r>
      <w:r>
        <w:rPr>
          <w:spacing w:val="-2"/>
        </w:rPr>
        <w:t>报告期内，公司严格执行内幕信息保密制度，严格规范信息传递流程，在定期报告披露期间，对于未公开信息，公司董</w:t>
      </w:r>
    </w:p>
    <w:p>
      <w:pPr>
        <w:pStyle w:val="BodyText"/>
        <w:spacing w:line="319" w:lineRule="auto" w:before="31"/>
        <w:ind w:right="190"/>
        <w:jc w:val="both"/>
      </w:pPr>
      <w:r>
        <w:rPr>
          <w:spacing w:val="-2"/>
        </w:rPr>
        <w:t>事会办公室都会严格控制知情人范围并组织相关内幕信息知情人填写《内幕信息知情人登记表》，如实、完整记录上述信息</w:t>
      </w:r>
      <w:r>
        <w:rPr>
          <w:spacing w:val="-66"/>
        </w:rPr>
        <w:t> </w:t>
      </w:r>
      <w:r>
        <w:rPr>
          <w:spacing w:val="-66"/>
        </w:rPr>
      </w:r>
      <w:r>
        <w:rPr>
          <w:spacing w:val="-2"/>
        </w:rPr>
        <w:t>在公开前的所有内幕信息知情人名单，以及知情人知悉内幕信息的时间。经公司董事会办公室核实无误后，按照相关法规规</w:t>
      </w:r>
      <w:r>
        <w:rPr>
          <w:spacing w:val="-63"/>
        </w:rPr>
        <w:t> </w:t>
      </w:r>
      <w:r>
        <w:rPr>
          <w:spacing w:val="-63"/>
        </w:rPr>
      </w:r>
      <w:r>
        <w:rPr/>
        <w:t>定在向深交所和厦门证监局报送定期报告相关资料的同时报备内幕信息知情人登记情况。</w:t>
      </w:r>
    </w:p>
    <w:p>
      <w:pPr>
        <w:pStyle w:val="BodyText"/>
        <w:spacing w:line="300" w:lineRule="auto" w:before="17"/>
        <w:ind w:left="513" w:right="94"/>
        <w:jc w:val="left"/>
      </w:pPr>
      <w:r>
        <w:rPr>
          <w:rFonts w:ascii="Times New Roman" w:hAnsi="Times New Roman" w:cs="Times New Roman" w:eastAsia="Times New Roman" w:hint="default"/>
        </w:rPr>
        <w:t>2</w:t>
      </w:r>
      <w:r>
        <w:rPr/>
        <w:t>、投资者调研期间的信息保密工作 </w:t>
      </w:r>
      <w:r>
        <w:rPr>
          <w:spacing w:val="-2"/>
        </w:rPr>
        <w:t>在定期报告及重大事项披露期间，公司尽量避免接待投资者调研，努力做好定期报告及重大事项披露期间的信息保密工</w:t>
      </w:r>
    </w:p>
    <w:p>
      <w:pPr>
        <w:pStyle w:val="BodyText"/>
        <w:spacing w:line="316" w:lineRule="auto" w:before="31"/>
        <w:ind w:right="94"/>
        <w:jc w:val="left"/>
      </w:pPr>
      <w:r>
        <w:rPr>
          <w:spacing w:val="-2"/>
        </w:rPr>
        <w:t>作。在日常接待投资者调研时，公司董事会办公室负责履行相关的信息保密工作程序。在进行调研前，要求机构或个人投资</w:t>
      </w:r>
      <w:r>
        <w:rPr>
          <w:spacing w:val="-65"/>
        </w:rPr>
        <w:t> </w:t>
      </w:r>
      <w:r>
        <w:rPr>
          <w:spacing w:val="-65"/>
        </w:rPr>
      </w:r>
      <w:r>
        <w:rPr/>
        <w:t>者签署投资者调研承诺书，要求其在对外出具报告前知会公司董事会办公室，并保证相关内容客观、真实。在调研过程中， 董事会办公室人员认真做好相关调研记录，按照相关法规规定向深交所报备并在投资者互动平台披露调研记录。</w:t>
      </w:r>
    </w:p>
    <w:p>
      <w:pPr>
        <w:pStyle w:val="BodyText"/>
        <w:spacing w:line="300" w:lineRule="auto" w:before="19"/>
        <w:ind w:left="513" w:right="193"/>
        <w:jc w:val="left"/>
      </w:pPr>
      <w:r>
        <w:rPr>
          <w:rFonts w:ascii="Times New Roman" w:hAnsi="Times New Roman" w:cs="Times New Roman" w:eastAsia="Times New Roman" w:hint="default"/>
        </w:rPr>
        <w:t>3</w:t>
      </w:r>
      <w:r>
        <w:rPr/>
        <w:t>、其他重大事件的信息保密工作 在其他重大事项未披露前，公司及相关信息披露义务人采取保密措施，以保证信息处于可控范围。根据内幕信息</w:t>
      </w:r>
      <w:r>
        <w:rPr>
          <w:rFonts w:ascii="Times New Roman" w:hAnsi="Times New Roman" w:cs="Times New Roman" w:eastAsia="Times New Roman" w:hint="default"/>
        </w:rPr>
        <w:t>“</w:t>
      </w:r>
      <w:r>
        <w:rPr/>
        <w:t>一事</w:t>
      </w:r>
    </w:p>
    <w:p>
      <w:pPr>
        <w:pStyle w:val="BodyText"/>
        <w:spacing w:line="240" w:lineRule="auto" w:before="13"/>
        <w:ind w:right="94"/>
        <w:jc w:val="left"/>
      </w:pPr>
      <w:r>
        <w:rPr/>
        <w:t>一报</w:t>
      </w:r>
      <w:r>
        <w:rPr>
          <w:rFonts w:ascii="Times New Roman" w:hAnsi="Times New Roman" w:cs="Times New Roman" w:eastAsia="Times New Roman" w:hint="default"/>
        </w:rPr>
        <w:t>”</w:t>
      </w:r>
      <w:r>
        <w:rPr/>
        <w:t>的原则，报备内幕信息知情人登记表。</w:t>
      </w:r>
    </w:p>
    <w:p>
      <w:pPr>
        <w:spacing w:line="316" w:lineRule="auto" w:before="63"/>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（三）报告期内自查内幕信息知情人涉嫌内幕交易以及监管部门的查处和整改情况</w:t>
      </w:r>
      <w:r>
        <w:rPr>
          <w:rFonts w:ascii="宋体" w:hAnsi="宋体" w:cs="宋体" w:eastAsia="宋体" w:hint="default"/>
          <w:b/>
          <w:bCs/>
          <w:w w:val="99"/>
          <w:sz w:val="18"/>
          <w:szCs w:val="18"/>
        </w:rPr>
        <w:t> </w:t>
      </w:r>
      <w:r>
        <w:rPr>
          <w:rFonts w:ascii="宋体" w:hAnsi="宋体" w:cs="宋体" w:eastAsia="宋体" w:hint="default"/>
          <w:spacing w:val="-4"/>
          <w:sz w:val="18"/>
          <w:szCs w:val="18"/>
        </w:rPr>
        <w:t>报告期内，公司董事、监事和高级管理人员以及其他相关内幕信息知情人严格遵守了《内幕信息知情人登记管理制度》，</w:t>
      </w:r>
    </w:p>
    <w:p>
      <w:pPr>
        <w:pStyle w:val="BodyText"/>
        <w:spacing w:line="240" w:lineRule="auto" w:before="19"/>
        <w:ind w:right="94"/>
        <w:jc w:val="left"/>
      </w:pPr>
      <w:r>
        <w:rPr/>
        <w:t>未发现有内幕信息知情人利用内幕信息买卖本公司股份的情况。报告期内公司未发生受到监管部门查处和整改的情况。</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六、报告期内接待调研、沟通、采访等活动登记表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94"/>
        <w:gridCol w:w="1496"/>
        <w:gridCol w:w="1498"/>
        <w:gridCol w:w="1498"/>
        <w:gridCol w:w="1498"/>
        <w:gridCol w:w="2075"/>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35"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r>
        <w:rPr/>
        <w:pict>
          <v:shape style="position:absolute;margin-left:424.867004pt;margin-top:125.789986pt;width:110.2pt;height:258.9pt;mso-position-horizontal-relative:page;mso-position-vertical-relative:page;z-index:-821752" type="#_x0000_t202" filled="false" stroked="false">
            <v:textbox inset="0,0,0,0">
              <w:txbxContent>
                <w:p>
                  <w:pPr>
                    <w:pStyle w:val="BodyText"/>
                    <w:spacing w:line="240" w:lineRule="auto" w:before="48"/>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1"/>
                      <w:szCs w:val="21"/>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w:t>
                  </w:r>
                </w:p>
              </w:txbxContent>
            </v:textbox>
            <w10:wrap type="none"/>
          </v:shape>
        </w:pict>
      </w:r>
      <w:r>
        <w:rPr/>
        <w:pict>
          <v:shape style="position:absolute;margin-left:424.867004pt;margin-top:404.209991pt;width:110.2pt;height:258.9pt;mso-position-horizontal-relative:page;mso-position-vertical-relative:page;z-index:-821728" type="#_x0000_t202" filled="false" stroked="false">
            <v:textbox inset="0,0,0,0">
              <w:txbxContent>
                <w:p>
                  <w:pPr>
                    <w:spacing w:line="240" w:lineRule="auto" w:before="2"/>
                    <w:rPr>
                      <w:rFonts w:ascii="Times New Roman" w:hAnsi="Times New Roman" w:cs="Times New Roman" w:eastAsia="Times New Roman" w:hint="default"/>
                      <w:sz w:val="16"/>
                      <w:szCs w:val="16"/>
                    </w:rPr>
                  </w:pPr>
                </w:p>
                <w:p>
                  <w:pPr>
                    <w:pStyle w:val="BodyText"/>
                    <w:spacing w:line="240" w:lineRule="auto"/>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431.109985pt;margin-top:404.209991pt;width:103.95pt;height:258.9pt;mso-position-horizontal-relative:page;mso-position-vertical-relative:page;z-index:-821704" coordorigin="8622,8084" coordsize="2079,5178">
            <v:shape style="position:absolute;left:8622;top:8084;width:2079;height:5178" coordorigin="8622,8084" coordsize="2079,5178" path="m8622,13262l10701,13262,10701,8084,8622,8084,8622,1326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6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华夏投资</w:t>
            </w:r>
          </w:p>
          <w:p>
            <w:pPr>
              <w:pStyle w:val="TableParagraph"/>
              <w:spacing w:line="316" w:lineRule="auto" w:before="115"/>
              <w:ind w:left="24" w:right="23"/>
              <w:jc w:val="left"/>
              <w:rPr>
                <w:rFonts w:ascii="宋体" w:hAnsi="宋体" w:cs="宋体" w:eastAsia="宋体" w:hint="default"/>
                <w:sz w:val="18"/>
                <w:szCs w:val="18"/>
              </w:rPr>
            </w:pPr>
            <w:r>
              <w:rPr>
                <w:rFonts w:ascii="宋体" w:hAnsi="宋体" w:cs="宋体" w:eastAsia="宋体" w:hint="default"/>
                <w:sz w:val="18"/>
                <w:szCs w:val="18"/>
              </w:rPr>
              <w:t>（田冬宇、童卓、 刘平、崔同魁）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107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鼎诺投资（孙玮） 海通证券（黄晓 </w:t>
            </w:r>
            <w:r>
              <w:rPr>
                <w:rFonts w:ascii="宋体" w:hAnsi="宋体" w:cs="宋体" w:eastAsia="宋体" w:hint="default"/>
                <w:spacing w:val="-31"/>
                <w:sz w:val="18"/>
                <w:szCs w:val="18"/>
              </w:rPr>
              <w:t>明）、</w:t>
            </w:r>
          </w:p>
          <w:p>
            <w:pPr>
              <w:pStyle w:val="TableParagraph"/>
              <w:spacing w:line="338" w:lineRule="auto" w:before="41"/>
              <w:ind w:left="24" w:right="203"/>
              <w:jc w:val="left"/>
              <w:rPr>
                <w:rFonts w:ascii="宋体" w:hAnsi="宋体" w:cs="宋体" w:eastAsia="宋体" w:hint="default"/>
                <w:sz w:val="18"/>
                <w:szCs w:val="18"/>
              </w:rPr>
            </w:pPr>
            <w:r>
              <w:rPr>
                <w:rFonts w:ascii="宋体" w:hAnsi="宋体" w:cs="宋体" w:eastAsia="宋体" w:hint="default"/>
                <w:sz w:val="18"/>
                <w:szCs w:val="18"/>
              </w:rPr>
              <w:t>申银万国（单永 </w:t>
            </w:r>
            <w:r>
              <w:rPr>
                <w:rFonts w:ascii="宋体" w:hAnsi="宋体" w:cs="宋体" w:eastAsia="宋体" w:hint="default"/>
                <w:spacing w:val="-31"/>
                <w:sz w:val="18"/>
                <w:szCs w:val="18"/>
              </w:rPr>
              <w:t>志）、</w:t>
            </w:r>
            <w:r>
              <w:rPr>
                <w:rFonts w:ascii="宋体" w:hAnsi="宋体" w:cs="宋体" w:eastAsia="宋体" w:hint="default"/>
                <w:sz w:val="18"/>
                <w:szCs w:val="18"/>
              </w:rPr>
              <w:t> 星石投资（万凯</w:t>
            </w:r>
          </w:p>
          <w:p>
            <w:pPr>
              <w:pStyle w:val="TableParagraph"/>
              <w:spacing w:line="360"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航）、</w:t>
            </w:r>
            <w:r>
              <w:rPr>
                <w:rFonts w:ascii="宋体" w:hAnsi="宋体" w:cs="宋体" w:eastAsia="宋体" w:hint="default"/>
                <w:sz w:val="18"/>
                <w:szCs w:val="18"/>
              </w:rPr>
              <w:t> 东方证券（韩冬）</w:t>
            </w:r>
          </w:p>
          <w:p>
            <w:pPr>
              <w:pStyle w:val="TableParagraph"/>
              <w:spacing w:line="338" w:lineRule="auto" w:before="25"/>
              <w:ind w:left="24" w:right="23"/>
              <w:jc w:val="left"/>
              <w:rPr>
                <w:rFonts w:ascii="宋体" w:hAnsi="宋体" w:cs="宋体" w:eastAsia="宋体" w:hint="default"/>
                <w:sz w:val="18"/>
                <w:szCs w:val="18"/>
              </w:rPr>
            </w:pPr>
            <w:r>
              <w:rPr>
                <w:rFonts w:ascii="宋体" w:hAnsi="宋体" w:cs="宋体" w:eastAsia="宋体" w:hint="default"/>
                <w:sz w:val="18"/>
                <w:szCs w:val="18"/>
              </w:rPr>
              <w:t>长城基金（陈良 </w:t>
            </w:r>
            <w:r>
              <w:rPr>
                <w:rFonts w:ascii="宋体" w:hAnsi="宋体" w:cs="宋体" w:eastAsia="宋体" w:hint="default"/>
                <w:spacing w:val="-31"/>
                <w:sz w:val="18"/>
                <w:szCs w:val="18"/>
              </w:rPr>
              <w:t>栋）、</w:t>
            </w:r>
            <w:r>
              <w:rPr>
                <w:rFonts w:ascii="宋体" w:hAnsi="宋体" w:cs="宋体" w:eastAsia="宋体" w:hint="default"/>
                <w:sz w:val="18"/>
                <w:szCs w:val="18"/>
              </w:rPr>
              <w:t> 中欧基金（沈洋）</w:t>
            </w:r>
          </w:p>
          <w:p>
            <w:pPr>
              <w:pStyle w:val="TableParagraph"/>
              <w:spacing w:line="338" w:lineRule="auto" w:before="43"/>
              <w:ind w:left="24" w:right="203"/>
              <w:jc w:val="left"/>
              <w:rPr>
                <w:rFonts w:ascii="宋体" w:hAnsi="宋体" w:cs="宋体" w:eastAsia="宋体" w:hint="default"/>
                <w:sz w:val="18"/>
                <w:szCs w:val="18"/>
              </w:rPr>
            </w:pPr>
            <w:r>
              <w:rPr>
                <w:rFonts w:ascii="宋体" w:hAnsi="宋体" w:cs="宋体" w:eastAsia="宋体" w:hint="default"/>
                <w:sz w:val="18"/>
                <w:szCs w:val="18"/>
              </w:rPr>
              <w:t>民生证券（沈海 </w:t>
            </w:r>
            <w:r>
              <w:rPr>
                <w:rFonts w:ascii="宋体" w:hAnsi="宋体" w:cs="宋体" w:eastAsia="宋体" w:hint="default"/>
                <w:spacing w:val="-31"/>
                <w:sz w:val="18"/>
                <w:szCs w:val="18"/>
              </w:rPr>
              <w:t>兵）、</w:t>
            </w:r>
            <w:r>
              <w:rPr>
                <w:rFonts w:ascii="宋体" w:hAnsi="宋体" w:cs="宋体" w:eastAsia="宋体" w:hint="default"/>
                <w:sz w:val="18"/>
                <w:szCs w:val="18"/>
              </w:rPr>
              <w:t> 华林证券（胡社</w:t>
            </w:r>
          </w:p>
          <w:p>
            <w:pPr>
              <w:pStyle w:val="TableParagraph"/>
              <w:spacing w:line="338"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平）、</w:t>
            </w:r>
            <w:r>
              <w:rPr>
                <w:rFonts w:ascii="宋体" w:hAnsi="宋体" w:cs="宋体" w:eastAsia="宋体" w:hint="default"/>
                <w:sz w:val="18"/>
                <w:szCs w:val="18"/>
              </w:rPr>
              <w:t> 财通证券（杨振 </w:t>
            </w:r>
            <w:r>
              <w:rPr>
                <w:rFonts w:ascii="宋体" w:hAnsi="宋体" w:cs="宋体" w:eastAsia="宋体" w:hint="default"/>
                <w:spacing w:val="-31"/>
                <w:sz w:val="18"/>
                <w:szCs w:val="18"/>
              </w:rPr>
              <w:t>华）、</w:t>
            </w:r>
          </w:p>
          <w:p>
            <w:pPr>
              <w:pStyle w:val="TableParagraph"/>
              <w:spacing w:line="338" w:lineRule="auto" w:before="43"/>
              <w:ind w:left="24" w:right="23"/>
              <w:jc w:val="left"/>
              <w:rPr>
                <w:rFonts w:ascii="宋体" w:hAnsi="宋体" w:cs="宋体" w:eastAsia="宋体" w:hint="default"/>
                <w:sz w:val="18"/>
                <w:szCs w:val="18"/>
              </w:rPr>
            </w:pPr>
            <w:r>
              <w:rPr>
                <w:rFonts w:ascii="宋体" w:hAnsi="宋体" w:cs="宋体" w:eastAsia="宋体" w:hint="default"/>
                <w:sz w:val="18"/>
                <w:szCs w:val="18"/>
              </w:rPr>
              <w:t>大成基金（申雷） 富国基金（王海 </w:t>
            </w:r>
            <w:r>
              <w:rPr>
                <w:rFonts w:ascii="宋体" w:hAnsi="宋体" w:cs="宋体" w:eastAsia="宋体" w:hint="default"/>
                <w:spacing w:val="-31"/>
                <w:sz w:val="18"/>
                <w:szCs w:val="18"/>
              </w:rPr>
              <w:t>军）、</w:t>
            </w:r>
          </w:p>
          <w:p>
            <w:pPr>
              <w:pStyle w:val="TableParagraph"/>
              <w:spacing w:line="338" w:lineRule="auto" w:before="44"/>
              <w:ind w:left="24" w:right="23"/>
              <w:jc w:val="left"/>
              <w:rPr>
                <w:rFonts w:ascii="宋体" w:hAnsi="宋体" w:cs="宋体" w:eastAsia="宋体" w:hint="default"/>
                <w:sz w:val="18"/>
                <w:szCs w:val="18"/>
              </w:rPr>
            </w:pPr>
            <w:r>
              <w:rPr>
                <w:rFonts w:ascii="宋体" w:hAnsi="宋体" w:cs="宋体" w:eastAsia="宋体" w:hint="default"/>
                <w:sz w:val="18"/>
                <w:szCs w:val="18"/>
              </w:rPr>
              <w:t>荷银基金（王颐 </w:t>
            </w:r>
            <w:r>
              <w:rPr>
                <w:rFonts w:ascii="宋体" w:hAnsi="宋体" w:cs="宋体" w:eastAsia="宋体" w:hint="default"/>
                <w:spacing w:val="-31"/>
                <w:sz w:val="18"/>
                <w:szCs w:val="18"/>
              </w:rPr>
              <w:t>疆）、</w:t>
            </w:r>
            <w:r>
              <w:rPr>
                <w:rFonts w:ascii="宋体" w:hAnsi="宋体" w:cs="宋体" w:eastAsia="宋体" w:hint="default"/>
                <w:sz w:val="18"/>
                <w:szCs w:val="18"/>
              </w:rPr>
              <w:t> 丰瑞世纪（徐峰）</w:t>
            </w:r>
          </w:p>
          <w:p>
            <w:pPr>
              <w:pStyle w:val="TableParagraph"/>
              <w:spacing w:line="338" w:lineRule="auto" w:before="41"/>
              <w:ind w:left="24" w:right="23"/>
              <w:jc w:val="left"/>
              <w:rPr>
                <w:rFonts w:ascii="宋体" w:hAnsi="宋体" w:cs="宋体" w:eastAsia="宋体" w:hint="default"/>
                <w:sz w:val="18"/>
                <w:szCs w:val="18"/>
              </w:rPr>
            </w:pPr>
            <w:r>
              <w:rPr>
                <w:rFonts w:ascii="宋体" w:hAnsi="宋体" w:cs="宋体" w:eastAsia="宋体" w:hint="default"/>
                <w:sz w:val="18"/>
                <w:szCs w:val="18"/>
              </w:rPr>
              <w:t>平安大华基金（韩 </w:t>
            </w:r>
            <w:r>
              <w:rPr>
                <w:rFonts w:ascii="宋体" w:hAnsi="宋体" w:cs="宋体" w:eastAsia="宋体" w:hint="default"/>
                <w:spacing w:val="-31"/>
                <w:sz w:val="18"/>
                <w:szCs w:val="18"/>
              </w:rPr>
              <w:t>冰）、</w:t>
            </w:r>
            <w:r>
              <w:rPr>
                <w:rFonts w:ascii="宋体" w:hAnsi="宋体" w:cs="宋体" w:eastAsia="宋体" w:hint="default"/>
                <w:sz w:val="18"/>
                <w:szCs w:val="18"/>
              </w:rPr>
              <w:t> 国联安基金（施卫</w:t>
            </w:r>
          </w:p>
          <w:p>
            <w:pPr>
              <w:pStyle w:val="TableParagraph"/>
              <w:spacing w:line="338"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平）、</w:t>
            </w:r>
            <w:r>
              <w:rPr>
                <w:rFonts w:ascii="宋体" w:hAnsi="宋体" w:cs="宋体" w:eastAsia="宋体" w:hint="default"/>
                <w:sz w:val="18"/>
                <w:szCs w:val="18"/>
              </w:rPr>
              <w:t> 第一创业证券（邓 </w:t>
            </w:r>
            <w:r>
              <w:rPr>
                <w:rFonts w:ascii="宋体" w:hAnsi="宋体" w:cs="宋体" w:eastAsia="宋体" w:hint="default"/>
                <w:spacing w:val="-31"/>
                <w:sz w:val="18"/>
                <w:szCs w:val="18"/>
              </w:rPr>
              <w:t>军）、</w:t>
            </w:r>
          </w:p>
          <w:p>
            <w:pPr>
              <w:pStyle w:val="TableParagraph"/>
              <w:spacing w:line="316" w:lineRule="auto" w:before="41"/>
              <w:ind w:left="24" w:right="23"/>
              <w:jc w:val="both"/>
              <w:rPr>
                <w:rFonts w:ascii="宋体" w:hAnsi="宋体" w:cs="宋体" w:eastAsia="宋体" w:hint="default"/>
                <w:sz w:val="18"/>
                <w:szCs w:val="18"/>
              </w:rPr>
            </w:pPr>
            <w:r>
              <w:rPr>
                <w:rFonts w:ascii="宋体" w:hAnsi="宋体" w:cs="宋体" w:eastAsia="宋体" w:hint="default"/>
                <w:sz w:val="18"/>
                <w:szCs w:val="18"/>
              </w:rPr>
              <w:t>华泰联合证券（林 梅梅、庄旭、王小 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5177"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3"/>
                <w:sz w:val="20"/>
                <w:szCs w:val="20"/>
              </w:rPr>
              <w:pict>
                <v:group style="width:103.95pt;height:258.9pt;mso-position-horizontal-relative:char;mso-position-vertical-relative:line" coordorigin="0,0" coordsize="2079,5178">
                  <v:group style="position:absolute;left:0;top:0;width:2079;height:5178" coordorigin="0,0" coordsize="2079,5178">
                    <v:shape style="position:absolute;left:0;top:0;width:2079;height:5178" coordorigin="0,0" coordsize="2079,5178" path="m0,5177l2079,5177,2079,0,0,0,0,5177xe" filled="true" fillcolor="#ffffff" stroked="false">
                      <v:path arrowok="t"/>
                      <v:fill type="solid"/>
                    </v:shape>
                  </v:group>
                </v:group>
              </w:pict>
            </w:r>
            <w:r>
              <w:rPr>
                <w:rFonts w:ascii="Times New Roman" w:hAnsi="Times New Roman" w:cs="Times New Roman" w:eastAsia="Times New Roman" w:hint="default"/>
                <w:position w:val="-103"/>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李露梅、林建华</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3"/>
              <w:jc w:val="left"/>
              <w:rPr>
                <w:rFonts w:ascii="宋体" w:hAnsi="宋体" w:cs="宋体" w:eastAsia="宋体" w:hint="default"/>
                <w:sz w:val="18"/>
                <w:szCs w:val="18"/>
              </w:rPr>
            </w:pPr>
            <w:r>
              <w:rPr>
                <w:rFonts w:ascii="宋体" w:hAnsi="宋体" w:cs="宋体" w:eastAsia="宋体" w:hint="default"/>
                <w:sz w:val="18"/>
                <w:szCs w:val="18"/>
              </w:rPr>
              <w:t>招商证券（刘雪 峰</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中银基金：史彬、 邬炜</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406.876007pt;margin-top:116.539986pt;width:128.2pt;height:24.4pt;mso-position-horizontal-relative:page;mso-position-vertical-relative:page;z-index:-821680" type="#_x0000_t202" filled="false" stroked="false">
            <v:textbox inset="0,0,0,0">
              <w:txbxContent>
                <w:p>
                  <w:pPr>
                    <w:pStyle w:val="BodyText"/>
                    <w:spacing w:line="240" w:lineRule="auto" w:before="142"/>
                    <w:ind w:left="0" w:right="0"/>
                    <w:jc w:val="left"/>
                  </w:pPr>
                  <w:r>
                    <w:rPr/>
                    <w:t>林松）</w:t>
                  </w:r>
                </w:p>
              </w:txbxContent>
            </v:textbox>
            <w10:wrap type="none"/>
          </v:shape>
        </w:pict>
      </w:r>
      <w:r>
        <w:rPr/>
        <w:pict>
          <v:shape style="position:absolute;margin-left:424.993011pt;margin-top:93.325607pt;width:108.9pt;height:23.25pt;mso-position-horizontal-relative:page;mso-position-vertical-relative:page;z-index:-821656" type="#_x0000_t202" filled="false" stroked="false">
            <v:textbox inset="0,0,0,0">
              <w:txbxContent>
                <w:p>
                  <w:pPr>
                    <w:pStyle w:val="BodyText"/>
                    <w:spacing w:line="180" w:lineRule="exact"/>
                    <w:ind w:left="0" w:right="0"/>
                    <w:jc w:val="left"/>
                  </w:pPr>
                  <w:r>
                    <w:rPr/>
                    <w:t>、</w:t>
                  </w:r>
                </w:p>
              </w:txbxContent>
            </v:textbox>
            <w10:wrap type="none"/>
          </v:shape>
        </w:pict>
      </w:r>
      <w:r>
        <w:rPr/>
        <w:pict>
          <v:shape style="position:absolute;margin-left:388.993011pt;margin-top:262.099976pt;width:146.1pt;height:16.6pt;mso-position-horizontal-relative:page;mso-position-vertical-relative:page;z-index:-821632" type="#_x0000_t202" filled="false" stroked="false">
            <v:textbox inset="0,0,0,0">
              <w:txbxContent>
                <w:p>
                  <w:pPr>
                    <w:pStyle w:val="BodyText"/>
                    <w:spacing w:line="225" w:lineRule="exact"/>
                    <w:ind w:left="0" w:right="0"/>
                    <w:jc w:val="left"/>
                  </w:pPr>
                  <w:r>
                    <w:rPr/>
                    <w:t>（陈启书）</w:t>
                  </w:r>
                </w:p>
              </w:txbxContent>
            </v:textbox>
            <w10:wrap type="none"/>
          </v:shape>
        </w:pict>
      </w:r>
      <w:r>
        <w:rPr/>
        <w:pict>
          <v:shape style="position:absolute;margin-left:388.993011pt;margin-top:279.265991pt;width:146.1pt;height:33.15pt;mso-position-horizontal-relative:page;mso-position-vertical-relative:page;z-index:-821608" type="#_x0000_t202" filled="false" stroked="false">
            <v:textbox inset="0,0,0,0">
              <w:txbxContent>
                <w:p>
                  <w:pPr>
                    <w:pStyle w:val="BodyText"/>
                    <w:spacing w:line="240" w:lineRule="auto" w:before="49"/>
                    <w:ind w:left="0" w:right="0"/>
                    <w:jc w:val="left"/>
                  </w:pPr>
                  <w:r>
                    <w:rPr/>
                    <w:t>（张源远、</w:t>
                  </w:r>
                </w:p>
              </w:txbxContent>
            </v:textbox>
            <w10:wrap type="none"/>
          </v:shape>
        </w:pict>
      </w:r>
      <w:r>
        <w:rPr/>
        <w:pict>
          <v:shape style="position:absolute;margin-left:388.993011pt;margin-top:332.089996pt;width:146.1pt;height:33.15pt;mso-position-horizontal-relative:page;mso-position-vertical-relative:page;z-index:-8215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（马先文）</w:t>
                  </w:r>
                </w:p>
              </w:txbxContent>
            </v:textbox>
            <w10:wrap type="none"/>
          </v:shape>
        </w:pict>
      </w:r>
      <w:r>
        <w:rPr/>
        <w:pict>
          <v:shape style="position:absolute;margin-left:397.993011pt;margin-top:312.409973pt;width:135.9pt;height:19.7pt;mso-position-horizontal-relative:page;mso-position-vertical-relative:page;z-index:-821560" type="#_x0000_t202" filled="false" stroked="false">
            <v:textbox inset="0,0,0,0">
              <w:txbxContent>
                <w:p>
                  <w:pPr>
                    <w:pStyle w:val="BodyText"/>
                    <w:spacing w:line="240" w:lineRule="auto" w:before="49"/>
                    <w:ind w:left="0" w:right="0"/>
                    <w:jc w:val="left"/>
                  </w:pPr>
                  <w:r>
                    <w:rPr/>
                    <w:t>（程岽、</w:t>
                  </w:r>
                </w:p>
              </w:txbxContent>
            </v:textbox>
            <w10:wrap type="none"/>
          </v:shape>
        </w:pict>
      </w:r>
      <w:r>
        <w:rPr/>
        <w:pict>
          <v:shape style="position:absolute;margin-left:415.98999pt;margin-top:519.190002pt;width:119.1pt;height:133.8pt;mso-position-horizontal-relative:page;mso-position-vertical-relative:page;z-index:-821536" type="#_x0000_t202" filled="false" stroked="false">
            <v:textbox inset="0,0,0,0">
              <w:txbxContent>
                <w:p>
                  <w:pPr>
                    <w:spacing w:line="240" w:lineRule="auto" w:before="11"/>
                    <w:rPr>
                      <w:rFonts w:ascii="Times New Roman" w:hAnsi="Times New Roman" w:cs="Times New Roman" w:eastAsia="Times New Roman" w:hint="default"/>
                      <w:sz w:val="25"/>
                      <w:szCs w:val="25"/>
                    </w:rPr>
                  </w:pPr>
                </w:p>
                <w:p>
                  <w:pPr>
                    <w:pStyle w:val="BodyText"/>
                    <w:spacing w:line="240" w:lineRule="auto"/>
                    <w:ind w:left="177"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firstLine="177"/>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2019"/>
                    <w:jc w:val="center"/>
                  </w:pPr>
                  <w:r>
                    <w:rPr/>
                    <w:t>锋）</w:t>
                  </w:r>
                </w:p>
              </w:txbxContent>
            </v:textbox>
            <w10:wrap type="none"/>
          </v:shape>
        </w:pict>
      </w:r>
      <w:r>
        <w:rPr/>
        <w:pict>
          <v:shape style="position:absolute;margin-left:424.867004pt;margin-top:714.579956pt;width:109pt;height:22.05pt;mso-position-horizontal-relative:page;mso-position-vertical-relative:page;z-index:-821512"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431.109985pt;margin-top:72.475983pt;width:103.95pt;height:68.45pt;mso-position-horizontal-relative:page;mso-position-vertical-relative:page;z-index:-821488" coordorigin="8622,1450" coordsize="2079,1369">
            <v:group style="position:absolute;left:8622;top:1450;width:2079;height:488" coordorigin="8622,1450" coordsize="2079,488">
              <v:shape style="position:absolute;left:8622;top:1450;width:2079;height:488" coordorigin="8622,1450" coordsize="2079,488" path="m8622,1937l10701,1937,10701,1450,8622,1450,8622,1937xe" filled="true" fillcolor="#ffffff" stroked="false">
                <v:path arrowok="t"/>
                <v:fill type="solid"/>
              </v:shape>
            </v:group>
            <v:group style="position:absolute;left:8634;top:1937;width:2;height:394" coordorigin="8634,1937" coordsize="2,394">
              <v:shape style="position:absolute;left:8634;top:1937;width:2;height:394" coordorigin="8634,1937" coordsize="0,394" path="m8634,1937l8634,2331e" filled="false" stroked="true" strokeweight="1.2pt" strokecolor="#ffffff">
                <v:path arrowok="t"/>
              </v:shape>
            </v:group>
            <v:group style="position:absolute;left:8622;top:2331;width:2079;height:488" coordorigin="8622,2331" coordsize="2079,488">
              <v:shape style="position:absolute;left:8622;top:2331;width:2079;height:488" coordorigin="8622,2331" coordsize="2079,488" path="m8622,2818l10701,2818,10701,2331,8622,2331,8622,2818xe" filled="true" fillcolor="#ffffff" stroked="false">
                <v:path arrowok="t"/>
                <v:fill type="solid"/>
              </v:shape>
            </v:group>
            <v:group style="position:absolute;left:8646;top:1937;width:2031;height:394" coordorigin="8646,1937" coordsize="2031,394">
              <v:shape style="position:absolute;left:8646;top:1937;width:2031;height:394" coordorigin="8646,1937" coordsize="2031,394" path="m8646,2331l10677,2331,10677,1937,8646,1937,8646,2331xe" filled="true" fillcolor="#ffffff" stroked="false">
                <v:path arrowok="t"/>
                <v:fill type="solid"/>
              </v:shape>
            </v:group>
            <w10:wrap type="none"/>
          </v:group>
        </w:pict>
      </w:r>
      <w:r>
        <w:rPr/>
        <w:pict>
          <v:group style="position:absolute;margin-left:431.109985pt;margin-top:262.099976pt;width:103.95pt;height:103.15pt;mso-position-horizontal-relative:page;mso-position-vertical-relative:page;z-index:-821464" coordorigin="8622,5242" coordsize="2079,2063">
            <v:group style="position:absolute;left:8622;top:5242;width:2079;height:332" coordorigin="8622,5242" coordsize="2079,332">
              <v:shape style="position:absolute;left:8622;top:5242;width:2079;height:332" coordorigin="8622,5242" coordsize="2079,332" path="m8622,5573l10701,5573,10701,5242,8622,5242,8622,5573xe" filled="true" fillcolor="#ffffff" stroked="false">
                <v:path arrowok="t"/>
                <v:fill type="solid"/>
              </v:shape>
            </v:group>
            <v:group style="position:absolute;left:8622;top:5585;width:2079;height:663" coordorigin="8622,5585" coordsize="2079,663">
              <v:shape style="position:absolute;left:8622;top:5585;width:2079;height:663" coordorigin="8622,5585" coordsize="2079,663" path="m8622,6248l10701,6248,10701,5585,8622,5585,8622,6248xe" filled="true" fillcolor="#ffffff" stroked="false">
                <v:path arrowok="t"/>
                <v:fill type="solid"/>
              </v:shape>
            </v:group>
            <v:group style="position:absolute;left:8634;top:6248;width:2;height:394" coordorigin="8634,6248" coordsize="2,394">
              <v:shape style="position:absolute;left:8634;top:6248;width:2;height:394" coordorigin="8634,6248" coordsize="0,394" path="m8634,6248l8634,6642e" filled="false" stroked="true" strokeweight="1.2pt" strokecolor="#ffffff">
                <v:path arrowok="t"/>
              </v:shape>
            </v:group>
            <v:group style="position:absolute;left:8622;top:6642;width:2079;height:663" coordorigin="8622,6642" coordsize="2079,663">
              <v:shape style="position:absolute;left:8622;top:6642;width:2079;height:663" coordorigin="8622,6642" coordsize="2079,663" path="m8622,7304l10701,7304,10701,6642,8622,6642,8622,7304xe" filled="true" fillcolor="#ffffff" stroked="false">
                <v:path arrowok="t"/>
                <v:fill type="solid"/>
              </v:shape>
            </v:group>
            <v:group style="position:absolute;left:8646;top:6248;width:2031;height:394" coordorigin="8646,6248" coordsize="2031,394">
              <v:shape style="position:absolute;left:8646;top:6248;width:2031;height:394" coordorigin="8646,6248" coordsize="2031,394" path="m8646,6642l10677,6642,10677,6248,8646,6248,8646,6642xe" filled="true" fillcolor="#ffffff" stroked="false">
                <v:path arrowok="t"/>
                <v:fill type="solid"/>
              </v:shape>
            </v:group>
            <w10:wrap type="none"/>
          </v:group>
        </w:pict>
      </w:r>
      <w:r>
        <w:rPr/>
        <w:pict>
          <v:group style="position:absolute;margin-left:431.109985pt;margin-top:519.190002pt;width:103.95pt;height:133.8pt;mso-position-horizontal-relative:page;mso-position-vertical-relative:page;z-index:-821440" coordorigin="8622,10384" coordsize="2079,2676">
            <v:shape style="position:absolute;left:8622;top:10384;width:2079;height:2676" coordorigin="8622,10384" coordsize="2079,2676" path="m8622,13060l10701,13060,10701,10384,8622,10384,8622,13060xe" filled="true" fillcolor="#ffffff" stroked="false">
              <v:path arrowok="t"/>
              <v:fill type="solid"/>
            </v:shape>
            <w10:wrap type="none"/>
          </v:group>
        </w:pict>
      </w:r>
      <w:r>
        <w:rPr/>
        <w:pict>
          <v:group style="position:absolute;margin-left:431.109985pt;margin-top:713.97998pt;width:103.95pt;height:45.6pt;mso-position-horizontal-relative:page;mso-position-vertical-relative:page;z-index:-821416" coordorigin="8622,14280" coordsize="2079,912">
            <v:group style="position:absolute;left:8634;top:14292;width:2;height:392" coordorigin="8634,14292" coordsize="2,392">
              <v:shape style="position:absolute;left:8634;top:14292;width:2;height:392" coordorigin="8634,14292" coordsize="0,392" path="m8634,14292l8634,14683e" filled="false" stroked="true" strokeweight="1.2pt" strokecolor="#ffffff">
                <v:path arrowok="t"/>
              </v:shape>
            </v:group>
            <v:group style="position:absolute;left:8622;top:14683;width:2079;height:509" coordorigin="8622,14683" coordsize="2079,509">
              <v:shape style="position:absolute;left:8622;top:14683;width:2079;height:509" coordorigin="8622,14683" coordsize="2079,509" path="m8622,15192l10701,15192,10701,14683,8622,14683,8622,15192xe" filled="true" fillcolor="#ffffff" stroked="false">
                <v:path arrowok="t"/>
                <v:fill type="solid"/>
              </v:shape>
            </v:group>
            <v:group style="position:absolute;left:8646;top:14292;width:2031;height:392" coordorigin="8646,14292" coordsize="2031,392">
              <v:shape style="position:absolute;left:8646;top:14292;width:2031;height:392" coordorigin="8646,14292" coordsize="2031,392" path="m8646,14683l10677,14683,10677,14292,8646,14292,8646,1468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37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工银瑞信基金（胡 </w:t>
            </w:r>
            <w:r>
              <w:rPr>
                <w:rFonts w:ascii="宋体" w:hAnsi="宋体" w:cs="宋体" w:eastAsia="宋体" w:hint="default"/>
                <w:spacing w:val="-20"/>
                <w:sz w:val="18"/>
                <w:szCs w:val="18"/>
              </w:rPr>
              <w:t>文彪、曲丽、曾实）</w:t>
            </w:r>
          </w:p>
          <w:p>
            <w:pPr>
              <w:pStyle w:val="TableParagraph"/>
              <w:spacing w:line="316" w:lineRule="auto" w:before="55"/>
              <w:ind w:left="24" w:right="23"/>
              <w:jc w:val="left"/>
              <w:rPr>
                <w:rFonts w:ascii="宋体" w:hAnsi="宋体" w:cs="宋体" w:eastAsia="宋体" w:hint="default"/>
                <w:sz w:val="18"/>
                <w:szCs w:val="18"/>
              </w:rPr>
            </w:pPr>
            <w:r>
              <w:rPr>
                <w:rFonts w:ascii="宋体" w:hAnsi="宋体" w:cs="宋体" w:eastAsia="宋体" w:hint="default"/>
                <w:sz w:val="18"/>
                <w:szCs w:val="18"/>
              </w:rPr>
              <w:t>东兴证券股份（王 </w:t>
            </w:r>
            <w:r>
              <w:rPr>
                <w:rFonts w:ascii="宋体" w:hAnsi="宋体" w:cs="宋体" w:eastAsia="宋体" w:hint="default"/>
                <w:spacing w:val="-8"/>
                <w:sz w:val="18"/>
                <w:szCs w:val="18"/>
              </w:rPr>
              <w:t>玉泉、韩庆、</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169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安本资产管理（姚 鸿耀、田野</w:t>
            </w:r>
            <w:r>
              <w:rPr>
                <w:rFonts w:ascii="宋体" w:hAnsi="宋体" w:cs="宋体" w:eastAsia="宋体" w:hint="default"/>
                <w:spacing w:val="1"/>
                <w:sz w:val="18"/>
                <w:szCs w:val="18"/>
              </w:rPr>
              <w:t> </w:t>
            </w:r>
            <w:r>
              <w:rPr>
                <w:rFonts w:ascii="宋体" w:hAnsi="宋体" w:cs="宋体" w:eastAsia="宋体" w:hint="default"/>
                <w:spacing w:val="-92"/>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中国国际金融香港</w:t>
            </w:r>
          </w:p>
          <w:p>
            <w:pPr>
              <w:pStyle w:val="TableParagraph"/>
              <w:spacing w:line="316" w:lineRule="auto" w:before="2"/>
              <w:ind w:left="24" w:right="23"/>
              <w:jc w:val="left"/>
              <w:rPr>
                <w:rFonts w:ascii="宋体" w:hAnsi="宋体" w:cs="宋体" w:eastAsia="宋体" w:hint="default"/>
                <w:sz w:val="18"/>
                <w:szCs w:val="18"/>
              </w:rPr>
            </w:pPr>
            <w:r>
              <w:rPr>
                <w:rFonts w:ascii="宋体" w:hAnsi="宋体" w:cs="宋体" w:eastAsia="宋体" w:hint="default"/>
                <w:sz w:val="18"/>
                <w:szCs w:val="18"/>
              </w:rPr>
              <w:t>证券有限公司（何 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106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上海国际信托（刘 </w:t>
            </w:r>
            <w:r>
              <w:rPr>
                <w:rFonts w:ascii="宋体" w:hAnsi="宋体" w:cs="宋体" w:eastAsia="宋体" w:hint="default"/>
                <w:spacing w:val="-31"/>
                <w:sz w:val="18"/>
                <w:szCs w:val="18"/>
              </w:rPr>
              <w:t>白）、</w:t>
            </w:r>
          </w:p>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上海证券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173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4" w:right="563"/>
              <w:jc w:val="left"/>
              <w:rPr>
                <w:rFonts w:ascii="宋体" w:hAnsi="宋体" w:cs="宋体" w:eastAsia="宋体" w:hint="default"/>
                <w:sz w:val="18"/>
                <w:szCs w:val="18"/>
              </w:rPr>
            </w:pPr>
            <w:r>
              <w:rPr>
                <w:rFonts w:ascii="宋体" w:hAnsi="宋体" w:cs="宋体" w:eastAsia="宋体" w:hint="default"/>
                <w:sz w:val="18"/>
                <w:szCs w:val="18"/>
              </w:rPr>
              <w:t>广发证券 </w:t>
            </w:r>
            <w:r>
              <w:rPr>
                <w:rFonts w:ascii="宋体" w:hAnsi="宋体" w:cs="宋体" w:eastAsia="宋体" w:hint="default"/>
                <w:spacing w:val="-19"/>
                <w:sz w:val="18"/>
                <w:szCs w:val="18"/>
              </w:rPr>
              <w:t>李音临）、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海富通基金</w:t>
            </w:r>
          </w:p>
          <w:p>
            <w:pPr>
              <w:pStyle w:val="TableParagraph"/>
              <w:spacing w:line="360" w:lineRule="auto" w:before="2"/>
              <w:ind w:left="24" w:right="653"/>
              <w:jc w:val="left"/>
              <w:rPr>
                <w:rFonts w:ascii="宋体" w:hAnsi="宋体" w:cs="宋体" w:eastAsia="宋体" w:hint="default"/>
                <w:sz w:val="18"/>
                <w:szCs w:val="18"/>
              </w:rPr>
            </w:pPr>
            <w:r>
              <w:rPr>
                <w:rFonts w:ascii="宋体" w:hAnsi="宋体" w:cs="宋体" w:eastAsia="宋体" w:hint="default"/>
                <w:spacing w:val="-19"/>
                <w:sz w:val="18"/>
                <w:szCs w:val="18"/>
              </w:rPr>
              <w:t>牟永宁）、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57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华泰联合证券（张 </w:t>
            </w:r>
            <w:r>
              <w:rPr>
                <w:rFonts w:ascii="宋体" w:hAnsi="宋体" w:cs="宋体" w:eastAsia="宋体" w:hint="default"/>
                <w:spacing w:val="-31"/>
                <w:sz w:val="18"/>
                <w:szCs w:val="18"/>
              </w:rPr>
              <w:t>冰）、</w:t>
            </w:r>
            <w:r>
              <w:rPr>
                <w:rFonts w:ascii="宋体" w:hAnsi="宋体" w:cs="宋体" w:eastAsia="宋体" w:hint="default"/>
                <w:sz w:val="18"/>
                <w:szCs w:val="18"/>
              </w:rPr>
              <w:t> 华泰证券（张一</w:t>
            </w:r>
          </w:p>
          <w:p>
            <w:pPr>
              <w:pStyle w:val="TableParagraph"/>
              <w:spacing w:line="338"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帆）、</w:t>
            </w:r>
            <w:r>
              <w:rPr>
                <w:rFonts w:ascii="宋体" w:hAnsi="宋体" w:cs="宋体" w:eastAsia="宋体" w:hint="default"/>
                <w:sz w:val="18"/>
                <w:szCs w:val="18"/>
              </w:rPr>
              <w:t> 厦门普尔投资（朱 </w:t>
            </w:r>
            <w:r>
              <w:rPr>
                <w:rFonts w:ascii="宋体" w:hAnsi="宋体" w:cs="宋体" w:eastAsia="宋体" w:hint="default"/>
                <w:spacing w:val="-23"/>
                <w:sz w:val="18"/>
                <w:szCs w:val="18"/>
              </w:rPr>
              <w:t>一峰）、</w:t>
            </w:r>
          </w:p>
          <w:p>
            <w:pPr>
              <w:pStyle w:val="TableParagraph"/>
              <w:spacing w:line="338" w:lineRule="auto" w:before="44"/>
              <w:ind w:left="24" w:right="203"/>
              <w:jc w:val="left"/>
              <w:rPr>
                <w:rFonts w:ascii="宋体" w:hAnsi="宋体" w:cs="宋体" w:eastAsia="宋体" w:hint="default"/>
                <w:sz w:val="18"/>
                <w:szCs w:val="18"/>
              </w:rPr>
            </w:pPr>
            <w:r>
              <w:rPr>
                <w:rFonts w:ascii="宋体" w:hAnsi="宋体" w:cs="宋体" w:eastAsia="宋体" w:hint="default"/>
                <w:sz w:val="18"/>
                <w:szCs w:val="18"/>
              </w:rPr>
              <w:t>长江证券（杜见 </w:t>
            </w:r>
            <w:r>
              <w:rPr>
                <w:rFonts w:ascii="宋体" w:hAnsi="宋体" w:cs="宋体" w:eastAsia="宋体" w:hint="default"/>
                <w:spacing w:val="-31"/>
                <w:sz w:val="18"/>
                <w:szCs w:val="18"/>
              </w:rPr>
              <w:t>平）、</w:t>
            </w:r>
            <w:r>
              <w:rPr>
                <w:rFonts w:ascii="宋体" w:hAnsi="宋体" w:cs="宋体" w:eastAsia="宋体" w:hint="default"/>
                <w:sz w:val="18"/>
                <w:szCs w:val="18"/>
              </w:rPr>
              <w:t> 湘财证券（姜国</w:t>
            </w:r>
          </w:p>
          <w:p>
            <w:pPr>
              <w:pStyle w:val="TableParagraph"/>
              <w:spacing w:line="357"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平）、</w:t>
            </w:r>
            <w:r>
              <w:rPr>
                <w:rFonts w:ascii="宋体" w:hAnsi="宋体" w:cs="宋体" w:eastAsia="宋体" w:hint="default"/>
                <w:sz w:val="18"/>
                <w:szCs w:val="18"/>
              </w:rPr>
              <w:t> 国海证券（王璇）</w:t>
            </w:r>
          </w:p>
          <w:p>
            <w:pPr>
              <w:pStyle w:val="TableParagraph"/>
              <w:spacing w:line="338" w:lineRule="auto" w:before="29"/>
              <w:ind w:left="24" w:right="23"/>
              <w:jc w:val="left"/>
              <w:rPr>
                <w:rFonts w:ascii="宋体" w:hAnsi="宋体" w:cs="宋体" w:eastAsia="宋体" w:hint="default"/>
                <w:sz w:val="18"/>
                <w:szCs w:val="18"/>
              </w:rPr>
            </w:pPr>
            <w:r>
              <w:rPr>
                <w:rFonts w:ascii="宋体" w:hAnsi="宋体" w:cs="宋体" w:eastAsia="宋体" w:hint="default"/>
                <w:sz w:val="18"/>
                <w:szCs w:val="18"/>
              </w:rPr>
              <w:t>玖歌投资（陈海 </w:t>
            </w:r>
            <w:r>
              <w:rPr>
                <w:rFonts w:ascii="宋体" w:hAnsi="宋体" w:cs="宋体" w:eastAsia="宋体" w:hint="default"/>
                <w:spacing w:val="-31"/>
                <w:sz w:val="18"/>
                <w:szCs w:val="18"/>
              </w:rPr>
              <w:t>华）、</w:t>
            </w:r>
            <w:r>
              <w:rPr>
                <w:rFonts w:ascii="宋体" w:hAnsi="宋体" w:cs="宋体" w:eastAsia="宋体" w:hint="default"/>
                <w:sz w:val="18"/>
                <w:szCs w:val="18"/>
              </w:rPr>
              <w:t> 东方花旗（吴敏）</w:t>
            </w:r>
          </w:p>
          <w:p>
            <w:pPr>
              <w:pStyle w:val="TableParagraph"/>
              <w:spacing w:line="338" w:lineRule="auto" w:before="41"/>
              <w:ind w:left="24" w:right="23"/>
              <w:jc w:val="left"/>
              <w:rPr>
                <w:rFonts w:ascii="宋体" w:hAnsi="宋体" w:cs="宋体" w:eastAsia="宋体" w:hint="default"/>
                <w:sz w:val="18"/>
                <w:szCs w:val="18"/>
              </w:rPr>
            </w:pPr>
            <w:r>
              <w:rPr>
                <w:rFonts w:ascii="宋体" w:hAnsi="宋体" w:cs="宋体" w:eastAsia="宋体" w:hint="default"/>
                <w:sz w:val="18"/>
                <w:szCs w:val="18"/>
              </w:rPr>
              <w:t>深圳悟空投资（刘 </w:t>
            </w:r>
            <w:r>
              <w:rPr>
                <w:rFonts w:ascii="宋体" w:hAnsi="宋体" w:cs="宋体" w:eastAsia="宋体" w:hint="default"/>
                <w:spacing w:val="-31"/>
                <w:sz w:val="18"/>
                <w:szCs w:val="18"/>
              </w:rPr>
              <w:t>丁）、</w:t>
            </w:r>
            <w:r>
              <w:rPr>
                <w:rFonts w:ascii="宋体" w:hAnsi="宋体" w:cs="宋体" w:eastAsia="宋体" w:hint="default"/>
                <w:sz w:val="18"/>
                <w:szCs w:val="18"/>
              </w:rPr>
              <w:t> </w:t>
            </w:r>
            <w:r>
              <w:rPr>
                <w:rFonts w:ascii="宋体" w:hAnsi="宋体" w:cs="宋体" w:eastAsia="宋体" w:hint="default"/>
                <w:spacing w:val="-13"/>
                <w:sz w:val="18"/>
                <w:szCs w:val="18"/>
              </w:rPr>
              <w:t>申银万国（梅剑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3"/>
              <w:jc w:val="left"/>
              <w:rPr>
                <w:rFonts w:ascii="宋体" w:hAnsi="宋体" w:cs="宋体" w:eastAsia="宋体" w:hint="default"/>
                <w:sz w:val="18"/>
                <w:szCs w:val="18"/>
              </w:rPr>
            </w:pPr>
            <w:r>
              <w:rPr>
                <w:rFonts w:ascii="宋体" w:hAnsi="宋体" w:cs="宋体" w:eastAsia="宋体" w:hint="default"/>
                <w:sz w:val="18"/>
                <w:szCs w:val="18"/>
              </w:rPr>
              <w:t>平安证券（宋文 开</w:t>
            </w:r>
            <w:r>
              <w:rPr>
                <w:rFonts w:ascii="宋体" w:hAnsi="宋体" w:cs="宋体" w:eastAsia="宋体" w:hint="default"/>
                <w:spacing w:val="1"/>
                <w:sz w:val="18"/>
                <w:szCs w:val="18"/>
              </w:rPr>
              <w:t> </w:t>
            </w:r>
            <w:r>
              <w:rPr>
                <w:rFonts w:ascii="宋体" w:hAnsi="宋体" w:cs="宋体" w:eastAsia="宋体" w:hint="default"/>
                <w:sz w:val="18"/>
                <w:szCs w:val="18"/>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141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光大证券（符健、 </w:t>
            </w:r>
            <w:r>
              <w:rPr>
                <w:rFonts w:ascii="宋体" w:hAnsi="宋体" w:cs="宋体" w:eastAsia="宋体" w:hint="default"/>
                <w:spacing w:val="-19"/>
                <w:sz w:val="18"/>
                <w:szCs w:val="18"/>
              </w:rPr>
              <w:t>蒲俊懿）、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富国基金（肖晶）</w:t>
            </w:r>
          </w:p>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兴业证券（傅臻）</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88.993011pt;margin-top:72.47998pt;width:146.1pt;height:218.85pt;mso-position-horizontal-relative:page;mso-position-vertical-relative:page;z-index:-821368" type="#_x0000_t202" filled="false" stroked="false">
            <v:textbox inset="0,0,0,0">
              <w:txbxContent>
                <w:p>
                  <w:pPr>
                    <w:pStyle w:val="BodyText"/>
                    <w:spacing w:line="240" w:lineRule="auto" w:before="49"/>
                    <w:ind w:left="717"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9"/>
                    <w:ind w:left="0" w:right="0"/>
                    <w:jc w:val="left"/>
                  </w:pPr>
                  <w:r>
                    <w:rPr/>
                    <w:t>（周励谦、</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717"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（郑小溪、</w:t>
                  </w: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717" w:right="0"/>
                    <w:jc w:val="left"/>
                  </w:pPr>
                  <w:r>
                    <w:rPr/>
                    <w:t>、</w:t>
                  </w:r>
                </w:p>
              </w:txbxContent>
            </v:textbox>
            <w10:wrap type="none"/>
          </v:shape>
        </w:pict>
      </w:r>
      <w:r>
        <w:rPr/>
        <w:pict>
          <v:shape style="position:absolute;margin-left:388.993011pt;margin-top:310.969971pt;width:146.1pt;height:218.8pt;mso-position-horizontal-relative:page;mso-position-vertical-relative:page;z-index:-821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717"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1"/>
                      <w:szCs w:val="21"/>
                    </w:rPr>
                  </w:pPr>
                </w:p>
                <w:p>
                  <w:pPr>
                    <w:pStyle w:val="BodyText"/>
                    <w:spacing w:line="240" w:lineRule="auto"/>
                    <w:ind w:left="717"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717" w:right="0"/>
                    <w:jc w:val="left"/>
                  </w:pPr>
                  <w:r>
                    <w:rPr/>
                    <w:t>、</w:t>
                  </w:r>
                </w:p>
                <w:p>
                  <w:pPr>
                    <w:pStyle w:val="BodyText"/>
                    <w:spacing w:line="240" w:lineRule="auto" w:before="115"/>
                    <w:ind w:left="0" w:right="0"/>
                    <w:jc w:val="left"/>
                  </w:pPr>
                  <w:r>
                    <w:rPr/>
                    <w:t>（朱一峰）</w:t>
                  </w:r>
                </w:p>
              </w:txbxContent>
            </v:textbox>
            <w10:wrap type="none"/>
          </v:shape>
        </w:pict>
      </w:r>
      <w:r>
        <w:rPr/>
        <w:pict>
          <v:shape style="position:absolute;margin-left:424.867004pt;margin-top:639.675964pt;width:110.2pt;height:89.8pt;mso-position-horizontal-relative:page;mso-position-vertical-relative:page;z-index:-821320" type="#_x0000_t202" filled="false" stroked="false">
            <v:textbox inset="0,0,0,0">
              <w:txbxContent>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431.109985pt;margin-top:310.969971pt;width:103.95pt;height:218.8pt;mso-position-horizontal-relative:page;mso-position-vertical-relative:page;z-index:-821296" coordorigin="8622,6219" coordsize="2079,4376">
            <v:shape style="position:absolute;left:8622;top:6219;width:2079;height:4376" coordorigin="8622,6219" coordsize="2079,4376" path="m8622,10595l10701,10595,10701,6219,8622,6219,8622,10595xe" filled="true" fillcolor="#ffffff" stroked="false">
              <v:path arrowok="t"/>
              <v:fill type="solid"/>
            </v:shape>
            <w10:wrap type="none"/>
          </v:group>
        </w:pict>
      </w:r>
      <w:r>
        <w:rPr/>
        <w:pict>
          <v:group style="position:absolute;margin-left:431.109985pt;margin-top:639.675964pt;width:103.95pt;height:89.8pt;mso-position-horizontal-relative:page;mso-position-vertical-relative:page;z-index:-821272" coordorigin="8622,12794" coordsize="2079,1796">
            <v:shape style="position:absolute;left:8622;top:12794;width:2079;height:1796" coordorigin="8622,12794" coordsize="2079,1796" path="m8622,14589l10701,14589,10701,12794,8622,12794,8622,1458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915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三井住友（孙伟） 华鑫证券（胡小 </w:t>
            </w:r>
            <w:r>
              <w:rPr>
                <w:rFonts w:ascii="宋体" w:hAnsi="宋体" w:cs="宋体" w:eastAsia="宋体" w:hint="default"/>
                <w:spacing w:val="-31"/>
                <w:sz w:val="18"/>
                <w:szCs w:val="18"/>
              </w:rPr>
              <w:t>军）、</w:t>
            </w:r>
          </w:p>
          <w:p>
            <w:pPr>
              <w:pStyle w:val="TableParagraph"/>
              <w:spacing w:line="338" w:lineRule="auto" w:before="43"/>
              <w:ind w:left="24" w:right="23"/>
              <w:jc w:val="left"/>
              <w:rPr>
                <w:rFonts w:ascii="宋体" w:hAnsi="宋体" w:cs="宋体" w:eastAsia="宋体" w:hint="default"/>
                <w:sz w:val="18"/>
                <w:szCs w:val="18"/>
              </w:rPr>
            </w:pPr>
            <w:r>
              <w:rPr>
                <w:rFonts w:ascii="宋体" w:hAnsi="宋体" w:cs="宋体" w:eastAsia="宋体" w:hint="default"/>
                <w:sz w:val="18"/>
                <w:szCs w:val="18"/>
              </w:rPr>
              <w:t>光大证券 </w:t>
            </w:r>
            <w:r>
              <w:rPr>
                <w:rFonts w:ascii="宋体" w:hAnsi="宋体" w:cs="宋体" w:eastAsia="宋体" w:hint="default"/>
                <w:spacing w:val="-12"/>
                <w:sz w:val="18"/>
                <w:szCs w:val="18"/>
              </w:rPr>
              <w:t>符健、蒲俊懿）、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华泰证券（张冰）</w:t>
            </w:r>
          </w:p>
          <w:p>
            <w:pPr>
              <w:pStyle w:val="TableParagraph"/>
              <w:spacing w:line="316" w:lineRule="auto" w:before="41"/>
              <w:ind w:left="24" w:right="203"/>
              <w:jc w:val="left"/>
              <w:rPr>
                <w:rFonts w:ascii="宋体" w:hAnsi="宋体" w:cs="宋体" w:eastAsia="宋体" w:hint="default"/>
                <w:sz w:val="18"/>
                <w:szCs w:val="18"/>
              </w:rPr>
            </w:pPr>
            <w:r>
              <w:rPr>
                <w:rFonts w:ascii="宋体" w:hAnsi="宋体" w:cs="宋体" w:eastAsia="宋体" w:hint="default"/>
                <w:sz w:val="18"/>
                <w:szCs w:val="18"/>
              </w:rPr>
              <w:t>中证投资（曾绍 </w:t>
            </w:r>
            <w:r>
              <w:rPr>
                <w:rFonts w:ascii="宋体" w:hAnsi="宋体" w:cs="宋体" w:eastAsia="宋体" w:hint="default"/>
                <w:spacing w:val="-31"/>
                <w:sz w:val="18"/>
                <w:szCs w:val="18"/>
              </w:rPr>
              <w:t>鹏）、</w:t>
            </w:r>
          </w:p>
          <w:p>
            <w:pPr>
              <w:pStyle w:val="TableParagraph"/>
              <w:spacing w:line="316" w:lineRule="auto" w:before="59"/>
              <w:ind w:left="24" w:right="743"/>
              <w:jc w:val="left"/>
              <w:rPr>
                <w:rFonts w:ascii="宋体" w:hAnsi="宋体" w:cs="宋体" w:eastAsia="宋体" w:hint="default"/>
                <w:sz w:val="18"/>
                <w:szCs w:val="18"/>
              </w:rPr>
            </w:pPr>
            <w:r>
              <w:rPr>
                <w:rFonts w:ascii="宋体" w:hAnsi="宋体" w:cs="宋体" w:eastAsia="宋体" w:hint="default"/>
                <w:sz w:val="18"/>
                <w:szCs w:val="18"/>
              </w:rPr>
              <w:t>南方基金 </w:t>
            </w:r>
            <w:r>
              <w:rPr>
                <w:rFonts w:ascii="宋体" w:hAnsi="宋体" w:cs="宋体" w:eastAsia="宋体" w:hint="default"/>
                <w:spacing w:val="-23"/>
                <w:sz w:val="18"/>
                <w:szCs w:val="18"/>
              </w:rPr>
              <w:t>方建）、</w:t>
            </w:r>
          </w:p>
          <w:p>
            <w:pPr>
              <w:pStyle w:val="TableParagraph"/>
              <w:spacing w:line="338" w:lineRule="auto" w:before="59"/>
              <w:ind w:left="24" w:right="23"/>
              <w:jc w:val="left"/>
              <w:rPr>
                <w:rFonts w:ascii="宋体" w:hAnsi="宋体" w:cs="宋体" w:eastAsia="宋体" w:hint="default"/>
                <w:sz w:val="18"/>
                <w:szCs w:val="18"/>
              </w:rPr>
            </w:pPr>
            <w:r>
              <w:rPr>
                <w:rFonts w:ascii="宋体" w:hAnsi="宋体" w:cs="宋体" w:eastAsia="宋体" w:hint="default"/>
                <w:sz w:val="18"/>
                <w:szCs w:val="18"/>
              </w:rPr>
              <w:t>德邦基金（叶翔） 新泉投资（庞道 </w:t>
            </w:r>
            <w:r>
              <w:rPr>
                <w:rFonts w:ascii="宋体" w:hAnsi="宋体" w:cs="宋体" w:eastAsia="宋体" w:hint="default"/>
                <w:spacing w:val="-31"/>
                <w:sz w:val="18"/>
                <w:szCs w:val="18"/>
              </w:rPr>
              <w:t>满）、</w:t>
            </w:r>
          </w:p>
          <w:p>
            <w:pPr>
              <w:pStyle w:val="TableParagraph"/>
              <w:spacing w:line="338" w:lineRule="auto" w:before="43"/>
              <w:ind w:left="24" w:right="23"/>
              <w:jc w:val="left"/>
              <w:rPr>
                <w:rFonts w:ascii="宋体" w:hAnsi="宋体" w:cs="宋体" w:eastAsia="宋体" w:hint="default"/>
                <w:sz w:val="18"/>
                <w:szCs w:val="18"/>
              </w:rPr>
            </w:pPr>
            <w:r>
              <w:rPr>
                <w:rFonts w:ascii="宋体" w:hAnsi="宋体" w:cs="宋体" w:eastAsia="宋体" w:hint="default"/>
                <w:sz w:val="18"/>
                <w:szCs w:val="18"/>
              </w:rPr>
              <w:t>济海投资（朱海 </w:t>
            </w:r>
            <w:r>
              <w:rPr>
                <w:rFonts w:ascii="宋体" w:hAnsi="宋体" w:cs="宋体" w:eastAsia="宋体" w:hint="default"/>
                <w:spacing w:val="-31"/>
                <w:sz w:val="18"/>
                <w:szCs w:val="18"/>
              </w:rPr>
              <w:t>峰）、</w:t>
            </w:r>
            <w:r>
              <w:rPr>
                <w:rFonts w:ascii="宋体" w:hAnsi="宋体" w:cs="宋体" w:eastAsia="宋体" w:hint="default"/>
                <w:sz w:val="18"/>
                <w:szCs w:val="18"/>
              </w:rPr>
              <w:t> 齐鲁证券（郭鹏）</w:t>
            </w:r>
          </w:p>
          <w:p>
            <w:pPr>
              <w:pStyle w:val="TableParagraph"/>
              <w:spacing w:line="338" w:lineRule="auto" w:before="41"/>
              <w:ind w:left="24" w:right="203"/>
              <w:jc w:val="left"/>
              <w:rPr>
                <w:rFonts w:ascii="宋体" w:hAnsi="宋体" w:cs="宋体" w:eastAsia="宋体" w:hint="default"/>
                <w:sz w:val="18"/>
                <w:szCs w:val="18"/>
              </w:rPr>
            </w:pPr>
            <w:r>
              <w:rPr>
                <w:rFonts w:ascii="宋体" w:hAnsi="宋体" w:cs="宋体" w:eastAsia="宋体" w:hint="default"/>
                <w:sz w:val="18"/>
                <w:szCs w:val="18"/>
              </w:rPr>
              <w:t>信达证券（王艺 </w:t>
            </w:r>
            <w:r>
              <w:rPr>
                <w:rFonts w:ascii="宋体" w:hAnsi="宋体" w:cs="宋体" w:eastAsia="宋体" w:hint="default"/>
                <w:spacing w:val="-31"/>
                <w:sz w:val="18"/>
                <w:szCs w:val="18"/>
              </w:rPr>
              <w:t>默）、</w:t>
            </w:r>
            <w:r>
              <w:rPr>
                <w:rFonts w:ascii="宋体" w:hAnsi="宋体" w:cs="宋体" w:eastAsia="宋体" w:hint="default"/>
                <w:sz w:val="18"/>
                <w:szCs w:val="18"/>
              </w:rPr>
              <w:t> 英大泰和（徐晶</w:t>
            </w:r>
          </w:p>
          <w:p>
            <w:pPr>
              <w:pStyle w:val="TableParagraph"/>
              <w:spacing w:line="338"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鑫）、</w:t>
            </w:r>
            <w:r>
              <w:rPr>
                <w:rFonts w:ascii="宋体" w:hAnsi="宋体" w:cs="宋体" w:eastAsia="宋体" w:hint="default"/>
                <w:sz w:val="18"/>
                <w:szCs w:val="18"/>
              </w:rPr>
              <w:t> 中信建投（田山 </w:t>
            </w:r>
            <w:r>
              <w:rPr>
                <w:rFonts w:ascii="宋体" w:hAnsi="宋体" w:cs="宋体" w:eastAsia="宋体" w:hint="default"/>
                <w:spacing w:val="-31"/>
                <w:sz w:val="18"/>
                <w:szCs w:val="18"/>
              </w:rPr>
              <w:t>川）、</w:t>
            </w:r>
          </w:p>
          <w:p>
            <w:pPr>
              <w:pStyle w:val="TableParagraph"/>
              <w:spacing w:line="338" w:lineRule="auto" w:before="41"/>
              <w:ind w:left="24" w:right="23"/>
              <w:jc w:val="left"/>
              <w:rPr>
                <w:rFonts w:ascii="宋体" w:hAnsi="宋体" w:cs="宋体" w:eastAsia="宋体" w:hint="default"/>
                <w:sz w:val="18"/>
                <w:szCs w:val="18"/>
              </w:rPr>
            </w:pPr>
            <w:r>
              <w:rPr>
                <w:rFonts w:ascii="宋体" w:hAnsi="宋体" w:cs="宋体" w:eastAsia="宋体" w:hint="default"/>
                <w:sz w:val="18"/>
                <w:szCs w:val="18"/>
              </w:rPr>
              <w:t>东北证券（姜涛） 恒泰证券（徐结 </w:t>
            </w:r>
            <w:r>
              <w:rPr>
                <w:rFonts w:ascii="宋体" w:hAnsi="宋体" w:cs="宋体" w:eastAsia="宋体" w:hint="default"/>
                <w:spacing w:val="-31"/>
                <w:sz w:val="18"/>
                <w:szCs w:val="18"/>
              </w:rPr>
              <w:t>文）、</w:t>
            </w:r>
          </w:p>
          <w:p>
            <w:pPr>
              <w:pStyle w:val="TableParagraph"/>
              <w:spacing w:line="357" w:lineRule="auto" w:before="43"/>
              <w:ind w:left="24" w:right="23"/>
              <w:jc w:val="left"/>
              <w:rPr>
                <w:rFonts w:ascii="宋体" w:hAnsi="宋体" w:cs="宋体" w:eastAsia="宋体" w:hint="default"/>
                <w:sz w:val="18"/>
                <w:szCs w:val="18"/>
              </w:rPr>
            </w:pPr>
            <w:r>
              <w:rPr>
                <w:rFonts w:ascii="宋体" w:hAnsi="宋体" w:cs="宋体" w:eastAsia="宋体" w:hint="default"/>
                <w:sz w:val="18"/>
                <w:szCs w:val="18"/>
              </w:rPr>
              <w:t>安信证券（周峰） 普尔投资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4376" w:lineRule="exact"/>
              <w:ind w:right="-5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103.95pt;height:218.85pt;mso-position-horizontal-relative:char;mso-position-vertical-relative:line" coordorigin="0,0" coordsize="2079,4377">
                  <v:group style="position:absolute;left:0;top:0;width:2079;height:4377" coordorigin="0,0" coordsize="2079,4377">
                    <v:shape style="position:absolute;left:0;top:0;width:2079;height:4377" coordorigin="0,0" coordsize="2079,4377" path="m0,4376l2079,4376,2079,0,0,0,0,4376xe" filled="true" fillcolor="#ffffff" stroked="false">
                      <v:path arrowok="t"/>
                      <v:fill type="solid"/>
                    </v:shape>
                  </v:group>
                </v:group>
              </w:pict>
            </w:r>
            <w:r>
              <w:rPr>
                <w:rFonts w:ascii="Times New Roman" w:hAnsi="Times New Roman" w:cs="Times New Roman" w:eastAsia="Times New Roman" w:hint="default"/>
                <w:position w:val="-87"/>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399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民生证券（李晶、 </w:t>
            </w:r>
            <w:r>
              <w:rPr>
                <w:rFonts w:ascii="宋体" w:hAnsi="宋体" w:cs="宋体" w:eastAsia="宋体" w:hint="default"/>
                <w:spacing w:val="-23"/>
                <w:sz w:val="18"/>
                <w:szCs w:val="18"/>
              </w:rPr>
              <w:t>杨立）、</w:t>
            </w:r>
          </w:p>
          <w:p>
            <w:pPr>
              <w:pStyle w:val="TableParagraph"/>
              <w:spacing w:line="338" w:lineRule="auto" w:before="59"/>
              <w:ind w:left="24" w:right="203"/>
              <w:jc w:val="left"/>
              <w:rPr>
                <w:rFonts w:ascii="宋体" w:hAnsi="宋体" w:cs="宋体" w:eastAsia="宋体" w:hint="default"/>
                <w:sz w:val="18"/>
                <w:szCs w:val="18"/>
              </w:rPr>
            </w:pPr>
            <w:r>
              <w:rPr>
                <w:rFonts w:ascii="宋体" w:hAnsi="宋体" w:cs="宋体" w:eastAsia="宋体" w:hint="default"/>
                <w:sz w:val="18"/>
                <w:szCs w:val="18"/>
              </w:rPr>
              <w:t>常州投资（朱晓 </w:t>
            </w:r>
            <w:r>
              <w:rPr>
                <w:rFonts w:ascii="宋体" w:hAnsi="宋体" w:cs="宋体" w:eastAsia="宋体" w:hint="default"/>
                <w:spacing w:val="-31"/>
                <w:sz w:val="18"/>
                <w:szCs w:val="18"/>
              </w:rPr>
              <w:t>刚）、</w:t>
            </w:r>
            <w:r>
              <w:rPr>
                <w:rFonts w:ascii="宋体" w:hAnsi="宋体" w:cs="宋体" w:eastAsia="宋体" w:hint="default"/>
                <w:sz w:val="18"/>
                <w:szCs w:val="18"/>
              </w:rPr>
              <w:t> 国信证券（高耀</w:t>
            </w:r>
          </w:p>
          <w:p>
            <w:pPr>
              <w:pStyle w:val="TableParagraph"/>
              <w:spacing w:line="360" w:lineRule="auto" w:before="2"/>
              <w:ind w:left="24" w:right="23"/>
              <w:jc w:val="left"/>
              <w:rPr>
                <w:rFonts w:ascii="宋体" w:hAnsi="宋体" w:cs="宋体" w:eastAsia="宋体" w:hint="default"/>
                <w:sz w:val="18"/>
                <w:szCs w:val="18"/>
              </w:rPr>
            </w:pPr>
            <w:r>
              <w:rPr>
                <w:rFonts w:ascii="宋体" w:hAnsi="宋体" w:cs="宋体" w:eastAsia="宋体" w:hint="default"/>
                <w:spacing w:val="-31"/>
                <w:sz w:val="18"/>
                <w:szCs w:val="18"/>
              </w:rPr>
              <w:t>华）、</w:t>
            </w:r>
            <w:r>
              <w:rPr>
                <w:rFonts w:ascii="宋体" w:hAnsi="宋体" w:cs="宋体" w:eastAsia="宋体" w:hint="default"/>
                <w:sz w:val="18"/>
                <w:szCs w:val="18"/>
              </w:rPr>
              <w:t> 国都证券（熊哲）</w:t>
            </w:r>
          </w:p>
          <w:p>
            <w:pPr>
              <w:pStyle w:val="TableParagraph"/>
              <w:spacing w:line="316" w:lineRule="auto" w:before="28"/>
              <w:ind w:left="24" w:right="23"/>
              <w:jc w:val="left"/>
              <w:rPr>
                <w:rFonts w:ascii="宋体" w:hAnsi="宋体" w:cs="宋体" w:eastAsia="宋体" w:hint="default"/>
                <w:sz w:val="18"/>
                <w:szCs w:val="18"/>
              </w:rPr>
            </w:pPr>
            <w:r>
              <w:rPr>
                <w:rFonts w:ascii="宋体" w:hAnsi="宋体" w:cs="宋体" w:eastAsia="宋体" w:hint="default"/>
                <w:sz w:val="18"/>
                <w:szCs w:val="18"/>
              </w:rPr>
              <w:t>中信资管（于聪） 长盛基金（王克 </w:t>
            </w:r>
            <w:r>
              <w:rPr>
                <w:rFonts w:ascii="宋体" w:hAnsi="宋体" w:cs="宋体" w:eastAsia="宋体" w:hint="default"/>
                <w:spacing w:val="-21"/>
                <w:sz w:val="18"/>
                <w:szCs w:val="18"/>
              </w:rPr>
              <w:t>玉）、国泰证券（袁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煜明）、尚雅投资</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（李晓明）</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太平洋证券（刘让 杰、谭光宇）</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了解公司的业务开展情况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493"/>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894"/>
        <w:jc w:val="left"/>
      </w:pPr>
      <w:r>
        <w:rPr/>
        <w:t>□ 适用 √</w:t>
      </w:r>
      <w:r>
        <w:rPr>
          <w:spacing w:val="3"/>
        </w:rPr>
        <w:t> </w:t>
      </w:r>
      <w:r>
        <w:rPr/>
        <w:t>不适用</w:t>
      </w:r>
      <w:r>
        <w:rPr/>
        <w:t> 本年度公司无重大诉讼、仲裁事项。</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534"/>
        <w:jc w:val="left"/>
      </w:pPr>
      <w:r>
        <w:rPr/>
        <w:t>□ 适用 √</w:t>
      </w:r>
      <w:r>
        <w:rPr>
          <w:spacing w:val="3"/>
        </w:rPr>
        <w:t> </w:t>
      </w:r>
      <w:r>
        <w:rPr/>
        <w:t>不适用</w:t>
      </w:r>
      <w:r>
        <w:rPr/>
        <w:t> 会计师事务所对资金占用的专项审核意见</w:t>
      </w:r>
    </w:p>
    <w:p>
      <w:pPr>
        <w:spacing w:line="240" w:lineRule="auto" w:before="1"/>
        <w:rPr>
          <w:rFonts w:ascii="宋体" w:hAnsi="宋体" w:cs="宋体" w:eastAsia="宋体" w:hint="default"/>
          <w:sz w:val="14"/>
          <w:szCs w:val="14"/>
        </w:rPr>
      </w:pPr>
    </w:p>
    <w:p>
      <w:pPr>
        <w:pStyle w:val="BodyText"/>
        <w:spacing w:line="396" w:lineRule="auto"/>
        <w:ind w:right="0" w:firstLine="360"/>
        <w:jc w:val="left"/>
      </w:pPr>
      <w:r>
        <w:rPr>
          <w:spacing w:val="-2"/>
        </w:rPr>
        <w:t>致同会计师事务所（特殊普通合伙）对控股股东及其关联方非经营性占用资金的核查意见：根据中国证券监督管理委员</w:t>
      </w:r>
      <w:r>
        <w:rPr/>
        <w:t> </w:t>
      </w:r>
      <w:r>
        <w:rPr>
          <w:spacing w:val="-2"/>
        </w:rPr>
        <w:t>会、国务院国有资产监督管理委员会《关于规范上市公司与关联方资金往来及上市公司对外担保若干问题的通知》（证监发</w:t>
      </w:r>
    </w:p>
    <w:p>
      <w:pPr>
        <w:pStyle w:val="BodyText"/>
        <w:spacing w:line="374" w:lineRule="auto" w:before="38"/>
        <w:ind w:right="140"/>
        <w:jc w:val="left"/>
      </w:pPr>
      <w:r>
        <w:rPr/>
        <w:t>（</w:t>
      </w:r>
      <w:r>
        <w:rPr>
          <w:rFonts w:ascii="Times New Roman" w:hAnsi="Times New Roman" w:cs="Times New Roman" w:eastAsia="Times New Roman" w:hint="default"/>
        </w:rPr>
        <w:t>2003</w:t>
      </w:r>
      <w:r>
        <w:rPr/>
        <w:t>）</w:t>
      </w:r>
      <w:r>
        <w:rPr>
          <w:rFonts w:ascii="Times New Roman" w:hAnsi="Times New Roman" w:cs="Times New Roman" w:eastAsia="Times New Roman" w:hint="default"/>
        </w:rPr>
        <w:t>56</w:t>
      </w:r>
      <w:r>
        <w:rPr>
          <w:rFonts w:ascii="Times New Roman" w:hAnsi="Times New Roman" w:cs="Times New Roman" w:eastAsia="Times New Roman" w:hint="default"/>
          <w:spacing w:val="-14"/>
        </w:rPr>
        <w:t> </w:t>
      </w:r>
      <w:r>
        <w:rPr/>
        <w:t>号文）的要求，易联众公司编制了本专项说明所附的易联众信息技术股份有限公司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年度控股股东及其他关 联方占用资金情况表（以下简称</w:t>
      </w:r>
      <w:r>
        <w:rPr>
          <w:rFonts w:ascii="Times New Roman" w:hAnsi="Times New Roman" w:cs="Times New Roman" w:eastAsia="Times New Roman" w:hint="default"/>
        </w:rPr>
        <w:t>“</w:t>
      </w:r>
      <w:r>
        <w:rPr/>
        <w:t>占用资金情况表</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4"/>
          <w:szCs w:val="14"/>
        </w:rPr>
      </w:pPr>
    </w:p>
    <w:p>
      <w:pPr>
        <w:pStyle w:val="BodyText"/>
        <w:spacing w:line="396" w:lineRule="auto"/>
        <w:ind w:right="137" w:firstLine="360"/>
        <w:jc w:val="left"/>
      </w:pPr>
      <w:r>
        <w:rPr>
          <w:spacing w:val="-2"/>
        </w:rPr>
        <w:t>编制和对外披露占用资金情况表，并确保其真实性、合法性及完整性是易联众公司管理层的责任。我们对占用资金情况</w:t>
      </w:r>
      <w:r>
        <w:rPr/>
        <w:t> 表所载资料与我们审计易联众公司</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年度财务报表时所复核的会计资料和经审计的财务报表的相关内容进行了核对，在</w:t>
      </w:r>
    </w:p>
    <w:p>
      <w:pPr>
        <w:pStyle w:val="BodyText"/>
        <w:spacing w:line="240" w:lineRule="auto" w:before="12"/>
        <w:ind w:right="0"/>
        <w:jc w:val="left"/>
      </w:pPr>
      <w:r>
        <w:rPr/>
        <w:t>所有重大方面没有发现不一致。除了对易联众公司实施于</w:t>
      </w:r>
      <w:r>
        <w:rPr>
          <w:spacing w:val="-4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年度财务报表审计中所执行的对关联方往来的相关审计程序</w:t>
      </w:r>
    </w:p>
    <w:p>
      <w:pPr>
        <w:pStyle w:val="BodyText"/>
        <w:spacing w:line="376" w:lineRule="auto" w:before="139"/>
        <w:ind w:right="137"/>
        <w:jc w:val="left"/>
      </w:pPr>
      <w:r>
        <w:rPr/>
        <w:t>外，我们并未对占用资金情况表所载资料执行额外的审计程序。为了更好地理解</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年度易联众公司控股股东及其他关联 方占用上市公司资金情况，占用资金情况表应当与已审计的财务报表一并阅读。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6"/>
        <w:ind w:right="0"/>
        <w:jc w:val="left"/>
        <w:rPr>
          <w:b w:val="0"/>
          <w:bCs w:val="0"/>
        </w:rPr>
      </w:pPr>
      <w:r>
        <w:rPr/>
        <w:t>三、破产重整相关事项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06"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四、资产交易事项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06"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06"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六、重大关联交易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604" w:right="0"/>
        <w:jc w:val="left"/>
      </w:pPr>
      <w:r>
        <w:rPr/>
        <w:t>无</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七、重大合同及其履行情况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06"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4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古培坚、雷彪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月内不转让或 者委托他人管 理本人直接或 者间接持有的 公开发行股票 前已发行的股 </w:t>
            </w:r>
            <w:r>
              <w:rPr>
                <w:rFonts w:ascii="宋体" w:hAnsi="宋体" w:cs="宋体" w:eastAsia="宋体" w:hint="default"/>
                <w:spacing w:val="-6"/>
                <w:sz w:val="18"/>
                <w:szCs w:val="18"/>
              </w:rPr>
              <w:t>份，也不由公司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回购本人直接 或间接持有的 公司公开发行 股票前已发行 的股份。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307" w:lineRule="auto"/>
              <w:ind w:left="24" w:right="68"/>
              <w:jc w:val="left"/>
              <w:rPr>
                <w:rFonts w:ascii="宋体" w:hAnsi="宋体" w:cs="宋体" w:eastAsia="宋体" w:hint="default"/>
                <w:sz w:val="18"/>
                <w:szCs w:val="18"/>
              </w:rPr>
            </w:pPr>
            <w:r>
              <w:rPr>
                <w:rFonts w:ascii="宋体" w:hAnsi="宋体" w:cs="宋体" w:eastAsia="宋体" w:hint="default"/>
                <w:sz w:val="18"/>
                <w:szCs w:val="18"/>
              </w:rPr>
              <w:t>自公司股票上 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4" w:lineRule="auto" w:before="60"/>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 承诺人严格信 </w:t>
            </w:r>
            <w:r>
              <w:rPr>
                <w:rFonts w:ascii="宋体" w:hAnsi="宋体" w:cs="宋体" w:eastAsia="宋体" w:hint="default"/>
                <w:spacing w:val="-7"/>
                <w:sz w:val="18"/>
                <w:szCs w:val="18"/>
              </w:rPr>
              <w:t>守承诺，未出现</w:t>
            </w:r>
            <w:r>
              <w:rPr>
                <w:rFonts w:ascii="宋体" w:hAnsi="宋体" w:cs="宋体" w:eastAsia="宋体" w:hint="default"/>
                <w:sz w:val="18"/>
                <w:szCs w:val="18"/>
              </w:rPr>
              <w:t> 违反上述承诺 的情况。</w:t>
            </w:r>
          </w:p>
        </w:tc>
      </w:tr>
      <w:tr>
        <w:trPr>
          <w:trHeight w:val="3524"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古培坚、雷彪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在担任公司董 </w:t>
            </w:r>
            <w:r>
              <w:rPr>
                <w:rFonts w:ascii="宋体" w:hAnsi="宋体" w:cs="宋体" w:eastAsia="宋体" w:hint="default"/>
                <w:spacing w:val="-6"/>
                <w:sz w:val="18"/>
                <w:szCs w:val="18"/>
              </w:rPr>
              <w:t>事、高级管理人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员期间每年转 让的股份不超 过本人所持有 公司股份总数 的</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；本人从</w:t>
            </w:r>
            <w:r>
              <w:rPr>
                <w:rFonts w:ascii="宋体" w:hAnsi="宋体" w:cs="宋体" w:eastAsia="宋体" w:hint="default"/>
                <w:sz w:val="18"/>
                <w:szCs w:val="18"/>
              </w:rPr>
              <w:t> 公司离职后半 </w:t>
            </w:r>
            <w:r>
              <w:rPr>
                <w:rFonts w:ascii="宋体" w:hAnsi="宋体" w:cs="宋体" w:eastAsia="宋体" w:hint="default"/>
                <w:spacing w:val="-6"/>
                <w:sz w:val="18"/>
                <w:szCs w:val="18"/>
              </w:rPr>
              <w:t>年内，不得转让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本人所持有的 公司股份。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任职期限内及 离职后半年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 承诺人严格信 </w:t>
            </w:r>
            <w:r>
              <w:rPr>
                <w:rFonts w:ascii="宋体" w:hAnsi="宋体" w:cs="宋体" w:eastAsia="宋体" w:hint="default"/>
                <w:spacing w:val="-7"/>
                <w:sz w:val="18"/>
                <w:szCs w:val="18"/>
              </w:rPr>
              <w:t>守承诺，未出现</w:t>
            </w:r>
            <w:r>
              <w:rPr>
                <w:rFonts w:ascii="宋体" w:hAnsi="宋体" w:cs="宋体" w:eastAsia="宋体" w:hint="default"/>
                <w:sz w:val="18"/>
                <w:szCs w:val="18"/>
              </w:rPr>
              <w:t> 违反上述承诺 的情况。</w:t>
            </w:r>
          </w:p>
        </w:tc>
      </w:tr>
      <w:tr>
        <w:trPr>
          <w:trHeight w:val="1298"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关于避免同业 竞争的承诺</w:t>
            </w:r>
            <w:r>
              <w:rPr>
                <w:rFonts w:ascii="Times New Roman" w:hAnsi="Times New Roman" w:cs="Times New Roman" w:eastAsia="Times New Roman" w:hint="default"/>
                <w:sz w:val="18"/>
                <w:szCs w:val="18"/>
              </w:rPr>
              <w:t>: 1</w:t>
            </w:r>
            <w:r>
              <w:rPr>
                <w:rFonts w:ascii="宋体" w:hAnsi="宋体" w:cs="宋体" w:eastAsia="宋体" w:hint="default"/>
                <w:sz w:val="18"/>
                <w:szCs w:val="18"/>
              </w:rPr>
              <w:t>、本人将不从 事与易联众相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09" w:lineRule="auto" w:before="60"/>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12844"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同或相近的业 </w:t>
            </w:r>
            <w:r>
              <w:rPr>
                <w:rFonts w:ascii="宋体" w:hAnsi="宋体" w:cs="宋体" w:eastAsia="宋体" w:hint="default"/>
                <w:spacing w:val="-6"/>
                <w:sz w:val="18"/>
                <w:szCs w:val="18"/>
              </w:rPr>
              <w:t>务，以避免对易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联众的生产经 营构成直接或 </w:t>
            </w:r>
            <w:r>
              <w:rPr>
                <w:rFonts w:ascii="宋体" w:hAnsi="宋体" w:cs="宋体" w:eastAsia="宋体" w:hint="default"/>
                <w:spacing w:val="-6"/>
                <w:sz w:val="18"/>
                <w:szCs w:val="18"/>
              </w:rPr>
              <w:t>间接的竞争；保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证将努力促使 本人的其他控 股企业不直接 </w:t>
            </w:r>
            <w:r>
              <w:rPr>
                <w:rFonts w:ascii="宋体" w:hAnsi="宋体" w:cs="宋体" w:eastAsia="宋体" w:hint="default"/>
                <w:spacing w:val="-6"/>
                <w:sz w:val="18"/>
                <w:szCs w:val="18"/>
              </w:rPr>
              <w:t>或间接从事、参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与或进行与易 </w:t>
            </w:r>
            <w:r>
              <w:rPr>
                <w:rFonts w:ascii="宋体" w:hAnsi="宋体" w:cs="宋体" w:eastAsia="宋体" w:hint="default"/>
                <w:spacing w:val="-6"/>
                <w:sz w:val="18"/>
                <w:szCs w:val="18"/>
              </w:rPr>
              <w:t>联众的生产、经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营相竞争的任 何经营活动。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、如本人及除 易联众以外本 人的其他控股 企业与易联众 之间存在有竞 争性同类业务， 由此在市场份 </w:t>
            </w:r>
            <w:r>
              <w:rPr>
                <w:rFonts w:ascii="宋体" w:hAnsi="宋体" w:cs="宋体" w:eastAsia="宋体" w:hint="default"/>
                <w:spacing w:val="-6"/>
                <w:sz w:val="18"/>
                <w:szCs w:val="18"/>
              </w:rPr>
              <w:t>额、商业机会及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资源配置等方 面可能对易联 众带来不公平 </w:t>
            </w:r>
            <w:r>
              <w:rPr>
                <w:rFonts w:ascii="宋体" w:hAnsi="宋体" w:cs="宋体" w:eastAsia="宋体" w:hint="default"/>
                <w:spacing w:val="-6"/>
                <w:sz w:val="18"/>
                <w:szCs w:val="18"/>
              </w:rPr>
              <w:t>的影响时，本人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及其除易联众 以外本人的其 他控股企业自 愿放弃与易联 众的业务竞争。 自本承诺出具 </w:t>
            </w:r>
            <w:r>
              <w:rPr>
                <w:rFonts w:ascii="宋体" w:hAnsi="宋体" w:cs="宋体" w:eastAsia="宋体" w:hint="default"/>
                <w:spacing w:val="-6"/>
                <w:sz w:val="18"/>
                <w:szCs w:val="18"/>
              </w:rPr>
              <w:t>之日起，本人承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诺，赔偿易联众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因本人违反本 承诺任何条款 而遭受或产生 的任何损失或 开支。 本承诺自出具 之日起不可撤 销。</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56"/>
              <w:jc w:val="left"/>
              <w:rPr>
                <w:rFonts w:ascii="宋体" w:hAnsi="宋体" w:cs="宋体" w:eastAsia="宋体" w:hint="default"/>
                <w:sz w:val="18"/>
                <w:szCs w:val="18"/>
              </w:rPr>
            </w:pPr>
            <w:r>
              <w:rPr>
                <w:rFonts w:ascii="宋体" w:hAnsi="宋体" w:cs="宋体" w:eastAsia="宋体" w:hint="default"/>
                <w:sz w:val="18"/>
                <w:szCs w:val="18"/>
              </w:rPr>
              <w:t>上述承诺的情 况。</w:t>
            </w:r>
          </w:p>
        </w:tc>
      </w:tr>
      <w:tr>
        <w:trPr>
          <w:trHeight w:val="986"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本人将不在中 国境内外直接 或间接从事或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00" w:lineRule="auto" w:before="62"/>
              <w:ind w:left="23" w:right="6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2"/>
      </w:tblGrid>
      <w:tr>
        <w:trPr>
          <w:trHeight w:val="12220"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参与任何在商 业上对易联众 构成竞争的业 务及活动或拥 有与易联众存 在竞争关系的 任何经济实体、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的权益；或以其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他任何形式取 得该经济实体、 </w:t>
            </w:r>
            <w:r>
              <w:rPr>
                <w:rFonts w:ascii="宋体" w:hAnsi="宋体" w:cs="宋体" w:eastAsia="宋体" w:hint="default"/>
                <w:spacing w:val="-6"/>
                <w:sz w:val="18"/>
                <w:szCs w:val="18"/>
              </w:rPr>
              <w:t>机构、经济组织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的控制权； 本人如有出售 与易联众生产、 经营相关的任 </w:t>
            </w:r>
            <w:r>
              <w:rPr>
                <w:rFonts w:ascii="宋体" w:hAnsi="宋体" w:cs="宋体" w:eastAsia="宋体" w:hint="default"/>
                <w:spacing w:val="-6"/>
                <w:sz w:val="18"/>
                <w:szCs w:val="18"/>
              </w:rPr>
              <w:t>何资产、业务或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权益，易联众均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享有优先购买 </w:t>
            </w:r>
            <w:r>
              <w:rPr>
                <w:rFonts w:ascii="宋体" w:hAnsi="宋体" w:cs="宋体" w:eastAsia="宋体" w:hint="default"/>
                <w:spacing w:val="-6"/>
                <w:sz w:val="18"/>
                <w:szCs w:val="18"/>
              </w:rPr>
              <w:t>权；且本人保证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在出售或转让 有关资产或业 务时给予易联 众的条件不高 于本人或本人 控制的企业向 任何其他第三 人提供的条件； 本人愿意承担 因违反上述承 诺而给易联众 造成的全部经 </w:t>
            </w:r>
            <w:r>
              <w:rPr>
                <w:rFonts w:ascii="宋体" w:hAnsi="宋体" w:cs="宋体" w:eastAsia="宋体" w:hint="default"/>
                <w:spacing w:val="-6"/>
                <w:sz w:val="18"/>
                <w:szCs w:val="18"/>
              </w:rPr>
              <w:t>济损失。本人在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不再持有易联</w:t>
            </w:r>
          </w:p>
          <w:p>
            <w:pPr>
              <w:pStyle w:val="TableParagraph"/>
              <w:spacing w:line="314"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及以上股 份及担任公司 高级管理人员 </w:t>
            </w:r>
            <w:r>
              <w:rPr>
                <w:rFonts w:ascii="宋体" w:hAnsi="宋体" w:cs="宋体" w:eastAsia="宋体" w:hint="default"/>
                <w:spacing w:val="-6"/>
                <w:sz w:val="18"/>
                <w:szCs w:val="18"/>
              </w:rPr>
              <w:t>之前，本承诺为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有效之承诺。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4"/>
              <w:jc w:val="left"/>
              <w:rPr>
                <w:rFonts w:ascii="宋体" w:hAnsi="宋体" w:cs="宋体" w:eastAsia="宋体" w:hint="default"/>
                <w:sz w:val="18"/>
                <w:szCs w:val="18"/>
              </w:rPr>
            </w:pPr>
            <w:r>
              <w:rPr>
                <w:rFonts w:ascii="宋体" w:hAnsi="宋体" w:cs="宋体" w:eastAsia="宋体" w:hint="default"/>
                <w:spacing w:val="-7"/>
                <w:sz w:val="18"/>
                <w:szCs w:val="18"/>
              </w:rPr>
              <w:t>诺，未出现违反</w:t>
            </w:r>
            <w:r>
              <w:rPr>
                <w:rFonts w:ascii="宋体" w:hAnsi="宋体" w:cs="宋体" w:eastAsia="宋体" w:hint="default"/>
                <w:sz w:val="18"/>
                <w:szCs w:val="18"/>
              </w:rPr>
              <w:t> 上述承诺的情 况</w:t>
            </w:r>
          </w:p>
        </w:tc>
      </w:tr>
      <w:tr>
        <w:trPr>
          <w:trHeight w:val="1610"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古培坚、雷彪</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1"/>
              <w:jc w:val="both"/>
              <w:rPr>
                <w:rFonts w:ascii="宋体" w:hAnsi="宋体" w:cs="宋体" w:eastAsia="宋体" w:hint="default"/>
                <w:sz w:val="18"/>
                <w:szCs w:val="18"/>
              </w:rPr>
            </w:pPr>
            <w:r>
              <w:rPr>
                <w:rFonts w:ascii="宋体" w:hAnsi="宋体" w:cs="宋体" w:eastAsia="宋体" w:hint="default"/>
                <w:sz w:val="18"/>
                <w:szCs w:val="18"/>
              </w:rPr>
              <w:t>若本公司因员 工缴纳的各项 社保及住房公 积金不符合规 定而承担任何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3"/>
              <w:ind w:left="23" w:right="24"/>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日，承诺 人严格信守承 </w:t>
            </w:r>
            <w:r>
              <w:rPr>
                <w:rFonts w:ascii="宋体" w:hAnsi="宋体" w:cs="宋体" w:eastAsia="宋体" w:hint="default"/>
                <w:spacing w:val="-7"/>
                <w:sz w:val="18"/>
                <w:szCs w:val="18"/>
              </w:rPr>
              <w:t>诺，未出现违反</w:t>
            </w:r>
            <w:r>
              <w:rPr>
                <w:rFonts w:ascii="宋体" w:hAnsi="宋体" w:cs="宋体" w:eastAsia="宋体" w:hint="default"/>
                <w:sz w:val="18"/>
                <w:szCs w:val="18"/>
              </w:rPr>
              <w:t> 上述承诺的情</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483"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罚款或损失，本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人及其他股东 均承诺承担相 </w:t>
            </w:r>
            <w:r>
              <w:rPr>
                <w:rFonts w:ascii="宋体" w:hAnsi="宋体" w:cs="宋体" w:eastAsia="宋体" w:hint="default"/>
                <w:spacing w:val="-6"/>
                <w:sz w:val="18"/>
                <w:szCs w:val="18"/>
              </w:rPr>
              <w:t>关连带责任，共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同为本公司补 缴各项社会保 险及住房公积 </w:t>
            </w:r>
            <w:r>
              <w:rPr>
                <w:rFonts w:ascii="宋体" w:hAnsi="宋体" w:cs="宋体" w:eastAsia="宋体" w:hint="default"/>
                <w:spacing w:val="-6"/>
                <w:sz w:val="18"/>
                <w:szCs w:val="18"/>
              </w:rPr>
              <w:t>金、承担任何罚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款等一切可能 给本公司造成 的损失。</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10348"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58"/>
              <w:jc w:val="both"/>
              <w:rPr>
                <w:rFonts w:ascii="宋体" w:hAnsi="宋体" w:cs="宋体" w:eastAsia="宋体" w:hint="default"/>
                <w:sz w:val="18"/>
                <w:szCs w:val="18"/>
              </w:rPr>
            </w:pPr>
            <w:r>
              <w:rPr>
                <w:rFonts w:ascii="宋体" w:hAnsi="宋体" w:cs="宋体" w:eastAsia="宋体" w:hint="default"/>
                <w:sz w:val="18"/>
                <w:szCs w:val="18"/>
              </w:rPr>
              <w:t>易联众信息技 术股份有限公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tabs>
                <w:tab w:pos="657" w:val="left" w:leader="none"/>
              </w:tabs>
              <w:spacing w:line="316" w:lineRule="auto" w:before="63"/>
              <w:ind w:left="23" w:right="-17"/>
              <w:jc w:val="left"/>
              <w:rPr>
                <w:rFonts w:ascii="宋体" w:hAnsi="宋体" w:cs="宋体" w:eastAsia="宋体" w:hint="default"/>
                <w:sz w:val="18"/>
                <w:szCs w:val="18"/>
              </w:rPr>
            </w:pPr>
            <w:r>
              <w:rPr>
                <w:rFonts w:ascii="宋体" w:hAnsi="宋体" w:cs="宋体" w:eastAsia="宋体" w:hint="default"/>
                <w:spacing w:val="-6"/>
                <w:sz w:val="18"/>
                <w:szCs w:val="18"/>
              </w:rPr>
              <w:t>日，经公司第一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届董事会第十 七次会议审议 </w:t>
            </w:r>
            <w:r>
              <w:rPr>
                <w:rFonts w:ascii="宋体" w:hAnsi="宋体" w:cs="宋体" w:eastAsia="宋体" w:hint="default"/>
                <w:spacing w:val="-6"/>
                <w:sz w:val="18"/>
                <w:szCs w:val="18"/>
              </w:rPr>
              <w:t>通过，公司以超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元永久补充流 </w:t>
            </w:r>
            <w:r>
              <w:rPr>
                <w:rFonts w:ascii="宋体" w:hAnsi="宋体" w:cs="宋体" w:eastAsia="宋体" w:hint="default"/>
                <w:spacing w:val="-6"/>
                <w:sz w:val="18"/>
                <w:szCs w:val="18"/>
              </w:rPr>
              <w:t>动资金，同时承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诺：</w:t>
              <w:tab/>
              <w:t>公司过 去十二个月内 未进行证券投 资等高风险投 </w:t>
            </w:r>
            <w:r>
              <w:rPr>
                <w:rFonts w:ascii="宋体" w:hAnsi="宋体" w:cs="宋体" w:eastAsia="宋体" w:hint="default"/>
                <w:spacing w:val="-6"/>
                <w:sz w:val="18"/>
                <w:szCs w:val="18"/>
              </w:rPr>
              <w:t>资，并承诺未来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十二个月内不 进行证券投资、 </w:t>
            </w:r>
            <w:r>
              <w:rPr>
                <w:rFonts w:ascii="宋体" w:hAnsi="宋体" w:cs="宋体" w:eastAsia="宋体" w:hint="default"/>
                <w:spacing w:val="-6"/>
                <w:sz w:val="18"/>
                <w:szCs w:val="18"/>
              </w:rPr>
              <w:t>委托理财、衍生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品投资、创业投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资等高风险投 资。 剩余超募资金， 公司将根据自 身发展规划及 实际生产经营 </w:t>
            </w:r>
            <w:r>
              <w:rPr>
                <w:rFonts w:ascii="宋体" w:hAnsi="宋体" w:cs="宋体" w:eastAsia="宋体" w:hint="default"/>
                <w:spacing w:val="-6"/>
                <w:sz w:val="18"/>
                <w:szCs w:val="18"/>
              </w:rPr>
              <w:t>需求，按照中国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委员会和深圳 证券交易所的 </w:t>
            </w:r>
            <w:r>
              <w:rPr>
                <w:rFonts w:ascii="宋体" w:hAnsi="宋体" w:cs="宋体" w:eastAsia="宋体" w:hint="default"/>
                <w:spacing w:val="-6"/>
                <w:sz w:val="18"/>
                <w:szCs w:val="18"/>
              </w:rPr>
              <w:t>有关规定，围绕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主业、合理规 </w:t>
            </w:r>
            <w:r>
              <w:rPr>
                <w:rFonts w:ascii="宋体" w:hAnsi="宋体" w:cs="宋体" w:eastAsia="宋体" w:hint="default"/>
                <w:spacing w:val="-6"/>
                <w:sz w:val="18"/>
                <w:szCs w:val="18"/>
              </w:rPr>
              <w:t>划，妥善安排其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余超募资金的 </w:t>
            </w:r>
            <w:r>
              <w:rPr>
                <w:rFonts w:ascii="宋体" w:hAnsi="宋体" w:cs="宋体" w:eastAsia="宋体" w:hint="default"/>
                <w:spacing w:val="-6"/>
                <w:sz w:val="18"/>
                <w:szCs w:val="18"/>
              </w:rPr>
              <w:t>使用计划。公司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在实际使用超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公司严格信守 </w:t>
            </w:r>
            <w:r>
              <w:rPr>
                <w:rFonts w:ascii="宋体" w:hAnsi="宋体" w:cs="宋体" w:eastAsia="宋体" w:hint="default"/>
                <w:spacing w:val="-7"/>
                <w:sz w:val="18"/>
                <w:szCs w:val="18"/>
              </w:rPr>
              <w:t>承诺，本报告期</w:t>
            </w:r>
            <w:r>
              <w:rPr>
                <w:rFonts w:ascii="宋体" w:hAnsi="宋体" w:cs="宋体" w:eastAsia="宋体" w:hint="default"/>
                <w:sz w:val="18"/>
                <w:szCs w:val="18"/>
              </w:rPr>
              <w:t> 内承诺已履行 完毕。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611"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募资金前，将履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行相应的董事 </w:t>
            </w:r>
            <w:r>
              <w:rPr>
                <w:rFonts w:ascii="宋体" w:hAnsi="宋体" w:cs="宋体" w:eastAsia="宋体" w:hint="default"/>
                <w:spacing w:val="-6"/>
                <w:sz w:val="18"/>
                <w:szCs w:val="18"/>
              </w:rPr>
              <w:t>会、股东大会等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审议程序，并及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时披露。</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pacing w:val="-6"/>
                <w:sz w:val="18"/>
                <w:szCs w:val="18"/>
              </w:rPr>
              <w:t>日，经公司第二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届董事会第五 次会议审议通 </w:t>
            </w:r>
            <w:r>
              <w:rPr>
                <w:rFonts w:ascii="宋体" w:hAnsi="宋体" w:cs="宋体" w:eastAsia="宋体" w:hint="default"/>
                <w:spacing w:val="-6"/>
                <w:sz w:val="18"/>
                <w:szCs w:val="18"/>
              </w:rPr>
              <w:t>过，公司以超募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用于购置福州 软件园动漫游 戏产业基地二 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研发楼， 同时承诺： 公司在最近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个月内未进行 </w:t>
            </w:r>
            <w:r>
              <w:rPr>
                <w:rFonts w:ascii="宋体" w:hAnsi="宋体" w:cs="宋体" w:eastAsia="宋体" w:hint="default"/>
                <w:spacing w:val="-6"/>
                <w:sz w:val="18"/>
                <w:szCs w:val="18"/>
              </w:rPr>
              <w:t>证券投资、委托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理财、衍生品投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资、与主营业务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不相关的创业 投资等高风险 </w:t>
            </w:r>
            <w:r>
              <w:rPr>
                <w:rFonts w:ascii="宋体" w:hAnsi="宋体" w:cs="宋体" w:eastAsia="宋体" w:hint="default"/>
                <w:spacing w:val="-6"/>
                <w:sz w:val="18"/>
                <w:szCs w:val="18"/>
              </w:rPr>
              <w:t>投资。按照中国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委员会和深圳 证券交易所的 </w:t>
            </w:r>
            <w:r>
              <w:rPr>
                <w:rFonts w:ascii="宋体" w:hAnsi="宋体" w:cs="宋体" w:eastAsia="宋体" w:hint="default"/>
                <w:spacing w:val="-6"/>
                <w:sz w:val="18"/>
                <w:szCs w:val="18"/>
              </w:rPr>
              <w:t>有关规定，公司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承诺此次购置 研发楼主要用 于主营业务相</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关的使用用途， </w:t>
            </w:r>
            <w:r>
              <w:rPr>
                <w:rFonts w:ascii="宋体" w:hAnsi="宋体" w:cs="宋体" w:eastAsia="宋体" w:hint="default"/>
                <w:spacing w:val="-6"/>
                <w:sz w:val="18"/>
                <w:szCs w:val="18"/>
              </w:rPr>
              <w:t>不用于出租、转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 剩余超募资金， 公司将根据自 身发展规划及 实际生产经营 </w:t>
            </w:r>
            <w:r>
              <w:rPr>
                <w:rFonts w:ascii="宋体" w:hAnsi="宋体" w:cs="宋体" w:eastAsia="宋体" w:hint="default"/>
                <w:spacing w:val="-6"/>
                <w:sz w:val="18"/>
                <w:szCs w:val="18"/>
              </w:rPr>
              <w:t>需求，按照中国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证券监督管理 委员会和深圳 证券交易所的 </w:t>
            </w:r>
            <w:r>
              <w:rPr>
                <w:rFonts w:ascii="宋体" w:hAnsi="宋体" w:cs="宋体" w:eastAsia="宋体" w:hint="default"/>
                <w:spacing w:val="-6"/>
                <w:sz w:val="18"/>
                <w:szCs w:val="18"/>
              </w:rPr>
              <w:t>有关规定，围绕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主业、合理规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12" w:lineRule="auto" w:before="60"/>
              <w:ind w:left="23" w:right="-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 严格信守承诺， 未出现违反上 述承诺的情况</w:t>
            </w:r>
          </w:p>
        </w:tc>
      </w:tr>
    </w:tbl>
    <w:p>
      <w:pPr>
        <w:spacing w:after="0" w:line="312"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BodyText"/>
        <w:spacing w:line="240" w:lineRule="auto" w:before="44"/>
        <w:ind w:left="0" w:right="159"/>
        <w:jc w:val="right"/>
      </w:pPr>
      <w:r>
        <w:rPr/>
        <w:pict>
          <v:shape style="position:absolute;margin-left:56.400002pt;margin-top:-244.138275pt;width:479.3pt;height:264.0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2547"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划，妥善安排使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用计划。公司在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实际使用超募 </w:t>
                        </w:r>
                        <w:r>
                          <w:rPr>
                            <w:rFonts w:ascii="宋体" w:hAnsi="宋体" w:cs="宋体" w:eastAsia="宋体" w:hint="default"/>
                            <w:spacing w:val="-6"/>
                            <w:sz w:val="18"/>
                            <w:szCs w:val="18"/>
                          </w:rPr>
                          <w:t>资金前，将履行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相应的董事会 或股东大会等 </w:t>
                        </w:r>
                        <w:r>
                          <w:rPr>
                            <w:rFonts w:ascii="宋体" w:hAnsi="宋体" w:cs="宋体" w:eastAsia="宋体" w:hint="default"/>
                            <w:spacing w:val="-6"/>
                            <w:sz w:val="18"/>
                            <w:szCs w:val="18"/>
                          </w:rPr>
                          <w:t>审议程序，并及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时披露。</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2"/>
                            <w:sz w:val="18"/>
                            <w:szCs w:val="18"/>
                          </w:rPr>
                          <w:t>，</w:t>
                        </w:r>
                        <w:r>
                          <w:rPr>
                            <w:rFonts w:ascii="宋体" w:hAnsi="宋体" w:cs="宋体" w:eastAsia="宋体" w:hint="default"/>
                            <w:sz w:val="18"/>
                            <w:szCs w:val="18"/>
                          </w:rPr>
                          <w:t>上</w:t>
                        </w:r>
                        <w:r>
                          <w:rPr>
                            <w:rFonts w:ascii="宋体" w:hAnsi="宋体" w:cs="宋体" w:eastAsia="宋体" w:hint="default"/>
                            <w:spacing w:val="-3"/>
                            <w:sz w:val="18"/>
                            <w:szCs w:val="18"/>
                          </w:rPr>
                          <w:t>述</w:t>
                        </w:r>
                        <w:r>
                          <w:rPr>
                            <w:rFonts w:ascii="宋体" w:hAnsi="宋体" w:cs="宋体" w:eastAsia="宋体" w:hint="default"/>
                            <w:sz w:val="18"/>
                            <w:szCs w:val="18"/>
                          </w:rPr>
                          <w:t>承诺人严格信守承诺</w:t>
                        </w:r>
                        <w:r>
                          <w:rPr>
                            <w:rFonts w:ascii="宋体" w:hAnsi="宋体" w:cs="宋体" w:eastAsia="宋体" w:hint="default"/>
                            <w:spacing w:val="-82"/>
                            <w:sz w:val="18"/>
                            <w:szCs w:val="18"/>
                          </w:rPr>
                          <w:t>，</w:t>
                        </w:r>
                        <w:r>
                          <w:rPr>
                            <w:rFonts w:ascii="宋体" w:hAnsi="宋体" w:cs="宋体" w:eastAsia="宋体" w:hint="default"/>
                            <w:sz w:val="18"/>
                            <w:szCs w:val="18"/>
                          </w:rPr>
                          <w:t>未出现违反上述承诺的情况</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熊建益、朱丹丹</w:t>
            </w:r>
          </w:p>
        </w:tc>
      </w:tr>
    </w:tbl>
    <w:p>
      <w:pPr>
        <w:pStyle w:val="BodyText"/>
        <w:spacing w:line="240" w:lineRule="auto" w:before="49"/>
        <w:ind w:right="0"/>
        <w:jc w:val="left"/>
      </w:pPr>
      <w:r>
        <w:rPr/>
        <w:t>是否改聘会计师事务所</w:t>
      </w:r>
    </w:p>
    <w:p>
      <w:pPr>
        <w:pStyle w:val="BodyText"/>
        <w:spacing w:line="338" w:lineRule="auto" w:before="117"/>
        <w:ind w:right="81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原聘任的会计事务所</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天健正信会计师事务所有限公司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w:t>
            </w: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李仕谦、朱丹丹</w:t>
            </w:r>
          </w:p>
        </w:tc>
      </w:tr>
    </w:tbl>
    <w:p>
      <w:pPr>
        <w:pStyle w:val="BodyText"/>
        <w:spacing w:line="240" w:lineRule="auto" w:before="49"/>
        <w:ind w:right="0"/>
        <w:jc w:val="left"/>
      </w:pPr>
      <w:r>
        <w:rPr/>
        <w:t>是否在审计期间改聘会计师事务所</w:t>
      </w:r>
    </w:p>
    <w:p>
      <w:pPr>
        <w:pStyle w:val="BodyText"/>
        <w:spacing w:line="357" w:lineRule="auto" w:before="117"/>
        <w:ind w:right="6894"/>
        <w:jc w:val="left"/>
      </w:pPr>
      <w:r>
        <w:rPr/>
        <w:t>√是 □</w:t>
      </w:r>
      <w:r>
        <w:rPr>
          <w:spacing w:val="2"/>
        </w:rPr>
        <w:t> </w:t>
      </w:r>
      <w:r>
        <w:rPr/>
        <w:t>否</w:t>
      </w:r>
      <w:r>
        <w:rPr/>
        <w:t> 更换会计师事务所是否履行审批程序</w:t>
      </w:r>
    </w:p>
    <w:p>
      <w:pPr>
        <w:pStyle w:val="BodyText"/>
        <w:spacing w:line="240" w:lineRule="auto" w:before="29"/>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60" w:lineRule="auto" w:before="44"/>
        <w:ind w:left="513" w:right="94" w:hanging="361"/>
        <w:jc w:val="left"/>
      </w:pPr>
      <w:r>
        <w:rPr/>
        <w:t>聘任、解聘会计师事务所情况说明 </w:t>
      </w:r>
      <w:r>
        <w:rPr>
          <w:spacing w:val="-2"/>
        </w:rPr>
        <w:t>因公司聘请的天健正信会计师事务所有限公司（以下简称</w:t>
      </w:r>
      <w:r>
        <w:rPr>
          <w:rFonts w:ascii="Times New Roman" w:hAnsi="Times New Roman" w:cs="Times New Roman" w:eastAsia="Times New Roman" w:hint="default"/>
          <w:spacing w:val="-2"/>
        </w:rPr>
        <w:t>“</w:t>
      </w:r>
      <w:r>
        <w:rPr>
          <w:spacing w:val="-2"/>
        </w:rPr>
        <w:t>天健正信</w:t>
      </w:r>
      <w:r>
        <w:rPr>
          <w:rFonts w:ascii="Times New Roman" w:hAnsi="Times New Roman" w:cs="Times New Roman" w:eastAsia="Times New Roman" w:hint="default"/>
          <w:spacing w:val="-2"/>
        </w:rPr>
        <w:t>”</w:t>
      </w:r>
      <w:r>
        <w:rPr>
          <w:spacing w:val="-2"/>
        </w:rPr>
        <w:t>）与京都天华会计师事务所（特殊普通合伙）合并</w:t>
      </w:r>
    </w:p>
    <w:p>
      <w:pPr>
        <w:pStyle w:val="BodyText"/>
        <w:spacing w:line="212" w:lineRule="exact"/>
        <w:ind w:right="0"/>
        <w:jc w:val="both"/>
      </w:pPr>
      <w:r>
        <w:rPr>
          <w:spacing w:val="-3"/>
        </w:rPr>
        <w:t>并更名为</w:t>
      </w:r>
      <w:r>
        <w:rPr>
          <w:rFonts w:ascii="Times New Roman" w:hAnsi="Times New Roman" w:cs="Times New Roman" w:eastAsia="Times New Roman" w:hint="default"/>
          <w:spacing w:val="-3"/>
        </w:rPr>
        <w:t>“</w:t>
      </w:r>
      <w:r>
        <w:rPr>
          <w:spacing w:val="-3"/>
        </w:rPr>
        <w:t>致同会计师事务所（特殊普通合伙）</w:t>
      </w:r>
      <w:r>
        <w:rPr>
          <w:rFonts w:ascii="Times New Roman" w:hAnsi="Times New Roman" w:cs="Times New Roman" w:eastAsia="Times New Roman" w:hint="default"/>
          <w:spacing w:val="-3"/>
        </w:rPr>
        <w:t>”</w:t>
      </w:r>
      <w:r>
        <w:rPr>
          <w:spacing w:val="-3"/>
        </w:rPr>
        <w:t>为保持公司外部审计工作的连续性和稳定性，保证公司财务报表的审计质量，</w:t>
      </w:r>
    </w:p>
    <w:p>
      <w:pPr>
        <w:pStyle w:val="BodyText"/>
        <w:spacing w:line="300" w:lineRule="auto" w:before="63"/>
        <w:ind w:right="191"/>
        <w:jc w:val="both"/>
      </w:pPr>
      <w:r>
        <w:rPr>
          <w:spacing w:val="-3"/>
        </w:rPr>
        <w:t>公司</w:t>
      </w:r>
      <w:r>
        <w:rPr>
          <w:rFonts w:ascii="Times New Roman" w:hAnsi="Times New Roman" w:cs="Times New Roman" w:eastAsia="Times New Roman" w:hint="default"/>
          <w:spacing w:val="-3"/>
        </w:rPr>
        <w:t>2012</w:t>
      </w:r>
      <w:r>
        <w:rPr>
          <w:spacing w:val="-3"/>
        </w:rPr>
        <w:t>年第三次临时股东大会审议通过了《公司关于变更</w:t>
      </w:r>
      <w:r>
        <w:rPr>
          <w:rFonts w:ascii="Times New Roman" w:hAnsi="Times New Roman" w:cs="Times New Roman" w:eastAsia="Times New Roman" w:hint="default"/>
          <w:spacing w:val="-3"/>
        </w:rPr>
        <w:t>2012</w:t>
      </w:r>
      <w:r>
        <w:rPr>
          <w:spacing w:val="-3"/>
        </w:rPr>
        <w:t>年度审计机构的议案》，同意将</w:t>
      </w:r>
      <w:r>
        <w:rPr>
          <w:rFonts w:ascii="Times New Roman" w:hAnsi="Times New Roman" w:cs="Times New Roman" w:eastAsia="Times New Roman" w:hint="default"/>
          <w:spacing w:val="-3"/>
        </w:rPr>
        <w:t>2012</w:t>
      </w:r>
      <w:r>
        <w:rPr>
          <w:spacing w:val="-3"/>
        </w:rPr>
        <w:t>年度外部审计机构由</w:t>
      </w:r>
      <w:r>
        <w:rPr>
          <w:rFonts w:ascii="Times New Roman" w:hAnsi="Times New Roman" w:cs="Times New Roman" w:eastAsia="Times New Roman" w:hint="default"/>
          <w:spacing w:val="-3"/>
        </w:rPr>
        <w:t>“</w:t>
      </w:r>
      <w:r>
        <w:rPr>
          <w:spacing w:val="-3"/>
        </w:rPr>
        <w:t>天</w:t>
      </w:r>
      <w:r>
        <w:rPr>
          <w:spacing w:val="-76"/>
        </w:rPr>
        <w:t> </w:t>
      </w:r>
      <w:r>
        <w:rPr/>
        <w:t>健正信</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致同</w:t>
      </w:r>
      <w:r>
        <w:rPr>
          <w:rFonts w:ascii="Times New Roman" w:hAnsi="Times New Roman" w:cs="Times New Roman" w:eastAsia="Times New Roman" w:hint="default"/>
        </w:rPr>
        <w:t>”</w:t>
      </w:r>
      <w:r>
        <w:rPr/>
        <w:t>，聘期自</w:t>
      </w:r>
      <w:r>
        <w:rPr>
          <w:rFonts w:ascii="Times New Roman" w:hAnsi="Times New Roman" w:cs="Times New Roman" w:eastAsia="Times New Roman" w:hint="default"/>
        </w:rPr>
        <w:t>2012</w:t>
      </w:r>
      <w:r>
        <w:rPr/>
        <w:t>年第三次临时股东大会审议通过之日起至下一年度股东大会有关聘请会计师事务所的决 议之日前止。</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after="0" w:line="240"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3" w:right="94"/>
        <w:jc w:val="left"/>
        <w:rPr>
          <w:b w:val="0"/>
          <w:bCs w:val="0"/>
        </w:rPr>
      </w:pPr>
      <w:bookmarkStart w:name="_bookmark5" w:id="6"/>
      <w:bookmarkEnd w:id="6"/>
      <w:r>
        <w:rPr>
          <w:b w:val="0"/>
          <w:bCs w:val="0"/>
        </w:rPr>
      </w:r>
      <w:r>
        <w:rPr/>
        <w:t>第六节</w:t>
      </w:r>
      <w:r>
        <w:rPr>
          <w:spacing w:val="-5"/>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2"/>
        <w:gridCol w:w="843"/>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3"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46.7%</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38,700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38,700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80,358,70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46.72%</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43.91%</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43.91%</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43.91%</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43.91%</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2.79%</w:t>
            </w:r>
          </w:p>
        </w:tc>
        <w:tc>
          <w:tcPr>
            <w:tcW w:w="845"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38,700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38,700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4,838,700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6" w:right="0"/>
              <w:jc w:val="left"/>
              <w:rPr>
                <w:rFonts w:ascii="Times New Roman" w:hAnsi="Times New Roman" w:cs="Times New Roman" w:eastAsia="Times New Roman" w:hint="default"/>
                <w:sz w:val="18"/>
                <w:szCs w:val="18"/>
              </w:rPr>
            </w:pPr>
            <w:r>
              <w:rPr>
                <w:rFonts w:ascii="Times New Roman"/>
                <w:sz w:val="18"/>
              </w:rPr>
              <w:t>2.81%</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53.3%</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-38,700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-38,700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53.28%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53.3%</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-38,700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-38,700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53.28%</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5" w:type="dxa"/>
            <w:vMerge w:val="restart"/>
            <w:tcBorders>
              <w:top w:val="single" w:sz="4" w:space="0" w:color="000000"/>
              <w:left w:val="single" w:sz="4" w:space="0" w:color="000000"/>
              <w:right w:val="single" w:sz="4" w:space="0" w:color="000000"/>
            </w:tcBorders>
          </w:tcPr>
          <w:p>
            <w:pP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57" w:lineRule="auto" w:before="49"/>
        <w:ind w:left="513" w:right="93" w:hanging="361"/>
        <w:jc w:val="left"/>
      </w:pPr>
      <w:r>
        <w:rPr/>
        <w:t>股份变动的原因 根据中国证监会《上市公司董事、监事和高级管理人员所持本公司股份及其变动管理规则》相关规定，上市公司董事、</w:t>
      </w:r>
    </w:p>
    <w:p>
      <w:pPr>
        <w:pStyle w:val="BodyText"/>
        <w:spacing w:line="237" w:lineRule="exact"/>
        <w:ind w:right="94"/>
        <w:jc w:val="left"/>
      </w:pPr>
      <w:r>
        <w:rPr/>
        <w:t>监事和高级管理人员以上年末其所持有本公司发行的股份的</w:t>
      </w:r>
      <w:r>
        <w:rPr>
          <w:rFonts w:ascii="Times New Roman" w:hAnsi="Times New Roman" w:cs="Times New Roman" w:eastAsia="Times New Roman" w:hint="default"/>
        </w:rPr>
        <w:t>75%</w:t>
      </w:r>
      <w:r>
        <w:rPr/>
        <w:t>进行锁定。公司董事、监事和高级管理人员离职后半年内，</w:t>
      </w:r>
    </w:p>
    <w:p>
      <w:pPr>
        <w:pStyle w:val="BodyText"/>
        <w:spacing w:line="316" w:lineRule="auto" w:before="63"/>
        <w:ind w:left="513" w:right="178" w:hanging="361"/>
        <w:jc w:val="left"/>
      </w:pPr>
      <w:r>
        <w:rPr/>
        <w:t>不得转让公司股份。 </w:t>
      </w:r>
      <w:r>
        <w:rPr>
          <w:spacing w:val="-1"/>
        </w:rPr>
        <w:t>本公司股份变动的具体原因为：根据相关规定公司高管以</w:t>
      </w:r>
      <w:r>
        <w:rPr>
          <w:rFonts w:ascii="Times New Roman" w:hAnsi="Times New Roman" w:cs="Times New Roman" w:eastAsia="Times New Roman" w:hint="default"/>
          <w:spacing w:val="-1"/>
        </w:rPr>
        <w:t>2011</w:t>
      </w:r>
      <w:r>
        <w:rPr>
          <w:spacing w:val="-1"/>
        </w:rPr>
        <w:t>年末所持本公司股份的</w:t>
      </w:r>
      <w:r>
        <w:rPr>
          <w:rFonts w:ascii="Times New Roman" w:hAnsi="Times New Roman" w:cs="Times New Roman" w:eastAsia="Times New Roman" w:hint="default"/>
          <w:spacing w:val="-1"/>
        </w:rPr>
        <w:t>75%</w:t>
      </w:r>
      <w:r>
        <w:rPr>
          <w:spacing w:val="-1"/>
        </w:rPr>
        <w:t>进行锁定；原董事会秘书郑仁</w:t>
      </w:r>
    </w:p>
    <w:p>
      <w:pPr>
        <w:pStyle w:val="BodyText"/>
        <w:spacing w:line="248" w:lineRule="exact"/>
        <w:ind w:right="94"/>
        <w:jc w:val="left"/>
      </w:pPr>
      <w:r>
        <w:rPr/>
        <w:t>贵先生于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8</w:t>
      </w:r>
      <w:r>
        <w:rPr/>
        <w:t>日离职，其所持有本公司发行的股票无限售条件股份也自动锁定。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right="94"/>
        <w:jc w:val="left"/>
      </w:pPr>
      <w:r>
        <w:rPr/>
        <w:t>股份变动的批准情况</w:t>
      </w:r>
    </w:p>
    <w:p>
      <w:pPr>
        <w:pStyle w:val="BodyText"/>
        <w:spacing w:line="357" w:lineRule="auto" w:before="117"/>
        <w:ind w:right="8194"/>
        <w:jc w:val="left"/>
      </w:pPr>
      <w:r>
        <w:rPr/>
        <w:t>□ 适用 √</w:t>
      </w:r>
      <w:r>
        <w:rPr>
          <w:spacing w:val="3"/>
        </w:rPr>
        <w:t> </w:t>
      </w:r>
      <w:r>
        <w:rPr/>
        <w:t>不适用</w:t>
      </w:r>
      <w:r>
        <w:rPr/>
        <w:t> 股份变动的过户情况</w:t>
      </w:r>
    </w:p>
    <w:p>
      <w:pPr>
        <w:pStyle w:val="BodyText"/>
        <w:spacing w:line="240" w:lineRule="auto" w:before="29"/>
        <w:ind w:right="94"/>
        <w:jc w:val="left"/>
      </w:pPr>
      <w:r>
        <w:rPr/>
        <w:t>股份变动对最近一年和最近一期基本每股收益和稀释每股收益、归属于公司普通股股东的每股净资产等财务指标的影响</w:t>
      </w:r>
    </w:p>
    <w:p>
      <w:pPr>
        <w:pStyle w:val="BodyText"/>
        <w:spacing w:line="357" w:lineRule="auto" w:before="117"/>
        <w:ind w:right="5854"/>
        <w:jc w:val="left"/>
      </w:pPr>
      <w:r>
        <w:rPr/>
        <w:t>□ 适用 √</w:t>
      </w:r>
      <w:r>
        <w:rPr>
          <w:spacing w:val="3"/>
        </w:rPr>
        <w:t> </w:t>
      </w:r>
      <w:r>
        <w:rPr/>
        <w:t>不适用</w:t>
      </w:r>
      <w:r>
        <w:rPr/>
        <w:t> 公司认为必要或证券监管机构要求披露的其他内容 无</w:t>
      </w:r>
    </w:p>
    <w:p>
      <w:pPr>
        <w:spacing w:after="0" w:line="357"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50"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8"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61,280,000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61,280,000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黄晓晖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1,913,700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离职，离职高管 锁定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80,358,700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2"/>
        <w:gridCol w:w="1381"/>
        <w:gridCol w:w="1362"/>
        <w:gridCol w:w="1368"/>
        <w:gridCol w:w="1362"/>
        <w:gridCol w:w="1375"/>
      </w:tblGrid>
      <w:tr>
        <w:trPr>
          <w:trHeight w:val="406"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10,425</w:t>
            </w:r>
          </w:p>
        </w:tc>
        <w:tc>
          <w:tcPr>
            <w:tcW w:w="40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8,152</w:t>
            </w:r>
          </w:p>
        </w:tc>
      </w:tr>
      <w:tr>
        <w:trPr>
          <w:trHeight w:val="39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9"/>
              <w:ind w:left="230" w:right="46" w:hanging="181"/>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2"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61,280,000</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right="19"/>
              <w:jc w:val="right"/>
              <w:rPr>
                <w:rFonts w:ascii="Times New Roman" w:hAnsi="Times New Roman" w:cs="Times New Roman" w:eastAsia="Times New Roman" w:hint="default"/>
                <w:sz w:val="18"/>
                <w:szCs w:val="18"/>
              </w:rPr>
            </w:pPr>
            <w:r>
              <w:rPr>
                <w:rFonts w:ascii="Times New Roman"/>
                <w:spacing w:val="-1"/>
                <w:sz w:val="18"/>
              </w:rPr>
              <w:t>61,280,000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5.95%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10,240,000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黄晓晖</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2.33%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中国民生银行股 份有限公司－东 方精选混合型开 放式证券投资基 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1.74%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both"/>
              <w:rPr>
                <w:rFonts w:ascii="宋体" w:hAnsi="宋体" w:cs="宋体" w:eastAsia="宋体" w:hint="default"/>
                <w:sz w:val="18"/>
                <w:szCs w:val="18"/>
              </w:rPr>
            </w:pPr>
            <w:r>
              <w:rPr>
                <w:rFonts w:ascii="宋体" w:hAnsi="宋体" w:cs="宋体" w:eastAsia="宋体" w:hint="default"/>
                <w:sz w:val="18"/>
                <w:szCs w:val="18"/>
              </w:rPr>
              <w:t>中国建设银行－ 华夏优势增长股 票型证券投资基 金</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64"/>
        <w:gridCol w:w="1368"/>
        <w:gridCol w:w="1369"/>
        <w:gridCol w:w="1368"/>
        <w:gridCol w:w="1368"/>
        <w:gridCol w:w="1368"/>
        <w:gridCol w:w="1369"/>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1,913,700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郝纪清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张学勤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中国民生银行股份有限公司－东 方精选混合型开放式证券</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2,999,907</w:t>
            </w:r>
          </w:p>
        </w:tc>
      </w:tr>
      <w:tr>
        <w:trPr>
          <w:trHeight w:val="716"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2,572,289</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郝纪清</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1,250,150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张学勤</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1,164,630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1,164,630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山东省国际信托有限公司</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蔡海涛</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804,237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804,237</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全国社保基金四零八组合</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604,907</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张国全</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532,600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李莉</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516,564</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2"/>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507,500</w:t>
            </w:r>
          </w:p>
        </w:tc>
      </w:tr>
      <w:tr>
        <w:trPr>
          <w:trHeight w:val="1964"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24" w:right="17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3" w:firstLine="363"/>
              <w:jc w:val="left"/>
              <w:rPr>
                <w:rFonts w:ascii="宋体" w:hAnsi="宋体" w:cs="宋体" w:eastAsia="宋体" w:hint="default"/>
                <w:sz w:val="18"/>
                <w:szCs w:val="18"/>
              </w:rPr>
            </w:pPr>
            <w:r>
              <w:rPr>
                <w:rFonts w:ascii="宋体" w:hAnsi="宋体" w:cs="宋体" w:eastAsia="宋体" w:hint="default"/>
                <w:sz w:val="18"/>
                <w:szCs w:val="18"/>
              </w:rPr>
              <w:t>古培坚为公司控股股东，任公司董事长、法定代表人；雷彪任公司董事、总经理； 吴文飞、黄文灿为公司副总经理；郑仁贵任公司董事会秘书，已于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 </w:t>
            </w:r>
            <w:r>
              <w:rPr>
                <w:rFonts w:ascii="宋体" w:hAnsi="宋体" w:cs="宋体" w:eastAsia="宋体" w:hint="default"/>
                <w:spacing w:val="-2"/>
                <w:sz w:val="18"/>
                <w:szCs w:val="18"/>
              </w:rPr>
              <w:t>职。古培坚、雷彪、吴文飞、黄文灿、郑仁贵所持有的公司股份均为公司首次发行股票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并上市时持有。截至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日，股东古培坚、雷彪、吴文飞、黄文灿之间除 </w:t>
            </w:r>
            <w:r>
              <w:rPr>
                <w:rFonts w:ascii="宋体" w:hAnsi="宋体" w:cs="宋体" w:eastAsia="宋体" w:hint="default"/>
                <w:spacing w:val="-2"/>
                <w:sz w:val="18"/>
                <w:szCs w:val="18"/>
              </w:rPr>
              <w:t>在本公司任职外，无关联关系，无一致行动约定。公司未知其他股东之间是否存在关联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关系，也未知是否属于一致行动人。</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263"/>
        <w:jc w:val="left"/>
        <w:rPr>
          <w:rFonts w:ascii="Times New Roman" w:hAnsi="Times New Roman" w:cs="Times New Roman" w:eastAsia="Times New Roman" w:hint="default"/>
        </w:rPr>
      </w:pPr>
      <w:r>
        <w:rPr/>
        <w:t>古培坚先生，为公司控股股东和实际控制人，截至报告期末持有本公司股份</w:t>
      </w:r>
      <w:r>
        <w:rPr>
          <w:rFonts w:ascii="Times New Roman" w:hAnsi="Times New Roman" w:cs="Times New Roman" w:eastAsia="Times New Roman" w:hint="default"/>
        </w:rPr>
        <w:t>61,280,000</w:t>
      </w:r>
      <w:r>
        <w:rPr/>
        <w:t>股，占公司总股本的</w:t>
      </w:r>
      <w:r>
        <w:rPr>
          <w:rFonts w:ascii="Times New Roman" w:hAnsi="Times New Roman" w:cs="Times New Roman" w:eastAsia="Times New Roman" w:hint="default"/>
        </w:rPr>
        <w:t>35.63%</w:t>
      </w:r>
      <w:r>
        <w:rPr/>
        <w:t>。 古培坚先生简历详见本报告</w:t>
      </w:r>
      <w:r>
        <w:rPr>
          <w:rFonts w:ascii="Times New Roman" w:hAnsi="Times New Roman" w:cs="Times New Roman" w:eastAsia="Times New Roman" w:hint="default"/>
        </w:rPr>
        <w:t>“</w:t>
      </w:r>
      <w:r>
        <w:rPr/>
        <w:t>第七节董事、监事、高级管理人员和员工情况</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现任董事、监事、高级管理人员最近</w:t>
      </w:r>
      <w:r>
        <w:rPr>
          <w:rFonts w:ascii="Times New Roman" w:hAnsi="Times New Roman" w:cs="Times New Roman" w:eastAsia="Times New Roman" w:hint="default"/>
        </w:rPr>
        <w:t>5</w:t>
      </w:r>
    </w:p>
    <w:p>
      <w:pPr>
        <w:pStyle w:val="BodyText"/>
        <w:spacing w:line="300" w:lineRule="auto" w:before="13"/>
        <w:ind w:left="513" w:right="5093" w:hanging="361"/>
        <w:jc w:val="left"/>
      </w:pPr>
      <w:r>
        <w:rPr/>
        <w:t>年的主要工作经历</w:t>
      </w:r>
      <w:r>
        <w:rPr>
          <w:rFonts w:ascii="Times New Roman" w:hAnsi="Times New Roman" w:cs="Times New Roman" w:eastAsia="Times New Roman" w:hint="default"/>
        </w:rPr>
        <w:t>”</w:t>
      </w:r>
      <w:r>
        <w:rPr/>
        <w:t>。 报告期内，公司控股股东、实际控制人均未发生变化。</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firstLine="288"/>
        <w:jc w:val="left"/>
      </w:pPr>
      <w:r>
        <w:rPr/>
        <w:t>详见</w:t>
      </w:r>
      <w:r>
        <w:rPr>
          <w:rFonts w:ascii="Times New Roman" w:hAnsi="Times New Roman" w:cs="Times New Roman" w:eastAsia="Times New Roman" w:hint="default"/>
        </w:rPr>
        <w:t>“2</w:t>
      </w:r>
      <w:r>
        <w:rPr/>
        <w:t>、公司控股股东情况</w:t>
      </w:r>
      <w:r>
        <w:rPr>
          <w:rFonts w:ascii="Times New Roman" w:hAnsi="Times New Roman" w:cs="Times New Roman" w:eastAsia="Times New Roman" w:hint="default"/>
        </w:rPr>
        <w:t>”</w:t>
      </w:r>
      <w:r>
        <w:rPr/>
        <w:t>。 公司与实际控制人之间的产权及控制关系的方框图</w:t>
      </w:r>
    </w:p>
    <w:p>
      <w:pPr>
        <w:spacing w:after="0" w:line="3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3135" w:lineRule="exact"/>
        <w:ind w:left="1634"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236557" cy="19907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4236557" cy="199072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2"/>
        <w:rPr>
          <w:rFonts w:ascii="宋体" w:hAnsi="宋体" w:cs="宋体" w:eastAsia="宋体" w:hint="default"/>
          <w:sz w:val="21"/>
          <w:szCs w:val="21"/>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1"/>
        <w:rPr>
          <w:rFonts w:ascii="宋体" w:hAnsi="宋体" w:cs="宋体" w:eastAsia="宋体" w:hint="default"/>
          <w:sz w:val="18"/>
          <w:szCs w:val="18"/>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黄晓晖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首发限售</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pict>
          <v:shape style="position:absolute;margin-left:408.553009pt;margin-top:97.415596pt;width:56.65pt;height:15.6pt;mso-position-horizontal-relative:page;mso-position-vertical-relative:paragraph;z-index:-821224" type="#_x0000_t202" filled="false" stroked="false">
            <v:textbox inset="0,0,0,0">
              <w:txbxContent>
                <w:p>
                  <w:pPr>
                    <w:pStyle w:val="BodyText"/>
                    <w:spacing w:line="240" w:lineRule="auto" w:before="8"/>
                    <w:ind w:left="0" w:right="0"/>
                    <w:jc w:val="left"/>
                  </w:pPr>
                  <w:r>
                    <w:rPr/>
                    <w:t>（股）</w:t>
                  </w:r>
                </w:p>
              </w:txbxContent>
            </v:textbox>
            <w10:wrap type="none"/>
          </v:shape>
        </w:pict>
      </w:r>
      <w:r>
        <w:rPr/>
        <w:pict>
          <v:shape style="position:absolute;margin-left:476.983002pt;margin-top:99.455597pt;width:57.75pt;height:31.2pt;mso-position-horizontal-relative:page;mso-position-vertical-relative:paragraph;z-index:-821200" type="#_x0000_t202" filled="false" stroked="false">
            <v:textbox inset="0,0,0,0">
              <w:txbxContent>
                <w:p>
                  <w:pPr>
                    <w:pStyle w:val="BodyText"/>
                    <w:spacing w:line="203" w:lineRule="exact"/>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683"/>
        <w:gridCol w:w="682"/>
        <w:gridCol w:w="682"/>
        <w:gridCol w:w="684"/>
        <w:gridCol w:w="685"/>
        <w:gridCol w:w="684"/>
        <w:gridCol w:w="682"/>
        <w:gridCol w:w="684"/>
        <w:gridCol w:w="684"/>
        <w:gridCol w:w="682"/>
        <w:gridCol w:w="684"/>
        <w:gridCol w:w="67"/>
        <w:gridCol w:w="614"/>
        <w:gridCol w:w="686"/>
        <w:gridCol w:w="68"/>
        <w:gridCol w:w="614"/>
      </w:tblGrid>
      <w:tr>
        <w:trPr>
          <w:trHeight w:val="196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6"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4" w:right="62"/>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5"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68"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61,280,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61,280,</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7"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10,240,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10,240,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8"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7"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8"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674"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gridSpan w:val="2"/>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gridSpan w:val="2"/>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2"/>
        <w:gridCol w:w="682"/>
        <w:gridCol w:w="684"/>
        <w:gridCol w:w="685"/>
        <w:gridCol w:w="684"/>
        <w:gridCol w:w="682"/>
        <w:gridCol w:w="684"/>
        <w:gridCol w:w="684"/>
        <w:gridCol w:w="682"/>
        <w:gridCol w:w="684"/>
        <w:gridCol w:w="682"/>
        <w:gridCol w:w="686"/>
        <w:gridCol w:w="683"/>
      </w:tblGrid>
      <w:tr>
        <w:trPr>
          <w:trHeight w:val="362"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7"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7"/>
              <w:jc w:val="right"/>
              <w:rPr>
                <w:rFonts w:ascii="宋体" w:hAnsi="宋体" w:cs="宋体" w:eastAsia="宋体" w:hint="default"/>
                <w:sz w:val="18"/>
                <w:szCs w:val="18"/>
              </w:rPr>
            </w:pPr>
            <w:r>
              <w:rPr>
                <w:rFonts w:ascii="宋体" w:hAnsi="宋体" w:cs="宋体" w:eastAsia="宋体" w:hint="default"/>
                <w:sz w:val="18"/>
                <w:szCs w:val="18"/>
              </w:rPr>
              <w:t>减持</w:t>
            </w: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8"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技术总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337"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339"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董事会 秘书</w:t>
            </w:r>
          </w:p>
          <w:p>
            <w:pPr>
              <w:pStyle w:val="TableParagraph"/>
              <w:spacing w:line="316" w:lineRule="auto" w:before="19"/>
              <w:ind w:left="23" w:right="285"/>
              <w:jc w:val="left"/>
              <w:rPr>
                <w:rFonts w:ascii="宋体" w:hAnsi="宋体" w:cs="宋体" w:eastAsia="宋体" w:hint="default"/>
                <w:sz w:val="18"/>
                <w:szCs w:val="18"/>
              </w:rPr>
            </w:pPr>
            <w:r>
              <w:rPr>
                <w:rFonts w:ascii="宋体" w:hAnsi="宋体" w:cs="宋体" w:eastAsia="宋体" w:hint="default"/>
                <w:sz w:val="18"/>
                <w:szCs w:val="18"/>
              </w:rPr>
              <w:t>（离 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吴伟</w:t>
            </w:r>
          </w:p>
        </w:tc>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p>
            <w:pPr>
              <w:pStyle w:val="TableParagraph"/>
              <w:spacing w:line="319" w:lineRule="auto" w:before="76"/>
              <w:ind w:left="23" w:right="285"/>
              <w:jc w:val="left"/>
              <w:rPr>
                <w:rFonts w:ascii="宋体" w:hAnsi="宋体" w:cs="宋体" w:eastAsia="宋体" w:hint="default"/>
                <w:sz w:val="18"/>
                <w:szCs w:val="18"/>
              </w:rPr>
            </w:pPr>
            <w:r>
              <w:rPr>
                <w:rFonts w:ascii="宋体" w:hAnsi="宋体" w:cs="宋体" w:eastAsia="宋体" w:hint="default"/>
                <w:sz w:val="18"/>
                <w:szCs w:val="18"/>
              </w:rPr>
              <w:t>（离 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77,333,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76,913,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pStyle w:val="BodyText"/>
        <w:spacing w:line="240" w:lineRule="auto" w:before="101"/>
        <w:ind w:left="513" w:right="0"/>
        <w:jc w:val="left"/>
      </w:pPr>
      <w:r>
        <w:rPr>
          <w:rFonts w:ascii="Times New Roman" w:hAnsi="Times New Roman" w:cs="Times New Roman" w:eastAsia="Times New Roman" w:hint="default"/>
        </w:rPr>
        <w:t>1</w:t>
      </w:r>
      <w:r>
        <w:rPr/>
        <w:t>、公司现任董事</w:t>
      </w:r>
    </w:p>
    <w:p>
      <w:pPr>
        <w:pStyle w:val="BodyText"/>
        <w:spacing w:line="240" w:lineRule="auto" w:before="103"/>
        <w:ind w:left="513" w:right="0"/>
        <w:jc w:val="left"/>
      </w:pPr>
      <w:r>
        <w:rPr/>
        <w:t>公司现任董事会由</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名董事组成，其中独立董事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名，任期三年，董事会成员简历如下：</w:t>
      </w:r>
    </w:p>
    <w:p>
      <w:pPr>
        <w:pStyle w:val="BodyText"/>
        <w:spacing w:line="300" w:lineRule="auto" w:before="103"/>
        <w:ind w:right="142" w:firstLine="360"/>
        <w:jc w:val="left"/>
      </w:pPr>
      <w:r>
        <w:rPr>
          <w:rFonts w:ascii="Times New Roman" w:hAnsi="Times New Roman" w:cs="Times New Roman" w:eastAsia="Times New Roman" w:hint="default"/>
        </w:rPr>
        <w:t>1</w:t>
      </w:r>
      <w:r>
        <w:rPr/>
        <w:t>）古培坚，男，生于</w:t>
      </w:r>
      <w:r>
        <w:rPr>
          <w:spacing w:val="-46"/>
        </w:rPr>
        <w:t> </w:t>
      </w:r>
      <w:r>
        <w:rPr>
          <w:rFonts w:ascii="Times New Roman" w:hAnsi="Times New Roman" w:cs="Times New Roman" w:eastAsia="Times New Roman" w:hint="default"/>
        </w:rPr>
        <w:t>1965</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月，中国国籍，无永久境外居留权，研究生学历，工程师。</w:t>
      </w:r>
      <w:r>
        <w:rPr>
          <w:rFonts w:ascii="Times New Roman" w:hAnsi="Times New Roman" w:cs="Times New Roman" w:eastAsia="Times New Roman" w:hint="default"/>
        </w:rPr>
        <w:t>1986</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月毕业于东北重 型机械学院，机械制造专业，获学士学位、学历。</w:t>
      </w:r>
      <w:r>
        <w:rPr>
          <w:rFonts w:ascii="Times New Roman" w:hAnsi="Times New Roman" w:cs="Times New Roman" w:eastAsia="Times New Roman" w:hint="default"/>
        </w:rPr>
        <w:t>1989</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月，毕业于华侨大学精密机械专业，获硕士学位、学历；</w:t>
      </w:r>
      <w:r>
        <w:rPr>
          <w:rFonts w:ascii="Times New Roman" w:hAnsi="Times New Roman" w:cs="Times New Roman" w:eastAsia="Times New Roman" w:hint="default"/>
        </w:rPr>
        <w:t>1989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月至</w:t>
      </w:r>
      <w:r>
        <w:rPr>
          <w:spacing w:val="-46"/>
        </w:rPr>
        <w:t> </w:t>
      </w:r>
      <w:r>
        <w:rPr>
          <w:rFonts w:ascii="Times New Roman" w:hAnsi="Times New Roman" w:cs="Times New Roman" w:eastAsia="Times New Roman" w:hint="default"/>
        </w:rPr>
        <w:t>1999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月，任福建实达电脑集团股份有限公司部门主管、总裁助理、副总裁；</w:t>
      </w:r>
      <w:r>
        <w:rPr>
          <w:rFonts w:ascii="Times New Roman" w:hAnsi="Times New Roman" w:cs="Times New Roman" w:eastAsia="Times New Roman" w:hint="default"/>
        </w:rPr>
        <w:t>1999</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月至</w:t>
      </w:r>
      <w:r>
        <w:rPr>
          <w:spacing w:val="-4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月，任</w:t>
      </w:r>
    </w:p>
    <w:p>
      <w:pPr>
        <w:pStyle w:val="BodyText"/>
        <w:spacing w:line="240" w:lineRule="auto" w:before="13"/>
        <w:ind w:right="0"/>
        <w:jc w:val="left"/>
      </w:pPr>
      <w:r>
        <w:rPr/>
        <w:t>实达科技（控股）有限公司执行董事；</w:t>
      </w:r>
      <w:r>
        <w:rPr>
          <w:rFonts w:ascii="Times New Roman" w:hAnsi="Times New Roman" w:cs="Times New Roman" w:eastAsia="Times New Roman" w:hint="default"/>
        </w:rPr>
        <w:t>2002</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月至至</w:t>
      </w:r>
      <w:r>
        <w:rPr>
          <w:spacing w:val="-4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月，任优能数码科技（控股）有限公司副总裁，福建西岸</w:t>
      </w:r>
    </w:p>
    <w:p>
      <w:pPr>
        <w:pStyle w:val="BodyText"/>
        <w:spacing w:line="240" w:lineRule="auto" w:before="60"/>
        <w:ind w:right="0"/>
        <w:jc w:val="left"/>
      </w:pPr>
      <w:r>
        <w:rPr/>
        <w:t>网讯科技有限公司副总裁；</w:t>
      </w: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月，任银创控股有限公司执行董事；</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月至</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月，任本</w:t>
      </w:r>
    </w:p>
    <w:p>
      <w:pPr>
        <w:pStyle w:val="BodyText"/>
        <w:spacing w:line="240" w:lineRule="auto" w:before="63"/>
        <w:ind w:right="0"/>
        <w:jc w:val="left"/>
      </w:pPr>
      <w:r>
        <w:rPr/>
        <w:t>公司执行董事；</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月至</w:t>
      </w:r>
      <w:r>
        <w:rPr>
          <w:spacing w:val="-4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月，任本公司董事、董事长。</w:t>
      </w: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月至</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月任本公司第一届董事会董</w:t>
      </w:r>
    </w:p>
    <w:p>
      <w:pPr>
        <w:pStyle w:val="BodyText"/>
        <w:spacing w:line="240" w:lineRule="auto" w:before="63"/>
        <w:ind w:right="0"/>
        <w:jc w:val="left"/>
      </w:pPr>
      <w:r>
        <w:rPr/>
        <w:t>事、董事长。现任本公司第二届董事会董事、董事长，任期为</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月起三年。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left="513" w:right="0"/>
        <w:jc w:val="left"/>
      </w:pPr>
      <w:r>
        <w:rPr>
          <w:rFonts w:ascii="Times New Roman" w:hAnsi="Times New Roman" w:cs="Times New Roman" w:eastAsia="Times New Roman" w:hint="default"/>
        </w:rPr>
        <w:t>2</w:t>
      </w:r>
      <w:r>
        <w:rPr/>
        <w:t>）雷彪，男，生于</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9</w:t>
      </w:r>
      <w:r>
        <w:rPr/>
        <w:t>月，中国国籍，无永久境外居留权，硕士研究生毕业，高级工程师。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月，毕业于厦</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190"/>
        <w:jc w:val="both"/>
      </w:pPr>
      <w:r>
        <w:rPr>
          <w:spacing w:val="-2"/>
        </w:rPr>
        <w:t>门大学计算机软件专业，获本科学位、学历；</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月，任福建省税务局三明市税务局计算中心负责人；</w:t>
      </w:r>
      <w:r>
        <w:rPr>
          <w:rFonts w:ascii="Times New Roman" w:hAnsi="Times New Roman" w:cs="Times New Roman" w:eastAsia="Times New Roman" w:hint="default"/>
          <w:spacing w:val="-2"/>
        </w:rPr>
        <w:t>1994</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spacing w:val="-1"/>
        </w:rPr>
        <w:t>年</w:t>
      </w:r>
      <w:r>
        <w:rPr>
          <w:rFonts w:ascii="Times New Roman" w:hAnsi="Times New Roman" w:cs="Times New Roman" w:eastAsia="Times New Roman" w:hint="default"/>
          <w:spacing w:val="-1"/>
        </w:rPr>
        <w:t>10</w:t>
      </w:r>
      <w:r>
        <w:rPr>
          <w:spacing w:val="-1"/>
        </w:rPr>
        <w:t>月至</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7</w:t>
      </w:r>
      <w:r>
        <w:rPr>
          <w:spacing w:val="-1"/>
        </w:rPr>
        <w:t>月，任厦门市巨龙软件工程有限公司副总经理；</w:t>
      </w:r>
      <w:r>
        <w:rPr>
          <w:rFonts w:ascii="Times New Roman" w:hAnsi="Times New Roman" w:cs="Times New Roman" w:eastAsia="Times New Roman" w:hint="default"/>
          <w:spacing w:val="-1"/>
        </w:rPr>
        <w:t>1999</w:t>
      </w:r>
      <w:r>
        <w:rPr>
          <w:spacing w:val="-1"/>
        </w:rPr>
        <w:t>年至</w:t>
      </w:r>
      <w:r>
        <w:rPr>
          <w:rFonts w:ascii="Times New Roman" w:hAnsi="Times New Roman" w:cs="Times New Roman" w:eastAsia="Times New Roman" w:hint="default"/>
          <w:spacing w:val="-1"/>
        </w:rPr>
        <w:t>2001</w:t>
      </w:r>
      <w:r>
        <w:rPr>
          <w:spacing w:val="-1"/>
        </w:rPr>
        <w:t>年，在香港公开大学</w:t>
      </w:r>
      <w:r>
        <w:rPr>
          <w:rFonts w:ascii="Times New Roman" w:hAnsi="Times New Roman" w:cs="Times New Roman" w:eastAsia="Times New Roman" w:hint="default"/>
          <w:spacing w:val="-1"/>
        </w:rPr>
        <w:t>MBA</w:t>
      </w:r>
      <w:r>
        <w:rPr>
          <w:spacing w:val="-1"/>
        </w:rPr>
        <w:t>研究生课程班，取</w:t>
      </w:r>
      <w:r>
        <w:rPr>
          <w:spacing w:val="-81"/>
        </w:rPr>
        <w:t> </w:t>
      </w:r>
      <w:r>
        <w:rPr>
          <w:spacing w:val="-81"/>
        </w:rPr>
      </w:r>
      <w:r>
        <w:rPr/>
        <w:t>得硕士学位；</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月，任公司副总经理、总经理；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月，任公司监事；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 </w:t>
      </w:r>
      <w:r>
        <w:rPr/>
        <w:t>年</w:t>
      </w:r>
      <w:r>
        <w:rPr>
          <w:rFonts w:ascii="Times New Roman" w:hAnsi="Times New Roman" w:cs="Times New Roman" w:eastAsia="Times New Roman" w:hint="default"/>
        </w:rPr>
        <w:t>6</w:t>
      </w:r>
      <w:r>
        <w:rPr/>
        <w:t>月，任本公司总经理。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月任本公司第一届董事会董事、总经理。现任本公司第二届董事会董事、总 经理，任期为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pStyle w:val="BodyText"/>
        <w:spacing w:line="300" w:lineRule="auto" w:before="13"/>
        <w:ind w:right="188" w:firstLine="360"/>
        <w:jc w:val="both"/>
      </w:pPr>
      <w:r>
        <w:rPr>
          <w:spacing w:val="-1"/>
        </w:rPr>
        <w:t>雷彪先生曾获得</w:t>
      </w:r>
      <w:r>
        <w:rPr>
          <w:rFonts w:ascii="Times New Roman" w:hAnsi="Times New Roman" w:cs="Times New Roman" w:eastAsia="Times New Roman" w:hint="default"/>
          <w:spacing w:val="-1"/>
        </w:rPr>
        <w:t>“</w:t>
      </w:r>
      <w:r>
        <w:rPr>
          <w:spacing w:val="-1"/>
        </w:rPr>
        <w:t>中国百名优秀企业家</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2006</w:t>
      </w:r>
      <w:r>
        <w:rPr>
          <w:spacing w:val="-1"/>
        </w:rPr>
        <w:t>年获得厦门市首届</w:t>
      </w:r>
      <w:r>
        <w:rPr>
          <w:rFonts w:ascii="Times New Roman" w:hAnsi="Times New Roman" w:cs="Times New Roman" w:eastAsia="Times New Roman" w:hint="default"/>
          <w:spacing w:val="-1"/>
        </w:rPr>
        <w:t>“</w:t>
      </w:r>
      <w:r>
        <w:rPr>
          <w:spacing w:val="-1"/>
        </w:rPr>
        <w:t>十大杰出创业青年</w:t>
      </w:r>
      <w:r>
        <w:rPr>
          <w:rFonts w:ascii="Times New Roman" w:hAnsi="Times New Roman" w:cs="Times New Roman" w:eastAsia="Times New Roman" w:hint="default"/>
          <w:spacing w:val="-1"/>
        </w:rPr>
        <w:t>”</w:t>
      </w:r>
      <w:r>
        <w:rPr>
          <w:spacing w:val="-1"/>
        </w:rPr>
        <w:t>提名奖；</w:t>
      </w:r>
      <w:r>
        <w:rPr>
          <w:rFonts w:ascii="Times New Roman" w:hAnsi="Times New Roman" w:cs="Times New Roman" w:eastAsia="Times New Roman" w:hint="default"/>
          <w:spacing w:val="-1"/>
        </w:rPr>
        <w:t>2007</w:t>
      </w:r>
      <w:r>
        <w:rPr>
          <w:spacing w:val="-1"/>
        </w:rPr>
        <w:t>年获得厦门市政</w:t>
      </w:r>
      <w:r>
        <w:rPr/>
        <w:t> </w:t>
      </w:r>
      <w:r>
        <w:rPr>
          <w:spacing w:val="-1"/>
        </w:rPr>
        <w:t>府授予的</w:t>
      </w:r>
      <w:r>
        <w:rPr>
          <w:rFonts w:ascii="Times New Roman" w:hAnsi="Times New Roman" w:cs="Times New Roman" w:eastAsia="Times New Roman" w:hint="default"/>
          <w:spacing w:val="-1"/>
        </w:rPr>
        <w:t>“</w:t>
      </w:r>
      <w:r>
        <w:rPr>
          <w:spacing w:val="-1"/>
        </w:rPr>
        <w:t>厦门市拔尖人才</w:t>
      </w:r>
      <w:r>
        <w:rPr>
          <w:rFonts w:ascii="Times New Roman" w:hAnsi="Times New Roman" w:cs="Times New Roman" w:eastAsia="Times New Roman" w:hint="default"/>
          <w:spacing w:val="-1"/>
        </w:rPr>
        <w:t>”</w:t>
      </w:r>
      <w:r>
        <w:rPr>
          <w:spacing w:val="-1"/>
        </w:rPr>
        <w:t>称号；</w:t>
      </w:r>
      <w:r>
        <w:rPr>
          <w:rFonts w:ascii="Times New Roman" w:hAnsi="Times New Roman" w:cs="Times New Roman" w:eastAsia="Times New Roman" w:hint="default"/>
          <w:spacing w:val="-1"/>
        </w:rPr>
        <w:t>2007</w:t>
      </w:r>
      <w:r>
        <w:rPr>
          <w:spacing w:val="-1"/>
        </w:rPr>
        <w:t>年作为项目设计者，所研发的项目</w:t>
      </w:r>
      <w:r>
        <w:rPr>
          <w:rFonts w:ascii="Times New Roman" w:hAnsi="Times New Roman" w:cs="Times New Roman" w:eastAsia="Times New Roman" w:hint="default"/>
          <w:spacing w:val="-1"/>
        </w:rPr>
        <w:t>“</w:t>
      </w:r>
      <w:r>
        <w:rPr>
          <w:spacing w:val="-1"/>
        </w:rPr>
        <w:t>厦门市金保工程信息平台</w:t>
      </w:r>
      <w:r>
        <w:rPr>
          <w:rFonts w:ascii="Times New Roman" w:hAnsi="Times New Roman" w:cs="Times New Roman" w:eastAsia="Times New Roman" w:hint="default"/>
          <w:spacing w:val="-1"/>
        </w:rPr>
        <w:t>”</w:t>
      </w:r>
      <w:r>
        <w:rPr>
          <w:spacing w:val="-1"/>
        </w:rPr>
        <w:t>获得厦门市科技进步二</w:t>
      </w:r>
      <w:r>
        <w:rPr>
          <w:spacing w:val="-77"/>
        </w:rPr>
        <w:t> </w:t>
      </w:r>
      <w:r>
        <w:rPr/>
        <w:t>等奖；</w:t>
      </w:r>
      <w:r>
        <w:rPr>
          <w:rFonts w:ascii="Times New Roman" w:hAnsi="Times New Roman" w:cs="Times New Roman" w:eastAsia="Times New Roman" w:hint="default"/>
        </w:rPr>
        <w:t>2008</w:t>
      </w:r>
      <w:r>
        <w:rPr/>
        <w:t>年获得</w:t>
      </w:r>
      <w:r>
        <w:rPr>
          <w:rFonts w:ascii="Times New Roman" w:hAnsi="Times New Roman" w:cs="Times New Roman" w:eastAsia="Times New Roman" w:hint="default"/>
        </w:rPr>
        <w:t>“</w:t>
      </w:r>
      <w:r>
        <w:rPr/>
        <w:t>改革开放</w:t>
      </w:r>
      <w:r>
        <w:rPr>
          <w:rFonts w:ascii="Times New Roman" w:hAnsi="Times New Roman" w:cs="Times New Roman" w:eastAsia="Times New Roman" w:hint="default"/>
        </w:rPr>
        <w:t>30</w:t>
      </w:r>
      <w:r>
        <w:rPr/>
        <w:t>年中国企业管理成就奖</w:t>
      </w:r>
      <w:r>
        <w:rPr>
          <w:rFonts w:ascii="Times New Roman" w:hAnsi="Times New Roman" w:cs="Times New Roman" w:eastAsia="Times New Roman" w:hint="default"/>
        </w:rPr>
        <w:t>”</w:t>
      </w:r>
      <w:r>
        <w:rPr/>
        <w:t>、中国民营企业领袖年会</w:t>
      </w:r>
      <w:r>
        <w:rPr>
          <w:rFonts w:ascii="Times New Roman" w:hAnsi="Times New Roman" w:cs="Times New Roman" w:eastAsia="Times New Roman" w:hint="default"/>
        </w:rPr>
        <w:t>“</w:t>
      </w:r>
      <w:r>
        <w:rPr/>
        <w:t>创新人物</w:t>
      </w:r>
      <w:r>
        <w:rPr>
          <w:rFonts w:ascii="Times New Roman" w:hAnsi="Times New Roman" w:cs="Times New Roman" w:eastAsia="Times New Roman" w:hint="default"/>
        </w:rPr>
        <w:t>”</w:t>
      </w:r>
      <w:r>
        <w:rPr/>
        <w:t>及中国改革开放</w:t>
      </w:r>
      <w:r>
        <w:rPr>
          <w:rFonts w:ascii="Times New Roman" w:hAnsi="Times New Roman" w:cs="Times New Roman" w:eastAsia="Times New Roman" w:hint="default"/>
        </w:rPr>
        <w:t>30</w:t>
      </w:r>
      <w:r>
        <w:rPr/>
        <w:t>周年</w:t>
      </w:r>
      <w:r>
        <w:rPr>
          <w:rFonts w:ascii="Times New Roman" w:hAnsi="Times New Roman" w:cs="Times New Roman" w:eastAsia="Times New Roman" w:hint="default"/>
        </w:rPr>
        <w:t>“</w:t>
      </w:r>
      <w:r>
        <w:rPr/>
        <w:t>创新人 物</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年作为项目设计者，所研发的</w:t>
      </w:r>
      <w:r>
        <w:rPr>
          <w:rFonts w:ascii="Times New Roman" w:hAnsi="Times New Roman" w:cs="Times New Roman" w:eastAsia="Times New Roman" w:hint="default"/>
        </w:rPr>
        <w:t>“</w:t>
      </w:r>
      <w:r>
        <w:rPr/>
        <w:t>厦门市金保工程信息平台</w:t>
      </w:r>
      <w:r>
        <w:rPr>
          <w:rFonts w:ascii="Times New Roman" w:hAnsi="Times New Roman" w:cs="Times New Roman" w:eastAsia="Times New Roman" w:hint="default"/>
        </w:rPr>
        <w:t>”</w:t>
      </w:r>
      <w:r>
        <w:rPr/>
        <w:t>获得福建省科技进步三等奖等多项奖项；</w:t>
      </w:r>
      <w:r>
        <w:rPr>
          <w:rFonts w:ascii="Times New Roman" w:hAnsi="Times New Roman" w:cs="Times New Roman" w:eastAsia="Times New Roman" w:hint="default"/>
        </w:rPr>
        <w:t>2011</w:t>
      </w:r>
      <w:r>
        <w:rPr/>
        <w:t>年被评为 成就十年</w:t>
      </w:r>
      <w:r>
        <w:rPr>
          <w:rFonts w:ascii="Times New Roman" w:hAnsi="Times New Roman" w:cs="Times New Roman" w:eastAsia="Times New Roman" w:hint="default"/>
        </w:rPr>
        <w:t>·2010-2011</w:t>
      </w:r>
      <w:r>
        <w:rPr/>
        <w:t>年度中国软件和信息服务十大领军人物；</w:t>
      </w:r>
      <w:r>
        <w:rPr>
          <w:rFonts w:ascii="Times New Roman" w:hAnsi="Times New Roman" w:cs="Times New Roman" w:eastAsia="Times New Roman" w:hint="default"/>
        </w:rPr>
        <w:t>2012</w:t>
      </w:r>
      <w:r>
        <w:rPr/>
        <w:t>年获</w:t>
      </w:r>
      <w:r>
        <w:rPr>
          <w:rFonts w:ascii="Times New Roman" w:hAnsi="Times New Roman" w:cs="Times New Roman" w:eastAsia="Times New Roman" w:hint="default"/>
        </w:rPr>
        <w:t>“</w:t>
      </w:r>
      <w:r>
        <w:rPr/>
        <w:t>第三届中国企业自主创新十大人物</w:t>
      </w:r>
      <w:r>
        <w:rPr>
          <w:rFonts w:ascii="Times New Roman" w:hAnsi="Times New Roman" w:cs="Times New Roman" w:eastAsia="Times New Roman" w:hint="default"/>
        </w:rPr>
        <w:t>”</w:t>
      </w:r>
      <w:r>
        <w:rPr/>
        <w:t>称号。</w:t>
      </w:r>
    </w:p>
    <w:p>
      <w:pPr>
        <w:spacing w:line="240" w:lineRule="auto" w:before="11"/>
        <w:rPr>
          <w:rFonts w:ascii="宋体" w:hAnsi="宋体" w:cs="宋体" w:eastAsia="宋体" w:hint="default"/>
          <w:sz w:val="24"/>
          <w:szCs w:val="24"/>
        </w:rPr>
      </w:pPr>
    </w:p>
    <w:p>
      <w:pPr>
        <w:pStyle w:val="BodyText"/>
        <w:spacing w:line="300" w:lineRule="auto"/>
        <w:ind w:right="190" w:firstLine="360"/>
        <w:jc w:val="both"/>
      </w:pPr>
      <w:r>
        <w:rPr>
          <w:rFonts w:ascii="Times New Roman" w:hAnsi="Times New Roman" w:cs="Times New Roman" w:eastAsia="Times New Roman" w:hint="default"/>
          <w:spacing w:val="-5"/>
        </w:rPr>
        <w:t>3</w:t>
      </w:r>
      <w:r>
        <w:rPr>
          <w:spacing w:val="-5"/>
        </w:rPr>
        <w:t>）张昱：女，生于</w:t>
      </w:r>
      <w:r>
        <w:rPr>
          <w:rFonts w:ascii="Times New Roman" w:hAnsi="Times New Roman" w:cs="Times New Roman" w:eastAsia="Times New Roman" w:hint="default"/>
          <w:spacing w:val="-5"/>
        </w:rPr>
        <w:t>1972</w:t>
      </w:r>
      <w:r>
        <w:rPr>
          <w:spacing w:val="-5"/>
        </w:rPr>
        <w:t>年</w:t>
      </w:r>
      <w:r>
        <w:rPr>
          <w:rFonts w:ascii="Times New Roman" w:hAnsi="Times New Roman" w:cs="Times New Roman" w:eastAsia="Times New Roman" w:hint="default"/>
          <w:spacing w:val="-5"/>
        </w:rPr>
        <w:t>10</w:t>
      </w:r>
      <w:r>
        <w:rPr>
          <w:spacing w:val="-5"/>
        </w:rPr>
        <w:t>月，中国国籍，无永久境外居留权，专科毕业。</w:t>
      </w:r>
      <w:r>
        <w:rPr>
          <w:rFonts w:ascii="Times New Roman" w:hAnsi="Times New Roman" w:cs="Times New Roman" w:eastAsia="Times New Roman" w:hint="default"/>
          <w:spacing w:val="-5"/>
        </w:rPr>
        <w:t>1990</w:t>
      </w:r>
      <w:r>
        <w:rPr>
          <w:spacing w:val="-5"/>
        </w:rPr>
        <w:t>年</w:t>
      </w:r>
      <w:r>
        <w:rPr>
          <w:rFonts w:ascii="Times New Roman" w:hAnsi="Times New Roman" w:cs="Times New Roman" w:eastAsia="Times New Roman" w:hint="default"/>
          <w:spacing w:val="-5"/>
        </w:rPr>
        <w:t>6</w:t>
      </w:r>
      <w:r>
        <w:rPr>
          <w:spacing w:val="-5"/>
        </w:rPr>
        <w:t>月，毕业于徐州高等师范学校；</w:t>
      </w:r>
      <w:r>
        <w:rPr>
          <w:rFonts w:ascii="Times New Roman" w:hAnsi="Times New Roman" w:cs="Times New Roman" w:eastAsia="Times New Roman" w:hint="default"/>
          <w:spacing w:val="-5"/>
        </w:rPr>
        <w:t>1995</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月，任厦门象屿敦辉贸易有限公司董事；</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月至今，任厦门丹鹭房产开发有限公司董事。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w:t>
      </w:r>
      <w:r>
        <w:rPr>
          <w:spacing w:val="-54"/>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月，任本公司第一届董事会董事。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月经公司</w:t>
      </w:r>
      <w:r>
        <w:rPr>
          <w:rFonts w:ascii="Times New Roman" w:hAnsi="Times New Roman" w:cs="Times New Roman" w:eastAsia="Times New Roman" w:hint="default"/>
          <w:spacing w:val="-2"/>
        </w:rPr>
        <w:t>2012</w:t>
      </w:r>
      <w:r>
        <w:rPr>
          <w:spacing w:val="-2"/>
        </w:rPr>
        <w:t>年第一次临时股东大会审议通过当选为本公司第二届董事会</w:t>
      </w:r>
      <w:r>
        <w:rPr>
          <w:spacing w:val="-60"/>
        </w:rPr>
        <w:t> </w:t>
      </w:r>
      <w:r>
        <w:rPr>
          <w:spacing w:val="-60"/>
        </w:rPr>
      </w:r>
      <w:r>
        <w:rPr/>
        <w:t>董事，任期自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pStyle w:val="BodyText"/>
        <w:spacing w:line="309" w:lineRule="auto" w:before="13"/>
        <w:ind w:right="195" w:firstLine="36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日，张昱女士向公司董事会递交辞职书，申请辞去董事会董事以及董事会专业委员会相应职务，并承诺辞 </w:t>
      </w:r>
      <w:r>
        <w:rPr>
          <w:spacing w:val="-2"/>
        </w:rPr>
        <w:t>职将自股东大会选举产生新任董事填补空缺后生效，在此之前，仍按照相关法律、法规、《公司章程》等的规定，履行其职</w:t>
      </w:r>
      <w:r>
        <w:rPr>
          <w:spacing w:val="-71"/>
        </w:rPr>
        <w:t> </w:t>
      </w:r>
      <w:r>
        <w:rPr>
          <w:spacing w:val="-71"/>
        </w:rPr>
      </w:r>
      <w:r>
        <w:rPr/>
        <w:t>责。</w:t>
      </w:r>
    </w:p>
    <w:p>
      <w:pPr>
        <w:spacing w:line="240" w:lineRule="auto" w:before="9"/>
        <w:rPr>
          <w:rFonts w:ascii="宋体" w:hAnsi="宋体" w:cs="宋体" w:eastAsia="宋体" w:hint="default"/>
          <w:sz w:val="25"/>
          <w:szCs w:val="25"/>
        </w:rPr>
      </w:pPr>
    </w:p>
    <w:p>
      <w:pPr>
        <w:pStyle w:val="BodyText"/>
        <w:spacing w:line="240" w:lineRule="auto"/>
        <w:ind w:left="513" w:right="94"/>
        <w:jc w:val="left"/>
      </w:pPr>
      <w:r>
        <w:rPr>
          <w:rFonts w:ascii="Times New Roman" w:hAnsi="Times New Roman" w:cs="Times New Roman" w:eastAsia="Times New Roman" w:hint="default"/>
          <w:spacing w:val="-4"/>
        </w:rPr>
        <w:t>4</w:t>
      </w:r>
      <w:r>
        <w:rPr>
          <w:spacing w:val="-4"/>
        </w:rPr>
        <w:t>）童斌，男，生于</w:t>
      </w:r>
      <w:r>
        <w:rPr>
          <w:rFonts w:ascii="Times New Roman" w:hAnsi="Times New Roman" w:cs="Times New Roman" w:eastAsia="Times New Roman" w:hint="default"/>
          <w:spacing w:val="-4"/>
        </w:rPr>
        <w:t>1968</w:t>
      </w:r>
      <w:r>
        <w:rPr>
          <w:spacing w:val="-4"/>
        </w:rPr>
        <w:t>年</w:t>
      </w:r>
      <w:r>
        <w:rPr>
          <w:rFonts w:ascii="Times New Roman" w:hAnsi="Times New Roman" w:cs="Times New Roman" w:eastAsia="Times New Roman" w:hint="default"/>
          <w:spacing w:val="-4"/>
        </w:rPr>
        <w:t>12</w:t>
      </w:r>
      <w:r>
        <w:rPr>
          <w:spacing w:val="-4"/>
        </w:rPr>
        <w:t>月，中国国籍，无永久境外居留权，大学本科。</w:t>
      </w:r>
      <w:r>
        <w:rPr>
          <w:rFonts w:ascii="Times New Roman" w:hAnsi="Times New Roman" w:cs="Times New Roman" w:eastAsia="Times New Roman" w:hint="default"/>
          <w:spacing w:val="-4"/>
        </w:rPr>
        <w:t>1991</w:t>
      </w:r>
      <w:r>
        <w:rPr>
          <w:spacing w:val="-4"/>
        </w:rPr>
        <w:t>年</w:t>
      </w:r>
      <w:r>
        <w:rPr>
          <w:rFonts w:ascii="Times New Roman" w:hAnsi="Times New Roman" w:cs="Times New Roman" w:eastAsia="Times New Roman" w:hint="default"/>
          <w:spacing w:val="-4"/>
        </w:rPr>
        <w:t>6</w:t>
      </w:r>
      <w:r>
        <w:rPr>
          <w:spacing w:val="-4"/>
        </w:rPr>
        <w:t>月，毕业于厦门大学微生物学专业。</w:t>
      </w:r>
    </w:p>
    <w:p>
      <w:pPr>
        <w:pStyle w:val="BodyText"/>
        <w:spacing w:line="300" w:lineRule="auto" w:before="63"/>
        <w:ind w:right="191"/>
        <w:jc w:val="both"/>
      </w:pP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6</w:t>
      </w:r>
      <w:r>
        <w:rPr>
          <w:spacing w:val="-2"/>
        </w:rPr>
        <w:t>月，任福州海天装潢装修有限公司总经理。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月，任漳州亚太天隆房地产开发有限公</w:t>
      </w:r>
      <w:r>
        <w:rPr>
          <w:spacing w:val="-54"/>
        </w:rPr>
        <w:t> </w:t>
      </w:r>
      <w:r>
        <w:rPr>
          <w:spacing w:val="-54"/>
        </w:rPr>
      </w:r>
      <w:r>
        <w:rPr>
          <w:spacing w:val="-2"/>
        </w:rPr>
        <w:t>司董事，总经理；</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4</w:t>
      </w:r>
      <w:r>
        <w:rPr>
          <w:spacing w:val="-2"/>
        </w:rPr>
        <w:t>月，任漳州龙苑房地产开发有限公司董事、副总经理；</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月，任重</w:t>
      </w:r>
      <w:r>
        <w:rPr>
          <w:spacing w:val="-54"/>
        </w:rPr>
        <w:t> </w:t>
      </w:r>
      <w:r>
        <w:rPr>
          <w:spacing w:val="-54"/>
        </w:rPr>
      </w:r>
      <w:r>
        <w:rPr/>
        <w:t>庆骏树置业有限公司董事、副总经理。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月至今，任明升（福建）置业有限公司董事、常务副总经理。现任公司第二 届董事会董事，任期为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0" w:lineRule="auto"/>
        <w:ind w:right="94" w:firstLine="360"/>
        <w:jc w:val="left"/>
      </w:pPr>
      <w:r>
        <w:rPr>
          <w:rFonts w:ascii="Times New Roman" w:hAnsi="Times New Roman" w:cs="Times New Roman" w:eastAsia="Times New Roman" w:hint="default"/>
        </w:rPr>
        <w:t>5</w:t>
      </w:r>
      <w:r>
        <w:rPr/>
        <w:t>）宁家骏：男，生于</w:t>
      </w:r>
      <w:r>
        <w:rPr>
          <w:rFonts w:ascii="Times New Roman" w:hAnsi="Times New Roman" w:cs="Times New Roman" w:eastAsia="Times New Roman" w:hint="default"/>
        </w:rPr>
        <w:t>1945</w:t>
      </w:r>
      <w:r>
        <w:rPr/>
        <w:t>年</w:t>
      </w:r>
      <w:r>
        <w:rPr>
          <w:rFonts w:ascii="Times New Roman" w:hAnsi="Times New Roman" w:cs="Times New Roman" w:eastAsia="Times New Roman" w:hint="default"/>
        </w:rPr>
        <w:t>7</w:t>
      </w:r>
      <w:r>
        <w:rPr/>
        <w:t>月，中国国籍，无永久境外居留权，研究生学历，高级工程师，研究员。</w:t>
      </w:r>
      <w:r>
        <w:rPr>
          <w:rFonts w:ascii="Times New Roman" w:hAnsi="Times New Roman" w:cs="Times New Roman" w:eastAsia="Times New Roman" w:hint="default"/>
        </w:rPr>
        <w:t>1964</w:t>
      </w:r>
      <w:r>
        <w:rPr/>
        <w:t>年至</w:t>
      </w:r>
      <w:r>
        <w:rPr>
          <w:rFonts w:ascii="Times New Roman" w:hAnsi="Times New Roman" w:cs="Times New Roman" w:eastAsia="Times New Roman" w:hint="default"/>
        </w:rPr>
        <w:t>1968 </w:t>
      </w:r>
      <w:r>
        <w:rPr>
          <w:spacing w:val="-4"/>
        </w:rPr>
        <w:t>年，在南开大学数学系就读，获学士学位；</w:t>
      </w:r>
      <w:r>
        <w:rPr>
          <w:rFonts w:ascii="Times New Roman" w:hAnsi="Times New Roman" w:cs="Times New Roman" w:eastAsia="Times New Roman" w:hint="default"/>
          <w:spacing w:val="-4"/>
        </w:rPr>
        <w:t>1978</w:t>
      </w:r>
      <w:r>
        <w:rPr>
          <w:spacing w:val="-4"/>
        </w:rPr>
        <w:t>年至</w:t>
      </w:r>
      <w:r>
        <w:rPr>
          <w:rFonts w:ascii="Times New Roman" w:hAnsi="Times New Roman" w:cs="Times New Roman" w:eastAsia="Times New Roman" w:hint="default"/>
          <w:spacing w:val="-4"/>
        </w:rPr>
        <w:t>1982</w:t>
      </w:r>
      <w:r>
        <w:rPr>
          <w:spacing w:val="-4"/>
        </w:rPr>
        <w:t>年，在北京航空航天大学计算机应用与科学专业就读，获硕士学位；</w:t>
      </w:r>
      <w:r>
        <w:rPr>
          <w:spacing w:val="-33"/>
        </w:rPr>
        <w:t> </w:t>
      </w:r>
      <w:r>
        <w:rPr>
          <w:spacing w:val="-33"/>
        </w:rPr>
      </w:r>
      <w:r>
        <w:rPr>
          <w:rFonts w:ascii="Times New Roman" w:hAnsi="Times New Roman" w:cs="Times New Roman" w:eastAsia="Times New Roman" w:hint="default"/>
          <w:spacing w:val="-2"/>
        </w:rPr>
        <w:t>1968</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12</w:t>
      </w:r>
      <w:r>
        <w:rPr>
          <w:spacing w:val="-2"/>
        </w:rPr>
        <w:t>月，任冶金部</w:t>
      </w:r>
      <w:r>
        <w:rPr>
          <w:rFonts w:ascii="Times New Roman" w:hAnsi="Times New Roman" w:cs="Times New Roman" w:eastAsia="Times New Roman" w:hint="default"/>
          <w:spacing w:val="-2"/>
        </w:rPr>
        <w:t>304</w:t>
      </w:r>
      <w:r>
        <w:rPr>
          <w:spacing w:val="-2"/>
        </w:rPr>
        <w:t>厂技术员；</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1978</w:t>
      </w:r>
      <w:r>
        <w:rPr>
          <w:spacing w:val="-2"/>
        </w:rPr>
        <w:t>年，任宁夏机械研究所助理工程师；</w:t>
      </w:r>
      <w:r>
        <w:rPr>
          <w:rFonts w:ascii="Times New Roman" w:hAnsi="Times New Roman" w:cs="Times New Roman" w:eastAsia="Times New Roman" w:hint="default"/>
          <w:spacing w:val="-2"/>
        </w:rPr>
        <w:t>1982</w:t>
      </w:r>
      <w:r>
        <w:rPr>
          <w:spacing w:val="-2"/>
        </w:rPr>
        <w:t>年至</w:t>
      </w:r>
      <w:r>
        <w:rPr>
          <w:rFonts w:ascii="Times New Roman" w:hAnsi="Times New Roman" w:cs="Times New Roman" w:eastAsia="Times New Roman" w:hint="default"/>
          <w:spacing w:val="-2"/>
        </w:rPr>
        <w:t>1987</w:t>
      </w:r>
      <w:r>
        <w:rPr>
          <w:spacing w:val="-2"/>
        </w:rPr>
        <w:t>年</w:t>
      </w:r>
      <w:r>
        <w:rPr>
          <w:rFonts w:ascii="Times New Roman" w:hAnsi="Times New Roman" w:cs="Times New Roman" w:eastAsia="Times New Roman" w:hint="default"/>
          <w:spacing w:val="-2"/>
        </w:rPr>
        <w:t>4</w:t>
      </w:r>
      <w:r>
        <w:rPr>
          <w:spacing w:val="-2"/>
        </w:rPr>
        <w:t>月，任</w:t>
      </w:r>
      <w:r>
        <w:rPr>
          <w:spacing w:val="-50"/>
        </w:rPr>
        <w:t> </w:t>
      </w:r>
      <w:r>
        <w:rPr>
          <w:spacing w:val="-50"/>
        </w:rPr>
      </w:r>
      <w:r>
        <w:rPr/>
        <w:t>宁夏回族自治区信息中心主任、工程师；</w:t>
      </w:r>
      <w:r>
        <w:rPr>
          <w:rFonts w:ascii="Times New Roman" w:hAnsi="Times New Roman" w:cs="Times New Roman" w:eastAsia="Times New Roman" w:hint="default"/>
        </w:rPr>
        <w:t>1987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1989</w:t>
      </w:r>
      <w:r>
        <w:rPr/>
        <w:t>年任中国政法大学计算中心主任、高级工程师；</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2008</w:t>
      </w:r>
      <w:r>
        <w:rPr/>
        <w:t>年 任国家信息中心首席工程师，自</w:t>
      </w:r>
      <w:r>
        <w:rPr>
          <w:rFonts w:ascii="Times New Roman" w:hAnsi="Times New Roman" w:cs="Times New Roman" w:eastAsia="Times New Roman" w:hint="default"/>
        </w:rPr>
        <w:t>2009</w:t>
      </w:r>
      <w:r>
        <w:rPr/>
        <w:t>年至今任国家信息中心专家委员会主任，中国计算机用户协会副理事长。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月任公司第一届董事会独立董事。现任公司第二届董事会独立董事，任期为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7" w:lineRule="auto"/>
        <w:ind w:right="94" w:firstLine="360"/>
        <w:jc w:val="left"/>
      </w:pPr>
      <w:r>
        <w:rPr>
          <w:rFonts w:ascii="Times New Roman" w:hAnsi="Times New Roman" w:cs="Times New Roman" w:eastAsia="Times New Roman" w:hint="default"/>
        </w:rPr>
        <w:t>6</w:t>
      </w:r>
      <w:r>
        <w:rPr/>
        <w:t>）卢永华：男，生于</w:t>
      </w:r>
      <w:r>
        <w:rPr>
          <w:rFonts w:ascii="Times New Roman" w:hAnsi="Times New Roman" w:cs="Times New Roman" w:eastAsia="Times New Roman" w:hint="default"/>
        </w:rPr>
        <w:t>1954</w:t>
      </w:r>
      <w:r>
        <w:rPr/>
        <w:t>年</w:t>
      </w:r>
      <w:r>
        <w:rPr>
          <w:rFonts w:ascii="Times New Roman" w:hAnsi="Times New Roman" w:cs="Times New Roman" w:eastAsia="Times New Roman" w:hint="default"/>
        </w:rPr>
        <w:t>12</w:t>
      </w:r>
      <w:r>
        <w:rPr/>
        <w:t>月，中国国籍，无永久境外居留权，会计学博士，教授。</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月，在厦 </w:t>
      </w:r>
      <w:r>
        <w:rPr>
          <w:spacing w:val="-2"/>
        </w:rPr>
        <w:t>门大学会计学专业就读，获学士学位；</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月厦门大学会计系毕业留校后一直从事会计教学、科研工作；期间于</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2"/>
        </w:rPr>
        <w:t> </w:t>
      </w:r>
      <w:r>
        <w:rPr>
          <w:spacing w:val="-2"/>
        </w:rPr>
        <w:t>月获得厦门大学会计系硕士学位；</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6</w:t>
      </w:r>
      <w:r>
        <w:rPr>
          <w:spacing w:val="-2"/>
        </w:rPr>
        <w:t>月获厦门大学管理学博士学位。历任厦门大学会计系助教、厦门大学会计系讲师、</w:t>
      </w:r>
      <w:r>
        <w:rPr>
          <w:spacing w:val="-59"/>
        </w:rPr>
        <w:t> </w:t>
      </w:r>
      <w:r>
        <w:rPr>
          <w:spacing w:val="-59"/>
        </w:rPr>
      </w:r>
      <w:r>
        <w:rPr/>
        <w:t>厦门大学会计系副教授、厦门大学会计系党总支副书记、厦门大学会计系副主任，现任厦门大学会计系教授，研究生导师。 </w:t>
      </w:r>
      <w:r>
        <w:rPr>
          <w:spacing w:val="-2"/>
        </w:rPr>
        <w:t>卢永华先生兼任片仔癀药业股份有限公司独立董事、厦门信达股份有限公司独立董事、建研集团股份有限公司独立董事、厦</w:t>
      </w:r>
      <w:r>
        <w:rPr>
          <w:spacing w:val="-63"/>
        </w:rPr>
        <w:t> </w:t>
      </w:r>
      <w:r>
        <w:rPr>
          <w:spacing w:val="-63"/>
        </w:rPr>
      </w:r>
      <w:r>
        <w:rPr>
          <w:spacing w:val="-2"/>
        </w:rPr>
        <w:t>门合兴包装印刷股份有限公司独立董事。</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月，任本公司第一届董事会独立董事，现任公司第二届董事会</w:t>
      </w:r>
      <w:r>
        <w:rPr>
          <w:spacing w:val="-60"/>
        </w:rPr>
        <w:t> </w:t>
      </w:r>
      <w:r>
        <w:rPr>
          <w:spacing w:val="-60"/>
        </w:rPr>
      </w:r>
      <w:r>
        <w:rPr/>
        <w:t>独立董事，任期为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5"/>
        <w:rPr>
          <w:rFonts w:ascii="宋体" w:hAnsi="宋体" w:cs="宋体" w:eastAsia="宋体" w:hint="default"/>
          <w:sz w:val="24"/>
          <w:szCs w:val="24"/>
        </w:rPr>
      </w:pPr>
    </w:p>
    <w:p>
      <w:pPr>
        <w:pStyle w:val="BodyText"/>
        <w:spacing w:line="300" w:lineRule="auto"/>
        <w:ind w:right="188" w:firstLine="360"/>
        <w:jc w:val="both"/>
      </w:pPr>
      <w:r>
        <w:rPr>
          <w:rFonts w:ascii="Times New Roman" w:hAnsi="Times New Roman" w:cs="Times New Roman" w:eastAsia="Times New Roman" w:hint="default"/>
          <w:spacing w:val="-2"/>
        </w:rPr>
        <w:t>7</w:t>
      </w:r>
      <w:r>
        <w:rPr>
          <w:spacing w:val="-2"/>
        </w:rPr>
        <w:t>）邢文祥：男，生于</w:t>
      </w:r>
      <w:r>
        <w:rPr>
          <w:rFonts w:ascii="Times New Roman" w:hAnsi="Times New Roman" w:cs="Times New Roman" w:eastAsia="Times New Roman" w:hint="default"/>
          <w:spacing w:val="-2"/>
        </w:rPr>
        <w:t>1963</w:t>
      </w:r>
      <w:r>
        <w:rPr>
          <w:spacing w:val="-2"/>
        </w:rPr>
        <w:t>年</w:t>
      </w:r>
      <w:r>
        <w:rPr>
          <w:rFonts w:ascii="Times New Roman" w:hAnsi="Times New Roman" w:cs="Times New Roman" w:eastAsia="Times New Roman" w:hint="default"/>
          <w:spacing w:val="-2"/>
        </w:rPr>
        <w:t>2</w:t>
      </w:r>
      <w:r>
        <w:rPr>
          <w:spacing w:val="-2"/>
        </w:rPr>
        <w:t>月，中国国籍，无永久境外居留权，中国哲学博士，教授。</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7</w:t>
      </w:r>
      <w:r>
        <w:rPr>
          <w:spacing w:val="-2"/>
        </w:rPr>
        <w:t>月，就读</w:t>
      </w:r>
      <w:r>
        <w:rPr/>
        <w:t> </w:t>
      </w:r>
      <w:r>
        <w:rPr>
          <w:spacing w:val="-3"/>
        </w:rPr>
        <w:t>辽宁大学哲学专业，获学士学位；</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1994</w:t>
      </w:r>
      <w:r>
        <w:rPr>
          <w:spacing w:val="-3"/>
        </w:rPr>
        <w:t>年</w:t>
      </w:r>
      <w:r>
        <w:rPr>
          <w:rFonts w:ascii="Times New Roman" w:hAnsi="Times New Roman" w:cs="Times New Roman" w:eastAsia="Times New Roman" w:hint="default"/>
          <w:spacing w:val="-3"/>
        </w:rPr>
        <w:t>7</w:t>
      </w:r>
      <w:r>
        <w:rPr>
          <w:spacing w:val="-3"/>
        </w:rPr>
        <w:t>月，就读辽宁大学国民经济管理专业，获硕士学业；</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7</w:t>
      </w:r>
      <w:r>
        <w:rPr/>
        <w:t>月，就读河北大学中国哲学专业，获博士学位。历任辽宁青年干部学院团委书记、学校办公室主任；中共沈阳市委宣传 </w:t>
      </w:r>
      <w:r>
        <w:rPr>
          <w:spacing w:val="-2"/>
        </w:rPr>
        <w:t>部副处长；沈阳金杯客车制造有限公司党委书记、第一副总经理；共青团沈阳市委书记；沈阳市沈河区政府区长；沈阳市政</w:t>
      </w:r>
    </w:p>
    <w:p>
      <w:pPr>
        <w:spacing w:after="0" w:line="300"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right="195"/>
        <w:jc w:val="both"/>
      </w:pPr>
      <w:r>
        <w:rPr>
          <w:spacing w:val="-2"/>
        </w:rPr>
        <w:t>府副秘书长；亿达集团有限公司总裁；成都理工大学教授；中国地质大学教授；中央财经大学宣传部长、新闻中心主任；现</w:t>
      </w:r>
      <w:r>
        <w:rPr>
          <w:spacing w:val="-70"/>
        </w:rPr>
        <w:t> </w:t>
      </w:r>
      <w:r>
        <w:rPr>
          <w:spacing w:val="-70"/>
        </w:rPr>
      </w:r>
      <w:r>
        <w:rPr/>
        <w:t>任中央财经大学教授。邢文祥先生现兼任澳门城市大学教授、福建龙马环卫装备股份有限公司独立董事。</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月起任公 司第二届董事会独立董事，任期为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3"/>
        <w:rPr>
          <w:rFonts w:ascii="宋体" w:hAnsi="宋体" w:cs="宋体" w:eastAsia="宋体" w:hint="default"/>
          <w:sz w:val="24"/>
          <w:szCs w:val="24"/>
        </w:rPr>
      </w:pPr>
    </w:p>
    <w:p>
      <w:pPr>
        <w:pStyle w:val="BodyText"/>
        <w:spacing w:line="300" w:lineRule="auto"/>
        <w:ind w:left="513" w:right="4593"/>
        <w:jc w:val="left"/>
      </w:pPr>
      <w:r>
        <w:rPr>
          <w:rFonts w:ascii="Times New Roman" w:hAnsi="Times New Roman" w:cs="Times New Roman" w:eastAsia="Times New Roman" w:hint="default"/>
        </w:rPr>
        <w:t>2</w:t>
      </w:r>
      <w:r>
        <w:rPr/>
        <w:t>、公司现任监事 公司第二届监事会由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13"/>
        <w:ind w:right="94" w:firstLine="360"/>
        <w:jc w:val="left"/>
      </w:pPr>
      <w:r>
        <w:rPr>
          <w:rFonts w:ascii="Times New Roman" w:hAnsi="Times New Roman" w:cs="Times New Roman" w:eastAsia="Times New Roman" w:hint="default"/>
          <w:spacing w:val="-2"/>
        </w:rPr>
        <w:t>1</w:t>
      </w:r>
      <w:r>
        <w:rPr>
          <w:spacing w:val="-2"/>
        </w:rPr>
        <w:t>）陈星：男，生于</w:t>
      </w:r>
      <w:r>
        <w:rPr>
          <w:rFonts w:ascii="Times New Roman" w:hAnsi="Times New Roman" w:cs="Times New Roman" w:eastAsia="Times New Roman" w:hint="default"/>
          <w:spacing w:val="-2"/>
        </w:rPr>
        <w:t>1965</w:t>
      </w:r>
      <w:r>
        <w:rPr>
          <w:spacing w:val="-2"/>
        </w:rPr>
        <w:t>年</w:t>
      </w:r>
      <w:r>
        <w:rPr>
          <w:rFonts w:ascii="Times New Roman" w:hAnsi="Times New Roman" w:cs="Times New Roman" w:eastAsia="Times New Roman" w:hint="default"/>
          <w:spacing w:val="-2"/>
        </w:rPr>
        <w:t>3</w:t>
      </w:r>
      <w:r>
        <w:rPr>
          <w:spacing w:val="-2"/>
        </w:rPr>
        <w:t>月，中国国籍，本科学历，无永久境外居留权。</w:t>
      </w:r>
      <w:r>
        <w:rPr>
          <w:rFonts w:ascii="Times New Roman" w:hAnsi="Times New Roman" w:cs="Times New Roman" w:eastAsia="Times New Roman" w:hint="default"/>
          <w:spacing w:val="-2"/>
        </w:rPr>
        <w:t>1980</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7</w:t>
      </w:r>
      <w:r>
        <w:rPr>
          <w:spacing w:val="-2"/>
        </w:rPr>
        <w:t>月，在福州大学机械系</w:t>
      </w:r>
      <w:r>
        <w:rPr/>
        <w:t> </w:t>
      </w:r>
      <w:r>
        <w:rPr>
          <w:spacing w:val="-2"/>
        </w:rPr>
        <w:t>就读；</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月，在福州大学管理系就读；</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w:t>
      </w:r>
      <w:r>
        <w:rPr>
          <w:spacing w:val="-2"/>
        </w:rPr>
        <w:t>月，任厦门源益电力发展有限公司经理；</w:t>
      </w:r>
      <w:r>
        <w:rPr>
          <w:rFonts w:ascii="Times New Roman" w:hAnsi="Times New Roman" w:cs="Times New Roman" w:eastAsia="Times New Roman" w:hint="default"/>
          <w:spacing w:val="-2"/>
        </w:rPr>
        <w:t>1995</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t>月，任厦门翔鹭化纤有限公司专员；</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月，任厦门景明商贸有限公司董事；</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2"/>
        </w:rPr>
        <w:t>月至今，任云南时代英捷投资有限公司董事、总经理。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月，任公司第一届监事会主席，现任公司第二届</w:t>
      </w:r>
      <w:r>
        <w:rPr>
          <w:spacing w:val="-60"/>
        </w:rPr>
        <w:t> </w:t>
      </w:r>
      <w:r>
        <w:rPr>
          <w:spacing w:val="-60"/>
        </w:rPr>
      </w:r>
      <w:r>
        <w:rPr/>
        <w:t>监事会主席，任期为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0" w:lineRule="auto"/>
        <w:ind w:right="94" w:firstLine="360"/>
        <w:jc w:val="left"/>
      </w:pPr>
      <w:r>
        <w:rPr>
          <w:rFonts w:ascii="Times New Roman" w:hAnsi="Times New Roman" w:cs="Times New Roman" w:eastAsia="Times New Roman" w:hint="default"/>
          <w:spacing w:val="-2"/>
        </w:rPr>
        <w:t>2</w:t>
      </w:r>
      <w:r>
        <w:rPr>
          <w:spacing w:val="-2"/>
        </w:rPr>
        <w:t>）雷锐生：男，生于</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月，中国国籍，研究生学历，无永久境外居留权，工程师。</w:t>
      </w:r>
      <w:r>
        <w:rPr>
          <w:rFonts w:ascii="Times New Roman" w:hAnsi="Times New Roman" w:cs="Times New Roman" w:eastAsia="Times New Roman" w:hint="default"/>
          <w:spacing w:val="-2"/>
        </w:rPr>
        <w:t>1986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12</w:t>
      </w:r>
      <w:r>
        <w:rPr>
          <w:spacing w:val="-2"/>
        </w:rPr>
        <w:t>月，任</w:t>
      </w:r>
      <w:r>
        <w:rPr/>
        <w:t> </w:t>
      </w:r>
      <w:r>
        <w:rPr>
          <w:spacing w:val="-2"/>
        </w:rPr>
        <w:t>厦门大学计算机科学系助教、系团总支书；</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9</w:t>
      </w:r>
      <w:r>
        <w:rPr>
          <w:spacing w:val="-2"/>
        </w:rPr>
        <w:t>月，任厦门大学计算机与系统科学系讲师，校团系副书记；</w:t>
      </w:r>
      <w:r>
        <w:rPr>
          <w:spacing w:val="-57"/>
        </w:rPr>
        <w:t> </w:t>
      </w:r>
      <w:r>
        <w:rPr>
          <w:spacing w:val="-57"/>
        </w:rPr>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9</w:t>
      </w:r>
      <w:r>
        <w:rPr>
          <w:spacing w:val="-2"/>
        </w:rPr>
        <w:t>月，在英国德蒙特福大学（</w:t>
      </w:r>
      <w:r>
        <w:rPr>
          <w:rFonts w:ascii="Times New Roman" w:hAnsi="Times New Roman" w:cs="Times New Roman" w:eastAsia="Times New Roman" w:hint="default"/>
          <w:spacing w:val="-2"/>
        </w:rPr>
        <w:t>DeMontfort</w:t>
      </w:r>
      <w:r>
        <w:rPr>
          <w:rFonts w:ascii="Times New Roman" w:hAnsi="Times New Roman" w:cs="Times New Roman" w:eastAsia="Times New Roman" w:hint="default"/>
        </w:rPr>
        <w:t> </w:t>
      </w:r>
      <w:r>
        <w:rPr>
          <w:rFonts w:ascii="Times New Roman" w:hAnsi="Times New Roman" w:cs="Times New Roman" w:eastAsia="Times New Roman" w:hint="default"/>
          <w:spacing w:val="-2"/>
        </w:rPr>
        <w:t>University</w:t>
      </w:r>
      <w:r>
        <w:rPr>
          <w:spacing w:val="-2"/>
        </w:rPr>
        <w:t>）学习，获工商管理专业硕士学位；</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10</w:t>
      </w:r>
      <w:r>
        <w:rPr/>
        <w:t>月，任厦门大学新技术开发研究所副所长（其间，</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月兼任厦门高校电子信息技术有限公司常务副 </w:t>
      </w:r>
      <w:r>
        <w:rPr>
          <w:spacing w:val="-2"/>
        </w:rPr>
        <w:t>总经理）；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月，任厦门大学信息科技与技术学院工程师；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月至今，任厦门大学嘉庚学院副院</w:t>
      </w:r>
      <w:r>
        <w:rPr>
          <w:spacing w:val="-56"/>
        </w:rPr>
        <w:t> </w:t>
      </w:r>
      <w:r>
        <w:rPr>
          <w:spacing w:val="-56"/>
        </w:rPr>
      </w:r>
      <w:r>
        <w:rPr/>
        <w:t>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月，任公司第一届监事会监事，现任公司第二届监事会监事，任期为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0" w:lineRule="auto"/>
        <w:ind w:right="189" w:firstLine="360"/>
        <w:jc w:val="both"/>
      </w:pPr>
      <w:r>
        <w:rPr>
          <w:rFonts w:ascii="Times New Roman" w:hAnsi="Times New Roman" w:cs="Times New Roman" w:eastAsia="Times New Roman" w:hint="default"/>
          <w:spacing w:val="-2"/>
        </w:rPr>
        <w:t>3</w:t>
      </w:r>
      <w:r>
        <w:rPr>
          <w:spacing w:val="-2"/>
        </w:rPr>
        <w:t>）黄邦杰，男，生于</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月，中国国籍，专科学历，无境外永久居留权。</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9</w:t>
      </w:r>
      <w:r>
        <w:rPr>
          <w:spacing w:val="-2"/>
        </w:rPr>
        <w:t>月至今就职于易联众信息技术股</w:t>
      </w:r>
      <w:r>
        <w:rPr/>
        <w:t> </w:t>
      </w:r>
      <w:r>
        <w:rPr>
          <w:spacing w:val="-2"/>
        </w:rPr>
        <w:t>份有限公司行政部，现任公司行政部经理。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月任公司第一届监事会职工代表监事，现任公司第二届监事</w:t>
      </w:r>
      <w:r>
        <w:rPr>
          <w:spacing w:val="-56"/>
        </w:rPr>
        <w:t> </w:t>
      </w:r>
      <w:r>
        <w:rPr>
          <w:spacing w:val="-56"/>
        </w:rPr>
      </w:r>
      <w:r>
        <w:rPr/>
        <w:t>会职工代表监事，任期为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月起三年。</w:t>
      </w:r>
    </w:p>
    <w:p>
      <w:pPr>
        <w:spacing w:line="240" w:lineRule="auto" w:before="11"/>
        <w:rPr>
          <w:rFonts w:ascii="宋体" w:hAnsi="宋体" w:cs="宋体" w:eastAsia="宋体" w:hint="default"/>
          <w:sz w:val="24"/>
          <w:szCs w:val="24"/>
        </w:rPr>
      </w:pPr>
    </w:p>
    <w:p>
      <w:pPr>
        <w:pStyle w:val="BodyText"/>
        <w:spacing w:line="309" w:lineRule="auto"/>
        <w:ind w:left="513" w:right="4433"/>
        <w:jc w:val="left"/>
      </w:pPr>
      <w:r>
        <w:rPr>
          <w:rFonts w:ascii="Times New Roman" w:hAnsi="Times New Roman" w:cs="Times New Roman" w:eastAsia="Times New Roman" w:hint="default"/>
        </w:rPr>
        <w:t>3</w:t>
      </w:r>
      <w:r>
        <w:rPr/>
        <w:t>、高级管理人员 公司高级管理人员均已经公司第二届董事会聘任。 </w:t>
      </w:r>
      <w:r>
        <w:rPr>
          <w:rFonts w:ascii="Times New Roman" w:hAnsi="Times New Roman" w:cs="Times New Roman" w:eastAsia="Times New Roman" w:hint="default"/>
        </w:rPr>
        <w:t>1</w:t>
      </w:r>
      <w:r>
        <w:rPr/>
        <w:t>）雷彪：公司总经理，简历详见</w:t>
      </w:r>
      <w:r>
        <w:rPr>
          <w:rFonts w:ascii="Times New Roman" w:hAnsi="Times New Roman" w:cs="Times New Roman" w:eastAsia="Times New Roman" w:hint="default"/>
        </w:rPr>
        <w:t>“</w:t>
      </w:r>
      <w:r>
        <w:rPr/>
        <w:t>本节二、</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BodyText"/>
        <w:spacing w:line="300" w:lineRule="auto"/>
        <w:ind w:right="188" w:firstLine="360"/>
        <w:jc w:val="both"/>
      </w:pPr>
      <w:r>
        <w:rPr>
          <w:rFonts w:ascii="Times New Roman" w:hAnsi="Times New Roman" w:cs="Times New Roman" w:eastAsia="Times New Roman" w:hint="default"/>
          <w:spacing w:val="-2"/>
        </w:rPr>
        <w:t>2</w:t>
      </w:r>
      <w:r>
        <w:rPr>
          <w:spacing w:val="-2"/>
        </w:rPr>
        <w:t>）吴文飞：男，生于</w:t>
      </w:r>
      <w:r>
        <w:rPr>
          <w:rFonts w:ascii="Times New Roman" w:hAnsi="Times New Roman" w:cs="Times New Roman" w:eastAsia="Times New Roman" w:hint="default"/>
          <w:spacing w:val="-2"/>
        </w:rPr>
        <w:t>1970</w:t>
      </w:r>
      <w:r>
        <w:rPr>
          <w:spacing w:val="-2"/>
        </w:rPr>
        <w:t>年</w:t>
      </w:r>
      <w:r>
        <w:rPr>
          <w:rFonts w:ascii="Times New Roman" w:hAnsi="Times New Roman" w:cs="Times New Roman" w:eastAsia="Times New Roman" w:hint="default"/>
          <w:spacing w:val="-2"/>
        </w:rPr>
        <w:t>3</w:t>
      </w:r>
      <w:r>
        <w:rPr>
          <w:spacing w:val="-2"/>
        </w:rPr>
        <w:t>月，中国国籍，本科毕业，无永久境外居留权，高级工程师。</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月，在</w:t>
      </w:r>
      <w:r>
        <w:rPr/>
        <w:t> </w:t>
      </w:r>
      <w:r>
        <w:rPr>
          <w:spacing w:val="-2"/>
        </w:rPr>
        <w:t>厦门大学控制科学专业就读本科；</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月，在厦门自来水公司工作；</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月，任厦门市巨龙</w:t>
      </w:r>
      <w:r>
        <w:rPr>
          <w:spacing w:val="-49"/>
        </w:rPr>
        <w:t> </w:t>
      </w:r>
      <w:r>
        <w:rPr>
          <w:spacing w:val="-49"/>
        </w:rPr>
      </w:r>
      <w:r>
        <w:rPr/>
        <w:t>软件工程有限公司副总经理；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月，任公司副总经理。现任公司副总经理。</w:t>
      </w:r>
    </w:p>
    <w:p>
      <w:pPr>
        <w:spacing w:line="240" w:lineRule="auto" w:before="11"/>
        <w:rPr>
          <w:rFonts w:ascii="宋体" w:hAnsi="宋体" w:cs="宋体" w:eastAsia="宋体" w:hint="default"/>
          <w:sz w:val="24"/>
          <w:szCs w:val="24"/>
        </w:rPr>
      </w:pPr>
    </w:p>
    <w:p>
      <w:pPr>
        <w:pStyle w:val="BodyText"/>
        <w:spacing w:line="300" w:lineRule="auto"/>
        <w:ind w:right="196" w:firstLine="360"/>
        <w:jc w:val="both"/>
      </w:pPr>
      <w:r>
        <w:rPr>
          <w:rFonts w:ascii="Times New Roman" w:hAnsi="Times New Roman" w:cs="Times New Roman" w:eastAsia="Times New Roman" w:hint="default"/>
        </w:rPr>
        <w:t>3</w:t>
      </w:r>
      <w:r>
        <w:rPr/>
        <w:t>）黄文灿：男，生于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月，中国国籍，硕士研究生毕业，无永久境外居留权，高级工程师。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 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月，任公司副总经理、技术总监。现任公司副总经理。</w:t>
      </w:r>
    </w:p>
    <w:p>
      <w:pPr>
        <w:spacing w:line="240" w:lineRule="auto" w:before="11"/>
        <w:rPr>
          <w:rFonts w:ascii="宋体" w:hAnsi="宋体" w:cs="宋体" w:eastAsia="宋体" w:hint="default"/>
          <w:sz w:val="24"/>
          <w:szCs w:val="24"/>
        </w:rPr>
      </w:pPr>
    </w:p>
    <w:p>
      <w:pPr>
        <w:pStyle w:val="BodyText"/>
        <w:spacing w:line="240" w:lineRule="auto"/>
        <w:ind w:left="513" w:right="0"/>
        <w:jc w:val="left"/>
      </w:pPr>
      <w:r>
        <w:rPr>
          <w:rFonts w:ascii="Times New Roman" w:hAnsi="Times New Roman" w:cs="Times New Roman" w:eastAsia="Times New Roman" w:hint="default"/>
        </w:rPr>
        <w:t>4</w:t>
      </w:r>
      <w:r>
        <w:rPr/>
        <w:t>）陈东红：男，生于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3</w:t>
      </w:r>
      <w:r>
        <w:rPr/>
        <w:t>月，中国国籍，厦门大学、厦门国家会计学院会计硕士专业研究生，无永久境外居留权。</w:t>
      </w:r>
    </w:p>
    <w:p>
      <w:pPr>
        <w:pStyle w:val="BodyText"/>
        <w:spacing w:line="300" w:lineRule="auto" w:before="63"/>
        <w:ind w:right="192"/>
        <w:jc w:val="both"/>
      </w:pP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1</w:t>
      </w:r>
      <w:r>
        <w:rPr>
          <w:spacing w:val="-2"/>
        </w:rPr>
        <w:t>月任厦门市审计局审计员，</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月，任厦门厦信实业集团有限公司计财部副经理；</w:t>
      </w:r>
      <w:r>
        <w:rPr>
          <w:rFonts w:ascii="Times New Roman" w:hAnsi="Times New Roman" w:cs="Times New Roman" w:eastAsia="Times New Roman" w:hint="default"/>
          <w:spacing w:val="-2"/>
        </w:rPr>
        <w:t>1999</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月至今任本公司财务管理部总经理。现任公 司财务总监。</w:t>
      </w:r>
    </w:p>
    <w:p>
      <w:pPr>
        <w:spacing w:line="240" w:lineRule="auto" w:before="3"/>
        <w:rPr>
          <w:rFonts w:ascii="宋体" w:hAnsi="宋体" w:cs="宋体" w:eastAsia="宋体" w:hint="default"/>
          <w:sz w:val="26"/>
          <w:szCs w:val="26"/>
        </w:rPr>
      </w:pPr>
    </w:p>
    <w:p>
      <w:pPr>
        <w:pStyle w:val="BodyText"/>
        <w:spacing w:line="300" w:lineRule="auto"/>
        <w:ind w:right="94" w:firstLine="360"/>
        <w:jc w:val="left"/>
      </w:pPr>
      <w:r>
        <w:rPr>
          <w:rFonts w:ascii="Times New Roman" w:hAnsi="Times New Roman" w:cs="Times New Roman" w:eastAsia="Times New Roman" w:hint="default"/>
        </w:rPr>
        <w:t>5</w:t>
      </w:r>
      <w:r>
        <w:rPr/>
        <w:t>）施建安：男，生于</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w:t>
      </w:r>
      <w:r>
        <w:rPr/>
        <w:t>月，中国国籍，无永久境外居留权，本科学历，高级工程师。毕业于厦门大学计算机系， </w:t>
      </w:r>
      <w:r>
        <w:rPr>
          <w:spacing w:val="-2"/>
        </w:rPr>
        <w:t>获学士学位、学历。</w:t>
      </w:r>
      <w:r>
        <w:rPr>
          <w:rFonts w:ascii="Times New Roman" w:hAnsi="Times New Roman" w:cs="Times New Roman" w:eastAsia="Times New Roman" w:hint="default"/>
          <w:spacing w:val="-2"/>
        </w:rPr>
        <w:t>2000</w:t>
      </w:r>
      <w:r>
        <w:rPr>
          <w:spacing w:val="-2"/>
        </w:rPr>
        <w:t>年至</w:t>
      </w:r>
      <w:r>
        <w:rPr>
          <w:rFonts w:ascii="Times New Roman" w:hAnsi="Times New Roman" w:cs="Times New Roman" w:eastAsia="Times New Roman" w:hint="default"/>
          <w:spacing w:val="-2"/>
        </w:rPr>
        <w:t>2003</w:t>
      </w:r>
      <w:r>
        <w:rPr>
          <w:spacing w:val="-2"/>
        </w:rPr>
        <w:t>年任实达巨龙信息技术有限公司软件开发部门副经理、经理，</w:t>
      </w:r>
      <w:r>
        <w:rPr>
          <w:rFonts w:ascii="Times New Roman" w:hAnsi="Times New Roman" w:cs="Times New Roman" w:eastAsia="Times New Roman" w:hint="default"/>
          <w:spacing w:val="-2"/>
        </w:rPr>
        <w:t>2004</w:t>
      </w:r>
      <w:r>
        <w:rPr>
          <w:spacing w:val="-2"/>
        </w:rPr>
        <w:t>年任安徽实达系统软件</w:t>
      </w:r>
      <w:r>
        <w:rPr>
          <w:spacing w:val="-55"/>
        </w:rPr>
        <w:t> </w:t>
      </w:r>
      <w:r>
        <w:rPr>
          <w:spacing w:val="-2"/>
        </w:rPr>
        <w:t>有限公司副总经理，</w:t>
      </w:r>
      <w:r>
        <w:rPr>
          <w:rFonts w:ascii="Times New Roman" w:hAnsi="Times New Roman" w:cs="Times New Roman" w:eastAsia="Times New Roman" w:hint="default"/>
          <w:spacing w:val="-2"/>
        </w:rPr>
        <w:t>2005</w:t>
      </w:r>
      <w:r>
        <w:rPr>
          <w:spacing w:val="-2"/>
        </w:rPr>
        <w:t>年起任本公司福建本部副总经理、常务副总经理，</w:t>
      </w:r>
      <w:r>
        <w:rPr>
          <w:rFonts w:ascii="Times New Roman" w:hAnsi="Times New Roman" w:cs="Times New Roman" w:eastAsia="Times New Roman" w:hint="default"/>
          <w:spacing w:val="-2"/>
        </w:rPr>
        <w:t>2011</w:t>
      </w:r>
      <w:r>
        <w:rPr>
          <w:spacing w:val="-2"/>
        </w:rPr>
        <w:t>年起至今任本公司研发管理部总经理。现任</w:t>
      </w:r>
      <w:r>
        <w:rPr>
          <w:spacing w:val="-60"/>
        </w:rPr>
        <w:t> </w:t>
      </w:r>
      <w:r>
        <w:rPr>
          <w:spacing w:val="-60"/>
        </w:rPr>
      </w:r>
      <w:r>
        <w:rPr/>
        <w:t>公司技术总监。</w:t>
      </w:r>
    </w:p>
    <w:p>
      <w:pPr>
        <w:spacing w:after="0" w:line="30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300" w:lineRule="auto" w:before="44"/>
        <w:ind w:right="144" w:firstLine="360"/>
        <w:jc w:val="left"/>
      </w:pPr>
      <w:r>
        <w:rPr>
          <w:rFonts w:ascii="Times New Roman" w:hAnsi="Times New Roman" w:cs="Times New Roman" w:eastAsia="Times New Roman" w:hint="default"/>
          <w:spacing w:val="-2"/>
        </w:rPr>
        <w:t>6</w:t>
      </w:r>
      <w:r>
        <w:rPr>
          <w:spacing w:val="-2"/>
        </w:rPr>
        <w:t>）李虹海：男，生于</w:t>
      </w:r>
      <w:r>
        <w:rPr>
          <w:rFonts w:ascii="Times New Roman" w:hAnsi="Times New Roman" w:cs="Times New Roman" w:eastAsia="Times New Roman" w:hint="default"/>
          <w:spacing w:val="-2"/>
        </w:rPr>
        <w:t>1966</w:t>
      </w:r>
      <w:r>
        <w:rPr>
          <w:spacing w:val="-2"/>
        </w:rPr>
        <w:t>年</w:t>
      </w:r>
      <w:r>
        <w:rPr>
          <w:rFonts w:ascii="Times New Roman" w:hAnsi="Times New Roman" w:cs="Times New Roman" w:eastAsia="Times New Roman" w:hint="default"/>
          <w:spacing w:val="-2"/>
        </w:rPr>
        <w:t>12</w:t>
      </w:r>
      <w:r>
        <w:rPr>
          <w:spacing w:val="-2"/>
        </w:rPr>
        <w:t>月，中国国籍，中国香港永久居民。</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7</w:t>
      </w:r>
      <w:r>
        <w:rPr>
          <w:spacing w:val="-2"/>
        </w:rPr>
        <w:t>月，毕业于上海交通大学计算机科学技术专</w:t>
      </w:r>
      <w:r>
        <w:rPr/>
        <w:t> 业，获学士学位、学历；</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12</w:t>
      </w:r>
      <w:r>
        <w:rPr/>
        <w:t>月，任广州邮电通信设备有限公司项目经理，部门经理；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w:t>
      </w:r>
      <w:r>
        <w:rPr/>
        <w:t>年 </w:t>
      </w:r>
      <w:r>
        <w:rPr>
          <w:rFonts w:ascii="Times New Roman" w:hAnsi="Times New Roman" w:cs="Times New Roman" w:eastAsia="Times New Roman" w:hint="default"/>
          <w:spacing w:val="-2"/>
        </w:rPr>
        <w:t>12</w:t>
      </w:r>
      <w:r>
        <w:rPr>
          <w:spacing w:val="-2"/>
        </w:rPr>
        <w:t>月任实达科技（控股）有限公司部门经理，客户总监；</w:t>
      </w:r>
      <w:r>
        <w:rPr>
          <w:spacing w:val="-10"/>
        </w:rPr>
        <w:t> </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1</w:t>
      </w:r>
      <w:r>
        <w:rPr>
          <w:spacing w:val="-1"/>
        </w:rPr>
        <w:t>月至今，任本公司医疗卫生信息化业务主管，投资部总经</w:t>
      </w:r>
      <w:r>
        <w:rPr>
          <w:spacing w:val="-86"/>
        </w:rPr>
        <w:t> </w:t>
      </w:r>
      <w:r>
        <w:rPr>
          <w:spacing w:val="-86"/>
        </w:rPr>
      </w:r>
      <w:r>
        <w:rPr/>
        <w:t>理。现任公司董事会秘书。</w:t>
      </w: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在股东单位任职情况</w:t>
      </w:r>
    </w:p>
    <w:p>
      <w:pPr>
        <w:pStyle w:val="BodyText"/>
        <w:spacing w:line="360" w:lineRule="auto" w:before="115"/>
        <w:ind w:right="8154"/>
        <w:jc w:val="left"/>
      </w:pPr>
      <w:r>
        <w:rPr/>
        <w:t>□ 适用 √</w:t>
      </w:r>
      <w:r>
        <w:rPr>
          <w:spacing w:val="3"/>
        </w:rPr>
        <w:t> </w:t>
      </w:r>
      <w:r>
        <w:rPr/>
        <w:t>不适用</w:t>
      </w:r>
      <w:r>
        <w:rPr/>
        <w:t> 在其他单位任职情况</w:t>
      </w:r>
    </w:p>
    <w:p>
      <w:pPr>
        <w:pStyle w:val="BodyText"/>
        <w:spacing w:line="240" w:lineRule="auto" w:before="27"/>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3"/>
        <w:gridCol w:w="1196"/>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0"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厦门丹鹭房产开发有限公司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明升（福建）置业有限公司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2"/>
                <w:sz w:val="18"/>
                <w:szCs w:val="18"/>
              </w:rPr>
              <w:t>董事、常务副</w:t>
            </w:r>
            <w:r>
              <w:rPr>
                <w:rFonts w:ascii="宋体" w:hAnsi="宋体" w:cs="宋体" w:eastAsia="宋体" w:hint="default"/>
                <w:sz w:val="18"/>
                <w:szCs w:val="18"/>
              </w:rPr>
              <w:t>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国家信息中心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专家委员会 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漳州片仔癀药业股份有限公司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厦门信达股份有限公司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厦门建筑科研集团股份有限公司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澳门城市大学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福建龙马环卫装备股份有限公司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 </w:t>
            </w:r>
            <w:r>
              <w:rPr>
                <w:rFonts w:ascii="宋体" w:hAnsi="宋体" w:cs="宋体" w:eastAsia="宋体" w:hint="default"/>
                <w:spacing w:val="2"/>
                <w:sz w:val="18"/>
                <w:szCs w:val="18"/>
              </w:rPr>
              <w:t> </w:t>
            </w:r>
            <w:r>
              <w:rPr>
                <w:rFonts w:ascii="宋体" w:hAnsi="宋体" w:cs="宋体" w:eastAsia="宋体" w:hint="default"/>
                <w:sz w:val="18"/>
                <w:szCs w:val="18"/>
              </w:rPr>
              <w:t>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云南时代英捷投资有限公司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厦门大学嘉庚学院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before="63"/>
        <w:ind w:left="0" w:right="159"/>
        <w:jc w:val="right"/>
      </w:pPr>
      <w:r>
        <w:rPr/>
        <w:pict>
          <v:shape style="position:absolute;margin-left:56.459999pt;margin-top:-.858319pt;width:479.2pt;height:20.6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597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6" w:right="0"/>
                          <w:jc w:val="left"/>
                          <w:rPr>
                            <w:rFonts w:ascii="宋体" w:hAnsi="宋体" w:cs="宋体" w:eastAsia="宋体" w:hint="default"/>
                            <w:sz w:val="18"/>
                            <w:szCs w:val="18"/>
                          </w:rPr>
                        </w:pPr>
                        <w:r>
                          <w:rPr>
                            <w:rFonts w:ascii="宋体" w:hAnsi="宋体" w:cs="宋体" w:eastAsia="宋体" w:hint="default"/>
                            <w:spacing w:val="-4"/>
                            <w:sz w:val="18"/>
                            <w:szCs w:val="18"/>
                          </w:rPr>
                          <w:t>公司董事、监事报酬由股东大会决定，高级管理人员报酬由董事会决定</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98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1"/>
                <w:sz w:val="18"/>
                <w:szCs w:val="18"/>
              </w:rPr>
              <w:t>在公司担任职务的董事、监事、高级管理人员报酬由公司支付，在公司担任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职务的董事、监事不另外支付津贴。独立董事、外部董事、外部监事津贴依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据股东大会决议支付，独立董事、外部董事、外部监事会务费据实报销。</w:t>
            </w:r>
          </w:p>
        </w:tc>
      </w:tr>
      <w:tr>
        <w:trPr>
          <w:trHeight w:val="133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2" w:firstLine="362"/>
              <w:jc w:val="both"/>
              <w:rPr>
                <w:rFonts w:ascii="宋体" w:hAnsi="宋体" w:cs="宋体" w:eastAsia="宋体" w:hint="default"/>
                <w:sz w:val="18"/>
                <w:szCs w:val="18"/>
              </w:rPr>
            </w:pPr>
            <w:r>
              <w:rPr>
                <w:rFonts w:ascii="宋体" w:hAnsi="宋体" w:cs="宋体" w:eastAsia="宋体" w:hint="default"/>
                <w:spacing w:val="-1"/>
                <w:sz w:val="18"/>
                <w:szCs w:val="18"/>
              </w:rPr>
              <w:t>参与公司经营的董事、高级管理人员年薪总收入由基本薪酬和考核薪酬</w:t>
            </w:r>
            <w:r>
              <w:rPr>
                <w:rFonts w:ascii="宋体" w:hAnsi="宋体" w:cs="宋体" w:eastAsia="宋体" w:hint="default"/>
                <w:sz w:val="18"/>
                <w:szCs w:val="18"/>
              </w:rPr>
              <w:t> </w:t>
            </w:r>
            <w:r>
              <w:rPr>
                <w:rFonts w:ascii="宋体" w:hAnsi="宋体" w:cs="宋体" w:eastAsia="宋体" w:hint="default"/>
                <w:spacing w:val="-3"/>
                <w:sz w:val="18"/>
                <w:szCs w:val="18"/>
              </w:rPr>
              <w:t>组成。其中，基本薪酬占年薪总收入的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；其余</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作为考核薪酬进行考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核。独立董事、外部董事、外部监事津贴依据市场水平并按照责、权、利一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致的原则确定。</w:t>
            </w:r>
          </w:p>
        </w:tc>
      </w:tr>
      <w:tr>
        <w:trPr>
          <w:trHeight w:val="71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年度全体董事、监事、高级管理人员实际支付报酬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296.01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240" w:lineRule="auto" w:before="49"/>
        <w:ind w:right="0"/>
        <w:jc w:val="left"/>
      </w:pPr>
      <w:r>
        <w:rPr/>
        <w:t>公司报告期内董事、监事和高级管理人员报酬情况</w:t>
      </w:r>
    </w:p>
    <w:p>
      <w:pPr>
        <w:pStyle w:val="BodyText"/>
        <w:spacing w:line="240" w:lineRule="auto" w:before="115"/>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37.99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宁家骏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雷锐生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33.29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33.29</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22.06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28.37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18.37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18.37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14.57</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296.01</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5"/>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1328"/>
        <w:gridCol w:w="1332"/>
        <w:gridCol w:w="1330"/>
        <w:gridCol w:w="1330"/>
        <w:gridCol w:w="4249"/>
      </w:tblGrid>
      <w:tr>
        <w:trPr>
          <w:trHeight w:val="402" w:hRule="exact"/>
        </w:trPr>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83" w:type="dxa"/>
        <w:tblLayout w:type="fixed"/>
        <w:tblCellMar>
          <w:top w:w="0" w:type="dxa"/>
          <w:left w:w="0" w:type="dxa"/>
          <w:bottom w:w="0" w:type="dxa"/>
          <w:right w:w="0" w:type="dxa"/>
        </w:tblCellMar>
        <w:tblLook w:val="01E0"/>
      </w:tblPr>
      <w:tblGrid>
        <w:gridCol w:w="1328"/>
        <w:gridCol w:w="1332"/>
        <w:gridCol w:w="1330"/>
        <w:gridCol w:w="1330"/>
        <w:gridCol w:w="4249"/>
      </w:tblGrid>
      <w:tr>
        <w:trPr>
          <w:trHeight w:val="713"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吴伟</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工作调整需要</w:t>
            </w:r>
          </w:p>
        </w:tc>
      </w:tr>
      <w:tr>
        <w:trPr>
          <w:trHeight w:val="715"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黄邦杰</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新聘接替、换届续聘</w:t>
            </w:r>
          </w:p>
        </w:tc>
      </w:tr>
      <w:tr>
        <w:trPr>
          <w:trHeight w:val="713"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郑仁贵</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新聘接替</w:t>
            </w:r>
          </w:p>
        </w:tc>
      </w:tr>
      <w:tr>
        <w:trPr>
          <w:trHeight w:val="713"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童斌</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换届新增</w:t>
            </w:r>
          </w:p>
        </w:tc>
      </w:tr>
      <w:tr>
        <w:trPr>
          <w:trHeight w:val="716"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邢文祥</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换届新增</w:t>
            </w:r>
          </w:p>
        </w:tc>
      </w:tr>
      <w:tr>
        <w:trPr>
          <w:trHeight w:val="715" w:hRule="exact"/>
        </w:trPr>
        <w:tc>
          <w:tcPr>
            <w:tcW w:w="132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33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新增</w:t>
            </w:r>
          </w:p>
        </w:tc>
      </w:tr>
    </w:tbl>
    <w:p>
      <w:pPr>
        <w:spacing w:line="316" w:lineRule="auto" w:before="8"/>
        <w:ind w:left="513" w:right="94" w:firstLine="0"/>
        <w:jc w:val="left"/>
        <w:rPr>
          <w:rFonts w:ascii="宋体" w:hAnsi="宋体" w:cs="宋体" w:eastAsia="宋体" w:hint="default"/>
          <w:sz w:val="18"/>
          <w:szCs w:val="18"/>
        </w:rPr>
      </w:pPr>
      <w:r>
        <w:rPr>
          <w:rFonts w:ascii="宋体" w:hAnsi="宋体" w:cs="宋体" w:eastAsia="宋体" w:hint="default"/>
          <w:b/>
          <w:bCs/>
          <w:sz w:val="18"/>
          <w:szCs w:val="18"/>
        </w:rPr>
        <w:t>报告期内公司董事、监事、高级管理人员变动原因：</w:t>
      </w:r>
      <w:r>
        <w:rPr>
          <w:rFonts w:ascii="宋体" w:hAnsi="宋体" w:cs="宋体" w:eastAsia="宋体" w:hint="default"/>
          <w:b/>
          <w:bCs/>
          <w:w w:val="99"/>
          <w:sz w:val="18"/>
          <w:szCs w:val="18"/>
        </w:rPr>
        <w:t> </w:t>
      </w:r>
      <w:r>
        <w:rPr>
          <w:rFonts w:ascii="宋体" w:hAnsi="宋体" w:cs="宋体" w:eastAsia="宋体" w:hint="default"/>
          <w:spacing w:val="-2"/>
          <w:sz w:val="18"/>
          <w:szCs w:val="18"/>
        </w:rPr>
        <w:t>1</w:t>
      </w:r>
      <w:r>
        <w:rPr>
          <w:rFonts w:ascii="宋体" w:hAnsi="宋体" w:cs="宋体" w:eastAsia="宋体" w:hint="default"/>
          <w:spacing w:val="-2"/>
          <w:sz w:val="18"/>
          <w:szCs w:val="18"/>
        </w:rPr>
        <w:t>、</w:t>
      </w:r>
      <w:r>
        <w:rPr>
          <w:rFonts w:ascii="宋体" w:hAnsi="宋体" w:cs="宋体" w:eastAsia="宋体" w:hint="default"/>
          <w:spacing w:val="-2"/>
          <w:sz w:val="18"/>
          <w:szCs w:val="18"/>
        </w:rPr>
        <w:t>2012</w:t>
      </w:r>
      <w:r>
        <w:rPr>
          <w:rFonts w:ascii="宋体" w:hAnsi="宋体" w:cs="宋体" w:eastAsia="宋体" w:hint="default"/>
          <w:spacing w:val="-2"/>
          <w:sz w:val="18"/>
          <w:szCs w:val="18"/>
        </w:rPr>
        <w:t>年</w:t>
      </w:r>
      <w:r>
        <w:rPr>
          <w:rFonts w:ascii="宋体" w:hAnsi="宋体" w:cs="宋体" w:eastAsia="宋体" w:hint="default"/>
          <w:spacing w:val="-2"/>
          <w:sz w:val="18"/>
          <w:szCs w:val="18"/>
        </w:rPr>
        <w:t>4</w:t>
      </w:r>
      <w:r>
        <w:rPr>
          <w:rFonts w:ascii="宋体" w:hAnsi="宋体" w:cs="宋体" w:eastAsia="宋体" w:hint="default"/>
          <w:spacing w:val="-2"/>
          <w:sz w:val="18"/>
          <w:szCs w:val="18"/>
        </w:rPr>
        <w:t>月，公司第一届监事会职工代表监事吴伟先生因工作原因申请辞去公司职工代表监事职务，吴伟先生现任湖</w:t>
      </w:r>
    </w:p>
    <w:p>
      <w:pPr>
        <w:pStyle w:val="BodyText"/>
        <w:spacing w:line="316" w:lineRule="auto" w:before="19"/>
        <w:ind w:right="184"/>
        <w:jc w:val="left"/>
      </w:pPr>
      <w:r>
        <w:rPr/>
        <w:t>南易联众信息技术有限公司总经理。为保证监事会的正常运作，根据《公司法》、《公司章程》等有关规定，</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16</w:t>
      </w:r>
      <w:r>
        <w:rPr>
          <w:rFonts w:ascii="宋体" w:hAnsi="宋体" w:cs="宋体" w:eastAsia="宋体" w:hint="default"/>
          <w:spacing w:val="-87"/>
        </w:rPr>
        <w:t> </w:t>
      </w:r>
      <w:r>
        <w:rPr/>
        <w:t>日公司召开</w:t>
      </w:r>
      <w:r>
        <w:rPr>
          <w:rFonts w:ascii="宋体" w:hAnsi="宋体" w:cs="宋体" w:eastAsia="宋体" w:hint="default"/>
        </w:rPr>
        <w:t>2012</w:t>
      </w:r>
      <w:r>
        <w:rPr/>
        <w:t>年第一次职工代表大会，选举黄邦杰先生接替吴伟先生担任公司第一届监事会职工代表监事，任期自</w:t>
      </w:r>
      <w:r>
        <w:rPr>
          <w:rFonts w:ascii="宋体" w:hAnsi="宋体" w:cs="宋体" w:eastAsia="宋体" w:hint="default"/>
        </w:rPr>
        <w:t>2012 </w:t>
      </w:r>
      <w:r>
        <w:rPr/>
        <w:t>年</w:t>
      </w:r>
      <w:r>
        <w:rPr>
          <w:rFonts w:ascii="宋体" w:hAnsi="宋体" w:cs="宋体" w:eastAsia="宋体" w:hint="default"/>
        </w:rPr>
        <w:t>4</w:t>
      </w:r>
      <w:r>
        <w:rPr/>
        <w:t>月</w:t>
      </w:r>
      <w:r>
        <w:rPr>
          <w:rFonts w:ascii="宋体" w:hAnsi="宋体" w:cs="宋体" w:eastAsia="宋体" w:hint="default"/>
        </w:rPr>
        <w:t>16</w:t>
      </w:r>
      <w:r>
        <w:rPr/>
        <w:t>日至本届监事会届满日止。</w:t>
      </w:r>
    </w:p>
    <w:p>
      <w:pPr>
        <w:pStyle w:val="BodyText"/>
        <w:spacing w:line="240" w:lineRule="auto" w:before="19"/>
        <w:ind w:left="513" w:right="94"/>
        <w:jc w:val="left"/>
      </w:pPr>
      <w:r>
        <w:rPr>
          <w:rFonts w:ascii="宋体" w:hAnsi="宋体" w:cs="宋体" w:eastAsia="宋体" w:hint="default"/>
          <w:spacing w:val="-2"/>
        </w:rPr>
        <w:t>2</w:t>
      </w:r>
      <w:r>
        <w:rPr>
          <w:spacing w:val="-2"/>
        </w:rPr>
        <w:t>、公司第一届董事会、第一届监事会于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日任期届满。</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12</w:t>
      </w:r>
      <w:r>
        <w:rPr>
          <w:spacing w:val="-2"/>
        </w:rPr>
        <w:t>日召开了第一届董事会第二十六次会议、</w:t>
      </w:r>
    </w:p>
    <w:p>
      <w:pPr>
        <w:pStyle w:val="BodyText"/>
        <w:spacing w:line="319" w:lineRule="auto" w:before="76"/>
        <w:ind w:right="94"/>
        <w:jc w:val="left"/>
      </w:pP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29</w:t>
      </w:r>
      <w:r>
        <w:rPr/>
        <w:t>日召开了</w:t>
      </w:r>
      <w:r>
        <w:rPr>
          <w:rFonts w:ascii="宋体" w:hAnsi="宋体" w:cs="宋体" w:eastAsia="宋体" w:hint="default"/>
        </w:rPr>
        <w:t>2012</w:t>
      </w:r>
      <w:r>
        <w:rPr/>
        <w:t>年第一次临时股东大会，审议通过了《关于公司董事会换届选举的议案》、《关于公司监事会换 </w:t>
      </w:r>
      <w:r>
        <w:rPr>
          <w:spacing w:val="-2"/>
        </w:rPr>
        <w:t>届选举的议案》，选举产生了公司第二届董事会、第二届监事会，任期自股东大会通过之日起三年。公司第二届董事会由七</w:t>
      </w:r>
      <w:r>
        <w:rPr>
          <w:spacing w:val="-67"/>
        </w:rPr>
        <w:t> </w:t>
      </w:r>
      <w:r>
        <w:rPr>
          <w:spacing w:val="-67"/>
        </w:rPr>
      </w:r>
      <w:r>
        <w:rPr/>
        <w:t>名成员组成，分别为：古培坚、雷彪、张昱、童斌、宁家骏、卢永华、邢文祥，其中宁家骏、卢永华、邢文祥为独立董事。 </w:t>
      </w:r>
      <w:r>
        <w:rPr>
          <w:spacing w:val="-2"/>
        </w:rPr>
        <w:t>古培坚、雷彪、张昱、宁家骏、卢永华为续聘董事，童斌、邢文祥为新聘董事。公司第二届监事会由</w:t>
      </w:r>
      <w:r>
        <w:rPr>
          <w:rFonts w:ascii="宋体" w:hAnsi="宋体" w:cs="宋体" w:eastAsia="宋体" w:hint="default"/>
          <w:spacing w:val="-2"/>
        </w:rPr>
        <w:t>3</w:t>
      </w:r>
      <w:r>
        <w:rPr>
          <w:spacing w:val="-2"/>
        </w:rPr>
        <w:t>名成员组成，分别为：</w:t>
      </w:r>
      <w:r>
        <w:rPr>
          <w:spacing w:val="-67"/>
        </w:rPr>
        <w:t> </w:t>
      </w:r>
      <w:r>
        <w:rPr>
          <w:spacing w:val="-67"/>
        </w:rPr>
      </w:r>
      <w:r>
        <w:rPr/>
        <w:t>陈星、雷锐生、黄邦杰，其中黄邦杰为职工代表监事。</w:t>
      </w:r>
    </w:p>
    <w:p>
      <w:pPr>
        <w:pStyle w:val="BodyText"/>
        <w:spacing w:line="316" w:lineRule="auto" w:before="17"/>
        <w:ind w:right="191" w:firstLine="360"/>
        <w:jc w:val="both"/>
      </w:pPr>
      <w:r>
        <w:rPr>
          <w:rFonts w:ascii="宋体" w:hAnsi="宋体" w:cs="宋体" w:eastAsia="宋体" w:hint="default"/>
        </w:rPr>
        <w:t>3</w:t>
      </w:r>
      <w:r>
        <w:rPr/>
        <w:t>、</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8</w:t>
      </w:r>
      <w:r>
        <w:rPr/>
        <w:t>日公司第二届董事会第一次会议召开，会议选举古培坚担任公司第二届董事会董事长，任期自董事会通 </w:t>
      </w:r>
      <w:r>
        <w:rPr>
          <w:spacing w:val="-2"/>
        </w:rPr>
        <w:t>过之日起三年。同日，第二届监事会第一次会议召开，会议选举陈星担任公司第二届监事会主席，任期自监事会通过之日起</w:t>
      </w:r>
      <w:r>
        <w:rPr>
          <w:spacing w:val="-64"/>
        </w:rPr>
        <w:t> </w:t>
      </w:r>
      <w:r>
        <w:rPr>
          <w:spacing w:val="-64"/>
        </w:rPr>
      </w:r>
      <w:r>
        <w:rPr/>
        <w:t>三年。</w:t>
      </w:r>
    </w:p>
    <w:p>
      <w:pPr>
        <w:pStyle w:val="BodyText"/>
        <w:spacing w:line="316" w:lineRule="auto" w:before="19"/>
        <w:ind w:right="94" w:firstLine="360"/>
        <w:jc w:val="left"/>
      </w:pPr>
      <w:r>
        <w:rPr>
          <w:rFonts w:ascii="宋体" w:hAnsi="宋体" w:cs="宋体" w:eastAsia="宋体" w:hint="default"/>
        </w:rPr>
        <w:t>4</w:t>
      </w:r>
      <w:r>
        <w:rPr/>
        <w:t>、</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8</w:t>
      </w:r>
      <w:r>
        <w:rPr/>
        <w:t>日公司第二届董事会第一次会议召开，会议聘任雷彪担任公司公司总经理，聘任吴文飞、黄文灿为公司 </w:t>
      </w:r>
      <w:r>
        <w:rPr>
          <w:spacing w:val="-4"/>
        </w:rPr>
        <w:t>副总经理，聘任陈东红为公司财务总监，聘任施建安为公司技术总监，任期自董事会通过之日起三年。其中，雷彪、吴文飞、</w:t>
      </w:r>
      <w:r>
        <w:rPr>
          <w:spacing w:val="-44"/>
        </w:rPr>
        <w:t> </w:t>
      </w:r>
      <w:r>
        <w:rPr>
          <w:spacing w:val="-44"/>
        </w:rPr>
      </w:r>
      <w:r>
        <w:rPr/>
        <w:t>黄文灿、陈东红为续聘高级管理人员，施建安为新聘高级管理人员。</w:t>
      </w:r>
    </w:p>
    <w:p>
      <w:pPr>
        <w:pStyle w:val="BodyText"/>
        <w:spacing w:line="316" w:lineRule="auto" w:before="19"/>
        <w:ind w:right="190" w:firstLine="360"/>
        <w:jc w:val="both"/>
      </w:pPr>
      <w:r>
        <w:rPr>
          <w:rFonts w:ascii="宋体" w:hAnsi="宋体" w:cs="宋体" w:eastAsia="宋体" w:hint="default"/>
        </w:rPr>
        <w:t>5</w:t>
      </w:r>
      <w:r>
        <w:rPr/>
        <w:t>、公司第一届董事会秘书郑仁贵任期随第一届董事会任期届满而终止，因个人原因要求公司董事会不再续聘其担任新 </w:t>
      </w:r>
      <w:r>
        <w:rPr>
          <w:spacing w:val="-2"/>
        </w:rPr>
        <w:t>一届董事会秘书。</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8</w:t>
      </w:r>
      <w:r>
        <w:rPr>
          <w:spacing w:val="-2"/>
        </w:rPr>
        <w:t>日起，郑仁贵不再担任公司任何职务，公司财务总监陈东红先生暂代董事会秘书职责。公司第</w:t>
      </w:r>
      <w:r>
        <w:rPr>
          <w:spacing w:val="-59"/>
        </w:rPr>
        <w:t> </w:t>
      </w:r>
      <w:r>
        <w:rPr>
          <w:spacing w:val="-59"/>
        </w:rPr>
      </w:r>
      <w:r>
        <w:rPr>
          <w:spacing w:val="-4"/>
        </w:rPr>
        <w:t>二届董事会第三次会议于</w:t>
      </w:r>
      <w:r>
        <w:rPr>
          <w:rFonts w:ascii="宋体" w:hAnsi="宋体" w:cs="宋体" w:eastAsia="宋体" w:hint="default"/>
          <w:spacing w:val="-4"/>
        </w:rPr>
        <w:t>2012</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21</w:t>
      </w:r>
      <w:r>
        <w:rPr>
          <w:spacing w:val="-4"/>
        </w:rPr>
        <w:t>日召开，审议通过了《关于聘任公司副总经理、董事会秘书的议案》，决定聘任李虹海</w:t>
      </w:r>
      <w:r>
        <w:rPr>
          <w:spacing w:val="-35"/>
        </w:rPr>
        <w:t> </w:t>
      </w:r>
      <w:r>
        <w:rPr>
          <w:spacing w:val="-35"/>
        </w:rPr>
      </w:r>
      <w:r>
        <w:rPr/>
        <w:t>担任公司副总经理、董事会秘书，任期自本次会议通过之日起至第二届董事会届满之日止。</w:t>
      </w:r>
    </w:p>
    <w:p>
      <w:pPr>
        <w:spacing w:line="240" w:lineRule="auto" w:before="12"/>
        <w:rPr>
          <w:rFonts w:ascii="宋体" w:hAnsi="宋体" w:cs="宋体" w:eastAsia="宋体" w:hint="default"/>
          <w:sz w:val="20"/>
          <w:szCs w:val="20"/>
        </w:rPr>
      </w:pPr>
    </w:p>
    <w:p>
      <w:pPr>
        <w:pStyle w:val="Heading2"/>
        <w:spacing w:line="240" w:lineRule="auto"/>
        <w:ind w:right="94"/>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报告期内公司核心技术团队或关键技术人员无变动。</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1"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日，公司共有在册员工</w:t>
      </w:r>
      <w:r>
        <w:rPr>
          <w:rFonts w:ascii="Times New Roman" w:hAnsi="Times New Roman" w:cs="Times New Roman" w:eastAsia="Times New Roman" w:hint="default"/>
        </w:rPr>
        <w:t>946</w:t>
      </w:r>
      <w:r>
        <w:rPr/>
        <w:t>人，员工专业结构、受教育程度及年龄分布情况如下：</w:t>
      </w:r>
    </w:p>
    <w:p>
      <w:pPr>
        <w:spacing w:line="240" w:lineRule="auto" w:before="7"/>
        <w:rPr>
          <w:rFonts w:ascii="宋体" w:hAnsi="宋体" w:cs="宋体" w:eastAsia="宋体" w:hint="default"/>
          <w:sz w:val="4"/>
          <w:szCs w:val="4"/>
        </w:rPr>
      </w:pPr>
    </w:p>
    <w:tbl>
      <w:tblPr>
        <w:tblW w:w="0" w:type="auto"/>
        <w:jc w:val="left"/>
        <w:tblInd w:w="151" w:type="dxa"/>
        <w:tblLayout w:type="fixed"/>
        <w:tblCellMar>
          <w:top w:w="0" w:type="dxa"/>
          <w:left w:w="0" w:type="dxa"/>
          <w:bottom w:w="0" w:type="dxa"/>
          <w:right w:w="0" w:type="dxa"/>
        </w:tblCellMar>
        <w:tblLook w:val="01E0"/>
      </w:tblPr>
      <w:tblGrid>
        <w:gridCol w:w="2562"/>
        <w:gridCol w:w="2696"/>
        <w:gridCol w:w="3260"/>
      </w:tblGrid>
      <w:tr>
        <w:trPr>
          <w:trHeight w:val="331" w:hRule="exact"/>
        </w:trPr>
        <w:tc>
          <w:tcPr>
            <w:tcW w:w="8518" w:type="dxa"/>
            <w:gridSpan w:val="3"/>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（一）员工专业结构</w:t>
            </w:r>
            <w:r>
              <w:rPr>
                <w:rFonts w:ascii="宋体" w:hAnsi="宋体" w:cs="宋体" w:eastAsia="宋体" w:hint="default"/>
                <w:sz w:val="18"/>
                <w:szCs w:val="18"/>
              </w:rPr>
            </w:r>
          </w:p>
        </w:tc>
      </w:tr>
      <w:tr>
        <w:trPr>
          <w:trHeight w:val="348"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岗位类别</w:t>
            </w:r>
          </w:p>
        </w:tc>
        <w:tc>
          <w:tcPr>
            <w:tcW w:w="269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90</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9.51%</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技术员工</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57.29%</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营销人员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5.17%</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151</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15.97%</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行政后勤</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7.08%</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4.43%</w:t>
            </w:r>
          </w:p>
        </w:tc>
      </w:tr>
      <w:tr>
        <w:trPr>
          <w:trHeight w:val="350"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4" w:space="0" w:color="A6A6A6"/>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946</w:t>
            </w:r>
          </w:p>
        </w:tc>
        <w:tc>
          <w:tcPr>
            <w:tcW w:w="3260" w:type="dxa"/>
            <w:tcBorders>
              <w:top w:val="single" w:sz="4" w:space="0" w:color="000000"/>
              <w:left w:val="single" w:sz="4" w:space="0" w:color="000000"/>
              <w:bottom w:val="single" w:sz="4" w:space="0" w:color="A6A6A6"/>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28" w:hRule="exact"/>
        </w:trPr>
        <w:tc>
          <w:tcPr>
            <w:tcW w:w="8518" w:type="dxa"/>
            <w:gridSpan w:val="3"/>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（二）员工受教育程度</w:t>
            </w:r>
            <w:r>
              <w:rPr>
                <w:rFonts w:ascii="宋体" w:hAnsi="宋体" w:cs="宋体" w:eastAsia="宋体" w:hint="default"/>
                <w:sz w:val="18"/>
                <w:szCs w:val="18"/>
              </w:rPr>
            </w:r>
          </w:p>
        </w:tc>
      </w:tr>
      <w:tr>
        <w:trPr>
          <w:trHeight w:val="347"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23"/>
              <w:ind w:left="1" w:right="0"/>
              <w:jc w:val="center"/>
              <w:rPr>
                <w:rFonts w:ascii="宋体" w:hAnsi="宋体" w:cs="宋体" w:eastAsia="宋体" w:hint="default"/>
                <w:sz w:val="18"/>
                <w:szCs w:val="18"/>
              </w:rPr>
            </w:pPr>
            <w:r>
              <w:rPr>
                <w:rFonts w:ascii="宋体" w:hAnsi="宋体" w:cs="宋体" w:eastAsia="宋体" w:hint="default"/>
                <w:sz w:val="18"/>
                <w:szCs w:val="18"/>
              </w:rPr>
              <w:t>员工受教育程度</w:t>
            </w:r>
          </w:p>
        </w:tc>
        <w:tc>
          <w:tcPr>
            <w:tcW w:w="2696"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硕士及以上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23</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2.43%</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494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52.22%</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专科</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265</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28.01%</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专科以下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164</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17.34%</w:t>
            </w:r>
          </w:p>
        </w:tc>
      </w:tr>
      <w:tr>
        <w:trPr>
          <w:trHeight w:val="35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4" w:space="0" w:color="A6A6A6"/>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946</w:t>
            </w:r>
          </w:p>
        </w:tc>
        <w:tc>
          <w:tcPr>
            <w:tcW w:w="3260" w:type="dxa"/>
            <w:tcBorders>
              <w:top w:val="single" w:sz="4" w:space="0" w:color="000000"/>
              <w:left w:val="single" w:sz="4" w:space="0" w:color="000000"/>
              <w:bottom w:val="single" w:sz="4" w:space="0" w:color="A6A6A6"/>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100.00%</w:t>
            </w:r>
          </w:p>
        </w:tc>
      </w:tr>
      <w:tr>
        <w:trPr>
          <w:trHeight w:val="326" w:hRule="exact"/>
        </w:trPr>
        <w:tc>
          <w:tcPr>
            <w:tcW w:w="8518" w:type="dxa"/>
            <w:gridSpan w:val="3"/>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b/>
                <w:bCs/>
                <w:sz w:val="18"/>
                <w:szCs w:val="18"/>
              </w:rPr>
              <w:t>（三）员工年龄分布</w:t>
            </w:r>
            <w:r>
              <w:rPr>
                <w:rFonts w:ascii="宋体" w:hAnsi="宋体" w:cs="宋体" w:eastAsia="宋体" w:hint="default"/>
                <w:sz w:val="18"/>
                <w:szCs w:val="18"/>
              </w:rPr>
            </w:r>
          </w:p>
        </w:tc>
      </w:tr>
      <w:tr>
        <w:trPr>
          <w:trHeight w:val="348"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年龄构成</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岁以下</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317</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33.51%</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25-30</w:t>
            </w:r>
            <w:r>
              <w:rPr>
                <w:rFonts w:ascii="宋体" w:hAnsi="宋体" w:cs="宋体" w:eastAsia="宋体" w:hint="default"/>
                <w:sz w:val="18"/>
                <w:szCs w:val="18"/>
              </w:rPr>
              <w:t>岁</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349</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36.89%</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30-35</w:t>
            </w:r>
            <w:r>
              <w:rPr>
                <w:rFonts w:ascii="宋体" w:hAnsi="宋体" w:cs="宋体" w:eastAsia="宋体" w:hint="default"/>
                <w:sz w:val="18"/>
                <w:szCs w:val="18"/>
              </w:rPr>
              <w:t>岁</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156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16.49%</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35-40</w:t>
            </w:r>
            <w:r>
              <w:rPr>
                <w:rFonts w:ascii="宋体" w:hAnsi="宋体" w:cs="宋体" w:eastAsia="宋体" w:hint="default"/>
                <w:sz w:val="18"/>
                <w:szCs w:val="18"/>
              </w:rPr>
              <w:t>岁</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72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7.61%</w:t>
            </w:r>
          </w:p>
        </w:tc>
      </w:tr>
      <w:tr>
        <w:trPr>
          <w:trHeight w:val="341"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岁以上</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52</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5.50%</w:t>
            </w:r>
          </w:p>
        </w:tc>
      </w:tr>
      <w:tr>
        <w:trPr>
          <w:trHeight w:val="343" w:hRule="exact"/>
        </w:trPr>
        <w:tc>
          <w:tcPr>
            <w:tcW w:w="2562"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946</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100%</w:t>
            </w:r>
          </w:p>
        </w:tc>
      </w:tr>
    </w:tbl>
    <w:p>
      <w:pPr>
        <w:pStyle w:val="Heading4"/>
        <w:spacing w:line="240" w:lineRule="auto" w:before="8"/>
        <w:ind w:right="0"/>
        <w:jc w:val="left"/>
        <w:rPr>
          <w:b w:val="0"/>
          <w:bCs w:val="0"/>
        </w:rPr>
      </w:pPr>
      <w:r>
        <w:rPr/>
        <w:t>（四）公司没有需要承担费用的退休人员。</w:t>
      </w:r>
      <w:r>
        <w:rPr>
          <w:b w:val="0"/>
          <w:bCs w:val="0"/>
        </w:rPr>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3276" w:right="3312"/>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4"/>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spacing w:val="-4"/>
        </w:rPr>
        <w:t>报告期内，公司严格按照《公司法》、《证券法》、《上市公司治理准则》、《深圳证券交易所创业板股票上市规则》、</w:t>
      </w:r>
    </w:p>
    <w:p>
      <w:pPr>
        <w:pStyle w:val="BodyText"/>
        <w:spacing w:line="316" w:lineRule="auto" w:before="76"/>
        <w:ind w:right="9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w:t>
      </w:r>
      <w:r>
        <w:rPr/>
        <w:t> </w:t>
      </w:r>
      <w:r>
        <w:rPr>
          <w:spacing w:val="-2"/>
        </w:rPr>
        <w:t>截至报告期末，公司实际状况符合《上市公司治理准则》和《深圳证券交易所创业板上市公司规范运作指引》的要求，不存</w:t>
      </w:r>
      <w:r>
        <w:rPr>
          <w:spacing w:val="-68"/>
        </w:rPr>
        <w:t> </w:t>
      </w:r>
      <w:r>
        <w:rPr>
          <w:spacing w:val="-68"/>
        </w:rPr>
      </w:r>
      <w:r>
        <w:rPr/>
        <w:t>在尚未解决的治理问题。</w:t>
      </w:r>
    </w:p>
    <w:p>
      <w:pPr>
        <w:pStyle w:val="BodyText"/>
        <w:spacing w:line="316" w:lineRule="auto" w:before="19"/>
        <w:ind w:left="513" w:right="94"/>
        <w:jc w:val="left"/>
      </w:pPr>
      <w:r>
        <w:rPr/>
        <w:t>（一）关于股东和股东大会 </w:t>
      </w:r>
      <w:r>
        <w:rPr>
          <w:spacing w:val="-2"/>
        </w:rPr>
        <w:t>公司严格按照《上市公司股东大会准则》、《公司章程》、《股东大会议事规则》等规定和要求，规范地召集、召开股</w:t>
      </w:r>
    </w:p>
    <w:p>
      <w:pPr>
        <w:pStyle w:val="BodyText"/>
        <w:spacing w:line="240" w:lineRule="auto" w:before="19"/>
        <w:ind w:right="94"/>
        <w:jc w:val="left"/>
      </w:pPr>
      <w:r>
        <w:rPr/>
        <w:t>东大会，平等对待所有股东，并尽力为股东参加股东大会提供便利，使其充分行使股东权利。</w:t>
      </w:r>
    </w:p>
    <w:p>
      <w:pPr>
        <w:pStyle w:val="BodyText"/>
        <w:spacing w:line="316" w:lineRule="auto" w:before="76"/>
        <w:ind w:left="513" w:right="94"/>
        <w:jc w:val="left"/>
      </w:pPr>
      <w:r>
        <w:rPr/>
        <w:t>（二）公司与控股股东 </w:t>
      </w:r>
      <w:r>
        <w:rPr>
          <w:spacing w:val="-2"/>
        </w:rPr>
        <w:t>公司控股股东为自然人古培坚先生。古培坚先生在公司担任董事长职务，严格规范自己的行为，没有超越股东大会直接</w:t>
      </w:r>
    </w:p>
    <w:p>
      <w:pPr>
        <w:pStyle w:val="BodyText"/>
        <w:spacing w:line="316" w:lineRule="auto" w:before="19"/>
        <w:ind w:right="94"/>
        <w:jc w:val="left"/>
      </w:pPr>
      <w:r>
        <w:rPr>
          <w:spacing w:val="-2"/>
        </w:rPr>
        <w:t>或间接干预公司的决策和经营活动。公司拥有独立完整的业务和自主经营能力，在业务、人员、资产、机构、财务上独立于</w:t>
      </w:r>
      <w:r>
        <w:rPr>
          <w:spacing w:val="-67"/>
        </w:rPr>
        <w:t> </w:t>
      </w:r>
      <w:r>
        <w:rPr>
          <w:spacing w:val="-67"/>
        </w:rPr>
      </w:r>
      <w:r>
        <w:rPr/>
        <w:t>控股股东，公司董事会、监事会和内部机构独立运作。</w:t>
      </w:r>
    </w:p>
    <w:p>
      <w:pPr>
        <w:pStyle w:val="BodyText"/>
        <w:spacing w:line="316" w:lineRule="auto" w:before="19"/>
        <w:ind w:left="513" w:right="94"/>
        <w:jc w:val="left"/>
      </w:pPr>
      <w:r>
        <w:rPr/>
        <w:t>（三）关于董事和董事会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名，董事会的人数及人员构成符合法律、法规和《公司章程》的要求。各位董事</w:t>
      </w:r>
    </w:p>
    <w:p>
      <w:pPr>
        <w:pStyle w:val="BodyText"/>
        <w:spacing w:line="316" w:lineRule="auto"/>
        <w:ind w:right="94"/>
        <w:jc w:val="left"/>
      </w:pPr>
      <w:r>
        <w:rPr>
          <w:spacing w:val="-2"/>
        </w:rPr>
        <w:t>能够依据《董事会议事规则》、《独立董事工作制度》、《深圳证券交易所创业板上市公司规范运作指引》等开展工作，出</w:t>
      </w:r>
      <w:r>
        <w:rPr>
          <w:spacing w:val="-70"/>
        </w:rPr>
        <w:t> </w:t>
      </w:r>
      <w:r>
        <w:rPr>
          <w:spacing w:val="-70"/>
        </w:rPr>
      </w:r>
      <w:r>
        <w:rPr>
          <w:spacing w:val="-4"/>
        </w:rPr>
        <w:t>席董事会和股东大会，勤勉尽责地履行职务和义务，同时积极参加相关培训，熟悉相关法律法规。各董事严格审议相关议案，</w:t>
      </w:r>
      <w:r>
        <w:rPr>
          <w:spacing w:val="-46"/>
        </w:rPr>
        <w:t> </w:t>
      </w:r>
      <w:r>
        <w:rPr>
          <w:spacing w:val="-46"/>
        </w:rPr>
      </w:r>
      <w:r>
        <w:rPr/>
        <w:t>保证了公司相关事项的科学决策。</w:t>
      </w:r>
    </w:p>
    <w:p>
      <w:pPr>
        <w:pStyle w:val="BodyText"/>
        <w:spacing w:line="316" w:lineRule="auto" w:before="19"/>
        <w:ind w:left="513" w:right="94"/>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名，监事会的人数及人员构成符合法律、法规的要求。各位监事能够按照《监事</w:t>
      </w:r>
    </w:p>
    <w:p>
      <w:pPr>
        <w:pStyle w:val="BodyText"/>
        <w:spacing w:line="316" w:lineRule="auto"/>
        <w:ind w:right="94"/>
        <w:jc w:val="left"/>
      </w:pPr>
      <w:r>
        <w:rPr>
          <w:spacing w:val="-2"/>
        </w:rPr>
        <w:t>会议事规则》的要求，认真履行自己的职责，对公司重大事项、财务状况以及董事、高管人员履行职责的合法合规性进行监</w:t>
      </w:r>
      <w:r>
        <w:rPr>
          <w:spacing w:val="-67"/>
        </w:rPr>
        <w:t> </w:t>
      </w:r>
      <w:r>
        <w:rPr>
          <w:spacing w:val="-67"/>
        </w:rPr>
      </w:r>
      <w:r>
        <w:rPr/>
        <w:t>督。</w:t>
      </w:r>
    </w:p>
    <w:p>
      <w:pPr>
        <w:pStyle w:val="BodyText"/>
        <w:spacing w:line="316" w:lineRule="auto" w:before="19"/>
        <w:ind w:left="513" w:right="183"/>
        <w:jc w:val="left"/>
      </w:pPr>
      <w:r>
        <w:rPr/>
        <w:t>（五）关于独立董事制度运作情况 公司独立董事</w:t>
      </w:r>
      <w:r>
        <w:rPr>
          <w:rFonts w:ascii="Times New Roman" w:hAnsi="Times New Roman" w:cs="Times New Roman" w:eastAsia="Times New Roman" w:hint="default"/>
        </w:rPr>
        <w:t>3</w:t>
      </w:r>
      <w:r>
        <w:rPr/>
        <w:t>名。报告期内，公司独立董事严格按照有关法律、法规、《公司章程》及《独立董事工作制度》勤勉尽</w:t>
      </w:r>
    </w:p>
    <w:p>
      <w:pPr>
        <w:pStyle w:val="BodyText"/>
        <w:spacing w:line="316" w:lineRule="auto"/>
        <w:ind w:right="111"/>
        <w:jc w:val="both"/>
      </w:pPr>
      <w:r>
        <w:rPr/>
        <w:t>职的履行职责，对需要独立董事发表意见的事项均发表了独立意见，对公司内部控制制度及公司发展提出许多意见和建议， 对完善公司治理结构和规范公司运作发挥了积极作用。</w:t>
      </w:r>
    </w:p>
    <w:p>
      <w:pPr>
        <w:pStyle w:val="BodyText"/>
        <w:spacing w:line="316" w:lineRule="auto" w:before="19"/>
        <w:ind w:left="513" w:right="94"/>
        <w:jc w:val="left"/>
      </w:pPr>
      <w:r>
        <w:rPr/>
        <w:t>（六）关于董事会秘书制度运行情况 </w:t>
      </w:r>
      <w:r>
        <w:rPr>
          <w:spacing w:val="-2"/>
        </w:rPr>
        <w:t>报告期内，公司董事会秘书一直按照有关法律、法规和《公司章程》的规定认真履行其职责，做好信息披露，认真对待</w:t>
      </w:r>
    </w:p>
    <w:p>
      <w:pPr>
        <w:pStyle w:val="BodyText"/>
        <w:spacing w:line="240" w:lineRule="auto" w:before="19"/>
        <w:ind w:right="0"/>
        <w:jc w:val="both"/>
      </w:pPr>
      <w:r>
        <w:rPr/>
        <w:t>各方投资者，做好投资者接待工作，及时回复互动平台投资者提问，积极参加各监管机构组织的相关培训。</w:t>
      </w:r>
    </w:p>
    <w:p>
      <w:pPr>
        <w:pStyle w:val="BodyText"/>
        <w:spacing w:line="316" w:lineRule="auto" w:before="76"/>
        <w:ind w:left="513" w:right="94"/>
        <w:jc w:val="left"/>
      </w:pPr>
      <w:r>
        <w:rPr/>
        <w:t>（七）关于内幕信息知情人管理制度执行情况 </w:t>
      </w:r>
      <w:r>
        <w:rPr>
          <w:spacing w:val="-2"/>
        </w:rPr>
        <w:t>报告期内，公司为加强对内幕信息知情人管理，维护公司及全体股东的合法权益，修订了《公司内幕信息知情人登记管</w:t>
      </w:r>
    </w:p>
    <w:p>
      <w:pPr>
        <w:pStyle w:val="BodyText"/>
        <w:spacing w:line="319" w:lineRule="auto" w:before="19"/>
        <w:ind w:right="190"/>
        <w:jc w:val="both"/>
      </w:pPr>
      <w:r>
        <w:rPr>
          <w:spacing w:val="-2"/>
        </w:rPr>
        <w:t>理制度》，从制度层面加强内幕信息的管理。公司董事会办公室是公司信息披露、内幕信息登记备案的日常办事机构，并负</w:t>
      </w:r>
      <w:r>
        <w:rPr>
          <w:spacing w:val="-67"/>
        </w:rPr>
        <w:t> </w:t>
      </w:r>
      <w:r>
        <w:rPr>
          <w:spacing w:val="-67"/>
        </w:rPr>
      </w:r>
      <w:r>
        <w:rPr>
          <w:spacing w:val="-2"/>
        </w:rPr>
        <w:t>责公司内幕信息的监管工作，确保各部门对内幕信息的即时反馈，严格执行内幕信息知情人登记备案手续，及时向证券监管</w:t>
      </w:r>
      <w:r>
        <w:rPr>
          <w:spacing w:val="-63"/>
        </w:rPr>
        <w:t> </w:t>
      </w:r>
      <w:r>
        <w:rPr>
          <w:spacing w:val="-63"/>
        </w:rPr>
      </w:r>
      <w:r>
        <w:rPr/>
        <w:t>部门报送规范格式的《内幕信息知情人登记表》。</w:t>
      </w:r>
    </w:p>
    <w:p>
      <w:pPr>
        <w:pStyle w:val="BodyText"/>
        <w:spacing w:line="316" w:lineRule="auto" w:before="17"/>
        <w:ind w:left="513" w:right="94"/>
        <w:jc w:val="left"/>
      </w:pPr>
      <w:r>
        <w:rPr/>
        <w:t>（八）绩效评价与激励约束机制情况 </w:t>
      </w:r>
      <w:r>
        <w:rPr>
          <w:spacing w:val="-2"/>
        </w:rPr>
        <w:t>董事会下设的薪酬与考核委员会负责对公司的董事、高级管理人员进行考核，建立并逐步完善公正、透明的绩效评价标</w:t>
      </w:r>
    </w:p>
    <w:p>
      <w:pPr>
        <w:pStyle w:val="BodyText"/>
        <w:spacing w:line="316" w:lineRule="auto" w:before="19"/>
        <w:ind w:right="195"/>
        <w:jc w:val="both"/>
      </w:pPr>
      <w:r>
        <w:rPr>
          <w:spacing w:val="-2"/>
        </w:rPr>
        <w:t>准和激励约束机制。《公司章程》明确规定了高级管理人员的履职行为、权限和职责，高级管理人员的聘任公开、透明，符</w:t>
      </w:r>
      <w:r>
        <w:rPr>
          <w:spacing w:val="-71"/>
        </w:rPr>
        <w:t> </w:t>
      </w:r>
      <w:r>
        <w:rPr>
          <w:spacing w:val="-71"/>
        </w:rPr>
      </w:r>
      <w:r>
        <w:rPr>
          <w:spacing w:val="-2"/>
        </w:rPr>
        <w:t>合有关法律、法规的规定。参与公司经营管理的董事、高级管理人员年薪总收入由基本薪酬和考核薪酬组成。其中，基本薪</w:t>
      </w:r>
      <w:r>
        <w:rPr>
          <w:spacing w:val="-67"/>
        </w:rPr>
        <w:t> </w:t>
      </w:r>
      <w:r>
        <w:rPr>
          <w:spacing w:val="-67"/>
        </w:rPr>
      </w:r>
      <w:r>
        <w:rPr/>
        <w:t>酬占年薪总收入的</w:t>
      </w:r>
      <w:r>
        <w:rPr>
          <w:rFonts w:ascii="Times New Roman" w:hAnsi="Times New Roman" w:cs="Times New Roman" w:eastAsia="Times New Roman" w:hint="default"/>
        </w:rPr>
        <w:t>70%</w:t>
      </w:r>
      <w:r>
        <w:rPr/>
        <w:t>；其余</w:t>
      </w:r>
      <w:r>
        <w:rPr>
          <w:rFonts w:ascii="Times New Roman" w:hAnsi="Times New Roman" w:cs="Times New Roman" w:eastAsia="Times New Roman" w:hint="default"/>
        </w:rPr>
        <w:t>30%</w:t>
      </w:r>
      <w:r>
        <w:rPr/>
        <w:t>作为考核薪酬进行考核。现有绩效评价标准和激励约束机制符合公司的发展情况。</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公司治理与《公司法》和中国证监会相关规定的要求是否存在差异</w:t>
      </w:r>
    </w:p>
    <w:p>
      <w:pPr>
        <w:pStyle w:val="BodyText"/>
        <w:spacing w:line="240" w:lineRule="auto" w:before="117"/>
        <w:ind w:right="0"/>
        <w:jc w:val="left"/>
      </w:pPr>
      <w:r>
        <w:rPr/>
        <w:t>□ 是 √</w:t>
      </w:r>
      <w:r>
        <w:rPr>
          <w:spacing w:val="3"/>
        </w:rPr>
        <w:t> </w:t>
      </w:r>
      <w:r>
        <w:rPr/>
        <w:t>否</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30"/>
              <w:jc w:val="right"/>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6"/>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0"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第一届董事会第二十二次会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第一届董事会第二十三次会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第一届董事会第二十四次会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第一届董事会第二十五次会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第一届董事会第二十六次会 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2"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53" w:firstLine="362"/>
        <w:jc w:val="both"/>
      </w:pPr>
      <w:r>
        <w:rPr>
          <w:spacing w:val="-12"/>
        </w:rPr>
        <w:t>公司已经根据《证券法》、《会计法》、《上市公司信息披露管理办法》、《上市公司治理准则》和《深圳证券交易所创业板</w:t>
      </w:r>
      <w:r>
        <w:rPr/>
        <w:t> </w:t>
      </w:r>
      <w:r>
        <w:rPr>
          <w:spacing w:val="-2"/>
        </w:rPr>
        <w:t>股票上市规则》等法律法规的规定，制定了《年报信息披露重大差错责任追究制度》，该制度的制定在进一步健全公司的信</w:t>
      </w:r>
      <w:r>
        <w:rPr>
          <w:spacing w:val="-72"/>
        </w:rPr>
        <w:t> </w:t>
      </w:r>
      <w:r>
        <w:rPr>
          <w:spacing w:val="-72"/>
        </w:rPr>
      </w:r>
      <w:r>
        <w:rPr>
          <w:spacing w:val="-2"/>
        </w:rPr>
        <w:t>息披露管理制度，提高公司规范运作水平，增强信息披露的真实性、准确性、完整性和及时性，提高年报信息披露的质量和</w:t>
      </w:r>
      <w:r>
        <w:rPr>
          <w:spacing w:val="-67"/>
        </w:rPr>
        <w:t> </w:t>
      </w:r>
      <w:r>
        <w:rPr>
          <w:spacing w:val="-67"/>
        </w:rPr>
      </w:r>
      <w:r>
        <w:rPr/>
        <w:t>透明度方面起到了促进作用。报告期内，公司未发生重大会计差错更正、重大遗漏信息补充以及业绩预告修正等情况。</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60" w:lineRule="auto" w:before="115"/>
        <w:ind w:right="6354"/>
        <w:jc w:val="left"/>
      </w:pPr>
      <w:r>
        <w:rPr/>
        <w:t>□ 是 √</w:t>
      </w:r>
      <w:r>
        <w:rPr>
          <w:spacing w:val="3"/>
        </w:rPr>
        <w:t> </w:t>
      </w:r>
      <w:r>
        <w:rPr/>
        <w:t>否</w:t>
      </w:r>
      <w:r>
        <w:rPr/>
        <w:t> 公司监事会对报告期内的监督事项无异议。</w:t>
      </w:r>
    </w:p>
    <w:p>
      <w:pPr>
        <w:spacing w:after="0" w:line="36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76" w:right="3312"/>
        <w:jc w:val="center"/>
        <w:rPr>
          <w:b w:val="0"/>
          <w:bCs w:val="0"/>
        </w:rPr>
      </w:pPr>
      <w:bookmarkStart w:name="_bookmark8" w:id="9"/>
      <w:bookmarkEnd w:id="9"/>
      <w:r>
        <w:rPr>
          <w:b w:val="0"/>
          <w:bCs w:val="0"/>
        </w:rPr>
      </w: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350ZA1249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3274" w:right="3312"/>
        <w:jc w:val="center"/>
      </w:pPr>
      <w:r>
        <w:rPr/>
        <w:t>审计报告正文</w:t>
      </w:r>
    </w:p>
    <w:p>
      <w:pPr>
        <w:spacing w:line="240" w:lineRule="auto" w:before="8"/>
        <w:rPr>
          <w:rFonts w:ascii="宋体" w:hAnsi="宋体" w:cs="宋体" w:eastAsia="宋体" w:hint="default"/>
          <w:sz w:val="14"/>
          <w:szCs w:val="14"/>
        </w:rPr>
      </w:pPr>
    </w:p>
    <w:p>
      <w:pPr>
        <w:pStyle w:val="Heading4"/>
        <w:spacing w:line="240" w:lineRule="auto" w:before="44"/>
        <w:ind w:right="94"/>
        <w:jc w:val="left"/>
        <w:rPr>
          <w:b w:val="0"/>
          <w:bCs w:val="0"/>
        </w:rPr>
      </w:pPr>
      <w:r>
        <w:rPr/>
        <w:t>易联众信息技术股份有限公司全体股东：</w:t>
      </w:r>
      <w:r>
        <w:rPr>
          <w:b w:val="0"/>
          <w:bCs w:val="0"/>
        </w:rPr>
      </w:r>
    </w:p>
    <w:p>
      <w:pPr>
        <w:spacing w:line="240" w:lineRule="auto" w:before="8"/>
        <w:rPr>
          <w:rFonts w:ascii="宋体" w:hAnsi="宋体" w:cs="宋体" w:eastAsia="宋体" w:hint="default"/>
          <w:b/>
          <w:bCs/>
          <w:sz w:val="17"/>
          <w:szCs w:val="17"/>
        </w:rPr>
      </w:pPr>
    </w:p>
    <w:p>
      <w:pPr>
        <w:pStyle w:val="BodyText"/>
        <w:spacing w:line="300" w:lineRule="auto"/>
        <w:ind w:right="94" w:firstLine="480"/>
        <w:jc w:val="left"/>
      </w:pPr>
      <w:r>
        <w:rPr>
          <w:spacing w:val="-1"/>
        </w:rPr>
        <w:t>我们审计了后附的易联众信息技术股份有限公司（以下简称易联众公司）财务报表，包括</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w:t>
      </w:r>
      <w:r>
        <w:rPr/>
        <w:t> 司资产负债表，</w:t>
      </w:r>
      <w:r>
        <w:rPr>
          <w:rFonts w:ascii="Times New Roman" w:hAnsi="Times New Roman" w:cs="Times New Roman" w:eastAsia="Times New Roman" w:hint="default"/>
        </w:rPr>
        <w:t>2012</w:t>
      </w:r>
      <w:r>
        <w:rPr/>
        <w:t>年度的合并及公司利润表、合并及公司现金流量表、合并及公司股东权益变动表以及财务报表附注。</w:t>
      </w:r>
    </w:p>
    <w:p>
      <w:pPr>
        <w:spacing w:line="468" w:lineRule="exact" w:before="5"/>
        <w:ind w:left="633" w:right="94"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编制和公允列报财务报表是易联众公司管理层的责任，这种责任包括：（</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）按照企业会计准则的规定编制财务报表，</w:t>
      </w:r>
    </w:p>
    <w:p>
      <w:pPr>
        <w:pStyle w:val="BodyText"/>
        <w:spacing w:line="240" w:lineRule="auto" w:before="8"/>
        <w:ind w:right="94"/>
        <w:jc w:val="left"/>
      </w:pPr>
      <w:r>
        <w:rPr/>
        <w:t>并使其实现公允反映；（</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468" w:lineRule="exact" w:before="54"/>
        <w:ind w:left="633" w:right="94"/>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1"/>
        </w:rPr>
        <w:t>我们的责任是在执行审计工作的基础上对财务报表发表审计意见。我们按照中国注册会计师审计准则的规定执行了审</w:t>
      </w:r>
    </w:p>
    <w:p>
      <w:pPr>
        <w:pStyle w:val="BodyText"/>
        <w:spacing w:line="316" w:lineRule="auto" w:before="8"/>
        <w:ind w:right="94"/>
        <w:jc w:val="left"/>
      </w:pPr>
      <w:r>
        <w:rPr>
          <w:spacing w:val="-2"/>
        </w:rPr>
        <w:t>计工作。中国注册会计师审计准则要求我们遵守中国注册会计师职业道德守则，计划和执行审计工作以对财务报表是否不存</w:t>
      </w:r>
      <w:r>
        <w:rPr>
          <w:spacing w:val="-64"/>
        </w:rPr>
        <w:t> </w:t>
      </w:r>
      <w:r>
        <w:rPr>
          <w:spacing w:val="-64"/>
        </w:rPr>
      </w:r>
      <w:r>
        <w:rPr/>
        <w:t>在重大错报获取合理保证。</w:t>
      </w:r>
    </w:p>
    <w:p>
      <w:pPr>
        <w:spacing w:line="240" w:lineRule="auto" w:before="5"/>
        <w:rPr>
          <w:rFonts w:ascii="宋体" w:hAnsi="宋体" w:cs="宋体" w:eastAsia="宋体" w:hint="default"/>
          <w:sz w:val="13"/>
          <w:szCs w:val="13"/>
        </w:rPr>
      </w:pPr>
    </w:p>
    <w:p>
      <w:pPr>
        <w:pStyle w:val="BodyText"/>
        <w:spacing w:line="316" w:lineRule="auto"/>
        <w:ind w:right="94" w:firstLine="480"/>
        <w:jc w:val="left"/>
      </w:pPr>
      <w:r>
        <w:rPr>
          <w:spacing w:val="-3"/>
        </w:rPr>
        <w:t>审计工作涉及实施审计程序，以获取有关财务报表金额和披露的审计证据。选择的审计程序取决于注册会计师的判断，</w:t>
      </w:r>
      <w:r>
        <w:rPr/>
        <w:t>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3"/>
        </w:rPr>
        <w:t> </w:t>
      </w:r>
      <w:r>
        <w:rPr>
          <w:spacing w:val="-63"/>
        </w:rPr>
      </w:r>
      <w:r>
        <w:rPr/>
        <w:t>计政策的恰当性和作出会计估计的合理性，以及评价财务报表的总体列报。</w:t>
      </w:r>
    </w:p>
    <w:p>
      <w:pPr>
        <w:spacing w:line="240" w:lineRule="auto" w:before="5"/>
        <w:rPr>
          <w:rFonts w:ascii="宋体" w:hAnsi="宋体" w:cs="宋体" w:eastAsia="宋体" w:hint="default"/>
          <w:sz w:val="13"/>
          <w:szCs w:val="13"/>
        </w:rPr>
      </w:pPr>
    </w:p>
    <w:p>
      <w:pPr>
        <w:pStyle w:val="BodyText"/>
        <w:spacing w:line="477" w:lineRule="auto"/>
        <w:ind w:left="633" w:right="303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00" w:lineRule="auto" w:before="54"/>
        <w:ind w:right="94" w:firstLine="480"/>
        <w:jc w:val="left"/>
      </w:pPr>
      <w:r>
        <w:rPr>
          <w:spacing w:val="-1"/>
        </w:rPr>
        <w:t>我们认为，易联众公司财务报表在所有重大方面按照企业会计准则的规定编制，公允反映了易联众公司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
        </w:rPr>
        <w:t> </w:t>
      </w:r>
      <w:r>
        <w:rPr/>
        <w:t>日的合并及公司财务状况以及</w:t>
      </w:r>
      <w:r>
        <w:rPr>
          <w:rFonts w:ascii="Times New Roman" w:hAnsi="Times New Roman" w:cs="Times New Roman" w:eastAsia="Times New Roman" w:hint="default"/>
        </w:rPr>
        <w:t>2012</w:t>
      </w:r>
      <w:r>
        <w:rPr/>
        <w:t>年度的合并及公司经营成果和合并及公司现金流量。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4622" w:val="left" w:leader="none"/>
        </w:tabs>
        <w:spacing w:line="240" w:lineRule="auto"/>
        <w:ind w:right="94"/>
        <w:jc w:val="left"/>
      </w:pPr>
      <w:r>
        <w:rPr/>
        <w:t>致同会计师事务所</w:t>
        <w:tab/>
        <w:t>中国注册会计师：熊建益</w:t>
      </w:r>
    </w:p>
    <w:p>
      <w:pPr>
        <w:pStyle w:val="BodyText"/>
        <w:spacing w:line="240" w:lineRule="auto" w:before="76"/>
        <w:ind w:right="94"/>
        <w:jc w:val="left"/>
      </w:pPr>
      <w:r>
        <w:rPr/>
        <w:t>（特殊普通合伙）</w:t>
      </w:r>
    </w:p>
    <w:p>
      <w:pPr>
        <w:pStyle w:val="BodyText"/>
        <w:spacing w:line="240" w:lineRule="auto" w:before="76"/>
        <w:ind w:left="3429" w:right="2088"/>
        <w:jc w:val="center"/>
      </w:pPr>
      <w:r>
        <w:rPr/>
        <w:t>中国注册会计师：朱丹丹</w:t>
      </w:r>
    </w:p>
    <w:p>
      <w:pPr>
        <w:spacing w:line="240" w:lineRule="auto" w:before="0"/>
        <w:rPr>
          <w:rFonts w:ascii="宋体" w:hAnsi="宋体" w:cs="宋体" w:eastAsia="宋体" w:hint="default"/>
          <w:sz w:val="18"/>
          <w:szCs w:val="18"/>
        </w:rPr>
      </w:pPr>
    </w:p>
    <w:p>
      <w:pPr>
        <w:pStyle w:val="BodyText"/>
        <w:tabs>
          <w:tab w:pos="4488" w:val="left" w:leader="none"/>
        </w:tabs>
        <w:spacing w:line="240" w:lineRule="auto" w:before="153"/>
        <w:ind w:left="332" w:right="94"/>
        <w:jc w:val="left"/>
      </w:pPr>
      <w:r>
        <w:rPr>
          <w:spacing w:val="-3"/>
        </w:rPr>
        <w:t>中国</w:t>
      </w:r>
      <w:r>
        <w:rPr>
          <w:rFonts w:ascii="Times New Roman" w:hAnsi="Times New Roman" w:cs="Times New Roman" w:eastAsia="Times New Roman" w:hint="default"/>
          <w:spacing w:val="-3"/>
        </w:rPr>
        <w:t>·</w:t>
      </w:r>
      <w:r>
        <w:rPr>
          <w:spacing w:val="-3"/>
        </w:rPr>
        <w:t>北京</w:t>
        <w:tab/>
      </w:r>
      <w:r>
        <w:rPr/>
        <w:t>二Ｏ一三年四月十七日</w:t>
      </w:r>
    </w:p>
    <w:p>
      <w:pPr>
        <w:spacing w:after="0" w:line="240" w:lineRule="auto"/>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416,603,863.15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411,078,256.88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187,412,019.87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170,845,631.44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2,674,240.89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9,528,405.11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1,796,496.57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2,364,066.17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5,262,397.73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6,961,221.56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46,344,427.93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49,688,730.82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660,093,446.14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650,466,311.98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1,378,116.88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65,141,940.58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57,196,436.53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5,475,605.17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5,937,557.23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7,868,559.45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17,502,729.64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6,143,316.03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4,338,969.97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2,092,053.12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5,018,662.94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3,543,086.21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99,317,977.24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82,319,056.51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759,411,423.38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732,785,368.49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2,126,804.14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73,718,459.74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72,148,828.99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21,852,609.62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26,459,435.86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11,308,347.76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12,302,871.69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-344,544.49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3,008,434.54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23,025.61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1,157,718.63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5,393,724.17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109,837,676.34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122,969,654.19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8,699,166.80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10,706,666.88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233,333.33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8,752,500.13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10,940,000.21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118,590,176.47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133,909,654.40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292,196,667.26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292,196,667.26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13,543,123.68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11,359,373.55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152,777,062.58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115,918,957.20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630,516,853.52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591,474,998.01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10,304,393.39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7,400,716.08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640,821,246.91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598,875,714.09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759,411,423.38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732,785,368.49</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274,762,319.78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326,195,266.20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113,697,412.41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157,354,342.43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1,258,548.84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6,105,911.43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1,720,623.52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2,364,066.17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4,950,041.76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15,361,246.03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36,743,456.53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40,078,930.08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433,132,402.84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547,459,762.34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146,083,789.89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56,053,600.00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60,505,273.21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54,230,088.53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5,475,605.17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5,759,193.10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7,246,821.63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17,208,934.41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6,143,316.03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3,775,346.51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1,289,537.65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2,893,834.92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1,944,663.43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236,226,372.04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132,383,632.44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669,358,774.88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679,843,394.78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2,126,804.14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73,421,876.25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68,998,318.22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13,655,553.96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10,963,685.98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5,659,081.65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8,187,242.24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-171,085.91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5,413,764.89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18,280.94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23,025.61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795,531.14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11,554,626.34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95,506,042.17</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108,440,663.28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8,699,166.80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10,706,666.88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53,333.33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233,333.33</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8,752,500.13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10,940,000.21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104,258,542.30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119,380,663.49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295,368,995.89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295,368,995.89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13,543,123.68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11,359,373.55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84,188,113.01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81,734,361.85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565,100,232.58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560,462,731.29</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669,358,774.88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679,843,394.78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shape style="position:absolute;margin-left:172.083008pt;margin-top:683.26001pt;width:196.65pt;height:19.6pt;mso-position-horizontal-relative:page;mso-position-vertical-relative:page;z-index:-82115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682.719971pt;width:163.35pt;height:20.65pt;mso-position-horizontal-relative:page;mso-position-vertical-relative:page;z-index:-821128" coordorigin="4107,13654" coordsize="3267,413">
            <v:group style="position:absolute;left:4118;top:13665;width:2;height:392" coordorigin="4118,13665" coordsize="2,392">
              <v:shape style="position:absolute;left:4118;top:13665;width:2;height:392" coordorigin="4118,13665" coordsize="0,392" path="m4118,13665l4118,14056e" filled="false" stroked="true" strokeweight="1.08pt" strokecolor="#ffffff">
                <v:path arrowok="t"/>
              </v:shape>
            </v:group>
            <v:group style="position:absolute;left:4129;top:13665;width:3246;height:392" coordorigin="4129,13665" coordsize="3246,392">
              <v:shape style="position:absolute;left:4129;top:13665;width:3246;height:392" coordorigin="4129,13665" coordsize="3246,392" path="m4129,14056l7374,14056,7374,13665,4129,13665,4129,14056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1161"/>
        <w:gridCol w:w="2150"/>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146" w:right="0"/>
              <w:jc w:val="left"/>
              <w:rPr>
                <w:rFonts w:ascii="Times New Roman" w:hAnsi="Times New Roman" w:cs="Times New Roman" w:eastAsia="Times New Roman" w:hint="default"/>
                <w:sz w:val="18"/>
                <w:szCs w:val="18"/>
              </w:rPr>
            </w:pPr>
            <w:r>
              <w:rPr>
                <w:rFonts w:ascii="Times New Roman"/>
                <w:sz w:val="18"/>
              </w:rPr>
              <w:t>279,797,747.85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382,517,145.28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279,797,747.85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382,517,145.28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229,176,863.02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285,925,157.76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2146" w:right="0"/>
              <w:jc w:val="left"/>
              <w:rPr>
                <w:rFonts w:ascii="Times New Roman" w:hAnsi="Times New Roman" w:cs="Times New Roman" w:eastAsia="Times New Roman" w:hint="default"/>
                <w:sz w:val="18"/>
                <w:szCs w:val="18"/>
              </w:rPr>
            </w:pPr>
            <w:r>
              <w:rPr>
                <w:rFonts w:ascii="Times New Roman"/>
                <w:sz w:val="18"/>
              </w:rPr>
              <w:t>147,221,533.74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228,563,291.13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4,783,322.61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4,956,943.29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14,204,834.75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8,491,960.79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61,110,570.29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43,260,969.59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-6,877,047.53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-6,490,931.42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8,733,649.16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7,142,924.38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626,116.88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626,116.88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8" w:right="0"/>
              <w:jc w:val="left"/>
              <w:rPr>
                <w:rFonts w:ascii="Times New Roman" w:hAnsi="Times New Roman" w:cs="Times New Roman" w:eastAsia="Times New Roman" w:hint="default"/>
                <w:sz w:val="18"/>
                <w:szCs w:val="18"/>
              </w:rPr>
            </w:pPr>
            <w:r>
              <w:rPr>
                <w:rFonts w:ascii="Times New Roman"/>
                <w:sz w:val="18"/>
              </w:rPr>
              <w:t>51,247,001.71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96,591,987.52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19,601,152.50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6,026,324.77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138,470.37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28,264.79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2.102997pt;margin-top:146.419983pt;width:196.65pt;height:19.6pt;mso-position-horizontal-relative:page;mso-position-vertical-relative:page;z-index:-82110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145.87999pt;width:163.35pt;height:20.65pt;mso-position-horizontal-relative:page;mso-position-vertical-relative:page;z-index:-821080" coordorigin="4107,2918" coordsize="3267,413">
            <v:group style="position:absolute;left:4118;top:2928;width:2;height:392" coordorigin="4118,2928" coordsize="2,392">
              <v:shape style="position:absolute;left:4118;top:2928;width:2;height:392" coordorigin="4118,2928" coordsize="0,392" path="m4118,2928l4118,3320e" filled="false" stroked="true" strokeweight="1.08pt" strokecolor="#ffffff">
                <v:path arrowok="t"/>
              </v:shape>
            </v:group>
            <v:group style="position:absolute;left:4129;top:2928;width:3246;height:392" coordorigin="4129,2928" coordsize="3246,392">
              <v:shape style="position:absolute;left:4129;top:2928;width:3246;height:392" coordorigin="4129,2928" coordsize="3246,392" path="m4129,3320l7374,3320,7374,2928,4129,2928,4129,332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61"/>
        <w:gridCol w:w="2150"/>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70,709,683.84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102,555,091.60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12,564,151.02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16,333,804.66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61" w:type="dxa"/>
            <w:tcBorders>
              <w:top w:val="single" w:sz="4" w:space="0" w:color="000000"/>
              <w:left w:val="single" w:sz="10" w:space="0" w:color="D2D2D2"/>
              <w:bottom w:val="single" w:sz="4" w:space="0" w:color="000000"/>
              <w:right w:val="nil" w:sz="6" w:space="0" w:color="auto"/>
            </w:tcBorders>
          </w:tcPr>
          <w:p>
            <w:pPr/>
          </w:p>
        </w:tc>
        <w:tc>
          <w:tcPr>
            <w:tcW w:w="21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88" w:right="0"/>
              <w:jc w:val="left"/>
              <w:rPr>
                <w:rFonts w:ascii="Times New Roman" w:hAnsi="Times New Roman" w:cs="Times New Roman" w:eastAsia="Times New Roman" w:hint="default"/>
                <w:sz w:val="18"/>
                <w:szCs w:val="18"/>
              </w:rPr>
            </w:pPr>
            <w:r>
              <w:rPr>
                <w:rFonts w:ascii="Times New Roman"/>
                <w:sz w:val="18"/>
              </w:rPr>
              <w:t>58,145,532.82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86,221,286.94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56,241,855.51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86,353,307.85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1,903,677.31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-132,020.91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58,145,532.82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86,221,286.94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56,241,855.51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86,353,307.85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1,903,677.31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-132,020.91</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7"/>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160,108,179.81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299,872,740.49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109,120,276.20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193,540,097.89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2,083,719.94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2,752,372.53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5,279,034.34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5,641,232.12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33,845,921.10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26,432,593.47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-6,379,330.17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-6,358,455.17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6,327,810.02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4,831,218.28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626,989.89</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72.083008pt;margin-top:108.259979pt;width:196.65pt;height:19.6pt;mso-position-horizontal-relative:page;mso-position-vertical-relative:page;z-index:-8210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244.459976pt;width:196.65pt;height:19.6pt;mso-position-horizontal-relative:page;mso-position-vertical-relative:page;z-index:-82103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107.659981pt;width:163.5pt;height:20.8pt;mso-position-horizontal-relative:page;mso-position-vertical-relative:page;z-index:-821008" coordorigin="4105,2153" coordsize="3270,416">
            <v:group style="position:absolute;left:4117;top:2165;width:2;height:392" coordorigin="4117,2165" coordsize="2,392">
              <v:shape style="position:absolute;left:4117;top:2165;width:2;height:392" coordorigin="4117,2165" coordsize="0,392" path="m4117,2165l4117,2556e" filled="false" stroked="true" strokeweight="1.2pt" strokecolor="#ffffff">
                <v:path arrowok="t"/>
              </v:shape>
            </v:group>
            <v:group style="position:absolute;left:4129;top:2165;width:3246;height:392" coordorigin="4129,2165" coordsize="3246,392">
              <v:shape style="position:absolute;left:4129;top:2165;width:3246;height:392" coordorigin="4129,2165" coordsize="3246,392" path="m4129,2556l7374,2556,7374,2165,4129,2165,4129,2556xe" filled="true" fillcolor="#ffffff" stroked="false">
                <v:path arrowok="t"/>
                <v:fill type="solid"/>
              </v:shape>
            </v:group>
            <w10:wrap type="none"/>
          </v:group>
        </w:pict>
      </w:r>
      <w:r>
        <w:rPr/>
        <w:pict>
          <v:group style="position:absolute;margin-left:205.25pt;margin-top:243.859985pt;width:163.5pt;height:20.8pt;mso-position-horizontal-relative:page;mso-position-vertical-relative:page;z-index:-820984" coordorigin="4105,4877" coordsize="3270,416">
            <v:group style="position:absolute;left:4117;top:4889;width:2;height:392" coordorigin="4117,4889" coordsize="2,392">
              <v:shape style="position:absolute;left:4117;top:4889;width:2;height:392" coordorigin="4117,4889" coordsize="0,392" path="m4117,4889l4117,5280e" filled="false" stroked="true" strokeweight="1.2pt" strokecolor="#ffffff">
                <v:path arrowok="t"/>
              </v:shape>
            </v:group>
            <v:group style="position:absolute;left:4129;top:4889;width:3246;height:392" coordorigin="4129,4889" coordsize="3246,392">
              <v:shape style="position:absolute;left:4129;top:4889;width:3246;height:392" coordorigin="4129,4889" coordsize="3246,392" path="m4129,5280l7374,5280,7374,4889,4129,4889,4129,528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65"/>
        <w:gridCol w:w="2149"/>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626,989.89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10,457,738.27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73,033,681.37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16,999,288.75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3,307,352.82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52,083.31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29,511.48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44,708.31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20,640.58</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27,404,943.71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76,311,522.71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5,567,442.42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11,258,597.55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65" w:type="dxa"/>
            <w:tcBorders>
              <w:top w:val="single" w:sz="4" w:space="0" w:color="000000"/>
              <w:left w:val="single" w:sz="10" w:space="0" w:color="D2D2D2"/>
              <w:bottom w:val="single" w:sz="4" w:space="0" w:color="000000"/>
              <w:right w:val="nil" w:sz="6" w:space="0" w:color="auto"/>
            </w:tcBorders>
          </w:tcPr>
          <w:p>
            <w:pPr/>
          </w:p>
        </w:tc>
        <w:tc>
          <w:tcPr>
            <w:tcW w:w="214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21,837,501.29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65,052,925.16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21,837,501.29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65,052,925.16</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7"/>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308,266,609.32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379,667,680.49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10,687,943.44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3,706,154.69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20,396,442.16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22,255,537.18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339,350,994.92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405,629,372.36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142,236,985.56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185,910,421.23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66,127,005.19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42,025,135.71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44,619,376.97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54,573,951.30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35,026,800.38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37,676,186.52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288,010,168.10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320,185,694.76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51,340,826.82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85,443,677.60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38,267,774.25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150,900,000.00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38,275,649.25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150,904,500.00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25,108,314.43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35,377,341.32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19,006,000.00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150,710,800.00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44,114,314.43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186,088,141.32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-5,838,665.18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-35,183,641.32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425,360.83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3,525,360.83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2,007,500.08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12,007,499.92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17,907,982.52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18,146,473.20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1,063,402.07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1,745,360.83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20,978,884.67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31,899,333.95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-18,636,384.67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-28,373,973.12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26,865,776.97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21,886,063.16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258,916,756.88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237,030,693.72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285,782,533.85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258,916,756.88</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编制单位：易联众信息技术股份有限公司</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238,438,280.05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290,638,823.23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9,345,888.75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1,691,752.82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32,887,050.66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51,010,854.50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280,671,219.46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343,341,430.55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118,109,484.75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170,350,850.86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31,064,777.53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20,941,783.99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21,966,503.43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31,114,323.40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27,703,958.30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66,972,144.27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198,844,724.01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289,379,102.52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81,826,495.45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53,962,328.03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38,252,316.28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150,900,000.00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3,675.00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4,500.00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38,255,991.28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150,904,500.00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22,881,677.78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34,132,775.12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95,157,200.00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170,916,000.00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118,038,877.78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205,048,775.12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-79,782,886.50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-54,144,275.12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425,360.83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425,360.83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2,007,500.08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12,007,499.92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17,907,982.52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18,146,473.20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1,063,402.07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1,745,360.83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20,978,884.67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31,899,333.95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-19,636,384.67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-31,473,973.12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-17,592,775.72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-31,655,920.21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174,033,766.20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205,689,686.41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156,440,990.48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174,033,766.20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57" w:lineRule="auto" w:before="44"/>
        <w:ind w:right="-20"/>
        <w:jc w:val="left"/>
      </w:pPr>
      <w:r>
        <w:rPr/>
        <w:t>编制单位：易联众信息技术股份有限公司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980"/>
          <w:cols w:num="2" w:equalWidth="0">
            <w:col w:w="3393" w:space="552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6"/>
        <w:gridCol w:w="819"/>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667.26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11,359,3</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73.55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115,918,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957.20</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7,400,716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598,875,71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667.26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11,359,3</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73.55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115,918,</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957.20</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7,400,716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598,875,71</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4.09</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50.13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36,858,1</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05.38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2,903,677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41,945,532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56,241,8</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55.51</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58,145,532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56,241,8</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55.51</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1,903,677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58,145,532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50.13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-19,383,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750.13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50.13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-2,183,7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50.13</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667.26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13,543,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123.68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152,777,</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062.58</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10,304,39</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640,821,24</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6.91</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6"/>
        <w:gridCol w:w="819"/>
        <w:gridCol w:w="893"/>
      </w:tblGrid>
      <w:tr>
        <w:trPr>
          <w:trHeight w:val="403"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59"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7"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1"/>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223" w:right="4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2"/>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vMerge/>
            <w:tcBorders>
              <w:left w:val="single" w:sz="4" w:space="0" w:color="000000"/>
              <w:bottom w:val="nil" w:sz="6" w:space="0" w:color="auto"/>
              <w:right w:val="single" w:sz="4" w:space="0" w:color="000000"/>
            </w:tcBorders>
            <w:shd w:val="clear" w:color="auto" w:fill="D2D2D2"/>
          </w:tcPr>
          <w:p>
            <w:pPr/>
          </w:p>
        </w:tc>
        <w:tc>
          <w:tcPr>
            <w:tcW w:w="819"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9"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819"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819"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380,208,</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534.79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4,854,0</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81.03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53,270,9</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41.87</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9,235,669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533,569,22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7.15</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0"/>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380,208,</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534.79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4,854,0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81.03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53,270,9</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41.87</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9,235,669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533,569,22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7.15</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-88,011,</w:t>
            </w:r>
          </w:p>
          <w:p>
            <w:pPr>
              <w:pStyle w:val="TableParagraph"/>
              <w:spacing w:line="240" w:lineRule="auto" w:before="102"/>
              <w:ind w:left="160" w:right="0"/>
              <w:jc w:val="left"/>
              <w:rPr>
                <w:rFonts w:ascii="Times New Roman" w:hAnsi="Times New Roman" w:cs="Times New Roman" w:eastAsia="Times New Roman" w:hint="default"/>
                <w:sz w:val="18"/>
                <w:szCs w:val="18"/>
              </w:rPr>
            </w:pPr>
            <w:r>
              <w:rPr>
                <w:rFonts w:ascii="Times New Roman"/>
                <w:sz w:val="18"/>
              </w:rPr>
              <w:t>867.53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6,505,2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92.52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62,648,0</w:t>
            </w:r>
          </w:p>
          <w:p>
            <w:pPr>
              <w:pStyle w:val="TableParagraph"/>
              <w:spacing w:line="240" w:lineRule="auto" w:before="102"/>
              <w:ind w:left="252" w:right="0"/>
              <w:jc w:val="left"/>
              <w:rPr>
                <w:rFonts w:ascii="Times New Roman" w:hAnsi="Times New Roman" w:cs="Times New Roman" w:eastAsia="Times New Roman" w:hint="default"/>
                <w:sz w:val="18"/>
                <w:szCs w:val="18"/>
              </w:rPr>
            </w:pPr>
            <w:r>
              <w:rPr>
                <w:rFonts w:ascii="Times New Roman"/>
                <w:sz w:val="18"/>
              </w:rPr>
              <w:t>15.33</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-1,834,95</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65,306,486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86,353,3</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07.85</w:t>
            </w:r>
          </w:p>
        </w:tc>
        <w:tc>
          <w:tcPr>
            <w:tcW w:w="686" w:type="dxa"/>
            <w:vMerge w:val="restart"/>
            <w:tcBorders>
              <w:top w:val="single" w:sz="4" w:space="0" w:color="000000"/>
              <w:left w:val="single" w:sz="4" w:space="0" w:color="000000"/>
              <w:right w:val="single" w:sz="4" w:space="0" w:color="000000"/>
            </w:tcBorders>
          </w:tcPr>
          <w:p>
            <w:pPr/>
          </w:p>
        </w:tc>
        <w:tc>
          <w:tcPr>
            <w:tcW w:w="81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86,221,286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819"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819"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6"/>
        <w:gridCol w:w="819"/>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86,353,3</w:t>
            </w:r>
          </w:p>
          <w:p>
            <w:pPr>
              <w:pStyle w:val="TableParagraph"/>
              <w:spacing w:line="240" w:lineRule="auto" w:before="105"/>
              <w:ind w:left="252" w:right="0"/>
              <w:jc w:val="left"/>
              <w:rPr>
                <w:rFonts w:ascii="Times New Roman" w:hAnsi="Times New Roman" w:cs="Times New Roman" w:eastAsia="Times New Roman" w:hint="default"/>
                <w:sz w:val="18"/>
                <w:szCs w:val="18"/>
              </w:rPr>
            </w:pPr>
            <w:r>
              <w:rPr>
                <w:rFonts w:ascii="Times New Roman"/>
                <w:sz w:val="18"/>
              </w:rPr>
              <w:t>07.85</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86,221,286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-2,011,8</w:t>
            </w:r>
          </w:p>
          <w:p>
            <w:pPr>
              <w:pStyle w:val="TableParagraph"/>
              <w:spacing w:line="240" w:lineRule="auto" w:before="102"/>
              <w:ind w:left="228" w:right="0"/>
              <w:jc w:val="center"/>
              <w:rPr>
                <w:rFonts w:ascii="Times New Roman" w:hAnsi="Times New Roman" w:cs="Times New Roman" w:eastAsia="Times New Roman" w:hint="default"/>
                <w:sz w:val="18"/>
                <w:szCs w:val="18"/>
              </w:rPr>
            </w:pPr>
            <w:r>
              <w:rPr>
                <w:rFonts w:ascii="Times New Roman"/>
                <w:sz w:val="18"/>
              </w:rPr>
              <w:t>67.53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-1,702,93</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-3,714,800.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-2,011,8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67.53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-1,702,93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2.47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-3,714,800.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6,505,2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92.52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-23,705,</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292.52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6,505,2</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92.52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-6,505,2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92.52</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-17,200,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-86,000,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172,000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292,196,</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667.26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11,359,3</w:t>
            </w:r>
          </w:p>
          <w:p>
            <w:pPr>
              <w:pStyle w:val="TableParagraph"/>
              <w:spacing w:line="240" w:lineRule="auto" w:before="102"/>
              <w:ind w:left="247" w:right="0"/>
              <w:jc w:val="left"/>
              <w:rPr>
                <w:rFonts w:ascii="Times New Roman" w:hAnsi="Times New Roman" w:cs="Times New Roman" w:eastAsia="Times New Roman" w:hint="default"/>
                <w:sz w:val="18"/>
                <w:szCs w:val="18"/>
              </w:rPr>
            </w:pPr>
            <w:r>
              <w:rPr>
                <w:rFonts w:ascii="Times New Roman"/>
                <w:sz w:val="18"/>
              </w:rPr>
              <w:t>73.55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115,918,</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957.20</w:t>
            </w:r>
          </w:p>
        </w:tc>
        <w:tc>
          <w:tcPr>
            <w:tcW w:w="686" w:type="dxa"/>
            <w:tcBorders>
              <w:top w:val="single" w:sz="4" w:space="0" w:color="000000"/>
              <w:left w:val="single" w:sz="4" w:space="0" w:color="000000"/>
              <w:bottom w:val="single" w:sz="4" w:space="0" w:color="000000"/>
              <w:right w:val="single" w:sz="4" w:space="0" w:color="000000"/>
            </w:tcBorders>
          </w:tcPr>
          <w:p>
            <w:pPr/>
          </w:p>
        </w:tc>
        <w:tc>
          <w:tcPr>
            <w:tcW w:w="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7,400,716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598,875,71</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4.09</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法定代表人：古培坚</w:t>
        <w:tab/>
      </w:r>
      <w:r>
        <w:rPr>
          <w:spacing w:val="-1"/>
        </w:rPr>
        <w:t>主管会计工作负责人：陈东红</w:t>
        <w:tab/>
      </w:r>
      <w:r>
        <w:rPr/>
        <w:t>会计机构负责人：尤泽祥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534"/>
        <w:jc w:val="left"/>
      </w:pPr>
      <w:r>
        <w:rPr/>
        <w:t>编制单位：易联众信息技术股份有限公司 本期金额</w:t>
      </w:r>
    </w:p>
    <w:p>
      <w:pPr>
        <w:spacing w:after="0" w:line="357"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r>
        <w:rPr/>
        <w:pict>
          <v:shape style="position:absolute;margin-left:138.600006pt;margin-top:668.26001pt;width:84.8pt;height:19.7pt;mso-position-horizontal-relative:page;mso-position-vertical-relative:page;z-index:-82096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8.600006pt;margin-top:688.419983pt;width:84.8pt;height:19.6pt;mso-position-horizontal-relative:page;mso-position-vertical-relative:page;z-index:-820936"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0.740005pt;margin-top:667.659973pt;width:42.65pt;height:40.950pt;mso-position-horizontal-relative:page;mso-position-vertical-relative:page;z-index:-820912" coordorigin="3615,13353" coordsize="853,819">
            <v:group style="position:absolute;left:3627;top:13365;width:2;height:394" coordorigin="3627,13365" coordsize="2,394">
              <v:shape style="position:absolute;left:3627;top:13365;width:2;height:394" coordorigin="3627,13365" coordsize="0,394" path="m3627,13365l3627,13759e" filled="false" stroked="true" strokeweight="1.2pt" strokecolor="#ffffff">
                <v:path arrowok="t"/>
              </v:shape>
            </v:group>
            <v:group style="position:absolute;left:3639;top:13365;width:829;height:394" coordorigin="3639,13365" coordsize="829,394">
              <v:shape style="position:absolute;left:3639;top:13365;width:829;height:394" coordorigin="3639,13365" coordsize="829,394" path="m3639,13759l4467,13759,4467,13365,3639,13365,3639,13759xe" filled="true" fillcolor="#ffffff" stroked="false">
                <v:path arrowok="t"/>
                <v:fill type="solid"/>
              </v:shape>
            </v:group>
            <v:group style="position:absolute;left:3627;top:13768;width:2;height:392" coordorigin="3627,13768" coordsize="2,392">
              <v:shape style="position:absolute;left:3627;top:13768;width:2;height:392" coordorigin="3627,13768" coordsize="0,392" path="m3627,13768l3627,14160e" filled="false" stroked="true" strokeweight="1.2pt" strokecolor="#ffffff">
                <v:path arrowok="t"/>
              </v:shape>
            </v:group>
            <v:group style="position:absolute;left:3639;top:13768;width:829;height:392" coordorigin="3639,13768" coordsize="829,392">
              <v:shape style="position:absolute;left:3639;top:13768;width:829;height:392" coordorigin="3639,13768" coordsize="829,392" path="m3639,14160l4467,14160,4467,13768,3639,13768,3639,14160xe" filled="true" fillcolor="#ffffff" stroked="false">
                <v:path arrowok="t"/>
                <v:fill type="solid"/>
              </v:shape>
            </v:group>
            <w10:wrap type="none"/>
          </v:group>
        </w:pict>
      </w: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9"/>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5"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295,368,99</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5.89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11,359,373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81,734,361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560,462,73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1.29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172,000,00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295,368,99</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5.89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11,359,373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81,734,361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560,462,73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1.29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2,183,750.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2,453,751.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4,637,501.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2,183,750.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-19,383,75</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0.13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2,183,750.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13</w:t>
            </w: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9"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9"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9"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9"/>
        <w:gridCol w:w="890"/>
      </w:tblGrid>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172,000,00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295,368,99</w:t>
            </w:r>
          </w:p>
          <w:p>
            <w:pPr>
              <w:pStyle w:val="TableParagraph"/>
              <w:spacing w:line="240" w:lineRule="auto" w:before="102"/>
              <w:ind w:left="539" w:right="0"/>
              <w:jc w:val="left"/>
              <w:rPr>
                <w:rFonts w:ascii="Times New Roman" w:hAnsi="Times New Roman" w:cs="Times New Roman" w:eastAsia="Times New Roman" w:hint="default"/>
                <w:sz w:val="18"/>
                <w:szCs w:val="18"/>
              </w:rPr>
            </w:pPr>
            <w:r>
              <w:rPr>
                <w:rFonts w:ascii="Times New Roman"/>
                <w:sz w:val="18"/>
              </w:rPr>
              <w:t>5.89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13,543,123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84,188,113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565,100,23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2.58</w:t>
            </w:r>
          </w:p>
        </w:tc>
      </w:tr>
    </w:tbl>
    <w:p>
      <w:pPr>
        <w:pStyle w:val="BodyText"/>
        <w:spacing w:line="240" w:lineRule="auto" w:before="49"/>
        <w:ind w:right="0"/>
        <w:jc w:val="left"/>
      </w:pPr>
      <w:r>
        <w:rPr/>
        <w:t>上年金额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3"/>
        <w:gridCol w:w="884"/>
        <w:gridCol w:w="883"/>
      </w:tblGrid>
      <w:tr>
        <w:trPr>
          <w:trHeight w:val="398"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8" w:right="75"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381,368,99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5.89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4,854,081.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40,386,729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512,609,80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6.13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381,368,99</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5.89</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4,854,081.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40,386,729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.21</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512,609,80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6.13</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6,505,292.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41,347,632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47,852,925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.16</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65,052,925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65,052,925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65,052,925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65,052,925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6,505,292.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-23,705,29</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2.52</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6,505,292.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-6,505,292.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883" w:type="dxa"/>
            <w:vMerge w:val="restart"/>
            <w:tcBorders>
              <w:top w:val="single" w:sz="4" w:space="0" w:color="000000"/>
              <w:left w:val="single" w:sz="4" w:space="0" w:color="000000"/>
              <w:right w:val="single" w:sz="4" w:space="0" w:color="000000"/>
            </w:tcBorders>
          </w:tcPr>
          <w:p>
            <w:pP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-17,200,00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39.554001pt;margin-top:121.285606pt;width:84.8pt;height:22.15pt;mso-position-horizontal-relative:page;mso-position-vertical-relative:page;z-index:-820888" type="#_x0000_t202" filled="false" stroked="false">
            <v:textbox inset="0,0,0,0">
              <w:txbxContent>
                <w:p>
                  <w:pPr>
                    <w:pStyle w:val="BodyText"/>
                    <w:spacing w:line="180" w:lineRule="exact"/>
                    <w:ind w:left="0" w:right="0"/>
                    <w:jc w:val="left"/>
                  </w:pPr>
                  <w:r>
                    <w:rPr/>
                    <w:t>（或股本）</w:t>
                  </w:r>
                </w:p>
              </w:txbxContent>
            </v:textbox>
            <w10:wrap type="none"/>
          </v:shape>
        </w:pict>
      </w:r>
      <w:r>
        <w:rPr/>
        <w:pict>
          <v:shape style="position:absolute;margin-left:139.554001pt;margin-top:143.899979pt;width:84.8pt;height:19.6pt;mso-position-horizontal-relative:page;mso-position-vertical-relative:page;z-index:-82086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108.259979pt;width:41.45pt;height:55.2pt;mso-position-horizontal-relative:page;mso-position-vertical-relative:page;z-index:-820840" coordorigin="3658,2165" coordsize="829,1104">
            <v:group style="position:absolute;left:3658;top:2165;width:829;height:351" coordorigin="3658,2165" coordsize="829,351">
              <v:shape style="position:absolute;left:3658;top:2165;width:829;height:351" coordorigin="3658,2165" coordsize="829,351" path="m3658,2516l4486,2516,4486,2165,3658,2165,3658,2516xe" filled="true" fillcolor="#ffffff" stroked="false">
                <v:path arrowok="t"/>
                <v:fill type="solid"/>
              </v:shape>
            </v:group>
            <v:group style="position:absolute;left:3658;top:2516;width:829;height:353" coordorigin="3658,2516" coordsize="829,353">
              <v:shape style="position:absolute;left:3658;top:2516;width:829;height:353" coordorigin="3658,2516" coordsize="829,353" path="m3658,2868l4486,2868,4486,2516,3658,2516,3658,2868xe" filled="true" fillcolor="#ffffff" stroked="false">
                <v:path arrowok="t"/>
                <v:fill type="solid"/>
              </v:shape>
            </v:group>
            <v:group style="position:absolute;left:3658;top:2878;width:829;height:392" coordorigin="3658,2878" coordsize="829,392">
              <v:shape style="position:absolute;left:3658;top:2878;width:829;height:392" coordorigin="3658,2878" coordsize="829,392" path="m3658,3269l4486,3269,4486,2878,3658,2878,3658,326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3"/>
        <w:gridCol w:w="884"/>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172,000,00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295,368,99</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5.89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11,359,373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.55</w:t>
            </w: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81,734,361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560,462,73</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1.29</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94"/>
        <w:jc w:val="left"/>
      </w:pPr>
      <w:r>
        <w:rPr/>
        <w:t>法定代表人：古培坚</w:t>
        <w:tab/>
      </w:r>
      <w:r>
        <w:rPr>
          <w:spacing w:val="-1"/>
        </w:rPr>
        <w:t>主管会计工作负责人：陈东红</w:t>
        <w:tab/>
      </w:r>
      <w:r>
        <w:rPr/>
        <w:t>会计机构负责人：尤泽祥</w:t>
      </w:r>
    </w:p>
    <w:p>
      <w:pPr>
        <w:spacing w:line="240" w:lineRule="auto" w:before="3"/>
        <w:rPr>
          <w:rFonts w:ascii="宋体" w:hAnsi="宋体" w:cs="宋体" w:eastAsia="宋体" w:hint="default"/>
          <w:sz w:val="25"/>
          <w:szCs w:val="25"/>
        </w:rPr>
      </w:pPr>
    </w:p>
    <w:p>
      <w:pPr>
        <w:pStyle w:val="Heading2"/>
        <w:spacing w:line="240" w:lineRule="auto"/>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4" w:firstLine="360"/>
        <w:jc w:val="left"/>
      </w:pPr>
      <w:r>
        <w:rPr/>
        <w:t>易联众信息技术股份有限公司（以下简称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）系由实达科技（福建）软件系统集团有限公司依法整体变更设立， 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日取得厦门市工商行政管理局核发的</w:t>
      </w:r>
      <w:r>
        <w:rPr>
          <w:rFonts w:ascii="Times New Roman" w:hAnsi="Times New Roman" w:cs="Times New Roman" w:eastAsia="Times New Roman" w:hint="default"/>
        </w:rPr>
        <w:t>350298200002795</w:t>
      </w:r>
      <w:r>
        <w:rPr/>
        <w:t>号《企业法人营业执照》。设立时本公司股本总额为 </w:t>
      </w:r>
      <w:r>
        <w:rPr>
          <w:rFonts w:ascii="Times New Roman" w:hAnsi="Times New Roman" w:cs="Times New Roman" w:eastAsia="Times New Roman" w:hint="default"/>
        </w:rPr>
        <w:t>6,400</w:t>
      </w:r>
      <w:r>
        <w:rPr/>
        <w:t>万股，每股面值</w:t>
      </w:r>
      <w:r>
        <w:rPr>
          <w:rFonts w:ascii="Times New Roman" w:hAnsi="Times New Roman" w:cs="Times New Roman" w:eastAsia="Times New Roman" w:hint="default"/>
        </w:rPr>
        <w:t>1</w:t>
      </w:r>
      <w:r>
        <w:rPr/>
        <w:t>元，注册资本为人民币</w:t>
      </w:r>
      <w:r>
        <w:rPr>
          <w:rFonts w:ascii="Times New Roman" w:hAnsi="Times New Roman" w:cs="Times New Roman" w:eastAsia="Times New Roman" w:hint="default"/>
        </w:rPr>
        <w:t>6,400</w:t>
      </w:r>
      <w:r>
        <w:rPr/>
        <w:t>万元。</w:t>
      </w:r>
    </w:p>
    <w:p>
      <w:pPr>
        <w:spacing w:line="240" w:lineRule="auto" w:before="7"/>
        <w:rPr>
          <w:rFonts w:ascii="宋体" w:hAnsi="宋体" w:cs="宋体" w:eastAsia="宋体" w:hint="default"/>
          <w:sz w:val="17"/>
          <w:szCs w:val="17"/>
        </w:rPr>
      </w:pPr>
    </w:p>
    <w:p>
      <w:pPr>
        <w:pStyle w:val="BodyText"/>
        <w:spacing w:line="300" w:lineRule="auto"/>
        <w:ind w:right="89" w:firstLine="360"/>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文《关于核准易联众信息技术股份有限公司首次公 开发行股票并在创业板上市的批复》核准，本公司向社会公开发行人民币普通股（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2,200</w:t>
      </w:r>
      <w:r>
        <w:rPr/>
        <w:t>万股，并于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28</w:t>
      </w:r>
      <w:r>
        <w:rPr/>
        <w:t>日在</w:t>
      </w:r>
      <w:r>
        <w:rPr>
          <w:spacing w:val="-3"/>
        </w:rPr>
        <w:t> </w:t>
      </w:r>
      <w:r>
        <w:rPr/>
        <w:t>深圳证券交易所创业板上市交易（股票简称为</w:t>
      </w:r>
      <w:r>
        <w:rPr>
          <w:rFonts w:ascii="Times New Roman" w:hAnsi="Times New Roman" w:cs="Times New Roman" w:eastAsia="Times New Roman" w:hint="default"/>
        </w:rPr>
        <w:t>“</w:t>
      </w:r>
      <w:r>
        <w:rPr/>
        <w:t>易联众</w:t>
      </w:r>
      <w:r>
        <w:rPr>
          <w:rFonts w:ascii="Times New Roman" w:hAnsi="Times New Roman" w:cs="Times New Roman" w:eastAsia="Times New Roman" w:hint="default"/>
        </w:rPr>
        <w:t>”</w:t>
      </w:r>
      <w:r>
        <w:rPr/>
        <w:t>，股票代码为</w:t>
      </w:r>
      <w:r>
        <w:rPr>
          <w:rFonts w:ascii="Times New Roman" w:hAnsi="Times New Roman" w:cs="Times New Roman" w:eastAsia="Times New Roman" w:hint="default"/>
        </w:rPr>
        <w:t>“300096”</w:t>
      </w:r>
      <w:r>
        <w:rPr/>
        <w:t>），发行后注册资本变更为人民币</w:t>
      </w:r>
      <w:r>
        <w:rPr>
          <w:rFonts w:ascii="Times New Roman" w:hAnsi="Times New Roman" w:cs="Times New Roman" w:eastAsia="Times New Roman" w:hint="default"/>
        </w:rPr>
        <w:t>8,600</w:t>
      </w:r>
      <w:r>
        <w:rPr/>
        <w:t>万元。 根据本公司于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2009</w:t>
      </w:r>
      <w:r>
        <w:rPr/>
        <w:t>年第二次临时股东大会决议，本公司办理了变更注册资本的工商变更登记手续，注 册资本由人民币</w:t>
      </w:r>
      <w:r>
        <w:rPr>
          <w:rFonts w:ascii="Times New Roman" w:hAnsi="Times New Roman" w:cs="Times New Roman" w:eastAsia="Times New Roman" w:hint="default"/>
        </w:rPr>
        <w:t>6,400</w:t>
      </w:r>
      <w:r>
        <w:rPr/>
        <w:t>万元变更为人民币</w:t>
      </w:r>
      <w:r>
        <w:rPr>
          <w:rFonts w:ascii="Times New Roman" w:hAnsi="Times New Roman" w:cs="Times New Roman" w:eastAsia="Times New Roman" w:hint="default"/>
        </w:rPr>
        <w:t>8,600</w:t>
      </w:r>
      <w:r>
        <w:rPr/>
        <w:t>万元。</w:t>
      </w:r>
    </w:p>
    <w:p>
      <w:pPr>
        <w:spacing w:line="240" w:lineRule="auto" w:before="7"/>
        <w:rPr>
          <w:rFonts w:ascii="宋体" w:hAnsi="宋体" w:cs="宋体" w:eastAsia="宋体" w:hint="default"/>
          <w:sz w:val="17"/>
          <w:szCs w:val="17"/>
        </w:rPr>
      </w:pPr>
    </w:p>
    <w:p>
      <w:pPr>
        <w:pStyle w:val="BodyText"/>
        <w:spacing w:line="300" w:lineRule="auto"/>
        <w:ind w:right="184" w:firstLine="360"/>
        <w:jc w:val="left"/>
      </w:pPr>
      <w:r>
        <w:rPr/>
        <w:t>根据本公司</w:t>
      </w:r>
      <w:r>
        <w:rPr>
          <w:rFonts w:ascii="Times New Roman" w:hAnsi="Times New Roman" w:cs="Times New Roman" w:eastAsia="Times New Roman" w:hint="default"/>
        </w:rPr>
        <w:t>2010</w:t>
      </w:r>
      <w:r>
        <w:rPr/>
        <w:t>年度股东大会决议通过的《公司</w:t>
      </w:r>
      <w:r>
        <w:rPr>
          <w:rFonts w:ascii="Times New Roman" w:hAnsi="Times New Roman" w:cs="Times New Roman" w:eastAsia="Times New Roman" w:hint="default"/>
        </w:rPr>
        <w:t>2010</w:t>
      </w:r>
      <w:r>
        <w:rPr/>
        <w:t>年度利润分配及资本公积金转增股本的议案》，本公司于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 </w:t>
      </w:r>
      <w:r>
        <w:rPr/>
        <w:t>月</w:t>
      </w:r>
      <w:r>
        <w:rPr>
          <w:rFonts w:ascii="Times New Roman" w:hAnsi="Times New Roman" w:cs="Times New Roman" w:eastAsia="Times New Roman" w:hint="default"/>
        </w:rPr>
        <w:t>7</w:t>
      </w:r>
      <w:r>
        <w:rPr/>
        <w:t>日以本公司总股本</w:t>
      </w:r>
      <w:r>
        <w:rPr>
          <w:rFonts w:ascii="Times New Roman" w:hAnsi="Times New Roman" w:cs="Times New Roman" w:eastAsia="Times New Roman" w:hint="default"/>
        </w:rPr>
        <w:t>8,600</w:t>
      </w:r>
      <w:r>
        <w:rPr/>
        <w:t>万股为基数，以资本公积向全体股东每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股。资本公积转增股本后，本公司总股本为 </w:t>
      </w:r>
      <w:r>
        <w:rPr>
          <w:rFonts w:ascii="Times New Roman" w:hAnsi="Times New Roman" w:cs="Times New Roman" w:eastAsia="Times New Roman" w:hint="default"/>
        </w:rPr>
        <w:t>17,200</w:t>
      </w:r>
      <w:r>
        <w:rPr/>
        <w:t>万股。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月本公司完成了变更注册资本的工商变更登记手续，取得了厦门市工商行政管理局换发的</w:t>
      </w:r>
    </w:p>
    <w:p>
      <w:pPr>
        <w:pStyle w:val="BodyText"/>
        <w:spacing w:line="240" w:lineRule="auto" w:before="13"/>
        <w:ind w:right="94"/>
        <w:jc w:val="left"/>
      </w:pPr>
      <w:r>
        <w:rPr>
          <w:rFonts w:ascii="Times New Roman" w:hAnsi="Times New Roman" w:cs="Times New Roman" w:eastAsia="Times New Roman" w:hint="default"/>
        </w:rPr>
        <w:t>350298200002795</w:t>
      </w:r>
      <w:r>
        <w:rPr/>
        <w:t>号《企业法人营业执照》，本公司的注册资本由人民币</w:t>
      </w:r>
      <w:r>
        <w:rPr>
          <w:rFonts w:ascii="Times New Roman" w:hAnsi="Times New Roman" w:cs="Times New Roman" w:eastAsia="Times New Roman" w:hint="default"/>
        </w:rPr>
        <w:t>8,600</w:t>
      </w:r>
      <w:r>
        <w:rPr/>
        <w:t>万元变更为人民币</w:t>
      </w:r>
      <w:r>
        <w:rPr>
          <w:rFonts w:ascii="Times New Roman" w:hAnsi="Times New Roman" w:cs="Times New Roman" w:eastAsia="Times New Roman" w:hint="default"/>
        </w:rPr>
        <w:t>17,200</w:t>
      </w:r>
      <w:r>
        <w:rPr/>
        <w:t>万元。</w:t>
      </w:r>
    </w:p>
    <w:p>
      <w:pPr>
        <w:spacing w:line="240" w:lineRule="auto" w:before="4"/>
        <w:rPr>
          <w:rFonts w:ascii="宋体" w:hAnsi="宋体" w:cs="宋体" w:eastAsia="宋体" w:hint="default"/>
          <w:sz w:val="21"/>
          <w:szCs w:val="21"/>
        </w:rPr>
      </w:pPr>
    </w:p>
    <w:p>
      <w:pPr>
        <w:pStyle w:val="BodyText"/>
        <w:spacing w:line="307" w:lineRule="auto"/>
        <w:ind w:right="88" w:firstLine="360"/>
        <w:jc w:val="left"/>
      </w:pPr>
      <w:r>
        <w:rPr>
          <w:spacing w:val="-2"/>
        </w:rPr>
        <w:t>根据本公司</w:t>
      </w:r>
      <w:r>
        <w:rPr>
          <w:rFonts w:ascii="Times New Roman" w:hAnsi="Times New Roman" w:cs="Times New Roman" w:eastAsia="Times New Roman" w:hint="default"/>
          <w:spacing w:val="-2"/>
        </w:rPr>
        <w:t>2011</w:t>
      </w:r>
      <w:r>
        <w:rPr>
          <w:spacing w:val="-2"/>
        </w:rPr>
        <w:t>年第二次临时股东大会审议通过的《关于修改〈公司章程〉增加经营范围的议案》，本公司决定增加公</w:t>
      </w:r>
      <w:r>
        <w:rPr/>
        <w:t> </w:t>
      </w:r>
      <w:r>
        <w:rPr>
          <w:spacing w:val="-3"/>
        </w:rPr>
        <w:t>司经营范围，增加的内容为：研发、设计、生产智能卡、银行卡；销售智能卡。</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月本公司完成了工商变更登记手续，</w:t>
      </w:r>
      <w:r>
        <w:rPr/>
        <w:t> </w:t>
      </w:r>
      <w:r>
        <w:rPr>
          <w:spacing w:val="-2"/>
        </w:rPr>
        <w:t>取得了厦门市工商行政管理局换发的</w:t>
      </w:r>
      <w:r>
        <w:rPr>
          <w:rFonts w:ascii="Times New Roman" w:hAnsi="Times New Roman" w:cs="Times New Roman" w:eastAsia="Times New Roman" w:hint="default"/>
          <w:spacing w:val="-2"/>
        </w:rPr>
        <w:t>350298200002795</w:t>
      </w:r>
      <w:r>
        <w:rPr>
          <w:spacing w:val="-2"/>
        </w:rPr>
        <w:t>号《企业法人营业执照》，本公司现行的经营范围包括：研发、设计、</w:t>
      </w:r>
      <w:r>
        <w:rPr>
          <w:spacing w:val="-55"/>
        </w:rPr>
        <w:t> </w:t>
      </w:r>
      <w:r>
        <w:rPr>
          <w:spacing w:val="-55"/>
        </w:rPr>
      </w:r>
      <w:r>
        <w:rPr>
          <w:spacing w:val="-2"/>
        </w:rPr>
        <w:t>生产智能卡、银行卡；销售智能卡；开发、生产计算机软件、硬件、应用系统集成网络通信产品，提供相关的技术咨询、技</w:t>
      </w:r>
      <w:r>
        <w:rPr>
          <w:spacing w:val="-65"/>
        </w:rPr>
        <w:t> </w:t>
      </w:r>
      <w:r>
        <w:rPr>
          <w:spacing w:val="-65"/>
        </w:rPr>
      </w:r>
      <w:r>
        <w:rPr>
          <w:spacing w:val="-5"/>
        </w:rPr>
        <w:t>术培训及技术服务；网络工程、综合布线；从事技术、货物进出口，但国家限定公司经营或者禁止进口的商品和技术除外（不</w:t>
      </w:r>
      <w:r>
        <w:rPr>
          <w:spacing w:val="-79"/>
        </w:rPr>
        <w:t> </w:t>
      </w:r>
      <w:r>
        <w:rPr>
          <w:spacing w:val="-79"/>
        </w:rPr>
      </w:r>
      <w:r>
        <w:rPr/>
        <w:t>含境内分销）。</w:t>
      </w:r>
    </w:p>
    <w:p>
      <w:pPr>
        <w:spacing w:line="240" w:lineRule="auto" w:before="7"/>
        <w:rPr>
          <w:rFonts w:ascii="宋体" w:hAnsi="宋体" w:cs="宋体" w:eastAsia="宋体" w:hint="default"/>
          <w:sz w:val="18"/>
          <w:szCs w:val="18"/>
        </w:rPr>
      </w:pPr>
    </w:p>
    <w:p>
      <w:pPr>
        <w:pStyle w:val="BodyText"/>
        <w:spacing w:line="508" w:lineRule="auto"/>
        <w:ind w:left="513" w:right="3063"/>
        <w:jc w:val="left"/>
      </w:pPr>
      <w:r>
        <w:rPr/>
        <w:t>本公司注册地址为：厦门市软件园二期观日路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502</w:t>
      </w:r>
      <w:r>
        <w:rPr/>
        <w:t>室。法定代表人：古培坚。 本公司实际控制人及控股股东：古培坚。</w:t>
      </w:r>
    </w:p>
    <w:p>
      <w:pPr>
        <w:spacing w:after="0" w:line="508"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1" w:firstLine="360"/>
        <w:jc w:val="both"/>
      </w:pPr>
      <w:r>
        <w:rPr/>
        <w:t>本财务报表按照财政部</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月颁布的《企业会计准则</w:t>
      </w:r>
      <w:r>
        <w:rPr>
          <w:rFonts w:ascii="Times New Roman" w:hAnsi="Times New Roman" w:cs="Times New Roman" w:eastAsia="Times New Roman" w:hint="default"/>
        </w:rPr>
        <w:t>—</w:t>
      </w:r>
      <w:r>
        <w:rPr/>
        <w:t>基本准则》和</w:t>
      </w:r>
      <w:r>
        <w:rPr>
          <w:rFonts w:ascii="Times New Roman" w:hAnsi="Times New Roman" w:cs="Times New Roman" w:eastAsia="Times New Roman" w:hint="default"/>
        </w:rPr>
        <w:t>38</w:t>
      </w:r>
      <w:r>
        <w:rPr/>
        <w:t>项具体会计准则及其应用指南、解释及其他 </w:t>
      </w:r>
      <w:r>
        <w:rPr>
          <w:spacing w:val="-2"/>
        </w:rPr>
        <w:t>有关规定（统称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）编制。此外，本公司还按照中国证监会《公开发行证券的公司信息披露编报规则第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财务报告的一般规定》（</w:t>
      </w:r>
      <w:r>
        <w:rPr>
          <w:rFonts w:ascii="Times New Roman" w:hAnsi="Times New Roman" w:cs="Times New Roman" w:eastAsia="Times New Roman" w:hint="default"/>
        </w:rPr>
        <w:t>2010</w:t>
      </w:r>
      <w:r>
        <w:rPr/>
        <w:t>年修订）披露有关财务信息。</w:t>
      </w:r>
    </w:p>
    <w:p>
      <w:pPr>
        <w:pStyle w:val="BodyText"/>
        <w:spacing w:line="528" w:lineRule="exact" w:before="17"/>
        <w:ind w:left="513" w:right="0"/>
        <w:jc w:val="left"/>
      </w:pPr>
      <w:r>
        <w:rPr/>
        <w:t>本财务报表以持续经营为基础列报。 </w:t>
      </w:r>
      <w:r>
        <w:rPr>
          <w:spacing w:val="-2"/>
        </w:rPr>
        <w:t>本公司会计核算以权责发生制为基础。本财务报表均以历史成本为计量基础。资产如果发生减值，则按照相关规定计提</w:t>
      </w:r>
    </w:p>
    <w:p>
      <w:pPr>
        <w:pStyle w:val="BodyText"/>
        <w:spacing w:line="232" w:lineRule="exact"/>
        <w:ind w:right="0"/>
        <w:jc w:val="left"/>
      </w:pPr>
      <w:r>
        <w:rPr/>
        <w:t>相应的减值准备。</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48" w:firstLine="360"/>
        <w:jc w:val="both"/>
      </w:pPr>
      <w:r>
        <w:rPr>
          <w:spacing w:val="-2"/>
        </w:rPr>
        <w:t>本财务报表符合企业会计准则的要求，真实、完整地反映了本公司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2012</w:t>
      </w:r>
      <w:r>
        <w:rPr>
          <w:spacing w:val="-2"/>
        </w:rPr>
        <w:t>年度</w:t>
      </w:r>
      <w:r>
        <w:rPr/>
        <w:t> 的合并及公司经营成果和合并及公司现金流量等有关信息。</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本公司会计期间采用公历年度，即每年自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本公司以人民币为记账本位币。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3" w:firstLine="360"/>
        <w:jc w:val="both"/>
      </w:pPr>
      <w:r>
        <w:rPr>
          <w:spacing w:val="-2"/>
        </w:rPr>
        <w:t>对于同一控制下的企业合并，合并方在合并中取得的被合并方的资产、负债，除因会计政策不同而进行的调整以外，按</w:t>
      </w:r>
      <w:r>
        <w:rPr/>
        <w:t> </w:t>
      </w:r>
      <w:r>
        <w:rPr>
          <w:spacing w:val="-2"/>
        </w:rPr>
        <w:t>合并日被合并方的原账面价值计量。合并对价的账面价值（或发行股份面值总额）与合并中取得的净资产账面价值的差额调</w:t>
      </w:r>
      <w:r>
        <w:rPr>
          <w:spacing w:val="-66"/>
        </w:rPr>
        <w:t> </w:t>
      </w:r>
      <w:r>
        <w:rPr>
          <w:spacing w:val="-66"/>
        </w:rPr>
      </w:r>
      <w:r>
        <w:rPr/>
        <w:t>整资本公积（股</w:t>
      </w:r>
      <w:r>
        <w:rPr>
          <w:rFonts w:ascii="Times New Roman" w:hAnsi="Times New Roman" w:cs="Times New Roman" w:eastAsia="Times New Roman" w:hint="default"/>
        </w:rPr>
        <w:t>/</w:t>
      </w:r>
      <w:r>
        <w:rPr/>
        <w:t>资本溢价），资本公积（股</w:t>
      </w:r>
      <w:r>
        <w:rPr>
          <w:rFonts w:ascii="Times New Roman" w:hAnsi="Times New Roman" w:cs="Times New Roman" w:eastAsia="Times New Roman" w:hint="default"/>
        </w:rPr>
        <w:t>/</w:t>
      </w:r>
      <w:r>
        <w:rPr/>
        <w:t>资本溢价）不足冲减的，调整留存收益。</w:t>
      </w:r>
    </w:p>
    <w:p>
      <w:pPr>
        <w:spacing w:line="240" w:lineRule="auto" w:before="6"/>
        <w:rPr>
          <w:rFonts w:ascii="宋体" w:hAnsi="宋体" w:cs="宋体" w:eastAsia="宋体" w:hint="default"/>
          <w:sz w:val="16"/>
          <w:szCs w:val="16"/>
        </w:rPr>
      </w:pPr>
    </w:p>
    <w:p>
      <w:pPr>
        <w:pStyle w:val="BodyText"/>
        <w:spacing w:line="240" w:lineRule="auto"/>
        <w:ind w:left="513" w:right="0"/>
        <w:jc w:val="left"/>
      </w:pPr>
      <w:r>
        <w:rPr/>
        <w:t>为进行企业合并发生的直接相关费用于发生时计入当期损益。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对于非同一控制下的企业合并，合并成本为本公司在购买日为取得对被购买方的控制权而付出的资产、发生或承担的负</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债以及发行的权益性证券的公允价值。在购买日，本公司取得的被购买方的资产、负债及或有负债按公允价值确认。</w:t>
      </w:r>
    </w:p>
    <w:p>
      <w:pPr>
        <w:spacing w:line="240" w:lineRule="auto" w:before="5"/>
        <w:rPr>
          <w:rFonts w:ascii="宋体" w:hAnsi="宋体" w:cs="宋体" w:eastAsia="宋体" w:hint="default"/>
          <w:sz w:val="22"/>
          <w:szCs w:val="22"/>
        </w:rPr>
      </w:pPr>
    </w:p>
    <w:p>
      <w:pPr>
        <w:pStyle w:val="BodyText"/>
        <w:spacing w:line="316" w:lineRule="auto"/>
        <w:ind w:right="153" w:firstLine="360"/>
        <w:jc w:val="both"/>
      </w:pPr>
      <w:r>
        <w:rPr>
          <w:spacing w:val="-2"/>
        </w:rPr>
        <w:t>为进行企业合并发生的审计、法律服务、评估咨询等中介费用以及其他相关管理费用，于发生时计入当期损益。作为合</w:t>
      </w:r>
      <w:r>
        <w:rPr/>
        <w:t> 并对价发行的权益性证券或债务性证券的交易费用，计入权益性证券或债务性证券的初始确认金额。</w:t>
      </w:r>
    </w:p>
    <w:p>
      <w:pPr>
        <w:spacing w:line="240" w:lineRule="auto" w:before="12"/>
        <w:rPr>
          <w:rFonts w:ascii="宋体" w:hAnsi="宋体" w:cs="宋体" w:eastAsia="宋体" w:hint="default"/>
          <w:sz w:val="17"/>
          <w:szCs w:val="17"/>
        </w:rPr>
      </w:pPr>
    </w:p>
    <w:p>
      <w:pPr>
        <w:pStyle w:val="BodyText"/>
        <w:spacing w:line="316" w:lineRule="auto"/>
        <w:ind w:right="152" w:firstLine="360"/>
        <w:jc w:val="both"/>
      </w:pPr>
      <w:r>
        <w:rPr>
          <w:spacing w:val="-2"/>
        </w:rPr>
        <w:t>本公司对合并成本大于合并中取得的被购买方可辨认净资产公允价值份额的差额，确认为商誉，按成本扣除累计减值准</w:t>
      </w:r>
      <w:r>
        <w:rPr/>
        <w:t> 备进行后续计量；对合并成本小于合并中取得的被购买方可辨认净资产公允价值份额的差额，经复核后计入当期损益。</w:t>
      </w:r>
    </w:p>
    <w:p>
      <w:pPr>
        <w:spacing w:line="240" w:lineRule="auto" w:before="12"/>
        <w:rPr>
          <w:rFonts w:ascii="宋体" w:hAnsi="宋体" w:cs="宋体" w:eastAsia="宋体" w:hint="default"/>
          <w:sz w:val="17"/>
          <w:szCs w:val="17"/>
        </w:rPr>
      </w:pPr>
    </w:p>
    <w:p>
      <w:pPr>
        <w:pStyle w:val="BodyText"/>
        <w:spacing w:line="316" w:lineRule="auto"/>
        <w:ind w:right="152" w:firstLine="360"/>
        <w:jc w:val="both"/>
      </w:pPr>
      <w:r>
        <w:rPr>
          <w:spacing w:val="-2"/>
        </w:rPr>
        <w:t>通过多次交易分步实现非同一控制下的企业合并的，在合并财务报表中，合并成本为购买日支付的对价与购买日之前已</w:t>
      </w:r>
      <w:r>
        <w:rPr/>
        <w:t> </w:t>
      </w:r>
      <w:r>
        <w:rPr>
          <w:spacing w:val="-2"/>
        </w:rPr>
        <w:t>经持有的被购买方的股权在购买日的公允价值之和。对于购买日之前已经持有的被购买方的股权，按照购买日的公允价值进</w:t>
      </w:r>
      <w:r>
        <w:rPr>
          <w:spacing w:val="-64"/>
        </w:rPr>
        <w:t> </w:t>
      </w:r>
      <w:r>
        <w:rPr>
          <w:spacing w:val="-64"/>
        </w:rPr>
      </w:r>
      <w:r>
        <w:rPr>
          <w:spacing w:val="-2"/>
        </w:rPr>
        <w:t>行重新计量，公允价值与其账面价值之间的差额计入当期投资收益；购买日之前已经持有的被购买方的股权涉及其他综合收</w:t>
      </w:r>
      <w:r>
        <w:rPr>
          <w:spacing w:val="-64"/>
        </w:rPr>
        <w:t> </w:t>
      </w:r>
      <w:r>
        <w:rPr>
          <w:spacing w:val="-64"/>
        </w:rPr>
      </w:r>
      <w:r>
        <w:rPr/>
        <w:t>益的，与其相关的其他综合收益转为购买日当期投资收益。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pStyle w:val="BodyText"/>
        <w:spacing w:line="520" w:lineRule="atLeast" w:before="57"/>
        <w:ind w:left="513" w:right="0"/>
        <w:jc w:val="left"/>
      </w:pPr>
      <w:r>
        <w:rPr/>
        <w:t>合并财务报表的合并范围包括本公司及全部子公司。 </w:t>
      </w:r>
      <w:r>
        <w:rPr>
          <w:spacing w:val="-2"/>
        </w:rPr>
        <w:t>本公司合并财务报表以本公司和子公司的财务报表为基础，根据其他有关资料，按照权益法调整对子公司的长期股权投</w:t>
      </w:r>
    </w:p>
    <w:p>
      <w:pPr>
        <w:pStyle w:val="BodyText"/>
        <w:spacing w:line="316" w:lineRule="auto" w:before="76"/>
        <w:ind w:right="0"/>
        <w:jc w:val="left"/>
      </w:pPr>
      <w:r>
        <w:rPr>
          <w:spacing w:val="-2"/>
        </w:rPr>
        <w:t>资后，由本公司编制。在编制合并财务报表时，本公司和子公司的会计政策和会计期间要求保持一致，公司间的重大交易和</w:t>
      </w:r>
      <w:r>
        <w:rPr>
          <w:spacing w:val="-64"/>
        </w:rPr>
        <w:t> </w:t>
      </w:r>
      <w:r>
        <w:rPr>
          <w:spacing w:val="-64"/>
        </w:rPr>
      </w:r>
      <w:r>
        <w:rPr/>
        <w:t>往来余额予以抵销。</w:t>
      </w:r>
    </w:p>
    <w:p>
      <w:pPr>
        <w:spacing w:line="240" w:lineRule="auto" w:before="12"/>
        <w:rPr>
          <w:rFonts w:ascii="宋体" w:hAnsi="宋体" w:cs="宋体" w:eastAsia="宋体" w:hint="default"/>
          <w:sz w:val="17"/>
          <w:szCs w:val="17"/>
        </w:rPr>
      </w:pPr>
    </w:p>
    <w:p>
      <w:pPr>
        <w:pStyle w:val="BodyText"/>
        <w:spacing w:line="319" w:lineRule="auto"/>
        <w:ind w:right="149" w:firstLine="360"/>
        <w:jc w:val="both"/>
      </w:pPr>
      <w:r>
        <w:rPr>
          <w:spacing w:val="-2"/>
        </w:rPr>
        <w:t>在报告期内因同一控制下企业合并增加的子公司，本公司将该子公司合并当期年初至报告年末的收入、费用、利润纳入</w:t>
      </w:r>
      <w:r>
        <w:rPr/>
        <w:t> </w:t>
      </w:r>
      <w:r>
        <w:rPr>
          <w:spacing w:val="-2"/>
        </w:rPr>
        <w:t>合并利润表，将其现金流量纳入合并现金流量表；因非同一控制下企业合并增加的子公司，本公司将该子公司购买日至报告</w:t>
      </w:r>
      <w:r>
        <w:rPr>
          <w:spacing w:val="-62"/>
        </w:rPr>
        <w:t> </w:t>
      </w:r>
      <w:r>
        <w:rPr>
          <w:spacing w:val="-62"/>
        </w:rPr>
      </w:r>
      <w:r>
        <w:rPr/>
        <w:t>年末的收入、费用、利润纳入合并利润表，将其现金流量纳入合并现金流量表。</w:t>
      </w:r>
    </w:p>
    <w:p>
      <w:pPr>
        <w:spacing w:line="240" w:lineRule="auto" w:before="11"/>
        <w:rPr>
          <w:rFonts w:ascii="宋体" w:hAnsi="宋体" w:cs="宋体" w:eastAsia="宋体" w:hint="default"/>
          <w:sz w:val="17"/>
          <w:szCs w:val="17"/>
        </w:rPr>
      </w:pPr>
    </w:p>
    <w:p>
      <w:pPr>
        <w:pStyle w:val="BodyText"/>
        <w:spacing w:line="309" w:lineRule="auto"/>
        <w:ind w:right="151" w:firstLine="360"/>
        <w:jc w:val="both"/>
      </w:pPr>
      <w:r>
        <w:rPr>
          <w:spacing w:val="-2"/>
        </w:rPr>
        <w:t>子公司的股东权益中不属于本公司所拥有的部分作为少数股东权益在合并资产负债表中股东权益项下单独列示。子公司</w:t>
      </w:r>
      <w:r>
        <w:rPr/>
        <w:t> </w:t>
      </w:r>
      <w:r>
        <w:rPr>
          <w:spacing w:val="-2"/>
        </w:rPr>
        <w:t>当期净损益中属于少数股东权益的份额，在合并利润表中净利润项目下以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w:t>
      </w:r>
      <w:r>
        <w:rPr>
          <w:spacing w:val="-43"/>
        </w:rPr>
        <w:t> </w:t>
      </w:r>
      <w:r>
        <w:rPr>
          <w:spacing w:val="-43"/>
        </w:rPr>
      </w:r>
      <w:r>
        <w:rPr/>
        <w:t>的亏损超过了少数股东在该子公司年初所有者权益中所享有的份额，其余额仍冲减少数股东权益。</w:t>
      </w:r>
    </w:p>
    <w:p>
      <w:pPr>
        <w:spacing w:line="240" w:lineRule="auto" w:before="5"/>
        <w:rPr>
          <w:rFonts w:ascii="宋体" w:hAnsi="宋体" w:cs="宋体" w:eastAsia="宋体" w:hint="default"/>
          <w:sz w:val="18"/>
          <w:szCs w:val="18"/>
        </w:rPr>
      </w:pPr>
    </w:p>
    <w:p>
      <w:pPr>
        <w:pStyle w:val="BodyText"/>
        <w:spacing w:line="309" w:lineRule="auto"/>
        <w:ind w:right="148" w:firstLine="360"/>
        <w:jc w:val="both"/>
      </w:pPr>
      <w:r>
        <w:rPr>
          <w:spacing w:val="-2"/>
        </w:rPr>
        <w:t>对于购买子公司少数股权或因处置部分股权投资但没有丧失对该子公司控制权的交易，作为权益性交易核算，调整归属</w:t>
      </w:r>
      <w:r>
        <w:rPr/>
        <w:t> 于母公司所有者权益和少数股东权益的账面价值以反映其在子公司中相关权益的变化。少数股东权益的调整额与支付</w:t>
      </w:r>
      <w:r>
        <w:rPr>
          <w:rFonts w:ascii="Times New Roman" w:hAnsi="Times New Roman" w:cs="Times New Roman" w:eastAsia="Times New Roman" w:hint="default"/>
        </w:rPr>
        <w:t>/</w:t>
      </w:r>
      <w:r>
        <w:rPr/>
        <w:t>收到</w:t>
      </w:r>
      <w:r>
        <w:rPr>
          <w:spacing w:val="-43"/>
        </w:rPr>
        <w:t> </w:t>
      </w:r>
      <w:r>
        <w:rPr/>
        <w:t>对价的公允价值之间的差额调整资本公积，资本公积不足冲减的，调整留存收益。</w:t>
      </w:r>
    </w:p>
    <w:p>
      <w:pPr>
        <w:spacing w:line="240" w:lineRule="auto" w:before="5"/>
        <w:rPr>
          <w:rFonts w:ascii="宋体" w:hAnsi="宋体" w:cs="宋体" w:eastAsia="宋体" w:hint="default"/>
          <w:sz w:val="18"/>
          <w:szCs w:val="18"/>
        </w:rPr>
      </w:pPr>
    </w:p>
    <w:p>
      <w:pPr>
        <w:pStyle w:val="BodyText"/>
        <w:spacing w:line="319" w:lineRule="auto"/>
        <w:ind w:right="149" w:firstLine="360"/>
        <w:jc w:val="both"/>
      </w:pPr>
      <w:r>
        <w:rPr>
          <w:spacing w:val="-2"/>
        </w:rPr>
        <w:t>因处置部分股权投资或其他原因丧失了对原有子公司控制权的，剩余股权按照其在丧失控制权日的公允价值进行重新计</w:t>
      </w:r>
      <w:r>
        <w:rPr/>
        <w:t> </w:t>
      </w:r>
      <w:r>
        <w:rPr>
          <w:spacing w:val="-2"/>
        </w:rPr>
        <w:t>量；处置股权取得的对价与剩余股权公允价值之和，减去按原持股比例计算应享有原子公司自购买日开始持续计算的净资产</w:t>
      </w:r>
      <w:r>
        <w:rPr>
          <w:spacing w:val="-64"/>
        </w:rPr>
        <w:t> </w:t>
      </w:r>
      <w:r>
        <w:rPr>
          <w:spacing w:val="-64"/>
        </w:rPr>
      </w:r>
      <w:r>
        <w:rPr>
          <w:spacing w:val="-2"/>
        </w:rPr>
        <w:t>的份额之间的差额，计入丧失控制权当期的投资收益；与原有子公司股权投资相关的其他综合收益，在丧失控制权时转为当</w:t>
      </w:r>
      <w:r>
        <w:rPr>
          <w:spacing w:val="-61"/>
        </w:rPr>
        <w:t> </w:t>
      </w:r>
      <w:r>
        <w:rPr>
          <w:spacing w:val="-61"/>
        </w:rPr>
      </w:r>
      <w:r>
        <w:rPr/>
        <w:t>期投资收益。</w:t>
      </w:r>
    </w:p>
    <w:p>
      <w:pPr>
        <w:spacing w:line="240" w:lineRule="auto" w:before="11"/>
        <w:rPr>
          <w:rFonts w:ascii="宋体" w:hAnsi="宋体" w:cs="宋体" w:eastAsia="宋体" w:hint="default"/>
          <w:sz w:val="17"/>
          <w:szCs w:val="17"/>
        </w:rPr>
      </w:pPr>
    </w:p>
    <w:p>
      <w:pPr>
        <w:pStyle w:val="BodyText"/>
        <w:spacing w:line="316" w:lineRule="auto"/>
        <w:ind w:right="152" w:firstLine="360"/>
        <w:jc w:val="both"/>
      </w:pPr>
      <w:r>
        <w:rPr>
          <w:spacing w:val="-2"/>
        </w:rPr>
        <w:t>处置对子公司股权投资直至丧失控制权的各项交易属于一揽子交易的，在丧失控制权之前每一次处置价款与处置投资对</w:t>
      </w:r>
      <w:r>
        <w:rPr/>
        <w:t> </w:t>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after="0" w:line="31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现金是指库存现金以及可以随时用于支付的存款。现金等价物，是指本公司持有的期限短、流动性强、易于转换为已知</w:t>
      </w:r>
      <w:r>
        <w:rPr/>
        <w:t> 金额现金、价值变动风险很小的投资。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530" w:lineRule="atLeast" w:before="47"/>
        <w:ind w:left="513" w:right="94"/>
        <w:jc w:val="left"/>
      </w:pPr>
      <w:r>
        <w:rPr/>
        <w:t>本公司发生外币业务，按交易发生日的即期汇率折算为记账本位币金额。 </w:t>
      </w:r>
      <w:r>
        <w:rPr>
          <w:spacing w:val="-2"/>
        </w:rPr>
        <w:t>资产负债表日，对外币货币性项目，采用资产负债表日即期汇率折算。因资产负债表日即期汇率与初始确认时或者前一</w:t>
      </w:r>
    </w:p>
    <w:p>
      <w:pPr>
        <w:pStyle w:val="BodyText"/>
        <w:spacing w:line="316" w:lineRule="auto" w:before="76"/>
        <w:ind w:right="190"/>
        <w:jc w:val="both"/>
      </w:pPr>
      <w:r>
        <w:rPr>
          <w:spacing w:val="-2"/>
        </w:rPr>
        <w:t>资产负债表日即期汇率不同而产生的汇兑差额，计入当期损益；对以历史成本计量的外币非货币性项目，仍采用交易发生日</w:t>
      </w:r>
      <w:r>
        <w:rPr>
          <w:spacing w:val="-63"/>
        </w:rPr>
        <w:t> </w:t>
      </w:r>
      <w:r>
        <w:rPr>
          <w:spacing w:val="-63"/>
        </w:rPr>
      </w:r>
      <w:r>
        <w:rPr>
          <w:spacing w:val="-2"/>
        </w:rPr>
        <w:t>的即期汇率折算；对以公允价值计量的外币非货币性项目，采用公允价值确定日的即期汇率折算，折算后的记账本位币金额</w:t>
      </w:r>
      <w:r>
        <w:rPr>
          <w:spacing w:val="-63"/>
        </w:rPr>
        <w:t> </w:t>
      </w:r>
      <w:r>
        <w:rPr>
          <w:spacing w:val="-63"/>
        </w:rPr>
      </w:r>
      <w:r>
        <w:rPr/>
        <w:t>与原记账本位币金额的差额，计入当期损益。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right="0"/>
        <w:jc w:val="both"/>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t>本公司的金融资产于初始确认时分为以下四类：以公允价值计量且其变动计入当期损益的金融资产、持有至到期投资、 </w:t>
      </w:r>
      <w:r>
        <w:rPr>
          <w:spacing w:val="-2"/>
        </w:rPr>
        <w:t>贷款和应收款项、可供出售金融资产。金融资产在初始确认时以公允价值计量。对于以公允价值计量且其变动计入当期损益</w:t>
      </w:r>
      <w:r>
        <w:rPr>
          <w:spacing w:val="-63"/>
        </w:rPr>
        <w:t> </w:t>
      </w:r>
      <w:r>
        <w:rPr>
          <w:spacing w:val="-63"/>
        </w:rPr>
      </w:r>
      <w:r>
        <w:rPr/>
        <w:t>的金融资产，相关交易费用直接计入当期损益，其他类别的金融资产相关交易费用计入其初始确认金额。</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pStyle w:val="BodyText"/>
        <w:spacing w:line="520" w:lineRule="atLeast" w:before="57"/>
        <w:ind w:left="513" w:right="94"/>
        <w:jc w:val="left"/>
      </w:pPr>
      <w:r>
        <w:rPr/>
        <w:t>以公允价值计量且其变动计入当期损益的金融资产 </w:t>
      </w:r>
      <w:r>
        <w:rPr>
          <w:spacing w:val="-2"/>
        </w:rPr>
        <w:t>以公允价值计量且其变动计入当期损益的金融资产，包括交易性金融资产和初始确认时指定为以公允价值计量且其变动</w:t>
      </w:r>
    </w:p>
    <w:p>
      <w:pPr>
        <w:pStyle w:val="BodyText"/>
        <w:spacing w:line="316" w:lineRule="auto" w:before="77"/>
        <w:ind w:right="94"/>
        <w:jc w:val="left"/>
      </w:pPr>
      <w:r>
        <w:rPr>
          <w:spacing w:val="-2"/>
        </w:rPr>
        <w:t>计入当期损益的金融资产。对于此类金融资产，采用公允价值进行后续计量，公允价值变动形成的利得或损失以及与该等金</w:t>
      </w:r>
      <w:r>
        <w:rPr>
          <w:spacing w:val="-63"/>
        </w:rPr>
        <w:t> </w:t>
      </w:r>
      <w:r>
        <w:rPr>
          <w:spacing w:val="-63"/>
        </w:rPr>
      </w:r>
      <w:r>
        <w:rPr/>
        <w:t>融资产相关的股利和利息收入计入当期损益。</w:t>
      </w:r>
    </w:p>
    <w:p>
      <w:pPr>
        <w:pStyle w:val="BodyText"/>
        <w:spacing w:line="528" w:lineRule="exact" w:before="22"/>
        <w:ind w:left="513" w:right="94"/>
        <w:jc w:val="left"/>
      </w:pPr>
      <w:r>
        <w:rPr/>
        <w:t>持有至到期投资 </w:t>
      </w:r>
      <w:r>
        <w:rPr>
          <w:spacing w:val="-4"/>
        </w:rPr>
        <w:t>持有至到期投资，是指到期日固定、回收金额固定或可确定，且本公司有明确意图和能力持有至到期的非衍生金融资产。</w:t>
      </w:r>
    </w:p>
    <w:p>
      <w:pPr>
        <w:pStyle w:val="BodyText"/>
        <w:spacing w:line="316" w:lineRule="auto"/>
        <w:ind w:right="94"/>
        <w:jc w:val="left"/>
      </w:pPr>
      <w:r>
        <w:rPr>
          <w:spacing w:val="-2"/>
        </w:rPr>
        <w:t>持有至到期投资采用实际利率法，按照摊余成本进行后续计量，其终止确认、发生减值或摊销产生的利得或损失，均计入当</w:t>
      </w:r>
      <w:r>
        <w:rPr>
          <w:spacing w:val="-64"/>
        </w:rPr>
        <w:t> </w:t>
      </w:r>
      <w:r>
        <w:rPr>
          <w:spacing w:val="-64"/>
        </w:rPr>
      </w:r>
      <w:r>
        <w:rPr/>
        <w:t>期损益。</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351" w:right="0"/>
        <w:jc w:val="left"/>
      </w:pPr>
      <w:r>
        <w:rPr/>
        <w:t>应收款项</w:t>
      </w:r>
    </w:p>
    <w:p>
      <w:pPr>
        <w:spacing w:line="240" w:lineRule="auto" w:before="5"/>
        <w:rPr>
          <w:rFonts w:ascii="宋体" w:hAnsi="宋体" w:cs="宋体" w:eastAsia="宋体" w:hint="default"/>
          <w:sz w:val="22"/>
          <w:szCs w:val="22"/>
        </w:rPr>
      </w:pPr>
    </w:p>
    <w:p>
      <w:pPr>
        <w:pStyle w:val="BodyText"/>
        <w:spacing w:line="316" w:lineRule="auto"/>
        <w:ind w:right="0" w:firstLine="199"/>
        <w:jc w:val="left"/>
      </w:pPr>
      <w:r>
        <w:rPr/>
        <w:t>应收款项，是指在活跃市场中没有报价、回收金额固定或可确定的非衍生金融资产，包括应收账款和其他应收款等。应 收款项采用实际利率法，按摊余成本进行后续计量，在终止确认、发生减值或摊销时产生的利得或损失，计入当期损益。</w:t>
      </w:r>
    </w:p>
    <w:p>
      <w:pPr>
        <w:pStyle w:val="BodyText"/>
        <w:spacing w:line="528" w:lineRule="exact" w:before="22"/>
        <w:ind w:left="351" w:right="0"/>
        <w:jc w:val="left"/>
      </w:pPr>
      <w:r>
        <w:rPr/>
        <w:t>可供出售金融资产 可供出售金融资产，是指初始确认时即指定为可供出售的非衍生金融资产，以及除上述金融资产类别以外的金融资产。</w:t>
      </w:r>
    </w:p>
    <w:p>
      <w:pPr>
        <w:pStyle w:val="BodyText"/>
        <w:spacing w:line="316" w:lineRule="auto"/>
        <w:ind w:right="151"/>
        <w:jc w:val="both"/>
      </w:pPr>
      <w:r>
        <w:rPr>
          <w:spacing w:val="-2"/>
        </w:rPr>
        <w:t>可供出售金融资产采用公允价值进行后续计量，其折溢价采用实际利率法摊销并确认为利息收入。除减值损失及外币货币性</w:t>
      </w:r>
      <w:r>
        <w:rPr>
          <w:spacing w:val="-64"/>
        </w:rPr>
        <w:t> </w:t>
      </w:r>
      <w:r>
        <w:rPr>
          <w:spacing w:val="-64"/>
        </w:rPr>
      </w:r>
      <w:r>
        <w:rPr>
          <w:spacing w:val="-2"/>
        </w:rPr>
        <w:t>金融资产的汇兑差额确认为当期损益外，可供出售金融资产的公允价值变动确认为其他综合收益并计入资本公积，在该金融</w:t>
      </w:r>
      <w:r>
        <w:rPr>
          <w:spacing w:val="-63"/>
        </w:rPr>
        <w:t> </w:t>
      </w:r>
      <w:r>
        <w:rPr>
          <w:spacing w:val="-63"/>
        </w:rPr>
      </w:r>
      <w:r>
        <w:rPr/>
        <w:t>资产终止确认时转出，计入当期损益。与可供出售金融资产相关的股利或利息收入，计入当期损益。</w:t>
      </w:r>
    </w:p>
    <w:p>
      <w:pPr>
        <w:pStyle w:val="BodyText"/>
        <w:spacing w:line="528" w:lineRule="exact" w:before="22"/>
        <w:ind w:left="513" w:right="0"/>
        <w:jc w:val="left"/>
      </w:pPr>
      <w:r>
        <w:rPr/>
        <w:t>以公允价值计量且其变动计入当期损益的金融负债 </w:t>
      </w:r>
      <w:r>
        <w:rPr>
          <w:spacing w:val="-2"/>
        </w:rPr>
        <w:t>以公允价值计量且其变动计入当期损益的金融负债，包括交易性金融负债和初始确认时指定为以公允价值计量且其变动</w:t>
      </w:r>
    </w:p>
    <w:p>
      <w:pPr>
        <w:pStyle w:val="BodyText"/>
        <w:spacing w:line="316" w:lineRule="auto"/>
        <w:ind w:right="150"/>
        <w:jc w:val="both"/>
      </w:pPr>
      <w:r>
        <w:rPr>
          <w:spacing w:val="-2"/>
        </w:rPr>
        <w:t>计入当期损益的金融负债。对于此类金融负债，按照公允价值进行后续计量，公允价值变动形成的利得或损失以及与该等金</w:t>
      </w:r>
      <w:r>
        <w:rPr>
          <w:spacing w:val="-63"/>
        </w:rPr>
        <w:t> </w:t>
      </w:r>
      <w:r>
        <w:rPr>
          <w:spacing w:val="-63"/>
        </w:rPr>
      </w:r>
      <w:r>
        <w:rPr/>
        <w:t>融负债相关的股利和利息支出计入当期损益。</w:t>
      </w:r>
    </w:p>
    <w:p>
      <w:pPr>
        <w:pStyle w:val="BodyText"/>
        <w:spacing w:line="528" w:lineRule="exact" w:before="22"/>
        <w:ind w:left="513" w:right="0"/>
        <w:jc w:val="left"/>
      </w:pPr>
      <w:r>
        <w:rPr/>
        <w:t>其他金融负债 </w:t>
      </w:r>
      <w:r>
        <w:rPr>
          <w:spacing w:val="-2"/>
        </w:rPr>
        <w:t>与在活跃市场中没有报价、公允价值不能可靠计量的权益工具挂钩并须通过交付该权益工具结算的衍生金融负债，按照</w:t>
      </w:r>
    </w:p>
    <w:p>
      <w:pPr>
        <w:pStyle w:val="BodyText"/>
        <w:spacing w:line="316" w:lineRule="auto"/>
        <w:ind w:right="150"/>
        <w:jc w:val="both"/>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pStyle w:val="BodyText"/>
        <w:spacing w:line="530" w:lineRule="atLeast" w:before="50"/>
        <w:ind w:left="513" w:right="0"/>
        <w:jc w:val="left"/>
      </w:pPr>
      <w:r>
        <w:rPr/>
        <w:t>金融资产转移，是指将金融资产让与或交付给该金融资产发行方以外的另一方（转入方）。 </w:t>
      </w:r>
      <w:r>
        <w:rPr>
          <w:spacing w:val="-2"/>
        </w:rPr>
        <w:t>本公司已将金融资产所有权上几乎所有的风险和报酬转移给转入方的，终止确认该金融资产；保留了金融资产所有权上</w:t>
      </w:r>
    </w:p>
    <w:p>
      <w:pPr>
        <w:pStyle w:val="BodyText"/>
        <w:spacing w:line="240" w:lineRule="auto" w:before="76"/>
        <w:ind w:right="0"/>
        <w:jc w:val="both"/>
      </w:pPr>
      <w:r>
        <w:rPr/>
        <w:t>几乎所有的风险和报酬的，不终止确认该金融资产。</w:t>
      </w:r>
    </w:p>
    <w:p>
      <w:pPr>
        <w:spacing w:line="240" w:lineRule="auto" w:before="5"/>
        <w:rPr>
          <w:rFonts w:ascii="宋体" w:hAnsi="宋体" w:cs="宋体" w:eastAsia="宋体" w:hint="default"/>
          <w:sz w:val="22"/>
          <w:szCs w:val="22"/>
        </w:rPr>
      </w:pPr>
    </w:p>
    <w:p>
      <w:pPr>
        <w:pStyle w:val="BodyText"/>
        <w:spacing w:line="316" w:lineRule="auto"/>
        <w:ind w:right="150" w:firstLine="360"/>
        <w:jc w:val="both"/>
      </w:pPr>
      <w:r>
        <w:rPr>
          <w:spacing w:val="-2"/>
        </w:rPr>
        <w:t>本公司既没有转移也没有保留金融资产所有权上几乎所有的风险和报酬的，分别下列情况处理：放弃了对该金融资产控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3"/>
        </w:rPr>
        <w:t> </w:t>
      </w:r>
      <w:r>
        <w:rPr>
          <w:spacing w:val="-63"/>
        </w:rPr>
      </w:r>
      <w:r>
        <w:rPr/>
        <w:t>确认有关金融资产，并相应确认有关负债。</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0" w:firstLine="360"/>
        <w:jc w:val="both"/>
      </w:pPr>
      <w:r>
        <w:rPr>
          <w:spacing w:val="-2"/>
        </w:rPr>
        <w:t>金融负债的现时义务全部或部分已经解除的，终止确认该金融负债或其一部分。本公司（债务人）与债权人之间签订协</w:t>
      </w:r>
      <w:r>
        <w:rPr/>
        <w:t> </w:t>
      </w: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pStyle w:val="BodyText"/>
        <w:spacing w:line="530" w:lineRule="atLeast" w:before="50"/>
        <w:ind w:left="513" w:right="0"/>
        <w:jc w:val="left"/>
      </w:pPr>
      <w:r>
        <w:rPr/>
        <w:t>存在活跃市场的金融资产或金融负债，本公司将活跃市场中的现行出价或现行要价用于确定其公允价值。 </w:t>
      </w:r>
      <w:r>
        <w:rPr>
          <w:spacing w:val="-2"/>
        </w:rPr>
        <w:t>金融工具不存在活跃市场的，本公司采用估值技术确定其公允价值。采用估值技术得出的结果，反映估值日在公平交易</w:t>
      </w:r>
    </w:p>
    <w:p>
      <w:pPr>
        <w:pStyle w:val="BodyText"/>
        <w:spacing w:line="316" w:lineRule="auto" w:before="76"/>
        <w:ind w:right="153"/>
        <w:jc w:val="both"/>
      </w:pPr>
      <w:r>
        <w:rPr>
          <w:spacing w:val="-2"/>
        </w:rPr>
        <w:t>中可能采用的交易价格。估值技术包括参考熟悉情况并自愿交易的各方最近进行的市场交易中使用的价格、参照实质上相同</w:t>
      </w:r>
      <w:r>
        <w:rPr>
          <w:spacing w:val="-64"/>
        </w:rPr>
        <w:t> </w:t>
      </w:r>
      <w:r>
        <w:rPr>
          <w:spacing w:val="-64"/>
        </w:rPr>
      </w:r>
      <w:r>
        <w:rPr/>
        <w:t>的其他金融工具的当前公允价值、现金流量折现法和期权定价模型等。</w:t>
      </w:r>
    </w:p>
    <w:p>
      <w:pPr>
        <w:spacing w:after="0" w:line="316" w:lineRule="auto"/>
        <w:jc w:val="both"/>
        <w:sectPr>
          <w:footerReference w:type="default" r:id="rId15"/>
          <w:pgSz w:w="11910" w:h="16840"/>
          <w:pgMar w:footer="980" w:header="745" w:top="1060" w:bottom="1160" w:left="980" w:right="980"/>
          <w:pgNumType w:start="80"/>
        </w:sectPr>
      </w:pPr>
    </w:p>
    <w:p>
      <w:pPr>
        <w:spacing w:line="240" w:lineRule="auto" w:before="9"/>
        <w:rPr>
          <w:rFonts w:ascii="宋体" w:hAnsi="宋体" w:cs="宋体" w:eastAsia="宋体" w:hint="default"/>
          <w:sz w:val="25"/>
          <w:szCs w:val="25"/>
        </w:rPr>
      </w:pPr>
    </w:p>
    <w:p>
      <w:pPr>
        <w:pStyle w:val="BodyText"/>
        <w:spacing w:line="319" w:lineRule="auto" w:before="44"/>
        <w:ind w:right="151" w:firstLine="360"/>
        <w:jc w:val="both"/>
      </w:pPr>
      <w:r>
        <w:rPr>
          <w:spacing w:val="-2"/>
        </w:rPr>
        <w:t>本公司选择市场参与者普遍认同，且被以往市场实际交易价格验证具有可靠性的估值技术确定金融工具的公允价值。采</w:t>
      </w:r>
      <w:r>
        <w:rPr/>
        <w:t> </w:t>
      </w:r>
      <w:r>
        <w:rPr>
          <w:spacing w:val="-2"/>
        </w:rPr>
        <w:t>用估值技术确定金融工具的公允价值时，本公司尽可能使用市场参与者在金融工具定价时考虑的所有市场参数和相同金融工</w:t>
      </w:r>
      <w:r>
        <w:rPr>
          <w:spacing w:val="-63"/>
        </w:rPr>
        <w:t> </w:t>
      </w:r>
      <w:r>
        <w:rPr>
          <w:spacing w:val="-63"/>
        </w:rPr>
      </w:r>
      <w:r>
        <w:rPr/>
        <w:t>具当前市场的可观察到的交易价格来测试估值技术的有效性。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7"/>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firstLine="360"/>
        <w:jc w:val="both"/>
      </w:pPr>
      <w:r>
        <w:rPr>
          <w:spacing w:val="-2"/>
        </w:rPr>
        <w:t>本公司于资产负债表日对金融资产的账面价值进行检查，有客观证据表明该金融资产发生减值的，计提减值准备。表明</w:t>
      </w:r>
      <w:r>
        <w:rPr/>
        <w:t> </w:t>
      </w:r>
      <w:r>
        <w:rPr>
          <w:spacing w:val="-2"/>
        </w:rPr>
        <w:t>金融资产发生减值的客观证据，是指金融资产初始确认后实际发生的、对该金融资产的预计未来现金流量有影响，且企业能</w:t>
      </w:r>
      <w:r>
        <w:rPr>
          <w:spacing w:val="-63"/>
        </w:rPr>
        <w:t> </w:t>
      </w:r>
      <w:r>
        <w:rPr>
          <w:spacing w:val="-63"/>
        </w:rPr>
      </w:r>
      <w:r>
        <w:rPr/>
        <w:t>够对该影响进行可靠计量的事项。</w:t>
      </w:r>
    </w:p>
    <w:p>
      <w:pPr>
        <w:pStyle w:val="BodyText"/>
        <w:spacing w:line="528" w:lineRule="exact" w:before="22"/>
        <w:ind w:left="513" w:right="0"/>
        <w:jc w:val="left"/>
      </w:pPr>
      <w:r>
        <w:rPr/>
        <w:t>以摊余成本计量的金融资产 </w:t>
      </w:r>
      <w:r>
        <w:rPr>
          <w:spacing w:val="-2"/>
        </w:rPr>
        <w:t>如果有客观证据表明该金融资产发生减值，则将该金融资产的账面价值减记至预计未来现金流量（不包括尚未发生的未</w:t>
      </w:r>
    </w:p>
    <w:p>
      <w:pPr>
        <w:pStyle w:val="BodyText"/>
        <w:spacing w:line="316" w:lineRule="auto"/>
        <w:ind w:right="0"/>
        <w:jc w:val="left"/>
      </w:pPr>
      <w:r>
        <w:rPr>
          <w:spacing w:val="-2"/>
        </w:rPr>
        <w:t>来信用损失）现值，减记金额计入当期损益。预计未来现金流量现值，按照该金融资产原实际利率折现确定，并考虑相关担</w:t>
      </w:r>
      <w:r>
        <w:rPr>
          <w:spacing w:val="-67"/>
        </w:rPr>
        <w:t> </w:t>
      </w:r>
      <w:r>
        <w:rPr>
          <w:spacing w:val="-67"/>
        </w:rPr>
      </w:r>
      <w:r>
        <w:rPr/>
        <w:t>保物的价值。</w:t>
      </w:r>
    </w:p>
    <w:p>
      <w:pPr>
        <w:spacing w:line="240" w:lineRule="auto" w:before="12"/>
        <w:rPr>
          <w:rFonts w:ascii="宋体" w:hAnsi="宋体" w:cs="宋体" w:eastAsia="宋体" w:hint="default"/>
          <w:sz w:val="17"/>
          <w:szCs w:val="17"/>
        </w:rPr>
      </w:pPr>
    </w:p>
    <w:p>
      <w:pPr>
        <w:pStyle w:val="BodyText"/>
        <w:spacing w:line="316" w:lineRule="auto"/>
        <w:ind w:right="153" w:firstLine="360"/>
        <w:jc w:val="both"/>
      </w:pPr>
      <w:r>
        <w:rPr>
          <w:spacing w:val="-2"/>
        </w:rPr>
        <w:t>对单项金额重大的金融资产单独进行减值测试，如有客观证据表明其已发生减值，确认减值损失，计入当期损益。对单</w:t>
      </w:r>
      <w:r>
        <w:rPr/>
        <w:t> </w:t>
      </w:r>
      <w:r>
        <w:rPr>
          <w:spacing w:val="-2"/>
        </w:rPr>
        <w:t>项金额不重大的金融资产，包括在具有类似信用风险特征的金融资产组合中进行减值测试。单独测试未发生减值的金融资产</w:t>
      </w:r>
    </w:p>
    <w:p>
      <w:pPr>
        <w:pStyle w:val="BodyText"/>
        <w:spacing w:line="316" w:lineRule="auto" w:before="19"/>
        <w:ind w:right="0"/>
        <w:jc w:val="left"/>
      </w:pPr>
      <w:r>
        <w:rPr>
          <w:spacing w:val="-2"/>
        </w:rPr>
        <w:t>（包括单项金额重大和不重大的金融资产），包括在具有类似信用风险特征的金融资产组合中再进行减值测试。已单项确认</w:t>
      </w:r>
      <w:r>
        <w:rPr>
          <w:spacing w:val="-66"/>
        </w:rPr>
        <w:t> </w:t>
      </w:r>
      <w:r>
        <w:rPr>
          <w:spacing w:val="-66"/>
        </w:rPr>
      </w:r>
      <w:r>
        <w:rPr/>
        <w:t>减值损失的金融资产，不包括在具有类似信用风险特征的金融资产组合中进行减值测试。</w:t>
      </w:r>
    </w:p>
    <w:p>
      <w:pPr>
        <w:spacing w:line="240" w:lineRule="auto" w:before="12"/>
        <w:rPr>
          <w:rFonts w:ascii="宋体" w:hAnsi="宋体" w:cs="宋体" w:eastAsia="宋体" w:hint="default"/>
          <w:sz w:val="17"/>
          <w:szCs w:val="17"/>
        </w:rPr>
      </w:pPr>
    </w:p>
    <w:p>
      <w:pPr>
        <w:pStyle w:val="BodyText"/>
        <w:spacing w:line="316" w:lineRule="auto"/>
        <w:ind w:right="151" w:firstLine="360"/>
        <w:jc w:val="both"/>
      </w:pPr>
      <w:r>
        <w:rPr>
          <w:spacing w:val="-2"/>
        </w:rPr>
        <w:t>本公司对以摊余成本计量的金融资产确认减值损失后，如有客观证据表明该金融资产价值已恢复，且客观上与确认该损</w:t>
      </w:r>
      <w:r>
        <w:rPr/>
        <w:t> </w:t>
      </w:r>
      <w:r>
        <w:rPr>
          <w:spacing w:val="-2"/>
        </w:rPr>
        <w:t>失后发生的事项有关，原确认的减值损失予以转回，计入当期损益。但是，该转回后的账面价值不超过假定不计提减值准备</w:t>
      </w:r>
      <w:r>
        <w:rPr>
          <w:spacing w:val="-64"/>
        </w:rPr>
        <w:t> </w:t>
      </w:r>
      <w:r>
        <w:rPr>
          <w:spacing w:val="-64"/>
        </w:rPr>
      </w:r>
      <w:r>
        <w:rPr/>
        <w:t>情况下该金融资产在转回日的摊余成本。</w:t>
      </w:r>
    </w:p>
    <w:p>
      <w:pPr>
        <w:pStyle w:val="BodyText"/>
        <w:spacing w:line="528" w:lineRule="exact" w:before="23"/>
        <w:ind w:left="513" w:right="0"/>
        <w:jc w:val="left"/>
      </w:pPr>
      <w:r>
        <w:rPr/>
        <w:t>可供出售金融资产 </w:t>
      </w:r>
      <w:r>
        <w:rPr>
          <w:spacing w:val="-2"/>
        </w:rPr>
        <w:t>如果有客观证据表明该金融资产发生减值，原直接计入资本公积的因公允价值下降形成的累计损失，予以转出，计入当</w:t>
      </w:r>
    </w:p>
    <w:p>
      <w:pPr>
        <w:pStyle w:val="BodyText"/>
        <w:spacing w:line="316" w:lineRule="auto"/>
        <w:ind w:right="0"/>
        <w:jc w:val="left"/>
      </w:pPr>
      <w:r>
        <w:rPr>
          <w:spacing w:val="-2"/>
        </w:rPr>
        <w:t>期损益。该转出的累计损失，为可供出售金融资产的初始取得成本扣除已收回本金和已摊销金额、当前公允价值和原已计入</w:t>
      </w:r>
      <w:r>
        <w:rPr>
          <w:spacing w:val="-65"/>
        </w:rPr>
        <w:t> </w:t>
      </w:r>
      <w:r>
        <w:rPr>
          <w:spacing w:val="-65"/>
        </w:rPr>
      </w:r>
      <w:r>
        <w:rPr/>
        <w:t>损益的减值损失后的余额。</w:t>
      </w:r>
    </w:p>
    <w:p>
      <w:pPr>
        <w:spacing w:line="240" w:lineRule="auto" w:before="12"/>
        <w:rPr>
          <w:rFonts w:ascii="宋体" w:hAnsi="宋体" w:cs="宋体" w:eastAsia="宋体" w:hint="default"/>
          <w:sz w:val="17"/>
          <w:szCs w:val="17"/>
        </w:rPr>
      </w:pPr>
    </w:p>
    <w:p>
      <w:pPr>
        <w:pStyle w:val="BodyText"/>
        <w:spacing w:line="316" w:lineRule="auto"/>
        <w:ind w:right="152" w:firstLine="360"/>
        <w:jc w:val="both"/>
      </w:pPr>
      <w:r>
        <w:rPr>
          <w:spacing w:val="-2"/>
        </w:rPr>
        <w:t>对于已确认减值损失的可供出售债务工具，在随后的会计期间公允价值已上升且客观上与确认原减值损失确认后发生的</w:t>
      </w:r>
      <w:r>
        <w:rPr/>
        <w:t> 事项有关的，原确认的减值损失予以转回，计入当期损益。可供出售权益工具投资发生的减值损失，不通过损益转回。</w:t>
      </w:r>
    </w:p>
    <w:p>
      <w:pPr>
        <w:pStyle w:val="BodyText"/>
        <w:spacing w:line="528" w:lineRule="exact" w:before="22"/>
        <w:ind w:left="513" w:right="0"/>
        <w:jc w:val="left"/>
      </w:pPr>
      <w:r>
        <w:rPr/>
        <w:t>以成本计量的金融资产 </w:t>
      </w:r>
      <w:r>
        <w:rPr>
          <w:spacing w:val="-2"/>
        </w:rPr>
        <w:t>在活跃市场中没有报价且其公允价值不能可靠计量的权益工具投资，或与该权益工具挂钩并须通过交付该权益工具结算</w:t>
      </w:r>
    </w:p>
    <w:p>
      <w:pPr>
        <w:pStyle w:val="BodyText"/>
        <w:spacing w:line="316" w:lineRule="auto"/>
        <w:ind w:right="0"/>
        <w:jc w:val="left"/>
      </w:pPr>
      <w:r>
        <w:rPr>
          <w:spacing w:val="-2"/>
        </w:rPr>
        <w:t>的衍生金融资产发生减值时，将该金融资产的账面价值，与按照类似金融资产当时市场收益率对未来现金流量折现确定的现</w:t>
      </w:r>
      <w:r>
        <w:rPr>
          <w:spacing w:val="-64"/>
        </w:rPr>
        <w:t> </w:t>
      </w:r>
      <w:r>
        <w:rPr>
          <w:spacing w:val="-64"/>
        </w:rPr>
      </w:r>
      <w:r>
        <w:rPr/>
        <w:t>值之间的差额，确认为减值损失，计入当期损益。发生的减值损失一经确认，不得转回。</w:t>
      </w:r>
    </w:p>
    <w:p>
      <w:pPr>
        <w:spacing w:after="0" w:line="31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94" w:right="6351"/>
        <w:jc w:val="center"/>
      </w:pPr>
      <w:r>
        <w:rPr/>
        <w:t>应收款项包括应收账款、其他应收款。</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年末余额达到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万元（含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万元）以上的应收款项为 单项金额重大的应收款项。</w:t>
            </w:r>
          </w:p>
        </w:tc>
      </w:tr>
      <w:tr>
        <w:trPr>
          <w:trHeight w:val="1340"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对于单项金额重大的应收款项单独进行减值测试，有客观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证据表明发生了减值，根据其未来现金流量现值低于其账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面价值的差额计提坏账准备。单项金额重大经单独测试未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发生减值的应收款项，再按组合计提坏账准备。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8" w:hanging="721"/>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关联关系</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账龄状态</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60" w:lineRule="auto" w:before="115"/>
        <w:ind w:right="6714"/>
        <w:jc w:val="left"/>
      </w:pPr>
      <w:r>
        <w:rPr/>
        <w:t>□ 适用 √</w:t>
      </w:r>
      <w:r>
        <w:rPr>
          <w:spacing w:val="3"/>
        </w:rPr>
        <w:t> </w:t>
      </w:r>
      <w:r>
        <w:rPr/>
        <w:t>不适用</w:t>
      </w:r>
      <w:r>
        <w:rPr/>
        <w:t> 组合中，采用其他方法计提坏账准备的</w:t>
      </w:r>
    </w:p>
    <w:p>
      <w:pPr>
        <w:pStyle w:val="BodyText"/>
        <w:spacing w:line="240" w:lineRule="auto" w:before="2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万元以下，但有证据表明难以收回的应收款项</w:t>
            </w:r>
          </w:p>
        </w:tc>
      </w:tr>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本公司存货分为原材料、在产品、周转材料和库存商品等。</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273"/>
        <w:jc w:val="left"/>
      </w:pPr>
      <w:r>
        <w:rPr/>
        <w:t>计价方法：加权平均法 本公司存货取得时按实际成本计价。原材料、在产品、周转材料和库存商品等发出时采用月末一次加权平均法计价。</w:t>
      </w:r>
    </w:p>
    <w:p>
      <w:pPr>
        <w:spacing w:line="240" w:lineRule="auto" w:before="6"/>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92" w:firstLine="360"/>
        <w:jc w:val="both"/>
      </w:pPr>
      <w:r>
        <w:rPr>
          <w:spacing w:val="-2"/>
        </w:rPr>
        <w:t>存货可变现净值是按存货的估计售价减去至完工时估计将要发生的成本、估计的销售费用以及相关税费后的金额。在确</w:t>
      </w:r>
      <w:r>
        <w:rPr/>
        <w:t> 定存货的可变现净值时，以取得的确凿证据为基础，同时考虑持有存货的目的以及资产负债表日后事项的影响。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right="111" w:firstLine="360"/>
        <w:jc w:val="both"/>
      </w:pPr>
      <w:r>
        <w:rPr/>
        <w:t>资产负债表日，存货成本高于其可变现净值的，计提存货跌价准备。本公司通常按照单个存货项目计提存货跌价准备， 资产负债表日，以前减记存货价值的影响因素已经消失的，存货跌价准备在原已计提的金额内转回。</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513" w:right="6393"/>
        <w:jc w:val="left"/>
      </w:pPr>
      <w:r>
        <w:rPr/>
        <w:t>盘存制度：永续盘存制 本公司存货盘存制度采用永续盘存制。</w:t>
      </w:r>
    </w:p>
    <w:p>
      <w:pPr>
        <w:spacing w:line="240" w:lineRule="auto" w:before="4"/>
        <w:rPr>
          <w:rFonts w:ascii="宋体" w:hAnsi="宋体" w:cs="宋体" w:eastAsia="宋体" w:hint="default"/>
          <w:sz w:val="20"/>
          <w:szCs w:val="20"/>
        </w:rPr>
      </w:pPr>
    </w:p>
    <w:p>
      <w:pPr>
        <w:pStyle w:val="Heading3"/>
        <w:spacing w:line="240" w:lineRule="auto"/>
        <w:ind w:right="94"/>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left="513" w:right="7653"/>
        <w:jc w:val="left"/>
      </w:pPr>
      <w:r>
        <w:rPr/>
        <w:t>低值易耗品 摊销方法：一次摊销法</w:t>
      </w:r>
    </w:p>
    <w:p>
      <w:pPr>
        <w:pStyle w:val="BodyText"/>
        <w:spacing w:line="240" w:lineRule="auto" w:before="29"/>
        <w:ind w:left="513" w:right="94"/>
        <w:jc w:val="left"/>
      </w:pPr>
      <w:r>
        <w:rPr/>
        <w:t>本公司周转材料领用时采用一次转销法摊销。</w:t>
      </w:r>
    </w:p>
    <w:p>
      <w:pPr>
        <w:spacing w:line="240" w:lineRule="auto" w:before="5"/>
        <w:rPr>
          <w:rFonts w:ascii="宋体" w:hAnsi="宋体" w:cs="宋体" w:eastAsia="宋体" w:hint="default"/>
          <w:sz w:val="22"/>
          <w:szCs w:val="22"/>
        </w:rPr>
      </w:pPr>
    </w:p>
    <w:p>
      <w:pPr>
        <w:pStyle w:val="BodyText"/>
        <w:spacing w:line="360" w:lineRule="auto"/>
        <w:ind w:left="513" w:right="7653"/>
        <w:jc w:val="left"/>
      </w:pPr>
      <w:r>
        <w:rPr/>
        <w:t>包装物 摊销方法：一次摊销法</w:t>
      </w:r>
    </w:p>
    <w:p>
      <w:pPr>
        <w:spacing w:line="240" w:lineRule="auto" w:before="2"/>
        <w:rPr>
          <w:rFonts w:ascii="宋体" w:hAnsi="宋体" w:cs="宋体" w:eastAsia="宋体" w:hint="default"/>
          <w:sz w:val="20"/>
          <w:szCs w:val="20"/>
        </w:rPr>
      </w:pPr>
    </w:p>
    <w:p>
      <w:pPr>
        <w:pStyle w:val="Heading3"/>
        <w:spacing w:line="240" w:lineRule="auto"/>
        <w:ind w:right="94"/>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88" w:firstLine="360"/>
        <w:jc w:val="both"/>
      </w:pPr>
      <w:r>
        <w:rPr>
          <w:spacing w:val="-2"/>
        </w:rPr>
        <w:t>本公司长期股权投资在取得时按投资成本计量。投资成本一般为取得该项投资而付出的资产、发生或承担的负债以及发</w:t>
      </w:r>
      <w:r>
        <w:rPr/>
        <w:t> </w:t>
      </w:r>
      <w:r>
        <w:rPr>
          <w:spacing w:val="-2"/>
        </w:rPr>
        <w:t>行的权益性证券的公允价值，并包括直接相关费用。但同一控制下的企业合并形成的长期股权投资，其投资成本为合并日取</w:t>
      </w:r>
      <w:r>
        <w:rPr>
          <w:spacing w:val="-61"/>
        </w:rPr>
        <w:t> </w:t>
      </w:r>
      <w:r>
        <w:rPr>
          <w:spacing w:val="-61"/>
        </w:rPr>
      </w:r>
      <w:r>
        <w:rPr/>
        <w:t>得的被合并方所有者权益的账面价值份额。</w:t>
      </w:r>
    </w:p>
    <w:p>
      <w:pPr>
        <w:spacing w:line="240" w:lineRule="auto" w:before="6"/>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 w:firstLine="360"/>
        <w:jc w:val="both"/>
      </w:pPr>
      <w:r>
        <w:rPr>
          <w:spacing w:val="-2"/>
        </w:rPr>
        <w:t>本公司能够对被投资单位实施控制的长期股权投资，以及对被投资单位不具有共同控制或重大影响，且在活跃市场中没</w:t>
      </w:r>
      <w:r>
        <w:rPr/>
        <w:t> 有报价、公允价值不能可靠计量的长期股权投资采用成本法核算；对被投资单位具有共同控制或重大影响的长期股权投资，</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6" w:lineRule="auto" w:before="44"/>
        <w:ind w:right="190"/>
        <w:jc w:val="both"/>
      </w:pPr>
      <w:r>
        <w:rPr>
          <w:spacing w:val="-2"/>
        </w:rPr>
        <w:t>采用权益法核算。采用成本法核算的长期股权投资，除取得投资时实际支付的价款或对价中包含的已宣告但尚未发放的现金</w:t>
      </w:r>
      <w:r>
        <w:rPr>
          <w:spacing w:val="-64"/>
        </w:rPr>
        <w:t> </w:t>
      </w:r>
      <w:r>
        <w:rPr>
          <w:spacing w:val="-64"/>
        </w:rPr>
      </w:r>
      <w:r>
        <w:rPr>
          <w:spacing w:val="-2"/>
        </w:rPr>
        <w:t>股利或利润外，被投资单位宣告分派的现金股利或利润，确认为投资收益计入当期损益。本公司长期股权投资采用权益法核</w:t>
      </w:r>
      <w:r>
        <w:rPr>
          <w:spacing w:val="-63"/>
        </w:rPr>
        <w:t> </w:t>
      </w:r>
      <w:r>
        <w:rPr>
          <w:spacing w:val="-63"/>
        </w:rPr>
      </w:r>
      <w:r>
        <w:rPr>
          <w:spacing w:val="-2"/>
        </w:rPr>
        <w:t>算时，对长期股权投资的投资成本大于投资时应享有被投资单位可辨认净资产公允价值份额的，不调整长期股权投资的投资</w:t>
      </w:r>
      <w:r>
        <w:rPr>
          <w:spacing w:val="-64"/>
        </w:rPr>
        <w:t> </w:t>
      </w:r>
      <w:r>
        <w:rPr>
          <w:spacing w:val="-64"/>
        </w:rPr>
      </w:r>
      <w:r>
        <w:rPr>
          <w:spacing w:val="-2"/>
        </w:rPr>
        <w:t>成本；对长期股权投资的投资成本小于投资时应享有被投资单位可辨认净资产公允价值份额的，对长期股权投资的账面价值</w:t>
      </w:r>
      <w:r>
        <w:rPr>
          <w:spacing w:val="-64"/>
        </w:rPr>
        <w:t> </w:t>
      </w:r>
      <w:r>
        <w:rPr>
          <w:spacing w:val="-64"/>
        </w:rPr>
      </w:r>
      <w:r>
        <w:rPr>
          <w:spacing w:val="-2"/>
        </w:rPr>
        <w:t>进行调整，差额计入投资当期的损益。本公司在按权益法对长期股权投资进行核算时，先对被投资单位的净利润进行取得投</w:t>
      </w:r>
      <w:r>
        <w:rPr>
          <w:spacing w:val="-63"/>
        </w:rPr>
        <w:t> </w:t>
      </w:r>
      <w:r>
        <w:rPr>
          <w:spacing w:val="-63"/>
        </w:rPr>
      </w:r>
      <w:r>
        <w:rPr>
          <w:spacing w:val="-2"/>
        </w:rPr>
        <w:t>资时被投资单位各项可辨认资产等的公允价值、会计政策和会计期间方面的调整，再按应享有或应分担的被投资单位的净损</w:t>
      </w:r>
      <w:r>
        <w:rPr>
          <w:spacing w:val="-64"/>
        </w:rPr>
        <w:t> </w:t>
      </w:r>
      <w:r>
        <w:rPr>
          <w:spacing w:val="-64"/>
        </w:rPr>
      </w:r>
      <w:r>
        <w:rPr>
          <w:spacing w:val="-2"/>
        </w:rPr>
        <w:t>益份额确认当期投资损益。本公司与联营企业及合营企业之间发生的未实现内部交易损益按照持股比例计算归属于本公司的</w:t>
      </w:r>
      <w:r>
        <w:rPr>
          <w:spacing w:val="-63"/>
        </w:rPr>
        <w:t> </w:t>
      </w:r>
      <w:r>
        <w:rPr>
          <w:spacing w:val="-63"/>
        </w:rPr>
      </w:r>
      <w:r>
        <w:rPr/>
        <w:t>部分，在抵销基础上确认投资损益。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79" w:firstLine="360"/>
        <w:jc w:val="left"/>
      </w:pPr>
      <w:r>
        <w:rPr>
          <w:spacing w:val="-2"/>
        </w:rPr>
        <w:t>共同控制是指按照合同约定对某项经济活动所共有的控制，仅在与该项经济活动相关的重要财务和经营决策需要分享控</w:t>
      </w:r>
      <w:r>
        <w:rPr/>
        <w:t> </w:t>
      </w:r>
      <w:r>
        <w:rPr>
          <w:spacing w:val="-2"/>
        </w:rPr>
        <w:t>制权的投资方一致同意时存在。其中，控制是指有权决定一个企业的财务和经营政策，并能据以从该企业的经营活动中获取</w:t>
      </w:r>
      <w:r>
        <w:rPr>
          <w:spacing w:val="-66"/>
        </w:rPr>
        <w:t> </w:t>
      </w:r>
      <w:r>
        <w:rPr>
          <w:spacing w:val="-66"/>
        </w:rPr>
      </w:r>
      <w:r>
        <w:rPr>
          <w:spacing w:val="-2"/>
        </w:rPr>
        <w:t>利益。重大影响是指对一个企业的财务和经营政策有参与决策的权力，但并不能够控制或者与其他方一起共同控制这些政策</w:t>
      </w:r>
      <w:r>
        <w:rPr>
          <w:spacing w:val="-64"/>
        </w:rPr>
        <w:t> </w:t>
      </w:r>
      <w:r>
        <w:rPr>
          <w:spacing w:val="-64"/>
        </w:rPr>
      </w:r>
      <w:r>
        <w:rPr>
          <w:spacing w:val="-2"/>
        </w:rPr>
        <w:t>的制定。在确定能否对被投资单位实施控制或施加重大影响时，已考虑投资企业和其他方持有的被投资单位当期可转换公司</w:t>
      </w:r>
      <w:r>
        <w:rPr>
          <w:spacing w:val="-63"/>
        </w:rPr>
        <w:t> </w:t>
      </w:r>
      <w:r>
        <w:rPr>
          <w:spacing w:val="-63"/>
        </w:rPr>
      </w:r>
      <w:r>
        <w:rPr/>
        <w:t>债券、当期可执行认股权证等潜在表决权因素。当本公司直接或通过子公司间接拥有被投资单位</w:t>
      </w:r>
      <w:r>
        <w:rPr>
          <w:spacing w:val="-44"/>
        </w:rPr>
        <w:t> </w:t>
      </w:r>
      <w:r>
        <w:rPr>
          <w:rFonts w:ascii="Times New Roman" w:hAnsi="Times New Roman" w:cs="Times New Roman" w:eastAsia="Times New Roman" w:hint="default"/>
        </w:rPr>
        <w:t>20%</w:t>
      </w:r>
      <w:r>
        <w:rPr/>
        <w:t>（含</w:t>
      </w:r>
      <w:r>
        <w:rPr>
          <w:spacing w:val="-45"/>
        </w:rPr>
        <w:t> </w:t>
      </w:r>
      <w:r>
        <w:rPr>
          <w:rFonts w:ascii="Times New Roman" w:hAnsi="Times New Roman" w:cs="Times New Roman" w:eastAsia="Times New Roman" w:hint="default"/>
        </w:rPr>
        <w:t>20%</w:t>
      </w:r>
      <w:r>
        <w:rPr/>
        <w:t>）以上但低 于</w:t>
      </w:r>
      <w:r>
        <w:rPr>
          <w:spacing w:val="-45"/>
        </w:rPr>
        <w:t> </w:t>
      </w:r>
      <w:r>
        <w:rPr>
          <w:rFonts w:ascii="Times New Roman" w:hAnsi="Times New Roman" w:cs="Times New Roman" w:eastAsia="Times New Roman" w:hint="default"/>
        </w:rPr>
        <w:t>50%</w:t>
      </w:r>
      <w:r>
        <w:rPr/>
        <w:t>的表决权股份时，除非有明确证据表明该种情况下不能参与被投资单位的生产经营决策，不形成重大影响外，均确 定对被投资单位具有重大影响；本公司拥有被投资单位</w:t>
      </w:r>
      <w:r>
        <w:rPr>
          <w:spacing w:val="-45"/>
        </w:rPr>
        <w:t> </w:t>
      </w:r>
      <w:r>
        <w:rPr>
          <w:rFonts w:ascii="Times New Roman" w:hAnsi="Times New Roman" w:cs="Times New Roman" w:eastAsia="Times New Roman" w:hint="default"/>
        </w:rPr>
        <w:t>20%</w:t>
      </w:r>
      <w:r>
        <w:rPr/>
        <w:t>（不含）以下的表决权股份，一般不认为对被投资单位具有重 大影响，除非有明确证据表明该种情况下能够参与被投资单位的生产经营决策，形成重大影响。</w:t>
      </w:r>
    </w:p>
    <w:p>
      <w:pPr>
        <w:spacing w:line="240" w:lineRule="auto" w:before="0"/>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spacing w:val="-4"/>
        </w:rPr>
        <w:t>本公司对子公司、联营企业和合营企业的长期股权投资、固定资产、在建工程、无形资产（存货、递延所得税资产除外）</w:t>
      </w:r>
      <w:r>
        <w:rPr/>
        <w:t> 的资产减值，按以下方法确定： </w:t>
      </w:r>
      <w:r>
        <w:rPr>
          <w:spacing w:val="-2"/>
        </w:rPr>
        <w:t>本公司于资产负债表日判断资产是否存在可能发生减值的迹象，存在减值迹象的，本公司将估计其可收回金额，进行减值测</w:t>
      </w:r>
      <w:r>
        <w:rPr>
          <w:spacing w:val="-66"/>
        </w:rPr>
        <w:t> </w:t>
      </w:r>
      <w:r>
        <w:rPr>
          <w:spacing w:val="-66"/>
        </w:rPr>
      </w:r>
      <w:r>
        <w:rPr>
          <w:spacing w:val="-2"/>
        </w:rPr>
        <w:t>试。对因企业合并所形成的商誉、使用寿命不确定的无形资产和尚未达到可使用状态的无形资产无论是否存在减值迹象，每</w:t>
      </w:r>
      <w:r>
        <w:rPr>
          <w:spacing w:val="-63"/>
        </w:rPr>
        <w:t> </w:t>
      </w:r>
      <w:r>
        <w:rPr>
          <w:spacing w:val="-63"/>
        </w:rPr>
      </w:r>
      <w:r>
        <w:rPr/>
        <w:t>年都进行减值测试。</w:t>
      </w:r>
    </w:p>
    <w:p>
      <w:pPr>
        <w:pStyle w:val="BodyText"/>
        <w:spacing w:line="316" w:lineRule="auto" w:before="17"/>
        <w:ind w:right="191" w:firstLine="360"/>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3"/>
        </w:rPr>
        <w:t> </w:t>
      </w:r>
      <w:r>
        <w:rPr>
          <w:spacing w:val="-63"/>
        </w:rPr>
      </w:r>
      <w:r>
        <w:rPr/>
        <w:t>可收回金额。资产组的认定，以资产组产生的主要现金流入是否独立于其他资产或者资产组的现金流入为依据。</w:t>
      </w:r>
    </w:p>
    <w:p>
      <w:pPr>
        <w:pStyle w:val="BodyText"/>
        <w:spacing w:line="316" w:lineRule="auto" w:before="19"/>
        <w:ind w:right="94" w:firstLine="360"/>
        <w:jc w:val="left"/>
      </w:pPr>
      <w:r>
        <w:rPr/>
        <w:t>当资产或资产组的可收回金额低于其账面价值时，本公司将其账面价值减记至可收回金额，减记的金额计入当期损益， 同时计提相应的资产减值准备。</w:t>
      </w:r>
    </w:p>
    <w:p>
      <w:pPr>
        <w:pStyle w:val="BodyText"/>
        <w:spacing w:line="240" w:lineRule="auto" w:before="19"/>
        <w:ind w:left="513" w:right="94"/>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9" w:firstLine="360"/>
        <w:jc w:val="both"/>
      </w:pPr>
      <w:r>
        <w:rPr>
          <w:spacing w:val="-2"/>
        </w:rPr>
        <w:t>本公司固定资产是指为生产商品、提供劳务、出租或经营管理而持有的，使用寿命超过一个会计年度的有形资产。与该</w:t>
      </w:r>
      <w:r>
        <w:rPr/>
        <w:t> </w:t>
      </w:r>
      <w:r>
        <w:rPr>
          <w:spacing w:val="-2"/>
        </w:rPr>
        <w:t>固定资产有关的经济利益很可能流入企业，并且该固定资产的成本能够可靠地计量时，固定资产才能予以确认。本公司固定</w:t>
      </w:r>
      <w:r>
        <w:rPr>
          <w:spacing w:val="-62"/>
        </w:rPr>
        <w:t> </w:t>
      </w:r>
      <w:r>
        <w:rPr>
          <w:spacing w:val="-62"/>
        </w:rPr>
      </w:r>
      <w:r>
        <w:rPr/>
        <w:t>资产按照取得时的实际成本进行初始计量。</w:t>
      </w:r>
    </w:p>
    <w:p>
      <w:pPr>
        <w:spacing w:after="0" w:line="316"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本公司采用年限平均法计提折旧。固定资产自达到预定可使用状态时开始计提折旧，终止确认时或划分为持有待售非流</w:t>
      </w:r>
      <w:r>
        <w:rPr/>
        <w:t> 动资产时停止计提折旧。在不考虑减值准备的情况下，按固定资产类别、预计使用寿命和预计残值。</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11.88%</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15.83%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40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本公司于资产负债表日判断资产是否存在可能发生减值的迹象，存在减值迹象的，本公司将估计其可收回金额，进行减</w:t>
      </w:r>
      <w:r>
        <w:rPr/>
        <w:t> </w:t>
      </w:r>
      <w:r>
        <w:rPr>
          <w:spacing w:val="-4"/>
        </w:rPr>
        <w:t>值测试。对因企业合并所形成的商誉、使用寿命不确定的无形资产和尚未达到可使用状态的无形资产无论是否存在减值迹象，</w:t>
      </w:r>
      <w:r>
        <w:rPr>
          <w:spacing w:val="-44"/>
        </w:rPr>
        <w:t> </w:t>
      </w:r>
      <w:r>
        <w:rPr>
          <w:spacing w:val="-44"/>
        </w:rPr>
      </w:r>
      <w:r>
        <w:rPr/>
        <w:t>每年都进行减值测试。</w:t>
      </w:r>
    </w:p>
    <w:p>
      <w:pPr>
        <w:spacing w:line="240" w:lineRule="auto" w:before="13"/>
        <w:rPr>
          <w:rFonts w:ascii="宋体" w:hAnsi="宋体" w:cs="宋体" w:eastAsia="宋体" w:hint="default"/>
          <w:sz w:val="17"/>
          <w:szCs w:val="17"/>
        </w:rPr>
      </w:pPr>
    </w:p>
    <w:p>
      <w:pPr>
        <w:pStyle w:val="BodyText"/>
        <w:spacing w:line="316" w:lineRule="auto"/>
        <w:ind w:right="191" w:firstLine="360"/>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94" w:firstLine="360"/>
        <w:jc w:val="left"/>
      </w:pPr>
      <w:r>
        <w:rPr/>
        <w:t>当资产或资产组的可收回金额低于其账面价值时，本公司将其账面价值减记至可收回金额，减记的金额计入当期损益，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240" w:lineRule="auto"/>
        <w:ind w:left="513" w:right="94"/>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5</w:t>
      </w:r>
      <w:r>
        <w:rPr/>
        <w:t>）其他说明</w:t>
      </w:r>
      <w:r>
        <w:rPr>
          <w:b w:val="0"/>
          <w:bCs w:val="0"/>
        </w:rPr>
      </w:r>
    </w:p>
    <w:p>
      <w:pPr>
        <w:pStyle w:val="BodyText"/>
        <w:spacing w:line="530" w:lineRule="atLeast" w:before="50"/>
        <w:ind w:left="513" w:right="94"/>
        <w:jc w:val="left"/>
      </w:pPr>
      <w:r>
        <w:rPr/>
        <w:t>每年年度终了，本公司对固定资产的使用寿命、预计净残值和折旧方法进行复核。 </w:t>
      </w:r>
      <w:r>
        <w:rPr>
          <w:spacing w:val="-2"/>
        </w:rPr>
        <w:t>使用寿命预计数与原先估计数有差异的，调整固定资产使用寿命；预计净残值预计数与原先估计数有差异的，调整预计</w:t>
      </w:r>
    </w:p>
    <w:p>
      <w:pPr>
        <w:pStyle w:val="BodyText"/>
        <w:spacing w:line="240" w:lineRule="auto" w:before="76"/>
        <w:ind w:right="94"/>
        <w:jc w:val="left"/>
      </w:pPr>
      <w:r>
        <w:rPr/>
        <w:t>净残值。</w:t>
      </w:r>
    </w:p>
    <w:p>
      <w:pPr>
        <w:pStyle w:val="BodyText"/>
        <w:spacing w:line="520" w:lineRule="atLeast" w:before="8"/>
        <w:ind w:left="513" w:right="94"/>
        <w:jc w:val="left"/>
      </w:pPr>
      <w:r>
        <w:rPr/>
        <w:t>大修理费用 </w:t>
      </w:r>
      <w:r>
        <w:rPr>
          <w:spacing w:val="-4"/>
        </w:rPr>
        <w:t>本公司对固定资产进行定期检查发生的大修理费用，有确凿证据表明符合固定资产确认条件的部分，计入固定资产成本，</w:t>
      </w:r>
    </w:p>
    <w:p>
      <w:pPr>
        <w:pStyle w:val="BodyText"/>
        <w:spacing w:line="240" w:lineRule="auto" w:before="76"/>
        <w:ind w:right="94"/>
        <w:jc w:val="left"/>
      </w:pPr>
      <w:r>
        <w:rPr/>
        <w:t>不符合固定资产确认条件的计入当期损益。固定资产在定期大修理间隔期间，照提折旧。</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本公司在建工程成本按实际工程支出确定，包括在建期间发生的各项必要工程支出、工程达到预定可使用状态前的应予</w:t>
      </w:r>
      <w:r>
        <w:rPr/>
        <w:t> 资本化的借款费用以及其他相关费用等。</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在建工程在达到预定可使用状态时转入固定资产。</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94" w:firstLine="360"/>
        <w:jc w:val="left"/>
      </w:pPr>
      <w:r>
        <w:rPr>
          <w:spacing w:val="-2"/>
        </w:rPr>
        <w:t>本公司于资产负债表日判断资产是否存在可能发生减值的迹象，存在减值迹象的，本公司将估计其可收回金额，进行减</w:t>
      </w:r>
      <w:r>
        <w:rPr/>
        <w:t> </w:t>
      </w:r>
      <w:r>
        <w:rPr>
          <w:spacing w:val="-4"/>
        </w:rPr>
        <w:t>值测试。对因企业合并所形成的商誉、使用寿命不确定的无形资产和尚未达到可使用状态的无形资产无论是否存在减值迹象，</w:t>
      </w:r>
      <w:r>
        <w:rPr>
          <w:spacing w:val="-44"/>
        </w:rPr>
        <w:t> </w:t>
      </w:r>
      <w:r>
        <w:rPr>
          <w:spacing w:val="-44"/>
        </w:rPr>
      </w:r>
      <w:r>
        <w:rPr/>
        <w:t>每年都进行减值测试。</w:t>
      </w:r>
    </w:p>
    <w:p>
      <w:pPr>
        <w:spacing w:line="240" w:lineRule="auto" w:before="11"/>
        <w:rPr>
          <w:rFonts w:ascii="宋体" w:hAnsi="宋体" w:cs="宋体" w:eastAsia="宋体" w:hint="default"/>
          <w:sz w:val="17"/>
          <w:szCs w:val="17"/>
        </w:rPr>
      </w:pPr>
    </w:p>
    <w:p>
      <w:pPr>
        <w:pStyle w:val="BodyText"/>
        <w:spacing w:line="316" w:lineRule="auto"/>
        <w:ind w:right="191" w:firstLine="360"/>
        <w:jc w:val="both"/>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r>
        <w:rPr>
          <w:spacing w:val="-63"/>
        </w:rPr>
        <w:t> </w:t>
      </w:r>
      <w:r>
        <w:rPr>
          <w:spacing w:val="-63"/>
        </w:rPr>
      </w:r>
      <w:r>
        <w:rPr/>
        <w:t>可收回金额。资产组的认定，以资产组产生的主要现金流入是否独立于其他资产或者资产组的现金流入为依据。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94" w:firstLine="360"/>
        <w:jc w:val="left"/>
      </w:pPr>
      <w:r>
        <w:rPr/>
        <w:t>当资产或资产组的可收回金额低于其账面价值时，本公司将其账面价值减记至可收回金额，减记的金额计入当期损益，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240" w:lineRule="auto"/>
        <w:ind w:left="513" w:right="94"/>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本公司发生的借款费用，可直接归属于符合资本化条件的资产的购建或者生产的，予以资本化，计入相关资产成本；其</w:t>
      </w:r>
      <w:r>
        <w:rPr/>
        <w:t> 他借款费用，在发生时根据其发生额确认为费用，计入当期损益。借款费用同时满足下列条件的，开始资本化：</w:t>
      </w:r>
    </w:p>
    <w:p>
      <w:pPr>
        <w:spacing w:line="240" w:lineRule="auto" w:before="12"/>
        <w:rPr>
          <w:rFonts w:ascii="宋体" w:hAnsi="宋体" w:cs="宋体" w:eastAsia="宋体" w:hint="default"/>
          <w:sz w:val="17"/>
          <w:szCs w:val="17"/>
        </w:rPr>
      </w:pPr>
    </w:p>
    <w:p>
      <w:pPr>
        <w:pStyle w:val="BodyText"/>
        <w:spacing w:line="316" w:lineRule="auto"/>
        <w:ind w:right="185" w:firstLine="360"/>
        <w:jc w:val="left"/>
      </w:pPr>
      <w:r>
        <w:rPr/>
        <w:t>①</w:t>
      </w:r>
      <w:r>
        <w:rPr>
          <w:spacing w:val="-1"/>
        </w:rPr>
        <w:t> </w:t>
      </w:r>
      <w:r>
        <w:rPr/>
        <w:t>资产支出已经发生，资产支出包括为购建或者生产符合资本化条件的资产而以支付现金、转移非现金资产或者承担</w:t>
      </w:r>
      <w:r>
        <w:rPr/>
        <w:t> 带息债务形式发生的支出；</w:t>
      </w:r>
    </w:p>
    <w:p>
      <w:pPr>
        <w:spacing w:line="240" w:lineRule="auto" w:before="12"/>
        <w:rPr>
          <w:rFonts w:ascii="宋体" w:hAnsi="宋体" w:cs="宋体" w:eastAsia="宋体" w:hint="default"/>
          <w:sz w:val="17"/>
          <w:szCs w:val="17"/>
        </w:rPr>
      </w:pPr>
    </w:p>
    <w:p>
      <w:pPr>
        <w:pStyle w:val="BodyText"/>
        <w:spacing w:line="240" w:lineRule="auto"/>
        <w:ind w:left="513" w:right="94"/>
        <w:jc w:val="left"/>
      </w:pPr>
      <w:r>
        <w:rPr/>
        <w:t>②</w:t>
      </w:r>
      <w:r>
        <w:rPr>
          <w:spacing w:val="-18"/>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left="513" w:right="94"/>
        <w:jc w:val="left"/>
      </w:pPr>
      <w:r>
        <w:rPr/>
        <w:t>③</w:t>
      </w:r>
      <w:r>
        <w:rPr>
          <w:spacing w:val="-18"/>
        </w:rPr>
        <w:t> </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本公司购建或者生产符合资本化条件的资产达到预定可使用或者可销售状态时，借款费用停止资本化。在符合资本化条</w:t>
      </w:r>
      <w:r>
        <w:rPr/>
        <w:t> 件的资产达到预定可使用或者可销售状态之后所发生的借款费用，在发生时根据其发生额确认为费用，计入当期损益。</w:t>
      </w:r>
    </w:p>
    <w:p>
      <w:pPr>
        <w:spacing w:after="0" w:line="316"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94"/>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03" w:firstLine="360"/>
        <w:jc w:val="both"/>
      </w:pPr>
      <w:r>
        <w:rPr>
          <w:spacing w:val="-2"/>
        </w:rPr>
        <w:t>符合资本化条件的资产在购建或者生产过程中发生非正常中断、且中断时间连续超过</w:t>
      </w:r>
      <w:r>
        <w:rPr>
          <w:rFonts w:ascii="Times New Roman" w:hAnsi="Times New Roman" w:cs="Times New Roman" w:eastAsia="Times New Roman" w:hint="default"/>
          <w:spacing w:val="-2"/>
        </w:rPr>
        <w:t>3</w:t>
      </w:r>
      <w:r>
        <w:rPr>
          <w:spacing w:val="-2"/>
        </w:rPr>
        <w:t>个月的，暂停借款费用的资本化；</w:t>
      </w:r>
      <w:r>
        <w:rPr/>
        <w:t> 正常中断期间的借款费用继续资本化。</w:t>
      </w:r>
    </w:p>
    <w:p>
      <w:pPr>
        <w:spacing w:line="240" w:lineRule="auto" w:before="10"/>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94"/>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本公司无形资产为计算机软件。</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0" w:firstLine="360"/>
        <w:jc w:val="both"/>
      </w:pPr>
      <w:r>
        <w:rPr>
          <w:spacing w:val="-2"/>
        </w:rPr>
        <w:t>无形资产按照成本进行初始计量，并于取得无形资产时分析判断其使用寿命。使用寿命为有限的，自无形资产可供使用</w:t>
      </w:r>
      <w:r>
        <w:rPr/>
        <w:t> </w:t>
      </w:r>
      <w:r>
        <w:rPr>
          <w:spacing w:val="-2"/>
        </w:rPr>
        <w:t>时起，采用能反映与该资产有关的经济利益的预期实现方式的摊销方法，在预计使用年限内摊销；无法可靠确定预期实现方</w:t>
      </w:r>
      <w:r>
        <w:rPr>
          <w:spacing w:val="-63"/>
        </w:rPr>
        <w:t> </w:t>
      </w:r>
      <w:r>
        <w:rPr>
          <w:spacing w:val="-63"/>
        </w:rPr>
      </w:r>
      <w:r>
        <w:rPr/>
        <w:t>式的，采用直线法摊销。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94"/>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使用寿命不确定的无形资产，不作摊销。</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spacing w:val="-2"/>
        </w:rPr>
        <w:t>本公司于资产负债表日判断资产是否存在可能发生减值的迹象，存在减值迹象的，本公司将估计其可收回金额，进行减</w:t>
      </w:r>
      <w:r>
        <w:rPr/>
        <w:t> </w:t>
      </w:r>
      <w:r>
        <w:rPr>
          <w:spacing w:val="-4"/>
        </w:rPr>
        <w:t>值测试。对因企业合并所形成的商誉、使用寿命不确定的无形资产和尚未达到可使用状态的无形资产无论是否存在减值迹象，</w:t>
      </w:r>
      <w:r>
        <w:rPr>
          <w:spacing w:val="-44"/>
        </w:rPr>
        <w:t> </w:t>
      </w:r>
      <w:r>
        <w:rPr>
          <w:spacing w:val="-44"/>
        </w:rPr>
      </w:r>
      <w:r>
        <w:rPr/>
        <w:t>每年都进行减值测试。</w:t>
      </w:r>
    </w:p>
    <w:p>
      <w:pPr>
        <w:spacing w:line="240" w:lineRule="auto" w:before="12"/>
        <w:rPr>
          <w:rFonts w:ascii="宋体" w:hAnsi="宋体" w:cs="宋体" w:eastAsia="宋体" w:hint="default"/>
          <w:sz w:val="17"/>
          <w:szCs w:val="17"/>
        </w:rPr>
      </w:pPr>
    </w:p>
    <w:p>
      <w:pPr>
        <w:pStyle w:val="BodyText"/>
        <w:spacing w:line="316" w:lineRule="auto"/>
        <w:ind w:right="94" w:firstLine="360"/>
        <w:jc w:val="left"/>
      </w:pPr>
      <w:r>
        <w:rPr>
          <w:spacing w:val="-2"/>
        </w:rPr>
        <w:t>可收回金额根据资产的公允价值减去处置费用后的净额与资产预计未来现金流量的现值两者之间较高者确定。本公司以</w:t>
      </w:r>
      <w:r>
        <w:rPr/>
        <w:t> </w:t>
      </w:r>
      <w:r>
        <w:rPr>
          <w:spacing w:val="-2"/>
        </w:rPr>
        <w:t>单项资产为基础估计其可收回金额；难以对单项资产的可收回金额进行估计的，以该资产所属的资产组为基础确定资产组的</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可收回金额。资产组的认定，以资产组产生的主要现金流入是否独立于其他资产或者资产组的现金流入为依据。</w:t>
      </w:r>
    </w:p>
    <w:p>
      <w:pPr>
        <w:spacing w:line="240" w:lineRule="auto" w:before="5"/>
        <w:rPr>
          <w:rFonts w:ascii="宋体" w:hAnsi="宋体" w:cs="宋体" w:eastAsia="宋体" w:hint="default"/>
          <w:sz w:val="22"/>
          <w:szCs w:val="22"/>
        </w:rPr>
      </w:pPr>
    </w:p>
    <w:p>
      <w:pPr>
        <w:pStyle w:val="BodyText"/>
        <w:spacing w:line="316" w:lineRule="auto"/>
        <w:ind w:right="94" w:firstLine="360"/>
        <w:jc w:val="left"/>
      </w:pPr>
      <w:r>
        <w:rPr/>
        <w:t>当资产或资产组的可收回金额低于其账面价值时，本公司将其账面价值减记至可收回金额，减记的金额计入当期损益，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240" w:lineRule="auto"/>
        <w:ind w:left="513" w:right="94"/>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pStyle w:val="BodyText"/>
        <w:spacing w:line="530" w:lineRule="atLeast" w:before="50"/>
        <w:ind w:left="513" w:right="94"/>
        <w:jc w:val="left"/>
      </w:pPr>
      <w:r>
        <w:rPr/>
        <w:t>本公司将内部研究开发项目的支出，区分为研究阶段支出和开发阶段支出。 </w:t>
      </w:r>
      <w:r>
        <w:rPr>
          <w:spacing w:val="-2"/>
        </w:rPr>
        <w:t>本公司内部研究开发项目的支出，区分研究阶段支出与开发阶段支出进行相应处理。将为获取并理解新的技术知识及项</w:t>
      </w:r>
    </w:p>
    <w:p>
      <w:pPr>
        <w:pStyle w:val="BodyText"/>
        <w:spacing w:line="316" w:lineRule="auto" w:before="76"/>
        <w:ind w:right="94"/>
        <w:jc w:val="left"/>
      </w:pPr>
      <w:r>
        <w:rPr>
          <w:spacing w:val="-2"/>
        </w:rPr>
        <w:t>目可行性论证而进行的独创性的有计划调查期间确认为研究阶段；将进行产品商业性生产（或使用）前，将研究成果或其他</w:t>
      </w:r>
      <w:r>
        <w:rPr>
          <w:spacing w:val="-66"/>
        </w:rPr>
        <w:t> </w:t>
      </w:r>
      <w:r>
        <w:rPr>
          <w:spacing w:val="-66"/>
        </w:rPr>
      </w:r>
      <w:r>
        <w:rPr/>
        <w:t>知识应用于产品设计及研发，以生产出新的或具有实质性改进的产品期间确认为开发阶段。</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pStyle w:val="BodyText"/>
        <w:spacing w:line="520" w:lineRule="atLeast" w:before="60"/>
        <w:ind w:left="513" w:right="94"/>
        <w:jc w:val="left"/>
      </w:pPr>
      <w:r>
        <w:rPr/>
        <w:t>研究阶段的支出，于发生时计入当期损益。 </w:t>
      </w:r>
      <w:r>
        <w:rPr>
          <w:spacing w:val="-2"/>
        </w:rPr>
        <w:t>开发阶段的支出，同时满足下列条件的，才能予以资本化，即：完成该无形资产以使其能够使用或出售在技术上具有可</w:t>
      </w:r>
    </w:p>
    <w:p>
      <w:pPr>
        <w:pStyle w:val="BodyText"/>
        <w:spacing w:line="316" w:lineRule="auto" w:before="76"/>
        <w:ind w:right="190"/>
        <w:jc w:val="both"/>
      </w:pPr>
      <w:r>
        <w:rPr>
          <w:spacing w:val="-2"/>
        </w:rPr>
        <w:t>行性；具有完成该无形资产并使用或出售的意图；无形资产产生经济利益的方式，包括能够证明运用该无形资产生产的产品</w:t>
      </w:r>
      <w:r>
        <w:rPr>
          <w:spacing w:val="-63"/>
        </w:rPr>
        <w:t> </w:t>
      </w:r>
      <w:r>
        <w:rPr>
          <w:spacing w:val="-63"/>
        </w:rPr>
      </w:r>
      <w:r>
        <w:rPr>
          <w:spacing w:val="-2"/>
        </w:rPr>
        <w:t>存在市场或无形资产自身存在市场，无形资产将在内部使用的，能够证明其有用性；有足够的技术、财务资源和其他资源支</w:t>
      </w:r>
      <w:r>
        <w:rPr>
          <w:spacing w:val="-64"/>
        </w:rPr>
        <w:t> </w:t>
      </w:r>
      <w:r>
        <w:rPr>
          <w:spacing w:val="-64"/>
        </w:rPr>
      </w:r>
      <w:r>
        <w:rPr>
          <w:spacing w:val="-2"/>
        </w:rPr>
        <w:t>持，以完成该无形资产的开发，并有能力使用或出售该无形资产；归属于该无形资产开发阶段的支出能够可靠地计量。不满</w:t>
      </w:r>
      <w:r>
        <w:rPr>
          <w:spacing w:val="-65"/>
        </w:rPr>
        <w:t> </w:t>
      </w:r>
      <w:r>
        <w:rPr>
          <w:spacing w:val="-65"/>
        </w:rPr>
      </w:r>
      <w:r>
        <w:rPr/>
        <w:t>足上述条件的开发支出计入当期损益。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left="513" w:right="633"/>
        <w:jc w:val="left"/>
      </w:pPr>
      <w:r>
        <w:rPr/>
        <w:t>本公司研究开发项目在满足上述条件，通过技术可行性及经济可行性研究，形成项目立项后，进入开发阶段。 已资本化的开发阶段的支出在资产负债表上列示为开发支出，自该项目达到预定可使用状态之日转为无形资产。</w:t>
      </w:r>
    </w:p>
    <w:p>
      <w:pPr>
        <w:pStyle w:val="Heading3"/>
        <w:spacing w:line="240" w:lineRule="auto" w:before="132"/>
        <w:ind w:right="0"/>
        <w:jc w:val="both"/>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after="0" w:line="240"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94"/>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94"/>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94" w:firstLine="360"/>
        <w:jc w:val="left"/>
      </w:pPr>
      <w:r>
        <w:rPr>
          <w:spacing w:val="-2"/>
        </w:rPr>
        <w:t>销售商品收入确认时间的具体判断标准在已将商品所有权上的主要风险和报酬转移给购货方，既没有保留通常与所有权</w:t>
      </w:r>
      <w:r>
        <w:rPr/>
        <w:t> </w:t>
      </w:r>
      <w:r>
        <w:rPr>
          <w:spacing w:val="-2"/>
        </w:rPr>
        <w:t>相联系的继续管理权，也没有对已售商品实施有效控制，收入的金额能够可靠地计量，相关的经济利益很可能流入企业，相</w:t>
      </w:r>
      <w:r>
        <w:rPr>
          <w:spacing w:val="-64"/>
        </w:rPr>
        <w:t> </w:t>
      </w:r>
      <w:r>
        <w:rPr>
          <w:spacing w:val="-64"/>
        </w:rPr>
      </w:r>
      <w:r>
        <w:rPr>
          <w:spacing w:val="-2"/>
        </w:rPr>
        <w:t>关的已发生或将发生的成本能够可靠地计量时，确认商品销售收入的实现。本公司商品销售收入确认的具体方法如下：①</w:t>
      </w:r>
      <w:r>
        <w:rPr>
          <w:rFonts w:ascii="Times New Roman" w:hAnsi="Times New Roman" w:cs="Times New Roman" w:eastAsia="Times New Roman" w:hint="default"/>
          <w:spacing w:val="-2"/>
        </w:rPr>
        <w:t>IC</w:t>
      </w:r>
      <w:r>
        <w:rPr>
          <w:rFonts w:ascii="Times New Roman" w:hAnsi="Times New Roman" w:cs="Times New Roman" w:eastAsia="Times New Roman" w:hint="default"/>
          <w:spacing w:val="-14"/>
        </w:rPr>
        <w:t> </w:t>
      </w:r>
      <w:r>
        <w:rPr/>
        <w:t>卡销售收入：本公司</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卡销售业务包括</w:t>
      </w:r>
      <w:r>
        <w:rPr>
          <w:spacing w:val="-45"/>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卡介质的销售及</w:t>
      </w:r>
      <w:r>
        <w:rPr>
          <w:spacing w:val="-46"/>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卡嵌入式软件销售收入，由于</w:t>
      </w:r>
      <w:r>
        <w:rPr>
          <w:spacing w:val="-45"/>
        </w:rPr>
        <w:t> </w:t>
      </w:r>
      <w:r>
        <w:rPr>
          <w:rFonts w:ascii="Times New Roman" w:hAnsi="Times New Roman" w:cs="Times New Roman" w:eastAsia="Times New Roman" w:hint="default"/>
        </w:rPr>
        <w:t>IC</w:t>
      </w:r>
      <w:r>
        <w:rPr>
          <w:rFonts w:ascii="Times New Roman" w:hAnsi="Times New Roman" w:cs="Times New Roman" w:eastAsia="Times New Roman" w:hint="default"/>
          <w:spacing w:val="-1"/>
        </w:rPr>
        <w:t> </w:t>
      </w:r>
      <w:r>
        <w:rPr/>
        <w:t>卡嵌入式软件是随同</w:t>
      </w:r>
      <w:r>
        <w:rPr>
          <w:spacing w:val="-45"/>
        </w:rPr>
        <w:t> </w:t>
      </w:r>
      <w:r>
        <w:rPr>
          <w:rFonts w:ascii="Times New Roman" w:hAnsi="Times New Roman" w:cs="Times New Roman" w:eastAsia="Times New Roman" w:hint="default"/>
        </w:rPr>
        <w:t>IC</w:t>
      </w:r>
      <w:r>
        <w:rPr>
          <w:rFonts w:ascii="Times New Roman" w:hAnsi="Times New Roman" w:cs="Times New Roman" w:eastAsia="Times New Roman" w:hint="default"/>
          <w:spacing w:val="-3"/>
        </w:rPr>
        <w:t> </w:t>
      </w:r>
      <w:r>
        <w:rPr/>
        <w:t>卡 介质一并交付，故该嵌入式软件收入确认原则与</w:t>
      </w:r>
      <w:r>
        <w:rPr>
          <w:spacing w:val="-44"/>
        </w:rPr>
        <w:t> </w:t>
      </w:r>
      <w:r>
        <w:rPr>
          <w:rFonts w:ascii="Times New Roman" w:hAnsi="Times New Roman" w:cs="Times New Roman" w:eastAsia="Times New Roman" w:hint="default"/>
        </w:rPr>
        <w:t>IC </w:t>
      </w:r>
      <w:r>
        <w:rPr/>
        <w:t>卡介质收入确认原则相同。本公司</w:t>
      </w:r>
      <w:r>
        <w:rPr>
          <w:spacing w:val="-44"/>
        </w:rPr>
        <w:t> </w:t>
      </w:r>
      <w:r>
        <w:rPr>
          <w:rFonts w:ascii="Times New Roman" w:hAnsi="Times New Roman" w:cs="Times New Roman" w:eastAsia="Times New Roman" w:hint="default"/>
        </w:rPr>
        <w:t>IC </w:t>
      </w:r>
      <w:r>
        <w:rPr/>
        <w:t>卡根据《企业会计准则第</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 </w:t>
      </w:r>
      <w:r>
        <w:rPr/>
        <w:t>收入》中销售商品确认原则，在</w:t>
      </w:r>
      <w:r>
        <w:rPr>
          <w:spacing w:val="-53"/>
        </w:rPr>
        <w:t> </w:t>
      </w:r>
      <w:r>
        <w:rPr>
          <w:rFonts w:ascii="Times New Roman" w:hAnsi="Times New Roman" w:cs="Times New Roman" w:eastAsia="Times New Roman" w:hint="default"/>
        </w:rPr>
        <w:t>IC</w:t>
      </w:r>
      <w:r>
        <w:rPr>
          <w:rFonts w:ascii="Times New Roman" w:hAnsi="Times New Roman" w:cs="Times New Roman" w:eastAsia="Times New Roman" w:hint="default"/>
          <w:spacing w:val="-8"/>
        </w:rPr>
        <w:t> </w:t>
      </w:r>
      <w:r>
        <w:rPr/>
        <w:t>卡交付并取得客户验收确认后，相关的收入已经实现或取得收款的证据，本公司确认</w:t>
      </w:r>
      <w:r>
        <w:rPr>
          <w:spacing w:val="-53"/>
        </w:rPr>
        <w:t> </w:t>
      </w:r>
      <w:r>
        <w:rPr>
          <w:rFonts w:ascii="Times New Roman" w:hAnsi="Times New Roman" w:cs="Times New Roman" w:eastAsia="Times New Roman" w:hint="default"/>
        </w:rPr>
        <w:t>IC </w:t>
      </w:r>
      <w:r>
        <w:rPr/>
        <w:t>卡销售收入实现。②外购硬件销售收入：本公司外购硬件销售业务指本公司为客户提供系统集成所需硬件及配套办公设备， 该等硬件均为本公司外购硬件。本公司外购硬件业务根据《企业会计准则第</w:t>
      </w:r>
      <w:r>
        <w:rPr>
          <w:spacing w:val="-58"/>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收入》中销售商品收入确认原则，在商品 交付并经客户验收后，相关的收入已经实现或取得收款的证据，本公司确认外购硬件销售收入实现。③自制硬件销售收入： 本公司自制硬件指本公司自主研发的硬件设备，采用</w:t>
      </w:r>
      <w:r>
        <w:rPr>
          <w:spacing w:val="-44"/>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方式生产，主要包括</w:t>
      </w:r>
      <w:r>
        <w:rPr>
          <w:spacing w:val="-44"/>
        </w:rPr>
        <w:t> </w:t>
      </w:r>
      <w:r>
        <w:rPr>
          <w:rFonts w:ascii="Times New Roman" w:hAnsi="Times New Roman" w:cs="Times New Roman" w:eastAsia="Times New Roman" w:hint="default"/>
        </w:rPr>
        <w:t>IC </w:t>
      </w:r>
      <w:r>
        <w:rPr/>
        <w:t>卡读取设备、民生自助服务终端等。本 公司自制硬件销售业务收入根据《企业会计准则第</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4"/>
        </w:rPr>
        <w:t> </w:t>
      </w:r>
      <w:r>
        <w:rPr/>
        <w:t>号</w:t>
      </w:r>
      <w:r>
        <w:rPr>
          <w:rFonts w:ascii="Times New Roman" w:hAnsi="Times New Roman" w:cs="Times New Roman" w:eastAsia="Times New Roman" w:hint="default"/>
        </w:rPr>
        <w:t>-</w:t>
      </w:r>
      <w:r>
        <w:rPr/>
        <w:t>收入》中销售商品收入确认原则，在商品交付并经客户验收后，相 关的收入已经实现或取得收款的证据，本公司确认自制硬件销售收入实现。</w:t>
      </w:r>
    </w:p>
    <w:p>
      <w:pPr>
        <w:spacing w:line="240" w:lineRule="auto" w:before="2"/>
        <w:rPr>
          <w:rFonts w:ascii="宋体" w:hAnsi="宋体" w:cs="宋体" w:eastAsia="宋体" w:hint="default"/>
          <w:sz w:val="23"/>
          <w:szCs w:val="23"/>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04" w:right="94"/>
        <w:jc w:val="left"/>
      </w:pPr>
      <w:r>
        <w:rPr/>
        <w:t>本公司在与让渡资产使用权相关的经济利益能够流入和收入的金额能够可靠的计量时确认让渡资产使用权收入。</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t>本公司客户定制软件设计开发项目实质为提供劳务，本公司在资产负债表日，对于提供劳务交易结果能够可靠估计的， 采用完工百分比法确认提供的劳务收入。</w:t>
      </w:r>
    </w:p>
    <w:p>
      <w:pPr>
        <w:spacing w:line="240" w:lineRule="auto" w:before="12"/>
        <w:rPr>
          <w:rFonts w:ascii="宋体" w:hAnsi="宋体" w:cs="宋体" w:eastAsia="宋体" w:hint="default"/>
          <w:sz w:val="17"/>
          <w:szCs w:val="17"/>
        </w:rPr>
      </w:pPr>
    </w:p>
    <w:p>
      <w:pPr>
        <w:pStyle w:val="BodyText"/>
        <w:spacing w:line="516" w:lineRule="auto"/>
        <w:ind w:left="513" w:right="4593"/>
        <w:jc w:val="left"/>
      </w:pPr>
      <w:r>
        <w:rPr/>
        <w:t>提供劳务交易的结果能够可靠估计，是指同时满足下列条件： </w:t>
      </w:r>
      <w:r>
        <w:rPr>
          <w:rFonts w:ascii="Times New Roman" w:hAnsi="Times New Roman" w:cs="Times New Roman" w:eastAsia="Times New Roman" w:hint="default"/>
        </w:rPr>
        <w:t>a</w:t>
      </w:r>
      <w:r>
        <w:rPr/>
        <w:t>收入的金额能够可靠地计量； </w:t>
      </w:r>
      <w:r>
        <w:rPr>
          <w:rFonts w:ascii="Times New Roman" w:hAnsi="Times New Roman" w:cs="Times New Roman" w:eastAsia="Times New Roman" w:hint="default"/>
        </w:rPr>
        <w:t>b</w:t>
      </w:r>
      <w:r>
        <w:rPr/>
        <w:t>相关的经济利益很可能流入企业； </w:t>
      </w:r>
      <w:r>
        <w:rPr>
          <w:rFonts w:ascii="Times New Roman" w:hAnsi="Times New Roman" w:cs="Times New Roman" w:eastAsia="Times New Roman" w:hint="default"/>
        </w:rPr>
        <w:t>c</w:t>
      </w:r>
      <w:r>
        <w:rPr/>
        <w:t>交易的完工进度能够可靠地确定； </w:t>
      </w:r>
      <w:r>
        <w:rPr>
          <w:rFonts w:ascii="Times New Roman" w:hAnsi="Times New Roman" w:cs="Times New Roman" w:eastAsia="Times New Roman" w:hint="default"/>
        </w:rPr>
        <w:t>d</w:t>
      </w:r>
      <w:r>
        <w:rPr/>
        <w:t>交易中已发生和将发生的成本能够可靠地计量。</w:t>
      </w:r>
    </w:p>
    <w:p>
      <w:pPr>
        <w:pStyle w:val="BodyText"/>
        <w:spacing w:line="240" w:lineRule="auto" w:before="50"/>
        <w:ind w:left="513" w:right="94"/>
        <w:jc w:val="left"/>
      </w:pPr>
      <w:r>
        <w:rPr/>
        <w:t>在资产负债表日提供劳务交易结果不能够可靠估计的，分别下列情况处理：</w:t>
      </w:r>
    </w:p>
    <w:p>
      <w:pPr>
        <w:spacing w:line="240" w:lineRule="auto" w:before="5"/>
        <w:rPr>
          <w:rFonts w:ascii="宋体" w:hAnsi="宋体" w:cs="宋体" w:eastAsia="宋体" w:hint="default"/>
          <w:sz w:val="22"/>
          <w:szCs w:val="22"/>
        </w:rPr>
      </w:pPr>
    </w:p>
    <w:p>
      <w:pPr>
        <w:pStyle w:val="BodyText"/>
        <w:spacing w:line="300" w:lineRule="auto"/>
        <w:ind w:right="194" w:firstLine="360"/>
        <w:jc w:val="left"/>
      </w:pPr>
      <w:r>
        <w:rPr>
          <w:rFonts w:ascii="Times New Roman" w:hAnsi="Times New Roman" w:cs="Times New Roman" w:eastAsia="Times New Roman" w:hint="default"/>
        </w:rPr>
        <w:t>a</w:t>
      </w:r>
      <w:r>
        <w:rPr/>
        <w:t>已经发生的劳务成本预计能够得到补偿的，按照已经发生的劳务成本金额确认提供劳务收入，并按相同金额结转劳务 成本。</w:t>
      </w:r>
    </w:p>
    <w:p>
      <w:pPr>
        <w:spacing w:line="240" w:lineRule="auto" w:before="12"/>
        <w:rPr>
          <w:rFonts w:ascii="宋体" w:hAnsi="宋体" w:cs="宋体" w:eastAsia="宋体" w:hint="default"/>
          <w:sz w:val="18"/>
          <w:szCs w:val="18"/>
        </w:rPr>
      </w:pPr>
    </w:p>
    <w:p>
      <w:pPr>
        <w:pStyle w:val="BodyText"/>
        <w:spacing w:line="240" w:lineRule="auto"/>
        <w:ind w:left="513" w:right="94"/>
        <w:jc w:val="left"/>
      </w:pPr>
      <w:r>
        <w:rPr>
          <w:rFonts w:ascii="Times New Roman" w:hAnsi="Times New Roman" w:cs="Times New Roman" w:eastAsia="Times New Roman" w:hint="default"/>
        </w:rPr>
        <w:t>b</w:t>
      </w:r>
      <w:r>
        <w:rPr/>
        <w:t>已经发生的劳务成本预计不能够得到补偿的，将已经发生的劳务成本计入当期损益，不确认提供劳务收入。</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94"/>
        <w:jc w:val="left"/>
      </w:pPr>
      <w:r>
        <w:rPr/>
        <w:t>①客户定制软件设计开发收入</w:t>
      </w:r>
    </w:p>
    <w:p>
      <w:pPr>
        <w:spacing w:line="240" w:lineRule="auto" w:before="5"/>
        <w:rPr>
          <w:rFonts w:ascii="宋体" w:hAnsi="宋体" w:cs="宋体" w:eastAsia="宋体" w:hint="default"/>
          <w:sz w:val="22"/>
          <w:szCs w:val="22"/>
        </w:rPr>
      </w:pPr>
    </w:p>
    <w:p>
      <w:pPr>
        <w:pStyle w:val="BodyText"/>
        <w:spacing w:line="316" w:lineRule="auto"/>
        <w:ind w:right="94" w:firstLine="360"/>
        <w:jc w:val="left"/>
      </w:pPr>
      <w:r>
        <w:rPr/>
        <w:t>本公司客户定制软件设计开发项目指本公司依据客户特定要求在本公司原有软件平台基础上进行开发实施或根据客户 要求定制的软件设计和开发项目。</w:t>
      </w:r>
    </w:p>
    <w:p>
      <w:pPr>
        <w:spacing w:line="240" w:lineRule="auto" w:before="12"/>
        <w:rPr>
          <w:rFonts w:ascii="宋体" w:hAnsi="宋体" w:cs="宋体" w:eastAsia="宋体" w:hint="default"/>
          <w:sz w:val="17"/>
          <w:szCs w:val="17"/>
        </w:rPr>
      </w:pPr>
    </w:p>
    <w:p>
      <w:pPr>
        <w:pStyle w:val="BodyText"/>
        <w:spacing w:line="240" w:lineRule="auto"/>
        <w:ind w:left="513" w:right="94"/>
        <w:jc w:val="left"/>
      </w:pPr>
      <w:r>
        <w:rPr/>
        <w:t>本公司采用已经完成的合同工作量占合同预计总工作量的比例确定合同完工进度。</w:t>
      </w:r>
    </w:p>
    <w:p>
      <w:pPr>
        <w:pStyle w:val="BodyText"/>
        <w:spacing w:line="520" w:lineRule="atLeast" w:before="8"/>
        <w:ind w:left="513" w:right="94"/>
        <w:jc w:val="left"/>
      </w:pPr>
      <w:r>
        <w:rPr/>
        <w:t>②系统集成收入： </w:t>
      </w:r>
      <w:r>
        <w:rPr>
          <w:spacing w:val="-2"/>
        </w:rPr>
        <w:t>本公司系统集成项目在系统安装调试完毕且项目经过客户初步验收后，相关的收入已经实现或取得收款的证据，本公司</w:t>
      </w:r>
    </w:p>
    <w:p>
      <w:pPr>
        <w:pStyle w:val="BodyText"/>
        <w:spacing w:line="240" w:lineRule="auto" w:before="76"/>
        <w:ind w:right="94"/>
        <w:jc w:val="left"/>
      </w:pPr>
      <w:r>
        <w:rPr/>
        <w:t>确认系统集成收入实现。</w:t>
      </w:r>
    </w:p>
    <w:p>
      <w:pPr>
        <w:spacing w:line="240" w:lineRule="auto" w:before="5"/>
        <w:rPr>
          <w:rFonts w:ascii="宋体" w:hAnsi="宋体" w:cs="宋体" w:eastAsia="宋体" w:hint="default"/>
          <w:sz w:val="22"/>
          <w:szCs w:val="22"/>
        </w:rPr>
      </w:pPr>
    </w:p>
    <w:p>
      <w:pPr>
        <w:pStyle w:val="BodyText"/>
        <w:spacing w:line="537" w:lineRule="auto"/>
        <w:ind w:left="513" w:right="2613"/>
        <w:jc w:val="left"/>
      </w:pPr>
      <w:r>
        <w:rPr/>
        <w:t>③技术服务收入 本公司在提供技术服务期间内，在劳务提供后，根据合同约定服务期间分期确认收入。</w:t>
      </w:r>
    </w:p>
    <w:p>
      <w:pPr>
        <w:pStyle w:val="Heading3"/>
        <w:spacing w:line="240" w:lineRule="auto" w:before="133"/>
        <w:ind w:right="94"/>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本公司采用已经完成的合同工作量占合同预计总工作量的比例确定合同完工进度。</w:t>
      </w:r>
    </w:p>
    <w:p>
      <w:pPr>
        <w:spacing w:line="240" w:lineRule="auto" w:before="0"/>
        <w:rPr>
          <w:rFonts w:ascii="宋体" w:hAnsi="宋体" w:cs="宋体" w:eastAsia="宋体" w:hint="default"/>
          <w:sz w:val="18"/>
          <w:szCs w:val="18"/>
        </w:rPr>
      </w:pPr>
    </w:p>
    <w:p>
      <w:pPr>
        <w:pStyle w:val="Heading3"/>
        <w:spacing w:line="240" w:lineRule="auto" w:before="120"/>
        <w:ind w:right="9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1</w:t>
      </w:r>
      <w:r>
        <w:rPr/>
        <w:t>、与资产相关的政府补助</w:t>
      </w:r>
      <w:r>
        <w:rPr>
          <w:spacing w:val="-45"/>
        </w:rPr>
        <w:t> </w:t>
      </w:r>
      <w:r>
        <w:rPr>
          <w:rFonts w:ascii="Times New Roman" w:hAnsi="Times New Roman" w:cs="Times New Roman" w:eastAsia="Times New Roman" w:hint="default"/>
        </w:rPr>
        <w:t>2</w:t>
      </w:r>
      <w:r>
        <w:rPr/>
        <w:t>、与收益相关的政府补助</w:t>
      </w:r>
    </w:p>
    <w:p>
      <w:pPr>
        <w:spacing w:line="240" w:lineRule="auto" w:before="13"/>
        <w:rPr>
          <w:rFonts w:ascii="宋体" w:hAnsi="宋体" w:cs="宋体" w:eastAsia="宋体" w:hint="default"/>
          <w:sz w:val="25"/>
          <w:szCs w:val="25"/>
        </w:rPr>
      </w:pPr>
    </w:p>
    <w:p>
      <w:pPr>
        <w:pStyle w:val="Heading3"/>
        <w:spacing w:line="240" w:lineRule="auto"/>
        <w:ind w:right="94"/>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94" w:firstLine="360"/>
        <w:jc w:val="left"/>
      </w:pPr>
      <w:r>
        <w:rPr>
          <w:spacing w:val="-2"/>
        </w:rPr>
        <w:t>对于货币性资产的政府补助，按照收到或应收的金额计量。其中，存在确凿证据表明该项补助是按照固定的定额标准拨</w:t>
      </w:r>
      <w:r>
        <w:rPr/>
        <w:t> 付的，可以按照应收的金额计量，否则应当按照实际收到的金额计量。对于非货币性资产的政府补助，按照公允价值计量； 公允价值不能够可靠取得的，按照名义金额</w:t>
      </w:r>
      <w:r>
        <w:rPr>
          <w:rFonts w:ascii="Times New Roman" w:hAnsi="Times New Roman" w:cs="Times New Roman" w:eastAsia="Times New Roman" w:hint="default"/>
        </w:rPr>
        <w:t>1</w:t>
      </w:r>
      <w:r>
        <w:rPr/>
        <w:t>元计量。</w:t>
      </w:r>
    </w:p>
    <w:p>
      <w:pPr>
        <w:spacing w:line="240" w:lineRule="auto" w:before="6"/>
        <w:rPr>
          <w:rFonts w:ascii="宋体" w:hAnsi="宋体" w:cs="宋体" w:eastAsia="宋体" w:hint="default"/>
          <w:sz w:val="16"/>
          <w:szCs w:val="16"/>
        </w:rPr>
      </w:pPr>
    </w:p>
    <w:p>
      <w:pPr>
        <w:pStyle w:val="BodyText"/>
        <w:spacing w:line="316" w:lineRule="auto"/>
        <w:ind w:right="94" w:firstLine="360"/>
        <w:jc w:val="left"/>
      </w:pPr>
      <w:r>
        <w:rPr>
          <w:spacing w:val="-4"/>
        </w:rPr>
        <w:t>与资产相关的政府补助，确认为递延收益，并在相关资产使用期限内平均分配，计入当期损益。与收益相关的政府补助，</w:t>
      </w:r>
      <w:r>
        <w:rPr/>
        <w:t> </w:t>
      </w:r>
      <w:r>
        <w:rPr>
          <w:spacing w:val="-2"/>
        </w:rPr>
        <w:t>如果用于补偿已发生的相关费用或损失，则计入当期损益；如果用于补偿以后期间的相关费用或损失，则计入递延收益，于</w:t>
      </w:r>
      <w:r>
        <w:rPr>
          <w:spacing w:val="-66"/>
        </w:rPr>
        <w:t> </w:t>
      </w:r>
      <w:r>
        <w:rPr>
          <w:spacing w:val="-66"/>
        </w:rPr>
      </w:r>
      <w:r>
        <w:rPr/>
        <w:t>费用确认期间计入当期损益。按照名义金额计量的政府补助，直接计入当期损益。</w:t>
      </w:r>
    </w:p>
    <w:p>
      <w:pPr>
        <w:spacing w:line="240" w:lineRule="auto" w:before="12"/>
        <w:rPr>
          <w:rFonts w:ascii="宋体" w:hAnsi="宋体" w:cs="宋体" w:eastAsia="宋体" w:hint="default"/>
          <w:sz w:val="17"/>
          <w:szCs w:val="17"/>
        </w:rPr>
      </w:pPr>
    </w:p>
    <w:p>
      <w:pPr>
        <w:pStyle w:val="BodyText"/>
        <w:spacing w:line="316" w:lineRule="auto"/>
        <w:ind w:right="94" w:firstLine="360"/>
        <w:jc w:val="left"/>
      </w:pPr>
      <w:r>
        <w:rPr>
          <w:spacing w:val="-2"/>
        </w:rPr>
        <w:t>已确认的政府补助需要返还时，存在相关递延收益余额的，冲减相关递延收益账面余额，超出部分计入当期损益；不存</w:t>
      </w:r>
      <w:r>
        <w:rPr/>
        <w:t> 在相关递延收益的，直接计入当期损益。</w:t>
      </w:r>
    </w:p>
    <w:p>
      <w:pPr>
        <w:spacing w:line="240" w:lineRule="auto" w:before="10"/>
        <w:rPr>
          <w:rFonts w:ascii="宋体" w:hAnsi="宋体" w:cs="宋体" w:eastAsia="宋体" w:hint="default"/>
          <w:sz w:val="22"/>
          <w:szCs w:val="22"/>
        </w:rPr>
      </w:pPr>
    </w:p>
    <w:p>
      <w:pPr>
        <w:pStyle w:val="Heading3"/>
        <w:spacing w:line="240" w:lineRule="auto"/>
        <w:ind w:right="9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9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94" w:firstLine="360"/>
        <w:jc w:val="left"/>
      </w:pPr>
      <w:r>
        <w:rPr>
          <w:spacing w:val="-4"/>
        </w:rPr>
        <w:t>对于可抵扣暂时性差异、能够结转以后年度的可抵扣亏损和税款抵减，本公司以很可能取得用来抵扣可抵扣暂时性差异、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spacing w:val="-2"/>
        </w:rPr>
        <w:t>中产生的：</w:t>
      </w:r>
      <w:r>
        <w:rPr>
          <w:rFonts w:ascii="Times New Roman" w:hAnsi="Times New Roman" w:cs="Times New Roman" w:eastAsia="Times New Roman" w:hint="default"/>
          <w:spacing w:val="-2"/>
        </w:rPr>
        <w:t>1</w:t>
      </w:r>
      <w:r>
        <w:rPr>
          <w:spacing w:val="-2"/>
        </w:rPr>
        <w:t>、该交易不是企业合并，并且交易发生时既不影响会计利润也不影响应纳税所得额；</w:t>
      </w:r>
      <w:r>
        <w:rPr>
          <w:rFonts w:ascii="Times New Roman" w:hAnsi="Times New Roman" w:cs="Times New Roman" w:eastAsia="Times New Roman" w:hint="default"/>
          <w:spacing w:val="-2"/>
        </w:rPr>
        <w:t>2</w:t>
      </w:r>
      <w:r>
        <w:rPr>
          <w:spacing w:val="-2"/>
        </w:rPr>
        <w:t>、对于与子公司、合营企</w:t>
      </w:r>
      <w:r>
        <w:rPr>
          <w:spacing w:val="-66"/>
        </w:rPr>
        <w:t> </w:t>
      </w:r>
      <w:r>
        <w:rPr>
          <w:spacing w:val="-66"/>
        </w:rPr>
      </w:r>
      <w:r>
        <w:rPr>
          <w:spacing w:val="-2"/>
        </w:rPr>
        <w:t>业及联营企业投资相关的可抵扣暂时性差异，同时满足下列条件的，确认相应的递延所得税资产：暂时性差异在可预见的未</w:t>
      </w:r>
    </w:p>
    <w:p>
      <w:pPr>
        <w:spacing w:after="0" w:line="312"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来很可能转回，且未来很可能获得用来抵扣可抵扣暂时性差异</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51" w:firstLine="360"/>
        <w:jc w:val="both"/>
      </w:pPr>
      <w:r>
        <w:rPr/>
        <w:t>各项应纳税暂时性差异均确认相关的递延所得税负债，除非该应纳税暂时性差异是在以下交易中产生的：</w:t>
      </w:r>
      <w:r>
        <w:rPr>
          <w:rFonts w:ascii="Times New Roman" w:hAnsi="Times New Roman" w:cs="Times New Roman" w:eastAsia="Times New Roman" w:hint="default"/>
        </w:rPr>
        <w:t>1</w:t>
      </w:r>
      <w:r>
        <w:rPr/>
        <w:t>、商誉的初 </w:t>
      </w:r>
      <w:r>
        <w:rPr>
          <w:spacing w:val="-2"/>
        </w:rPr>
        <w:t>始确认，或者具有以下特征的交易中产生的资产或负债的初始确认：该交易不是企业合并，并且交易发生时，既不影响会计</w:t>
      </w:r>
      <w:r>
        <w:rPr>
          <w:spacing w:val="-64"/>
        </w:rPr>
        <w:t> </w:t>
      </w:r>
      <w:r>
        <w:rPr>
          <w:spacing w:val="-64"/>
        </w:rPr>
      </w:r>
      <w:r>
        <w:rPr/>
        <w:t>利润也不影响应纳税所得额；</w:t>
      </w:r>
    </w:p>
    <w:p>
      <w:pPr>
        <w:spacing w:line="240" w:lineRule="auto" w:before="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4"/>
        <w:rPr>
          <w:rFonts w:ascii="宋体" w:hAnsi="宋体" w:cs="宋体" w:eastAsia="宋体" w:hint="default"/>
          <w:b/>
          <w:bCs/>
          <w:sz w:val="26"/>
          <w:szCs w:val="26"/>
        </w:rPr>
      </w:pPr>
    </w:p>
    <w:p>
      <w:pPr>
        <w:pStyle w:val="BodyText"/>
        <w:spacing w:line="508" w:lineRule="auto"/>
        <w:ind w:left="513" w:right="413"/>
        <w:jc w:val="left"/>
      </w:pPr>
      <w:r>
        <w:rPr/>
        <w:t>（</w:t>
      </w:r>
      <w:r>
        <w:rPr>
          <w:rFonts w:ascii="Times New Roman" w:hAnsi="Times New Roman" w:cs="Times New Roman" w:eastAsia="Times New Roman" w:hint="default"/>
        </w:rPr>
        <w:t>1</w:t>
      </w:r>
      <w:r>
        <w:rPr/>
        <w:t>）本公司作为出租人 经营租赁中的租金，本公司在租赁期内各个期间按照直线法确认当期损益。发生的初始直接费用，计入当期损益。</w:t>
      </w:r>
    </w:p>
    <w:p>
      <w:pPr>
        <w:pStyle w:val="BodyText"/>
        <w:spacing w:line="240" w:lineRule="auto" w:before="91"/>
        <w:ind w:left="513" w:right="0"/>
        <w:jc w:val="left"/>
      </w:pPr>
      <w:r>
        <w:rPr/>
        <w:t>（</w:t>
      </w:r>
      <w:r>
        <w:rPr>
          <w:rFonts w:ascii="Times New Roman" w:hAnsi="Times New Roman" w:cs="Times New Roman" w:eastAsia="Times New Roman" w:hint="default"/>
        </w:rPr>
        <w:t>2</w:t>
      </w:r>
      <w:r>
        <w:rPr/>
        <w:t>）本公司作为承租人</w:t>
      </w:r>
    </w:p>
    <w:p>
      <w:pPr>
        <w:spacing w:line="240" w:lineRule="auto" w:before="4"/>
        <w:rPr>
          <w:rFonts w:ascii="宋体" w:hAnsi="宋体" w:cs="宋体" w:eastAsia="宋体" w:hint="default"/>
          <w:sz w:val="21"/>
          <w:szCs w:val="21"/>
        </w:rPr>
      </w:pPr>
    </w:p>
    <w:p>
      <w:pPr>
        <w:pStyle w:val="BodyText"/>
        <w:spacing w:line="316" w:lineRule="auto"/>
        <w:ind w:right="0" w:firstLine="360"/>
        <w:jc w:val="left"/>
      </w:pPr>
      <w:r>
        <w:rPr>
          <w:spacing w:val="-2"/>
        </w:rPr>
        <w:t>经营租赁中的租金，本公司在租赁期内各个期间按照直线法计入相关资产成本或当期损益。发生的初始直接费用，计入</w:t>
      </w:r>
      <w:r>
        <w:rPr/>
        <w:t> 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本报告期主要会计政策、会计估计是否变更</w:t>
      </w:r>
    </w:p>
    <w:p>
      <w:pPr>
        <w:pStyle w:val="BodyText"/>
        <w:spacing w:line="240" w:lineRule="auto" w:before="117"/>
        <w:ind w:left="5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本报告期主要会计政策是否变更</w:t>
      </w:r>
    </w:p>
    <w:p>
      <w:pPr>
        <w:pStyle w:val="BodyText"/>
        <w:spacing w:line="340" w:lineRule="auto" w:before="115"/>
        <w:ind w:left="513" w:right="6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本报告期主要会计政策未发生变更。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本报告期主要会计估计是否变更</w:t>
      </w:r>
    </w:p>
    <w:p>
      <w:pPr>
        <w:pStyle w:val="BodyText"/>
        <w:spacing w:line="340" w:lineRule="auto" w:before="117"/>
        <w:ind w:left="513" w:right="6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本报告期主要会计估计未发生变更。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本报告期是否发现前期会计差错</w:t>
      </w:r>
    </w:p>
    <w:p>
      <w:pPr>
        <w:pStyle w:val="BodyText"/>
        <w:spacing w:line="340" w:lineRule="auto" w:before="117"/>
        <w:ind w:left="513" w:right="65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本报告期未发生前期会计差错更正。</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本报告期是否发现采用追溯重述法的前期会计差错</w:t>
      </w:r>
    </w:p>
    <w:p>
      <w:pPr>
        <w:pStyle w:val="BodyText"/>
        <w:spacing w:line="240" w:lineRule="auto" w:before="117"/>
        <w:ind w:left="5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本报告期是否发现采用未来适用法的前期会计差错</w:t>
      </w:r>
    </w:p>
    <w:p>
      <w:pPr>
        <w:pStyle w:val="BodyText"/>
        <w:spacing w:line="240" w:lineRule="auto" w:before="117"/>
        <w:ind w:left="51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技术服务等劳务收入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519"/>
        <w:gridCol w:w="3024"/>
        <w:gridCol w:w="3027"/>
      </w:tblGrid>
      <w:tr>
        <w:trPr>
          <w:trHeight w:val="403" w:hRule="exact"/>
        </w:trPr>
        <w:tc>
          <w:tcPr>
            <w:tcW w:w="3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219"/>
        <w:jc w:val="left"/>
      </w:pPr>
      <w:r>
        <w:rPr/>
        <w:t>各分公司、分厂执行的所得税税率</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6669"/>
        <w:gridCol w:w="2715"/>
      </w:tblGrid>
      <w:tr>
        <w:trPr>
          <w:trHeight w:val="391"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15%</w:t>
            </w:r>
          </w:p>
        </w:tc>
      </w:tr>
      <w:tr>
        <w:trPr>
          <w:trHeight w:val="374"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15%</w:t>
            </w:r>
          </w:p>
        </w:tc>
      </w:tr>
      <w:tr>
        <w:trPr>
          <w:trHeight w:val="391"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z w:val="18"/>
              </w:rPr>
              <w:t>15%</w:t>
            </w:r>
          </w:p>
        </w:tc>
      </w:tr>
      <w:tr>
        <w:trPr>
          <w:trHeight w:val="374"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z w:val="18"/>
              </w:rPr>
              <w:t>15%</w:t>
            </w:r>
          </w:p>
        </w:tc>
      </w:tr>
      <w:tr>
        <w:trPr>
          <w:trHeight w:val="377"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z w:val="18"/>
              </w:rPr>
              <w:t>25%</w:t>
            </w:r>
          </w:p>
        </w:tc>
      </w:tr>
      <w:tr>
        <w:trPr>
          <w:trHeight w:val="389"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25%</w:t>
            </w:r>
          </w:p>
        </w:tc>
      </w:tr>
      <w:tr>
        <w:trPr>
          <w:trHeight w:val="377"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大连易联众科技有限公司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25%</w:t>
            </w:r>
          </w:p>
        </w:tc>
      </w:tr>
      <w:tr>
        <w:trPr>
          <w:trHeight w:val="375"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25%</w:t>
            </w:r>
          </w:p>
        </w:tc>
      </w:tr>
      <w:tr>
        <w:trPr>
          <w:trHeight w:val="391"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25%</w:t>
            </w:r>
          </w:p>
        </w:tc>
      </w:tr>
      <w:tr>
        <w:trPr>
          <w:trHeight w:val="374"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8"/>
              <w:jc w:val="right"/>
              <w:rPr>
                <w:rFonts w:ascii="Times New Roman" w:hAnsi="Times New Roman" w:cs="Times New Roman" w:eastAsia="Times New Roman" w:hint="default"/>
                <w:sz w:val="18"/>
                <w:szCs w:val="18"/>
              </w:rPr>
            </w:pPr>
            <w:r>
              <w:rPr>
                <w:rFonts w:ascii="Times New Roman"/>
                <w:sz w:val="18"/>
              </w:rPr>
              <w:t>25%</w:t>
            </w:r>
          </w:p>
        </w:tc>
      </w:tr>
      <w:tr>
        <w:trPr>
          <w:trHeight w:val="377" w:hRule="exact"/>
        </w:trPr>
        <w:tc>
          <w:tcPr>
            <w:tcW w:w="66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27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z w:val="18"/>
              </w:rPr>
              <w:t>25%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219"/>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firstLine="360"/>
        <w:jc w:val="left"/>
      </w:pPr>
      <w:r>
        <w:rPr>
          <w:spacing w:val="-4"/>
        </w:rPr>
        <w:t>说明</w:t>
      </w:r>
      <w:r>
        <w:rPr>
          <w:rFonts w:ascii="Times New Roman" w:hAnsi="Times New Roman" w:cs="Times New Roman" w:eastAsia="Times New Roman" w:hint="default"/>
          <w:spacing w:val="-4"/>
        </w:rPr>
        <w:t>1</w:t>
      </w:r>
      <w:r>
        <w:rPr>
          <w:spacing w:val="-4"/>
        </w:rPr>
        <w:t>：根据</w:t>
      </w:r>
      <w:r>
        <w:rPr>
          <w:rFonts w:ascii="Times New Roman" w:hAnsi="Times New Roman" w:cs="Times New Roman" w:eastAsia="Times New Roman" w:hint="default"/>
          <w:spacing w:val="-4"/>
        </w:rPr>
        <w:t>“</w:t>
      </w:r>
      <w:r>
        <w:rPr>
          <w:spacing w:val="-4"/>
        </w:rPr>
        <w:t>财税</w:t>
      </w:r>
      <w:r>
        <w:rPr>
          <w:rFonts w:ascii="Times New Roman" w:hAnsi="Times New Roman" w:cs="Times New Roman" w:eastAsia="Times New Roman" w:hint="default"/>
          <w:spacing w:val="-4"/>
        </w:rPr>
        <w:t>[2011]100</w:t>
      </w:r>
      <w:r>
        <w:rPr>
          <w:spacing w:val="-4"/>
        </w:rPr>
        <w:t>号</w:t>
      </w:r>
      <w:r>
        <w:rPr>
          <w:rFonts w:ascii="Times New Roman" w:hAnsi="Times New Roman" w:cs="Times New Roman" w:eastAsia="Times New Roman" w:hint="default"/>
          <w:spacing w:val="-4"/>
        </w:rPr>
        <w:t>”</w:t>
      </w:r>
      <w:r>
        <w:rPr>
          <w:spacing w:val="-4"/>
        </w:rPr>
        <w:t>文《财政部</w:t>
      </w:r>
      <w:r>
        <w:rPr>
          <w:spacing w:val="18"/>
        </w:rPr>
        <w:t> </w:t>
      </w:r>
      <w:r>
        <w:rPr>
          <w:spacing w:val="-3"/>
        </w:rPr>
        <w:t>国家税务总局关于软件产品增值税政策的通知》的规定，自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w:t>
      </w:r>
      <w:r>
        <w:rPr/>
        <w:t> 本公司及子公司销售自行开发生产的软件产品，按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w:t>
      </w:r>
      <w:r>
        <w:rPr>
          <w:spacing w:val="-29"/>
        </w:rPr>
        <w:t> </w:t>
      </w:r>
      <w:r>
        <w:rPr>
          <w:spacing w:val="-29"/>
        </w:rPr>
      </w:r>
      <w:r>
        <w:rPr/>
        <w:t>即征即退政策。</w:t>
      </w:r>
    </w:p>
    <w:p>
      <w:pPr>
        <w:spacing w:line="240" w:lineRule="auto" w:before="12"/>
        <w:rPr>
          <w:rFonts w:ascii="宋体" w:hAnsi="宋体" w:cs="宋体" w:eastAsia="宋体" w:hint="default"/>
          <w:sz w:val="18"/>
          <w:szCs w:val="18"/>
        </w:rPr>
      </w:pPr>
    </w:p>
    <w:p>
      <w:pPr>
        <w:pStyle w:val="BodyText"/>
        <w:spacing w:line="309" w:lineRule="auto"/>
        <w:ind w:right="212" w:firstLine="360"/>
        <w:jc w:val="both"/>
      </w:pPr>
      <w:r>
        <w:rPr/>
        <w:t>说明</w:t>
      </w:r>
      <w:r>
        <w:rPr>
          <w:rFonts w:ascii="Times New Roman" w:hAnsi="Times New Roman" w:cs="Times New Roman" w:eastAsia="Times New Roman" w:hint="default"/>
        </w:rPr>
        <w:t>2</w:t>
      </w:r>
      <w:r>
        <w:rPr/>
        <w:t>：根据财政部和国家税务总局</w:t>
      </w:r>
      <w:r>
        <w:rPr>
          <w:rFonts w:ascii="Times New Roman" w:hAnsi="Times New Roman" w:cs="Times New Roman" w:eastAsia="Times New Roman" w:hint="default"/>
        </w:rPr>
        <w:t>“</w:t>
      </w:r>
      <w:r>
        <w:rPr/>
        <w:t>财税字</w:t>
      </w:r>
      <w:r>
        <w:rPr>
          <w:rFonts w:ascii="Times New Roman" w:hAnsi="Times New Roman" w:cs="Times New Roman" w:eastAsia="Times New Roman" w:hint="default"/>
        </w:rPr>
        <w:t>[1999]273</w:t>
      </w:r>
      <w:r>
        <w:rPr/>
        <w:t>号</w:t>
      </w:r>
      <w:r>
        <w:rPr>
          <w:rFonts w:ascii="Times New Roman" w:hAnsi="Times New Roman" w:cs="Times New Roman" w:eastAsia="Times New Roman" w:hint="default"/>
        </w:rPr>
        <w:t>”</w:t>
      </w:r>
      <w:r>
        <w:rPr/>
        <w:t>文《关于贯彻落实〈中共中央国务院关于加强技术创新，发展 </w:t>
      </w:r>
      <w:r>
        <w:rPr>
          <w:spacing w:val="-2"/>
        </w:rPr>
        <w:t>高科技，实现产业化的决定〉有关税收问题的通知》，从事技术转让、技术开发业务和与之相关的技术咨询、技术服务业务</w:t>
      </w:r>
      <w:r>
        <w:rPr>
          <w:spacing w:val="-68"/>
        </w:rPr>
        <w:t> </w:t>
      </w:r>
      <w:r>
        <w:rPr>
          <w:spacing w:val="-68"/>
        </w:rPr>
      </w:r>
      <w:r>
        <w:rPr/>
        <w:t>取得的收入，免征营业税。本公司及子公司的技术开发、技术转让收入免征营业税。</w:t>
      </w:r>
    </w:p>
    <w:p>
      <w:pPr>
        <w:spacing w:line="240" w:lineRule="auto" w:before="5"/>
        <w:rPr>
          <w:rFonts w:ascii="宋体" w:hAnsi="宋体" w:cs="宋体" w:eastAsia="宋体" w:hint="default"/>
          <w:sz w:val="18"/>
          <w:szCs w:val="18"/>
        </w:rPr>
      </w:pPr>
    </w:p>
    <w:p>
      <w:pPr>
        <w:pStyle w:val="BodyText"/>
        <w:spacing w:line="300" w:lineRule="auto"/>
        <w:ind w:right="210" w:firstLine="360"/>
        <w:jc w:val="both"/>
      </w:pPr>
      <w:r>
        <w:rPr>
          <w:spacing w:val="-2"/>
        </w:rPr>
        <w:t>说明</w:t>
      </w: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日被厦门市科学技术局等相关部门认定为高新技术企业，根据《中华人民共和国企业所得</w:t>
      </w:r>
      <w:r>
        <w:rPr/>
        <w:t> 税法》及相关法规规定，本公司</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211" w:firstLine="360"/>
        <w:jc w:val="both"/>
      </w:pPr>
      <w:r>
        <w:rPr/>
        <w:t>说明</w:t>
      </w:r>
      <w:r>
        <w:rPr>
          <w:rFonts w:ascii="Times New Roman" w:hAnsi="Times New Roman" w:cs="Times New Roman" w:eastAsia="Times New Roman" w:hint="default"/>
        </w:rPr>
        <w:t>4</w:t>
      </w:r>
      <w:r>
        <w:rPr/>
        <w:t>：本公司控股子公司安徽易联众信息技术有限公司（以下简称</w:t>
      </w:r>
      <w:r>
        <w:rPr>
          <w:rFonts w:ascii="Times New Roman" w:hAnsi="Times New Roman" w:cs="Times New Roman" w:eastAsia="Times New Roman" w:hint="default"/>
        </w:rPr>
        <w:t>“</w:t>
      </w:r>
      <w:r>
        <w:rPr/>
        <w:t>安徽易联众</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日被安徽省科学技 术厅等相关部门认定为高新技术企业。根据《中华人民共和国企业所得税法》及相关法规规定，安徽易联众</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2013</w:t>
      </w:r>
      <w:r>
        <w:rPr>
          <w:rFonts w:ascii="Times New Roman" w:hAnsi="Times New Roman" w:cs="Times New Roman" w:eastAsia="Times New Roman" w:hint="default"/>
          <w:spacing w:val="31"/>
        </w:rPr>
        <w:t> </w:t>
      </w:r>
      <w:r>
        <w:rPr/>
        <w:t>年减按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208" w:firstLine="360"/>
        <w:jc w:val="both"/>
      </w:pPr>
      <w:r>
        <w:rPr>
          <w:spacing w:val="-2"/>
        </w:rPr>
        <w:t>说明</w:t>
      </w:r>
      <w:r>
        <w:rPr>
          <w:rFonts w:ascii="Times New Roman" w:hAnsi="Times New Roman" w:cs="Times New Roman" w:eastAsia="Times New Roman" w:hint="default"/>
          <w:spacing w:val="-2"/>
        </w:rPr>
        <w:t>5</w:t>
      </w:r>
      <w:r>
        <w:rPr>
          <w:spacing w:val="-2"/>
        </w:rPr>
        <w:t>：本公司全资子公司山西易联众信息技术有限公司（以下简称</w:t>
      </w:r>
      <w:r>
        <w:rPr>
          <w:rFonts w:ascii="Times New Roman" w:hAnsi="Times New Roman" w:cs="Times New Roman" w:eastAsia="Times New Roman" w:hint="default"/>
          <w:spacing w:val="-2"/>
        </w:rPr>
        <w:t>“</w:t>
      </w:r>
      <w:r>
        <w:rPr>
          <w:spacing w:val="-2"/>
        </w:rPr>
        <w:t>山西易联众</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w:t>
      </w:r>
      <w:r>
        <w:rPr>
          <w:spacing w:val="-2"/>
        </w:rPr>
        <w:t>日被山西省科学技术</w:t>
      </w:r>
      <w:r>
        <w:rPr/>
        <w:t> </w:t>
      </w:r>
      <w:r>
        <w:rPr>
          <w:spacing w:val="-2"/>
        </w:rPr>
        <w:t>厅等相关部门认定为高新技术企业。根据《中华人民共和国企业所得税法》及相关法规规定，山西易联众</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2014</w:t>
      </w:r>
      <w:r>
        <w:rPr>
          <w:spacing w:val="-2"/>
        </w:rPr>
        <w:t>年减</w:t>
      </w:r>
      <w:r>
        <w:rPr>
          <w:spacing w:val="-57"/>
        </w:rPr>
        <w:t> </w:t>
      </w:r>
      <w:r>
        <w:rPr/>
        <w:t>按</w:t>
      </w:r>
      <w:r>
        <w:rPr>
          <w:rFonts w:ascii="Times New Roman" w:hAnsi="Times New Roman" w:cs="Times New Roman" w:eastAsia="Times New Roman" w:hint="default"/>
        </w:rPr>
        <w:t>15%</w:t>
      </w:r>
      <w:r>
        <w:rPr/>
        <w:t>税率缴纳企业所得税。</w:t>
      </w:r>
    </w:p>
    <w:p>
      <w:pPr>
        <w:spacing w:line="240" w:lineRule="auto" w:before="7"/>
        <w:rPr>
          <w:rFonts w:ascii="宋体" w:hAnsi="宋体" w:cs="宋体" w:eastAsia="宋体" w:hint="default"/>
          <w:sz w:val="17"/>
          <w:szCs w:val="17"/>
        </w:rPr>
      </w:pPr>
    </w:p>
    <w:p>
      <w:pPr>
        <w:pStyle w:val="BodyText"/>
        <w:spacing w:line="300" w:lineRule="auto"/>
        <w:ind w:right="208" w:firstLine="360"/>
        <w:jc w:val="both"/>
      </w:pPr>
      <w:r>
        <w:rPr>
          <w:spacing w:val="-2"/>
        </w:rPr>
        <w:t>说明</w:t>
      </w:r>
      <w:r>
        <w:rPr>
          <w:rFonts w:ascii="Times New Roman" w:hAnsi="Times New Roman" w:cs="Times New Roman" w:eastAsia="Times New Roman" w:hint="default"/>
          <w:spacing w:val="-2"/>
        </w:rPr>
        <w:t>6</w:t>
      </w:r>
      <w:r>
        <w:rPr>
          <w:spacing w:val="-2"/>
        </w:rPr>
        <w:t>：本公司全资子公司福建易联众软件系统开发有限公司（以下简称</w:t>
      </w:r>
      <w:r>
        <w:rPr>
          <w:rFonts w:ascii="Times New Roman" w:hAnsi="Times New Roman" w:cs="Times New Roman" w:eastAsia="Times New Roman" w:hint="default"/>
          <w:spacing w:val="-2"/>
        </w:rPr>
        <w:t>“</w:t>
      </w:r>
      <w:r>
        <w:rPr>
          <w:spacing w:val="-2"/>
        </w:rPr>
        <w:t>福建开发</w:t>
      </w:r>
      <w:r>
        <w:rPr>
          <w:rFonts w:ascii="Times New Roman" w:hAnsi="Times New Roman" w:cs="Times New Roman" w:eastAsia="Times New Roman" w:hint="default"/>
          <w:spacing w:val="-2"/>
        </w:rPr>
        <w:t>”</w:t>
      </w:r>
      <w:r>
        <w:rPr>
          <w:spacing w:val="-2"/>
        </w:rPr>
        <w:t>）于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日被福建省科学技</w:t>
      </w:r>
      <w:r>
        <w:rPr/>
        <w:t> </w:t>
      </w:r>
      <w:r>
        <w:rPr>
          <w:spacing w:val="-2"/>
        </w:rPr>
        <w:t>术厅等相关部门认定为高新技术企业。根据《中华人民共和国企业所得税法》及相关法规规定，福建开发</w:t>
      </w:r>
      <w:r>
        <w:rPr>
          <w:rFonts w:ascii="Times New Roman" w:hAnsi="Times New Roman" w:cs="Times New Roman" w:eastAsia="Times New Roman" w:hint="default"/>
          <w:spacing w:val="-2"/>
        </w:rPr>
        <w:t>2012</w:t>
      </w:r>
      <w:r>
        <w:rPr>
          <w:spacing w:val="-2"/>
        </w:rPr>
        <w:t>年至</w:t>
      </w:r>
      <w:r>
        <w:rPr>
          <w:rFonts w:ascii="Times New Roman" w:hAnsi="Times New Roman" w:cs="Times New Roman" w:eastAsia="Times New Roman" w:hint="default"/>
          <w:spacing w:val="-2"/>
        </w:rPr>
        <w:t>2014</w:t>
      </w:r>
      <w:r>
        <w:rPr>
          <w:spacing w:val="-2"/>
        </w:rPr>
        <w:t>年减</w:t>
      </w:r>
      <w:r>
        <w:rPr>
          <w:spacing w:val="-57"/>
        </w:rPr>
        <w:t> </w:t>
      </w:r>
      <w:r>
        <w:rPr/>
        <w:t>按</w:t>
      </w:r>
      <w:r>
        <w:rPr>
          <w:rFonts w:ascii="Times New Roman" w:hAnsi="Times New Roman" w:cs="Times New Roman" w:eastAsia="Times New Roman" w:hint="default"/>
        </w:rPr>
        <w:t>15%</w:t>
      </w:r>
      <w:r>
        <w:rPr/>
        <w:t>税率缴纳企业所得税。</w:t>
      </w:r>
    </w:p>
    <w:p>
      <w:pPr>
        <w:spacing w:line="240" w:lineRule="auto" w:before="6"/>
        <w:rPr>
          <w:rFonts w:ascii="宋体" w:hAnsi="宋体" w:cs="宋体" w:eastAsia="宋体" w:hint="default"/>
          <w:sz w:val="17"/>
          <w:szCs w:val="17"/>
        </w:rPr>
      </w:pPr>
    </w:p>
    <w:p>
      <w:pPr>
        <w:pStyle w:val="BodyText"/>
        <w:spacing w:line="300" w:lineRule="auto"/>
        <w:ind w:right="211" w:firstLine="360"/>
        <w:jc w:val="both"/>
      </w:pPr>
      <w:r>
        <w:rPr>
          <w:spacing w:val="-2"/>
        </w:rPr>
        <w:t>说明</w:t>
      </w:r>
      <w:r>
        <w:rPr>
          <w:rFonts w:ascii="Times New Roman" w:hAnsi="Times New Roman" w:cs="Times New Roman" w:eastAsia="Times New Roman" w:hint="default"/>
          <w:spacing w:val="-2"/>
        </w:rPr>
        <w:t>7</w:t>
      </w:r>
      <w:r>
        <w:rPr>
          <w:spacing w:val="-2"/>
        </w:rPr>
        <w:t>：根据</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[2008]1</w:t>
      </w:r>
      <w:r>
        <w:rPr>
          <w:spacing w:val="-2"/>
        </w:rPr>
        <w:t>号</w:t>
      </w:r>
      <w:r>
        <w:rPr>
          <w:rFonts w:ascii="Times New Roman" w:hAnsi="Times New Roman" w:cs="Times New Roman" w:eastAsia="Times New Roman" w:hint="default"/>
          <w:spacing w:val="-2"/>
        </w:rPr>
        <w:t>”</w:t>
      </w:r>
      <w:r>
        <w:rPr>
          <w:spacing w:val="-2"/>
        </w:rPr>
        <w:t>文《财政部、国家税务总局关于企业所得税若干优惠政策的通知》的有关规定</w:t>
      </w:r>
      <w:r>
        <w:rPr>
          <w:rFonts w:ascii="Times New Roman" w:hAnsi="Times New Roman" w:cs="Times New Roman" w:eastAsia="Times New Roman" w:hint="default"/>
          <w:spacing w:val="-2"/>
        </w:rPr>
        <w:t>“</w:t>
      </w:r>
      <w:r>
        <w:rPr>
          <w:spacing w:val="-2"/>
        </w:rPr>
        <w:t>我国境内新</w:t>
      </w:r>
      <w:r>
        <w:rPr/>
        <w:t> 办软件生产企业经认定后，自获利年度起，第一年和第二年免缴企业所得税，第三年至第五年减半征收企业所得税</w:t>
      </w:r>
      <w:r>
        <w:rPr>
          <w:rFonts w:ascii="Times New Roman" w:hAnsi="Times New Roman" w:cs="Times New Roman" w:eastAsia="Times New Roman" w:hint="default"/>
        </w:rPr>
        <w:t>”</w:t>
      </w:r>
      <w:r>
        <w:rPr/>
        <w:t>，本公</w:t>
      </w:r>
    </w:p>
    <w:p>
      <w:pPr>
        <w:spacing w:after="0" w:line="300" w:lineRule="auto"/>
        <w:jc w:val="both"/>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司控股子公司福建易联众电子科技有限公司（以下简称</w:t>
      </w:r>
      <w:r>
        <w:rPr>
          <w:rFonts w:ascii="Times New Roman" w:hAnsi="Times New Roman" w:cs="Times New Roman" w:eastAsia="Times New Roman" w:hint="default"/>
        </w:rPr>
        <w:t>“</w:t>
      </w:r>
      <w:r>
        <w:rPr/>
        <w:t>福建电子科技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月经福建省信息化局认定为软件生产企业，</w:t>
      </w:r>
    </w:p>
    <w:p>
      <w:pPr>
        <w:pStyle w:val="BodyText"/>
        <w:spacing w:line="240" w:lineRule="auto" w:before="63"/>
        <w:ind w:right="94"/>
        <w:jc w:val="left"/>
      </w:pPr>
      <w:r>
        <w:rPr>
          <w:rFonts w:ascii="Times New Roman" w:hAnsi="Times New Roman" w:cs="Times New Roman" w:eastAsia="Times New Roman" w:hint="default"/>
        </w:rPr>
        <w:t>2012</w:t>
      </w:r>
      <w:r>
        <w:rPr/>
        <w:t>年为第一个获利年度，免缴企业所得税。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line="487" w:lineRule="auto" w:before="0"/>
        <w:ind w:left="152" w:right="66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4"/>
        <w:ind w:right="94"/>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570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13" w:right="6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7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安徽易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开发、 生产及 销售计 算机软 件、硬 件、应 用系统 集成， 网络通 信产 品；计 算机及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22" w:right="0"/>
              <w:jc w:val="lef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21" w:right="0"/>
              <w:jc w:val="lef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3,381,2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84.94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通讯产 品的相 关技术 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4" w:right="108"/>
              <w:jc w:val="both"/>
              <w:rPr>
                <w:rFonts w:ascii="宋体" w:hAnsi="宋体" w:cs="宋体" w:eastAsia="宋体" w:hint="default"/>
                <w:sz w:val="18"/>
                <w:szCs w:val="18"/>
              </w:rPr>
            </w:pPr>
            <w:r>
              <w:rPr>
                <w:rFonts w:ascii="宋体" w:hAnsi="宋体" w:cs="宋体" w:eastAsia="宋体" w:hint="default"/>
                <w:sz w:val="18"/>
                <w:szCs w:val="18"/>
              </w:rPr>
              <w:t>山西易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件的开 发；计 算机系 统集成 及综合 布线， 计算机 维修； 计算机 技术咨 询、技 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福建易 联众软 件系统 开发有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开发计 算机软 件产 品，应 用系统 集成， 提供相 关的技 术咨 询、技 术培训 及技术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08"/>
              <w:jc w:val="both"/>
              <w:rPr>
                <w:rFonts w:ascii="宋体" w:hAnsi="宋体" w:cs="宋体" w:eastAsia="宋体" w:hint="default"/>
                <w:sz w:val="18"/>
                <w:szCs w:val="18"/>
              </w:rPr>
            </w:pPr>
            <w:r>
              <w:rPr>
                <w:rFonts w:ascii="宋体" w:hAnsi="宋体" w:cs="宋体" w:eastAsia="宋体" w:hint="default"/>
                <w:sz w:val="18"/>
                <w:szCs w:val="18"/>
              </w:rPr>
              <w:t>福州易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开发、 生产计 算机软 件产 品；应 用系统 集成； 销售计 算机硬 件和外 部设备</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192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及提供 相关的 技术咨 询、技 术服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福建易 联众电 子科技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轨道交 通技术 产品的 设计、 检测与 销售、 计算机 软件、 硬件技 术开 发、应 用系统 集成； 网络通 讯产 品、通 讯器材</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（不含 无线发 射装 置、卫 星地面 接收设 </w:t>
            </w:r>
            <w:r>
              <w:rPr>
                <w:rFonts w:ascii="宋体" w:hAnsi="宋体" w:cs="宋体" w:eastAsia="宋体" w:hint="default"/>
                <w:spacing w:val="-24"/>
                <w:sz w:val="18"/>
                <w:szCs w:val="18"/>
              </w:rPr>
              <w:t>施）、电</w:t>
            </w:r>
            <w:r>
              <w:rPr>
                <w:rFonts w:ascii="宋体" w:hAnsi="宋体" w:cs="宋体" w:eastAsia="宋体" w:hint="default"/>
                <w:sz w:val="18"/>
                <w:szCs w:val="18"/>
              </w:rPr>
              <w:t> 子产品 以及配 套设备 的开发 及咨询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6"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86" w:right="0"/>
              <w:jc w:val="center"/>
              <w:rPr>
                <w:rFonts w:ascii="Times New Roman" w:hAnsi="Times New Roman" w:cs="Times New Roman" w:eastAsia="Times New Roman" w:hint="default"/>
                <w:sz w:val="18"/>
                <w:szCs w:val="18"/>
              </w:rPr>
            </w:pPr>
            <w:r>
              <w:rPr>
                <w:rFonts w:ascii="Times New Roman"/>
                <w:sz w:val="18"/>
              </w:rPr>
              <w:t>5,691,0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55.21</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大连易 联众科 技有限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件的技 术开 发、技 术咨 询、技 术服务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535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（涉及 行政许 可的， 凭许可 证经 </w:t>
            </w:r>
            <w:r>
              <w:rPr>
                <w:rFonts w:ascii="宋体" w:hAnsi="宋体" w:cs="宋体" w:eastAsia="宋体" w:hint="default"/>
                <w:spacing w:val="-24"/>
                <w:sz w:val="18"/>
                <w:szCs w:val="18"/>
              </w:rPr>
              <w:t>营）；计</w:t>
            </w:r>
            <w:r>
              <w:rPr>
                <w:rFonts w:ascii="宋体" w:hAnsi="宋体" w:cs="宋体" w:eastAsia="宋体" w:hint="default"/>
                <w:sz w:val="18"/>
                <w:szCs w:val="18"/>
              </w:rPr>
              <w:t> 算机系 统集成</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（凭资 质证经 </w:t>
            </w:r>
            <w:r>
              <w:rPr>
                <w:rFonts w:ascii="宋体" w:hAnsi="宋体" w:cs="宋体" w:eastAsia="宋体" w:hint="default"/>
                <w:spacing w:val="-24"/>
                <w:sz w:val="18"/>
                <w:szCs w:val="18"/>
              </w:rPr>
              <w:t>营）；国</w:t>
            </w:r>
            <w:r>
              <w:rPr>
                <w:rFonts w:ascii="宋体" w:hAnsi="宋体" w:cs="宋体" w:eastAsia="宋体" w:hint="default"/>
                <w:sz w:val="18"/>
                <w:szCs w:val="18"/>
              </w:rPr>
              <w:t> 内一般 贸易、 货物进 出口、 技术进 出口。</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湖南易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件、应 用系统 集成、 网络通 信产品 的开 发、生 成；网 络工 程、综 合布线 工程的 施工及 相关技 术服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广西易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卡研发 生产、 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研发、 设计和 生产智 能卡、 银行 卡；销 售智能 卡；开 发、生</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5"/>
        <w:gridCol w:w="682"/>
        <w:gridCol w:w="684"/>
        <w:gridCol w:w="684"/>
        <w:gridCol w:w="682"/>
        <w:gridCol w:w="684"/>
        <w:gridCol w:w="682"/>
        <w:gridCol w:w="684"/>
        <w:gridCol w:w="682"/>
        <w:gridCol w:w="684"/>
      </w:tblGrid>
      <w:tr>
        <w:trPr>
          <w:trHeight w:val="223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产计算 机软 件、硬 件；应 用系统 集成 等。</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8"/>
              <w:jc w:val="both"/>
              <w:rPr>
                <w:rFonts w:ascii="宋体" w:hAnsi="宋体" w:cs="宋体" w:eastAsia="宋体" w:hint="default"/>
                <w:sz w:val="18"/>
                <w:szCs w:val="18"/>
              </w:rPr>
            </w:pPr>
            <w:r>
              <w:rPr>
                <w:rFonts w:ascii="宋体" w:hAnsi="宋体" w:cs="宋体" w:eastAsia="宋体" w:hint="default"/>
                <w:sz w:val="18"/>
                <w:szCs w:val="18"/>
              </w:rPr>
              <w:t>广东易 联众计 算机技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研究、 开发计 算机软 件、硬 件、应 用系统 集成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747,263</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北京易 联众信 息技术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软件开 发及应 用系统 集成</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技术推 广服 务、软 件设 计、生 产计算 机软硬 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73"/>
      </w:tblGrid>
      <w:tr>
        <w:trPr>
          <w:trHeight w:val="5043"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113" w:right="6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4"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73"/>
      </w:tblGrid>
      <w:tr>
        <w:trPr>
          <w:trHeight w:val="67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53" w:hanging="89"/>
              <w:jc w:val="left"/>
              <w:rPr>
                <w:rFonts w:ascii="宋体" w:hAnsi="宋体" w:cs="宋体" w:eastAsia="宋体" w:hint="default"/>
                <w:sz w:val="18"/>
                <w:szCs w:val="18"/>
              </w:rPr>
            </w:pPr>
            <w:r>
              <w:rPr>
                <w:rFonts w:ascii="宋体" w:hAnsi="宋体" w:cs="宋体" w:eastAsia="宋体" w:hint="default"/>
                <w:sz w:val="18"/>
                <w:szCs w:val="18"/>
              </w:rPr>
              <w:t>额后的 余额</w:t>
            </w: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5"/>
        <w:gridCol w:w="682"/>
        <w:gridCol w:w="684"/>
        <w:gridCol w:w="684"/>
        <w:gridCol w:w="682"/>
        <w:gridCol w:w="684"/>
        <w:gridCol w:w="682"/>
        <w:gridCol w:w="684"/>
        <w:gridCol w:w="682"/>
        <w:gridCol w:w="673"/>
      </w:tblGrid>
      <w:tr>
        <w:trPr>
          <w:trHeight w:val="570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1"/>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3" w:right="6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pStyle w:val="BodyText"/>
        <w:spacing w:line="240" w:lineRule="auto" w:before="50"/>
        <w:ind w:right="0"/>
        <w:jc w:val="left"/>
      </w:pPr>
      <w:r>
        <w:rPr/>
        <w:t>通过非同一控制下企业合并取得的子公司的其他说明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pStyle w:val="BodyText"/>
        <w:spacing w:line="240" w:lineRule="auto" w:before="49"/>
        <w:ind w:right="0"/>
        <w:jc w:val="left"/>
      </w:pPr>
      <w:r>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pStyle w:val="BodyText"/>
        <w:spacing w:line="444" w:lineRule="auto"/>
        <w:ind w:right="7434"/>
        <w:jc w:val="left"/>
      </w:pPr>
      <w:r>
        <w:rPr/>
        <w:t>合并报表范围发生变更说明 本年新纳入合并范围的子公司</w:t>
      </w:r>
    </w:p>
    <w:p>
      <w:pPr>
        <w:spacing w:line="240" w:lineRule="auto" w:before="11"/>
        <w:rPr>
          <w:rFonts w:ascii="宋体" w:hAnsi="宋体" w:cs="宋体" w:eastAsia="宋体" w:hint="default"/>
          <w:sz w:val="9"/>
          <w:szCs w:val="9"/>
        </w:rPr>
      </w:pPr>
    </w:p>
    <w:tbl>
      <w:tblPr>
        <w:tblW w:w="0" w:type="auto"/>
        <w:jc w:val="left"/>
        <w:tblInd w:w="148" w:type="dxa"/>
        <w:tblLayout w:type="fixed"/>
        <w:tblCellMar>
          <w:top w:w="0" w:type="dxa"/>
          <w:left w:w="0" w:type="dxa"/>
          <w:bottom w:w="0" w:type="dxa"/>
          <w:right w:w="0" w:type="dxa"/>
        </w:tblCellMar>
        <w:tblLook w:val="01E0"/>
      </w:tblPr>
      <w:tblGrid>
        <w:gridCol w:w="3829"/>
      </w:tblGrid>
      <w:tr>
        <w:trPr>
          <w:trHeight w:val="34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r>
      <w:tr>
        <w:trPr>
          <w:trHeight w:val="34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r>
      <w:tr>
        <w:trPr>
          <w:trHeight w:val="34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40" w:lineRule="auto" w:before="44"/>
        <w:ind w:right="5812"/>
        <w:jc w:val="left"/>
      </w:pPr>
      <w:r>
        <w:rPr/>
        <w:t>与上年相比本年（期）新增合并单位</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家，原因为 </w:t>
      </w:r>
      <w:r>
        <w:rPr>
          <w:rFonts w:ascii="Times New Roman" w:hAnsi="Times New Roman" w:cs="Times New Roman" w:eastAsia="Times New Roman" w:hint="default"/>
        </w:rPr>
        <w:t>2012</w:t>
      </w:r>
      <w:r>
        <w:rPr/>
        <w:t>年通过投资设立子公司 与上年相比本年（期）减少合并单位</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家。</w:t>
      </w:r>
    </w:p>
    <w:p>
      <w:pPr>
        <w:spacing w:line="240" w:lineRule="auto" w:before="7"/>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10,004,691.31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4,691.31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1,868,159.04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-131,840.96</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9,344,419.37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-655,580.63</w:t>
            </w: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0"/>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5"/>
        <w:gridCol w:w="1545"/>
      </w:tblGrid>
      <w:tr>
        <w:trPr>
          <w:trHeight w:val="714"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pStyle w:val="BodyText"/>
        <w:spacing w:line="240" w:lineRule="auto" w:before="50"/>
        <w:ind w:right="0"/>
        <w:jc w:val="left"/>
      </w:pPr>
      <w:r>
        <w:rPr/>
        <w:t>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75"/>
        <w:gridCol w:w="3032"/>
        <w:gridCol w:w="3850"/>
      </w:tblGrid>
      <w:tr>
        <w:trPr>
          <w:trHeight w:val="402" w:hRule="exact"/>
        </w:trPr>
        <w:tc>
          <w:tcPr>
            <w:tcW w:w="2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 w:right="0"/>
              <w:jc w:val="center"/>
              <w:rPr>
                <w:rFonts w:ascii="宋体" w:hAnsi="宋体" w:cs="宋体" w:eastAsia="宋体" w:hint="default"/>
                <w:sz w:val="18"/>
                <w:szCs w:val="18"/>
              </w:rPr>
            </w:pPr>
            <w:r>
              <w:rPr>
                <w:rFonts w:ascii="宋体" w:hAnsi="宋体" w:cs="宋体" w:eastAsia="宋体" w:hint="default"/>
                <w:sz w:val="18"/>
                <w:szCs w:val="18"/>
              </w:rPr>
              <w:t>商誉计算方法</w:t>
            </w:r>
          </w:p>
        </w:tc>
      </w:tr>
    </w:tbl>
    <w:p>
      <w:pPr>
        <w:pStyle w:val="BodyText"/>
        <w:spacing w:line="240" w:lineRule="auto" w:before="49"/>
        <w:ind w:right="0"/>
        <w:jc w:val="left"/>
      </w:pPr>
      <w:r>
        <w:rPr/>
        <w:t>非同一控制下企业合并的其他说明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4"/>
        <w:gridCol w:w="2489"/>
        <w:gridCol w:w="3084"/>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出售日</w:t>
            </w:r>
          </w:p>
        </w:tc>
        <w:tc>
          <w:tcPr>
            <w:tcW w:w="3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bl>
    <w:p>
      <w:pPr>
        <w:pStyle w:val="BodyText"/>
        <w:spacing w:line="240" w:lineRule="auto" w:before="49"/>
        <w:ind w:right="0"/>
        <w:jc w:val="left"/>
      </w:pPr>
      <w:r>
        <w:rPr/>
        <w:t>出售丧失控制权的股权而减少的子公司的其他说明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pStyle w:val="BodyText"/>
        <w:spacing w:line="240" w:lineRule="auto" w:before="49"/>
        <w:ind w:right="0"/>
        <w:jc w:val="left"/>
      </w:pPr>
      <w:r>
        <w:rPr/>
        <w:t>反向购买的其他说明</w:t>
      </w:r>
    </w:p>
    <w:p>
      <w:pPr>
        <w:spacing w:after="0" w:line="240" w:lineRule="auto"/>
        <w:jc w:val="left"/>
        <w:sectPr>
          <w:footerReference w:type="default" r:id="rId16"/>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72"/>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吸收合并的其他说明</w:t>
      </w:r>
    </w:p>
    <w:p>
      <w:pPr>
        <w:spacing w:line="240" w:lineRule="auto" w:before="0"/>
        <w:rPr>
          <w:rFonts w:ascii="宋体" w:hAnsi="宋体" w:cs="宋体" w:eastAsia="宋体" w:hint="default"/>
          <w:sz w:val="18"/>
          <w:szCs w:val="18"/>
        </w:rPr>
      </w:pPr>
    </w:p>
    <w:p>
      <w:pPr>
        <w:spacing w:line="487" w:lineRule="auto" w:before="118"/>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10</w:t>
      </w:r>
      <w:r>
        <w:rPr>
          <w:rFonts w:ascii="宋体" w:hAnsi="宋体" w:cs="宋体" w:eastAsia="宋体" w:hint="default"/>
          <w:b/>
          <w:bCs/>
          <w:spacing w:val="-1"/>
          <w:sz w:val="21"/>
          <w:szCs w:val="21"/>
        </w:rPr>
        <w:t>、境外经营实体主要报表项目的折算汇率</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七、合并财务报表主要项目注释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2"/>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18"/>
        <w:gridCol w:w="917"/>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c>
          <w:tcPr>
            <w:tcW w:w="917"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79,166.91</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171,508.29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79,166.91</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413,717,952.79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406,537,589.97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413,717,952.79</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406,537,589.97</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2,714,402.07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4,461,500.00</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2,714,402.07</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4,461,500.00</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416,603,863.15</w:t>
            </w:r>
          </w:p>
        </w:tc>
        <w:tc>
          <w:tcPr>
            <w:tcW w:w="1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411,078,256.88</w:t>
            </w:r>
          </w:p>
        </w:tc>
      </w:tr>
    </w:tbl>
    <w:p>
      <w:pPr>
        <w:pStyle w:val="BodyText"/>
        <w:spacing w:line="360" w:lineRule="auto" w:before="49"/>
        <w:ind w:left="513" w:right="188"/>
        <w:jc w:val="left"/>
      </w:pPr>
      <w:r>
        <w:rPr/>
        <w:t>如有因抵押、质押或冻结等对使用有限制、存放在境外、有潜在回收风险的款项应单独说明 银行存款中包括剩余存款期限在三个月以上的定期存款人民币</w:t>
      </w:r>
      <w:r>
        <w:rPr>
          <w:rFonts w:ascii="Times New Roman" w:hAnsi="Times New Roman" w:cs="Times New Roman" w:eastAsia="Times New Roman" w:hint="default"/>
        </w:rPr>
        <w:t>128,106,927.23</w:t>
      </w:r>
      <w:r>
        <w:rPr/>
        <w:t>元，此部分存款本公司拟持有至到期，在</w:t>
      </w:r>
    </w:p>
    <w:p>
      <w:pPr>
        <w:pStyle w:val="BodyText"/>
        <w:spacing w:line="212" w:lineRule="exact"/>
        <w:ind w:right="0"/>
        <w:jc w:val="left"/>
      </w:pPr>
      <w:r>
        <w:rPr/>
        <w:t>编制现金流量表时不作为现金及现金等价物。其他货币资金年末余额为</w:t>
      </w:r>
      <w:r>
        <w:rPr>
          <w:rFonts w:ascii="Times New Roman" w:hAnsi="Times New Roman" w:cs="Times New Roman" w:eastAsia="Times New Roman" w:hint="default"/>
        </w:rPr>
        <w:t>2,714,402.07</w:t>
      </w:r>
      <w:r>
        <w:rPr/>
        <w:t>元，主要系银行承兑汇票保证金及保函</w:t>
      </w:r>
    </w:p>
    <w:p>
      <w:pPr>
        <w:pStyle w:val="BodyText"/>
        <w:spacing w:line="439" w:lineRule="auto" w:before="63"/>
        <w:ind w:left="513" w:right="2574" w:hanging="361"/>
        <w:jc w:val="left"/>
      </w:pPr>
      <w:r>
        <w:rPr/>
        <w:t>保证金等，此部分款项不能随时用于支付，在编制现金流量表时不作为现金及现金等价物。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w:t>
      </w:r>
    </w:p>
    <w:p>
      <w:pPr>
        <w:spacing w:line="240" w:lineRule="auto" w:before="7"/>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after="0" w:line="240" w:lineRule="auto"/>
        <w:jc w:val="left"/>
        <w:sectPr>
          <w:footerReference w:type="default" r:id="rId17"/>
          <w:pgSz w:w="11910" w:h="16840"/>
          <w:pgMar w:footer="980" w:header="745" w:top="1060" w:bottom="1160" w:left="980" w:right="980"/>
          <w:pgNumType w:start="101"/>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24"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2,364,066.17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6,684,746.68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7,252,316.28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1,796,496.57</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2,364,066.17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6,684,746.68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7,252,316.28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1,796,496.57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其中：账龄组合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212,380,52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24,968,509.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187,833,2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16,987,602.1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212,380,52</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24,968,509.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187,833,2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33.54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16,987,602.1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9.04%</w:t>
            </w:r>
          </w:p>
        </w:tc>
      </w:tr>
      <w:tr>
        <w:trPr>
          <w:trHeight w:val="102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768,380.00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768,380.00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768,380.00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213,148,90</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9.65</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25,736,889.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188,601,6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13.54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17,755,982.1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60" w:lineRule="auto" w:before="29"/>
        <w:ind w:right="160"/>
        <w:jc w:val="left"/>
      </w:pPr>
      <w:r>
        <w:rPr/>
        <w:t>□ 适用 √</w:t>
      </w:r>
      <w:r>
        <w:rPr>
          <w:spacing w:val="3"/>
        </w:rPr>
        <w:t> </w:t>
      </w:r>
      <w:r>
        <w:rPr/>
        <w:t>不适用</w:t>
      </w:r>
      <w:r>
        <w:rPr/>
        <w:t> 组合中，按账龄分析法计提坏账准备的应收账款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2523"/>
        <w:gridCol w:w="1728"/>
        <w:gridCol w:w="2390"/>
        <w:gridCol w:w="1449"/>
      </w:tblGrid>
      <w:tr>
        <w:trPr>
          <w:trHeight w:val="401"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455"/>
        <w:gridCol w:w="1594"/>
        <w:gridCol w:w="923"/>
        <w:gridCol w:w="1739"/>
        <w:gridCol w:w="1454"/>
        <w:gridCol w:w="924"/>
        <w:gridCol w:w="1466"/>
      </w:tblGrid>
      <w:tr>
        <w:trPr>
          <w:trHeight w:val="402"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5"/>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147,029,266.22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69.24%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7,351,463.31</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156,791,177.32</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z w:val="18"/>
              </w:rPr>
              <w:t>83.47%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7,839,558.87</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40,655,232.67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19.14%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4,065,523.27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15,784,382.39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8.4%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1,578,438.23</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10,586,505.67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2,117,301.14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5,571,701.83</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2.97%</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1,114,340.37</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14,109,525.11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6.64%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11,434,222.06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9,685,972.00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6,455,264.63</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5,350,606.11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2,675,303.06</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6,461,414.75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3.44%</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3,230,707.38</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8,602,159.00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8,602,159.00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2,931,155.00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2,931,155.00</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156,760.00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156,760.00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293,402.25</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0.16%</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293,402.25</w:t>
            </w:r>
          </w:p>
        </w:tc>
      </w:tr>
      <w:tr>
        <w:trPr>
          <w:trHeight w:val="404"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212,380,529.65</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73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24,968,509.78</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187,833,233.54</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16,987,602.10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组合中，采用余额百分比法计提坏账准备的应收账款</w:t>
      </w:r>
    </w:p>
    <w:p>
      <w:pPr>
        <w:pStyle w:val="BodyText"/>
        <w:spacing w:line="360" w:lineRule="auto" w:before="115"/>
        <w:ind w:right="520"/>
        <w:jc w:val="left"/>
      </w:pPr>
      <w:r>
        <w:rPr/>
        <w:t>□ 适用 √</w:t>
      </w:r>
      <w:r>
        <w:rPr>
          <w:spacing w:val="3"/>
        </w:rPr>
        <w:t> </w:t>
      </w:r>
      <w:r>
        <w:rPr/>
        <w:t>不适用</w:t>
      </w:r>
      <w:r>
        <w:rPr/>
        <w:t> 组合中，采用其他方法计提坏账准备的应收账款</w:t>
      </w:r>
    </w:p>
    <w:p>
      <w:pPr>
        <w:pStyle w:val="BodyText"/>
        <w:spacing w:line="360" w:lineRule="auto" w:before="25"/>
        <w:ind w:right="-20"/>
        <w:jc w:val="left"/>
      </w:pPr>
      <w:r>
        <w:rPr/>
        <w:t>□ 适用 √</w:t>
      </w:r>
      <w:r>
        <w:rPr>
          <w:spacing w:val="3"/>
        </w:rPr>
        <w:t> </w:t>
      </w:r>
      <w:r>
        <w:rPr/>
        <w:t>不适用</w:t>
      </w:r>
      <w:r>
        <w:rPr/>
        <w:t> 期末单项金额虽不重大但单项计提坏账准备的应收账款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岳阳市劳动信息保障中 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项目变更，收回可能性 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邵阳市劳动和社会保障 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项目变更，收回可能性 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永州社会劳动保险管理 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129,800.00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项目变更，收回可能性 小</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娄底市社保局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0"/>
              <w:jc w:val="left"/>
              <w:rPr>
                <w:rFonts w:ascii="宋体" w:hAnsi="宋体" w:cs="宋体" w:eastAsia="宋体" w:hint="default"/>
                <w:sz w:val="18"/>
                <w:szCs w:val="18"/>
              </w:rPr>
            </w:pPr>
            <w:r>
              <w:rPr>
                <w:rFonts w:ascii="宋体" w:hAnsi="宋体" w:cs="宋体" w:eastAsia="宋体" w:hint="default"/>
                <w:sz w:val="18"/>
                <w:szCs w:val="18"/>
              </w:rPr>
              <w:t>项目变更，收回可能性 小</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湘西自治州社会保险管 理服务局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0"/>
              <w:jc w:val="left"/>
              <w:rPr>
                <w:rFonts w:ascii="宋体" w:hAnsi="宋体" w:cs="宋体" w:eastAsia="宋体" w:hint="default"/>
                <w:sz w:val="18"/>
                <w:szCs w:val="18"/>
              </w:rPr>
            </w:pPr>
            <w:r>
              <w:rPr>
                <w:rFonts w:ascii="宋体" w:hAnsi="宋体" w:cs="宋体" w:eastAsia="宋体" w:hint="default"/>
                <w:sz w:val="18"/>
                <w:szCs w:val="18"/>
              </w:rPr>
              <w:t>项目变更，收回可能性 小</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768,380.00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768,380.00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0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14,471,475.97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6.79%</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9,420,339.20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4,743,539.20 </w:t>
            </w:r>
            <w:r>
              <w:rPr>
                <w:rFonts w:ascii="宋体" w:hAnsi="宋体" w:cs="宋体" w:eastAsia="宋体" w:hint="default"/>
                <w:spacing w:val="-7"/>
                <w:sz w:val="18"/>
                <w:szCs w:val="18"/>
              </w:rPr>
              <w:t>元，账龄为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4,676,800.00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8,525,947.13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7,905,965.36 </w:t>
            </w:r>
            <w:r>
              <w:rPr>
                <w:rFonts w:ascii="宋体" w:hAnsi="宋体" w:cs="宋体" w:eastAsia="宋体" w:hint="default"/>
                <w:spacing w:val="-7"/>
                <w:sz w:val="18"/>
                <w:szCs w:val="18"/>
              </w:rPr>
              <w:t>元，账龄为</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619,981.77 </w:t>
            </w:r>
            <w:r>
              <w:rPr>
                <w:rFonts w:ascii="宋体" w:hAnsi="宋体" w:cs="宋体" w:eastAsia="宋体" w:hint="default"/>
                <w:sz w:val="18"/>
                <w:szCs w:val="18"/>
              </w:rPr>
              <w:t>元。</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7,343,000.00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6,845,181.85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w:t>
            </w:r>
          </w:p>
        </w:tc>
      </w:tr>
      <w:tr>
        <w:trPr>
          <w:trHeight w:val="559"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46,605,944.15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21.87%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7,905,169.11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2,642,771.38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8,851,251.46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1,890,029.90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7,905,169.11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2,642,771.38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8,851,251.46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1,890,029.90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21.35%</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7,905,169.11</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2,642,771.38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8,851,251.46</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1,890,029.90</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60" w:lineRule="auto" w:before="49"/>
        <w:ind w:right="-20"/>
        <w:jc w:val="left"/>
      </w:pPr>
      <w:r>
        <w:rPr/>
        <w:t>其他应收款种类的说明 期末单项金额重大并单项计提坏账准备的其他应收款</w:t>
      </w:r>
    </w:p>
    <w:p>
      <w:pPr>
        <w:pStyle w:val="BodyText"/>
        <w:spacing w:line="360" w:lineRule="auto" w:before="25"/>
        <w:ind w:right="-20"/>
        <w:jc w:val="left"/>
      </w:pPr>
      <w:r>
        <w:rPr/>
        <w:t>□ 适用 √</w:t>
      </w:r>
      <w:r>
        <w:rPr>
          <w:spacing w:val="3"/>
        </w:rPr>
        <w:t> </w:t>
      </w:r>
      <w:r>
        <w:rPr/>
        <w:t>不适用</w:t>
      </w:r>
      <w:r>
        <w:rPr/>
        <w:t> 组合中，采用账龄分析法计提坏账准备的其他应收款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2"/>
        <w:gridCol w:w="1853"/>
        <w:gridCol w:w="646"/>
        <w:gridCol w:w="1459"/>
        <w:gridCol w:w="1450"/>
        <w:gridCol w:w="646"/>
        <w:gridCol w:w="1675"/>
      </w:tblGrid>
      <w:tr>
        <w:trPr>
          <w:trHeight w:val="402" w:hRule="exact"/>
        </w:trPr>
        <w:tc>
          <w:tcPr>
            <w:tcW w:w="1842"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842"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0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5"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095" w:type="dxa"/>
            <w:gridSpan w:val="2"/>
            <w:vMerge/>
            <w:tcBorders>
              <w:left w:val="single" w:sz="4" w:space="0" w:color="000000"/>
              <w:bottom w:val="single" w:sz="4" w:space="0" w:color="000000"/>
              <w:right w:val="single" w:sz="4" w:space="0" w:color="000000"/>
            </w:tcBorders>
            <w:shd w:val="clear" w:color="auto" w:fill="D2D2D2"/>
          </w:tcPr>
          <w:p>
            <w:pPr/>
          </w:p>
        </w:tc>
        <w:tc>
          <w:tcPr>
            <w:tcW w:w="1675"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42"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3" w:right="0"/>
              <w:jc w:val="left"/>
              <w:rPr>
                <w:rFonts w:ascii="Times New Roman" w:hAnsi="Times New Roman" w:cs="Times New Roman" w:eastAsia="Times New Roman" w:hint="default"/>
                <w:sz w:val="18"/>
                <w:szCs w:val="18"/>
              </w:rPr>
            </w:pPr>
            <w:r>
              <w:rPr>
                <w:rFonts w:ascii="Times New Roman"/>
                <w:sz w:val="18"/>
              </w:rPr>
              <w:t>(%)</w:t>
            </w:r>
          </w:p>
        </w:tc>
        <w:tc>
          <w:tcPr>
            <w:tcW w:w="16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42"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675"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842"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675"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842" w:type="dxa"/>
            <w:vMerge/>
            <w:tcBorders>
              <w:left w:val="single" w:sz="4" w:space="0" w:color="000000"/>
              <w:bottom w:val="single" w:sz="5" w:space="0" w:color="FFFFFF"/>
              <w:right w:val="single" w:sz="4" w:space="0" w:color="000000"/>
            </w:tcBorders>
            <w:shd w:val="clear" w:color="auto" w:fill="D2D2D2"/>
          </w:tcPr>
          <w:p>
            <w:pPr/>
          </w:p>
        </w:tc>
        <w:tc>
          <w:tcPr>
            <w:tcW w:w="1853"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459" w:type="dxa"/>
            <w:vMerge/>
            <w:tcBorders>
              <w:left w:val="single" w:sz="4" w:space="0" w:color="000000"/>
              <w:bottom w:val="single" w:sz="5" w:space="0" w:color="FFFFFF"/>
              <w:right w:val="single" w:sz="4" w:space="0" w:color="000000"/>
            </w:tcBorders>
            <w:shd w:val="clear" w:color="auto" w:fill="D2D2D2"/>
          </w:tcPr>
          <w:p>
            <w:pPr/>
          </w:p>
        </w:tc>
        <w:tc>
          <w:tcPr>
            <w:tcW w:w="1450" w:type="dxa"/>
            <w:tcBorders>
              <w:top w:val="nil" w:sz="6" w:space="0" w:color="auto"/>
              <w:left w:val="single" w:sz="4" w:space="0" w:color="000000"/>
              <w:bottom w:val="single" w:sz="5" w:space="0" w:color="FFFFFF"/>
              <w:right w:val="single" w:sz="4" w:space="0" w:color="000000"/>
            </w:tcBorders>
            <w:shd w:val="clear" w:color="auto" w:fill="D2D2D2"/>
          </w:tcPr>
          <w:p>
            <w:pPr/>
          </w:p>
        </w:tc>
        <w:tc>
          <w:tcPr>
            <w:tcW w:w="646" w:type="dxa"/>
            <w:vMerge/>
            <w:tcBorders>
              <w:left w:val="single" w:sz="4" w:space="0" w:color="000000"/>
              <w:bottom w:val="single" w:sz="5" w:space="0" w:color="FFFFFF"/>
              <w:right w:val="single" w:sz="4" w:space="0" w:color="000000"/>
            </w:tcBorders>
            <w:shd w:val="clear" w:color="auto" w:fill="D2D2D2"/>
          </w:tcPr>
          <w:p>
            <w:pPr/>
          </w:p>
        </w:tc>
        <w:tc>
          <w:tcPr>
            <w:tcW w:w="1675"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71"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858" w:right="0"/>
              <w:jc w:val="left"/>
              <w:rPr>
                <w:rFonts w:ascii="Times New Roman" w:hAnsi="Times New Roman" w:cs="Times New Roman" w:eastAsia="Times New Roman" w:hint="default"/>
                <w:sz w:val="18"/>
                <w:szCs w:val="18"/>
              </w:rPr>
            </w:pPr>
            <w:r>
              <w:rPr>
                <w:rFonts w:ascii="Times New Roman"/>
                <w:sz w:val="18"/>
              </w:rPr>
              <w:t>3,138,420.80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4" w:right="0"/>
              <w:jc w:val="left"/>
              <w:rPr>
                <w:rFonts w:ascii="Times New Roman" w:hAnsi="Times New Roman" w:cs="Times New Roman" w:eastAsia="Times New Roman" w:hint="default"/>
                <w:sz w:val="18"/>
                <w:szCs w:val="18"/>
              </w:rPr>
            </w:pPr>
            <w:r>
              <w:rPr>
                <w:rFonts w:ascii="Times New Roman"/>
                <w:sz w:val="18"/>
              </w:rPr>
              <w:t>39.7%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0" w:right="0"/>
              <w:jc w:val="left"/>
              <w:rPr>
                <w:rFonts w:ascii="Times New Roman" w:hAnsi="Times New Roman" w:cs="Times New Roman" w:eastAsia="Times New Roman" w:hint="default"/>
                <w:sz w:val="18"/>
                <w:szCs w:val="18"/>
              </w:rPr>
            </w:pPr>
            <w:r>
              <w:rPr>
                <w:rFonts w:ascii="Times New Roman"/>
                <w:sz w:val="18"/>
              </w:rPr>
              <w:t>156,921.05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4" w:right="0"/>
              <w:jc w:val="left"/>
              <w:rPr>
                <w:rFonts w:ascii="Times New Roman" w:hAnsi="Times New Roman" w:cs="Times New Roman" w:eastAsia="Times New Roman" w:hint="default"/>
                <w:sz w:val="18"/>
                <w:szCs w:val="18"/>
              </w:rPr>
            </w:pPr>
            <w:r>
              <w:rPr>
                <w:rFonts w:ascii="Times New Roman"/>
                <w:sz w:val="18"/>
              </w:rPr>
              <w:t>4,378,044.81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left"/>
              <w:rPr>
                <w:rFonts w:ascii="Times New Roman" w:hAnsi="Times New Roman" w:cs="Times New Roman" w:eastAsia="Times New Roman" w:hint="default"/>
                <w:sz w:val="18"/>
                <w:szCs w:val="18"/>
              </w:rPr>
            </w:pPr>
            <w:r>
              <w:rPr>
                <w:rFonts w:ascii="Times New Roman"/>
                <w:sz w:val="18"/>
              </w:rPr>
              <w:t>49.47%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2" w:right="0"/>
              <w:jc w:val="left"/>
              <w:rPr>
                <w:rFonts w:ascii="Times New Roman" w:hAnsi="Times New Roman" w:cs="Times New Roman" w:eastAsia="Times New Roman" w:hint="default"/>
                <w:sz w:val="18"/>
                <w:szCs w:val="18"/>
              </w:rPr>
            </w:pPr>
            <w:r>
              <w:rPr>
                <w:rFonts w:ascii="Times New Roman"/>
                <w:sz w:val="18"/>
              </w:rPr>
              <w:t>218,902.25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9"/>
      </w:tblGrid>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1,409,218.92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17.83%</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140,921.89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1,377,942.65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15.57%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137,794.25</w:t>
            </w:r>
          </w:p>
        </w:tc>
      </w:tr>
      <w:tr>
        <w:trPr>
          <w:trHeight w:val="404"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1,071,065.90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13.55%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214,213.18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610,105.18</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6.89%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122,021.04</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2,286,463.49</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2,130,715.26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2,485,158.82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28.07%</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1,411,312.36</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311,496.47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155,748.24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2,147,692.92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24.26%</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1,073,846.46</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1,781,928.32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1,781,928.32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78,618.46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0.89%</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78,618.46</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193,038.70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193,038.70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258,874.44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2.92%</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258,874.44</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7,905,169.11</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2,642,771.38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8,851,251.46</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1,890,029.90</w:t>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5814"/>
        <w:jc w:val="left"/>
      </w:pPr>
      <w:r>
        <w:rPr/>
        <w:t>□ 适用 √</w:t>
      </w:r>
      <w:r>
        <w:rPr>
          <w:spacing w:val="3"/>
        </w:rPr>
        <w:t> </w:t>
      </w:r>
      <w:r>
        <w:rPr/>
        <w:t>不适用</w:t>
      </w:r>
      <w:r>
        <w:rPr/>
        <w:t> 组合中，采用其他方法计提坏账准备的其他应收款</w:t>
      </w:r>
    </w:p>
    <w:p>
      <w:pPr>
        <w:pStyle w:val="BodyText"/>
        <w:spacing w:line="360" w:lineRule="auto" w:before="25"/>
        <w:ind w:right="5274"/>
        <w:jc w:val="left"/>
      </w:pPr>
      <w:r>
        <w:rPr/>
        <w:t>□ 适用 √</w:t>
      </w:r>
      <w:r>
        <w:rPr>
          <w:spacing w:val="3"/>
        </w:rPr>
        <w:t> </w:t>
      </w:r>
      <w:r>
        <w:rPr/>
        <w:t>不适用</w:t>
      </w:r>
      <w:r>
        <w:rPr/>
        <w:t> 期末单项金额虽不重大但单项计提坏账准备的其他应收款</w:t>
      </w:r>
    </w:p>
    <w:p>
      <w:pPr>
        <w:pStyle w:val="BodyText"/>
        <w:spacing w:line="240" w:lineRule="auto" w:before="2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福建省机关事业社会保 险局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506,568.80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中国农业银行龙岩分行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莆田市信辉招标代理有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367,422.00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2,730,890.80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3"/>
        <w:gridCol w:w="3054"/>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305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2,586,255.30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96.71%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9,467,475.52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99.36%</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27,056.00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40,352.00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88"/>
        <w:gridCol w:w="1063"/>
        <w:gridCol w:w="3054"/>
        <w:gridCol w:w="1063"/>
      </w:tblGrid>
      <w:tr>
        <w:trPr>
          <w:trHeight w:val="40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20,577.59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4" w:right="0"/>
              <w:jc w:val="left"/>
              <w:rPr>
                <w:rFonts w:ascii="Times New Roman" w:hAnsi="Times New Roman" w:cs="Times New Roman" w:eastAsia="Times New Roman" w:hint="default"/>
                <w:sz w:val="18"/>
                <w:szCs w:val="18"/>
              </w:rPr>
            </w:pPr>
            <w:r>
              <w:rPr>
                <w:rFonts w:ascii="Times New Roman"/>
                <w:sz w:val="18"/>
              </w:rPr>
              <w:t>0.77%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2,674,240.89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4"/>
              <w:ind w:right="7"/>
              <w:jc w:val="right"/>
              <w:rPr>
                <w:rFonts w:ascii="Times New Roman" w:hAnsi="Times New Roman" w:cs="Times New Roman" w:eastAsia="Times New Roman" w:hint="default"/>
                <w:sz w:val="18"/>
                <w:szCs w:val="18"/>
              </w:rPr>
            </w:pPr>
            <w:r>
              <w:rPr>
                <w:rFonts w:ascii="Times New Roman"/>
                <w:spacing w:val="-1"/>
                <w:sz w:val="18"/>
              </w:rPr>
              <w:t>9,528,405.11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left="513" w:right="218" w:hanging="361"/>
        <w:jc w:val="left"/>
      </w:pPr>
      <w:r>
        <w:rPr/>
        <w:t>预付款项账龄的说明 预付款项年末余额较年初余额减少</w:t>
      </w:r>
      <w:r>
        <w:rPr>
          <w:rFonts w:ascii="Times New Roman" w:hAnsi="Times New Roman" w:cs="Times New Roman" w:eastAsia="Times New Roman" w:hint="default"/>
        </w:rPr>
        <w:t>71.93%</w:t>
      </w:r>
      <w:r>
        <w:rPr/>
        <w:t>，主要系常州路航轨道交通科技有限公司由于市场及技术开发等原因无法继</w:t>
      </w:r>
    </w:p>
    <w:p>
      <w:pPr>
        <w:pStyle w:val="BodyText"/>
        <w:spacing w:line="214" w:lineRule="exact"/>
        <w:ind w:right="0"/>
        <w:jc w:val="left"/>
      </w:pPr>
      <w:r>
        <w:rPr/>
        <w:t>续履行合同，向本公司子公司福建易联众电子科技有限公司退回</w:t>
      </w:r>
      <w:r>
        <w:rPr>
          <w:rFonts w:ascii="Times New Roman" w:hAnsi="Times New Roman" w:cs="Times New Roman" w:eastAsia="Times New Roman" w:hint="default"/>
        </w:rPr>
        <w:t>2011</w:t>
      </w:r>
      <w:r>
        <w:rPr/>
        <w:t>年预付款项</w:t>
      </w:r>
      <w:r>
        <w:rPr>
          <w:rFonts w:ascii="Times New Roman" w:hAnsi="Times New Roman" w:cs="Times New Roman" w:eastAsia="Times New Roman" w:hint="default"/>
        </w:rPr>
        <w:t>500</w:t>
      </w:r>
      <w:r>
        <w:rPr/>
        <w:t>万元所致。</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北京银联金卡科技有限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403,750.00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福州明华信息科技有限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未交货</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厦门礼庆会议服务有限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山西泽联科技有限公司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厦门帝元维多利亚大酒 店有限公司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服务尚未提供</w:t>
            </w:r>
          </w:p>
        </w:tc>
      </w:tr>
    </w:tbl>
    <w:p>
      <w:pPr>
        <w:pStyle w:val="BodyText"/>
        <w:spacing w:line="240" w:lineRule="auto" w:before="49"/>
        <w:ind w:right="0"/>
        <w:jc w:val="left"/>
      </w:pPr>
      <w:r>
        <w:rPr/>
        <w:t>预付款项主要单位的说明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6"/>
        <w:gridCol w:w="1473"/>
        <w:gridCol w:w="1193"/>
        <w:gridCol w:w="1330"/>
        <w:gridCol w:w="1327"/>
        <w:gridCol w:w="1330"/>
        <w:gridCol w:w="1327"/>
      </w:tblGrid>
      <w:tr>
        <w:trPr>
          <w:trHeight w:val="206" w:hRule="exact"/>
        </w:trPr>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96"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76" w:type="dxa"/>
            <w:vMerge/>
            <w:tcBorders>
              <w:left w:val="single" w:sz="4" w:space="0" w:color="000000"/>
              <w:bottom w:val="nil" w:sz="6" w:space="0" w:color="auto"/>
              <w:right w:val="single" w:sz="4" w:space="0" w:color="000000"/>
            </w:tcBorders>
            <w:shd w:val="clear" w:color="auto" w:fill="D2D2D2"/>
          </w:tcPr>
          <w:p>
            <w:pPr/>
          </w:p>
        </w:tc>
        <w:tc>
          <w:tcPr>
            <w:tcW w:w="14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3"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1,095,129.03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1,095,129.03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6,005,355.27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6,005,355.27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5,022,807.52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5,022,807.52</w:t>
            </w:r>
          </w:p>
        </w:tc>
      </w:tr>
      <w:tr>
        <w:trPr>
          <w:trHeight w:val="403"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39,243,943.63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39,243,943.63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44,634,017.68</w:t>
            </w:r>
            <w:r>
              <w:rPr>
                <w:rFonts w:ascii="Times New Roman"/>
                <w:sz w:val="18"/>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44,634,017.68</w:t>
            </w:r>
          </w:p>
        </w:tc>
      </w:tr>
      <w:tr>
        <w:trPr>
          <w:trHeight w:val="401"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73"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31,905.62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31,905.62</w:t>
            </w:r>
          </w:p>
        </w:tc>
      </w:tr>
      <w:tr>
        <w:trPr>
          <w:trHeight w:val="404" w:hRule="exact"/>
        </w:trPr>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46,344,427.93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46,344,427.93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49,688,730.82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49,688,730.82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、对合营企业投资和联营企业投资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715"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52" w:right="51"/>
              <w:jc w:val="left"/>
              <w:rPr>
                <w:rFonts w:ascii="宋体" w:hAnsi="宋体" w:cs="宋体" w:eastAsia="宋体" w:hint="default"/>
                <w:sz w:val="18"/>
                <w:szCs w:val="18"/>
              </w:rPr>
            </w:pPr>
            <w:r>
              <w:rPr>
                <w:rFonts w:ascii="宋体" w:hAnsi="宋体" w:cs="宋体" w:eastAsia="宋体" w:hint="default"/>
                <w:sz w:val="18"/>
                <w:szCs w:val="18"/>
              </w:rPr>
              <w:t>本企业在被投 资单位表决权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北京尚洋易捷 信息技术有限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3,920,519.76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862,290.54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3,058,229.22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7,631,395.64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1,844,087.91</w:t>
            </w: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福州南华医保 健康研发有限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326,362.46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296,362.46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-3,637.54</w:t>
            </w: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1,306,989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福州南华 医保健康 研发有限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71,126.99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71,126.99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1,378,116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1,378,116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.88</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1"/>
        <w:gridCol w:w="1596"/>
        <w:gridCol w:w="1460"/>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93" w:right="0"/>
              <w:jc w:val="left"/>
              <w:rPr>
                <w:rFonts w:ascii="Times New Roman" w:hAnsi="Times New Roman" w:cs="Times New Roman" w:eastAsia="Times New Roman" w:hint="default"/>
                <w:sz w:val="18"/>
                <w:szCs w:val="18"/>
              </w:rPr>
            </w:pPr>
            <w:r>
              <w:rPr>
                <w:rFonts w:ascii="Times New Roman"/>
                <w:sz w:val="18"/>
              </w:rPr>
              <w:t>70,464,747.10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20,088,773.87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4" w:right="0"/>
              <w:jc w:val="left"/>
              <w:rPr>
                <w:rFonts w:ascii="Times New Roman" w:hAnsi="Times New Roman" w:cs="Times New Roman" w:eastAsia="Times New Roman" w:hint="default"/>
                <w:sz w:val="18"/>
                <w:szCs w:val="18"/>
              </w:rPr>
            </w:pPr>
            <w:r>
              <w:rPr>
                <w:rFonts w:ascii="Times New Roman"/>
                <w:sz w:val="18"/>
              </w:rPr>
              <w:t>5,683,110.46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4" w:right="0"/>
              <w:jc w:val="left"/>
              <w:rPr>
                <w:rFonts w:ascii="Times New Roman" w:hAnsi="Times New Roman" w:cs="Times New Roman" w:eastAsia="Times New Roman" w:hint="default"/>
                <w:sz w:val="18"/>
                <w:szCs w:val="18"/>
              </w:rPr>
            </w:pPr>
            <w:r>
              <w:rPr>
                <w:rFonts w:ascii="Times New Roman"/>
                <w:sz w:val="18"/>
              </w:rPr>
              <w:t>84,870,410.51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6"/>
        <w:gridCol w:w="1460"/>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37,674,309.37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530,720.17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38,205,029.54</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860" w:right="0"/>
              <w:jc w:val="left"/>
              <w:rPr>
                <w:rFonts w:ascii="Times New Roman" w:hAnsi="Times New Roman" w:cs="Times New Roman" w:eastAsia="Times New Roman" w:hint="default"/>
                <w:sz w:val="18"/>
                <w:szCs w:val="18"/>
              </w:rPr>
            </w:pPr>
            <w:r>
              <w:rPr>
                <w:rFonts w:ascii="Times New Roman"/>
                <w:sz w:val="18"/>
              </w:rPr>
              <w:t>11,338,102.52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11,338,102.52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8,378,971.00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3,368,875.44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1,117,788.69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10,630,057.75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20,854,398.09</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4,553,850.34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4,344,429.12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21,063,819.31</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3,557,068.64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297,225.40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220,892.65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3,633,401.39</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13,268,310.57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456,108.28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8,303,922.30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2,299,871.22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19,728,469.93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2,359,515.14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1,611,952.06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3,971,467.20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456,108.28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907,036.60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1,363,144.88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3,135,438.93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1,752,273.30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455,872.54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4,431,839.69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5,856,930.37</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3,381,703.48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1,363,047.49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7,875,586.36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1,916,426.13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650,956.86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480,951.19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2,086,431.80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57,196,436.53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65,141,940.58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35,314,794.23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34,233,562.34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9,974,957.64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5,243,532.07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6,198,218.06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14,997,467.72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13,188,232.95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1,640,642.51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1,546,969.59</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57,196,436.53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65,141,940.58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35,314,794.23</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34,233,562.34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9,974,957.64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5,243,532.07</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6,198,218.06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14,997,467.72</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13,188,232.95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1,640,642.51</w:t>
            </w:r>
          </w:p>
        </w:tc>
        <w:tc>
          <w:tcPr>
            <w:tcW w:w="45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1,546,969.59</w:t>
            </w:r>
          </w:p>
        </w:tc>
      </w:tr>
    </w:tbl>
    <w:p>
      <w:pPr>
        <w:pStyle w:val="BodyText"/>
        <w:spacing w:line="240" w:lineRule="auto" w:before="49"/>
        <w:ind w:right="0"/>
        <w:jc w:val="left"/>
      </w:pPr>
      <w:r>
        <w:rPr/>
        <w:t>本期折旧额</w:t>
      </w:r>
      <w:r>
        <w:rPr>
          <w:spacing w:val="-48"/>
        </w:rPr>
        <w:t> </w:t>
      </w:r>
      <w:r>
        <w:rPr>
          <w:rFonts w:ascii="Times New Roman" w:hAnsi="Times New Roman" w:cs="Times New Roman" w:eastAsia="Times New Roman" w:hint="default"/>
        </w:rPr>
        <w:t>8,303,922.30</w:t>
      </w:r>
      <w:r>
        <w:rPr>
          <w:rFonts w:ascii="Times New Roman" w:hAnsi="Times New Roman" w:cs="Times New Roman" w:eastAsia="Times New Roman" w:hint="default"/>
          <w:spacing w:val="-1"/>
        </w:rPr>
        <w:t> </w:t>
      </w:r>
      <w:r>
        <w:rPr/>
        <w:t>元；本期由在建工程转入固定资产原价为</w:t>
      </w:r>
      <w:r>
        <w:rPr>
          <w:spacing w:val="-49"/>
        </w:rPr>
        <w:t> </w:t>
      </w:r>
      <w:r>
        <w:rPr>
          <w:rFonts w:ascii="Times New Roman" w:hAnsi="Times New Roman" w:cs="Times New Roman" w:eastAsia="Times New Roman" w:hint="default"/>
        </w:rPr>
        <w:t>7,762,965.69</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5"/>
        <w:gridCol w:w="1196"/>
        <w:gridCol w:w="1195"/>
        <w:gridCol w:w="1196"/>
        <w:gridCol w:w="1193"/>
        <w:gridCol w:w="1196"/>
        <w:gridCol w:w="1332"/>
      </w:tblGrid>
      <w:tr>
        <w:trPr>
          <w:trHeight w:val="403" w:hRule="exact"/>
        </w:trPr>
        <w:tc>
          <w:tcPr>
            <w:tcW w:w="22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26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0"/>
              <w:jc w:val="left"/>
              <w:rPr>
                <w:rFonts w:ascii="宋体" w:hAnsi="宋体" w:cs="宋体" w:eastAsia="宋体" w:hint="default"/>
                <w:sz w:val="18"/>
                <w:szCs w:val="18"/>
              </w:rPr>
            </w:pPr>
            <w:r>
              <w:rPr>
                <w:rFonts w:ascii="宋体" w:hAnsi="宋体" w:cs="宋体" w:eastAsia="宋体" w:hint="default"/>
                <w:sz w:val="18"/>
                <w:szCs w:val="18"/>
              </w:rPr>
              <w:t>社会保障卡及读写终端制作 中心工程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5,475,605.17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5,475,605.17</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5,475,605.17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5,475,605.17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4"/>
        <w:gridCol w:w="737"/>
        <w:gridCol w:w="737"/>
      </w:tblGrid>
      <w:tr>
        <w:trPr>
          <w:trHeight w:val="1338"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4" w:right="92"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61"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社会保 障卡及 读写终 端制作 中心工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14,845,6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5,475,60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2,287,36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7,762,96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52.29%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1,484,56</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0,000.00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5,475,60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2,287,36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7,762,96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5.69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在建工程项目变动情况的说明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14,119,955.31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343,111.96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14,463,067.27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五险合一管理信息系统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305,106.58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305,106.58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城镇居民医疗保险信息管 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375,079.28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375,079.28</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药企通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441,904.98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441,904.98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407,311.00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407,311.00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数据总线平台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179,767.65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179,767.65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智能开发平台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670,472.29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670,472.29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区域医疗信息管理系统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436,395.48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436,395.48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新型农村养老保险信息系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648,670.13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648,670.13</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易联众办公系统（</w:t>
            </w:r>
            <w:r>
              <w:rPr>
                <w:rFonts w:ascii="Times New Roman" w:hAnsi="Times New Roman" w:cs="Times New Roman" w:eastAsia="Times New Roman" w:hint="default"/>
                <w:sz w:val="18"/>
                <w:szCs w:val="18"/>
              </w:rPr>
              <w:t>Livebos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灵动业务架构平台）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109,401.71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109,401.71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民生自助服务终端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5,465,694.93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5,465,694.93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用友财务软件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343,111.96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343,111.96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30,151.28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30,151.28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6,251,395.86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2,274,114.18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8,525,510.04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五险合一管理信息系统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255,833.65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49,272.93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305,106.58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城镇居民医疗保险信息管 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243,801.48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75,015.84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318,817.32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1,796,666.73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403,333.27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2,200,000.00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药企通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220,952.40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88,380.96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309,333.36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203,655.60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81,462.24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285,117.84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数据总线平台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83,891.63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35,953.60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119,845.23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智能开发平台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312,887.12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134,094.48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446,981.60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区域医疗信息管理系统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130,918.68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87,279.12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218,197.80</w:t>
            </w:r>
          </w:p>
        </w:tc>
      </w:tr>
      <w:tr>
        <w:trPr>
          <w:trHeight w:val="716"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新型农村养老保险信息系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140,545.21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129,734.04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270,279.25</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易联众办公系统（</w:t>
            </w:r>
            <w:r>
              <w:rPr>
                <w:rFonts w:ascii="Times New Roman" w:hAnsi="Times New Roman" w:cs="Times New Roman" w:eastAsia="Times New Roman" w:hint="default"/>
                <w:sz w:val="18"/>
                <w:szCs w:val="18"/>
              </w:rPr>
              <w:t>Livebos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灵动业务架构平台）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30,997.16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21,880.42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52,877.58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民生自助服务终端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91,094.92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1,093,139.04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1,184,233.96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用友财务软件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46,568.24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46,568.24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30,151.28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30,151.28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7,868,559.45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-1,931,002.22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5,937,557.23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五险合一管理信息系统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49,272.93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-49,272.93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城镇居民医疗保险信息管 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131,277.80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-75,015.84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56,261.96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403,333.27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-403,333.27</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药企通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220,952.58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-88,380.96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132,571.62</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80"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203,655.40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-81,462.24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122,193.16</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数据总线平台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95,876.02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-35,953.60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59,922.42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智能开发平台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357,585.17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-134,094.48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223,490.69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区域医疗信息管理系统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305,476.80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-87,279.12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218,197.68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新型农村养老保险信息系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508,124.92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-129,734.04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378,390.88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易联众办公系统（</w:t>
            </w:r>
            <w:r>
              <w:rPr>
                <w:rFonts w:ascii="Times New Roman" w:hAnsi="Times New Roman" w:cs="Times New Roman" w:eastAsia="Times New Roman" w:hint="default"/>
                <w:sz w:val="18"/>
                <w:szCs w:val="18"/>
              </w:rPr>
              <w:t>Livebos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灵动业务架构平台）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78,404.55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-21,880.42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56,524.13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民生自助服务终端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5,374,600.01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-1,093,139.04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4,281,460.97</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用友财务软件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296,543.72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296,543.72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五险合一管理信息系统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城镇居民医疗保险信息管 理系统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药企通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点通</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数据总线平台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智能开发平台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区域医疗信息管理系统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新型农村养老保险信息系 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41"/>
              <w:jc w:val="left"/>
              <w:rPr>
                <w:rFonts w:ascii="宋体" w:hAnsi="宋体" w:cs="宋体" w:eastAsia="宋体" w:hint="default"/>
                <w:sz w:val="18"/>
                <w:szCs w:val="18"/>
              </w:rPr>
            </w:pPr>
            <w:r>
              <w:rPr>
                <w:rFonts w:ascii="宋体" w:hAnsi="宋体" w:cs="宋体" w:eastAsia="宋体" w:hint="default"/>
                <w:sz w:val="18"/>
                <w:szCs w:val="18"/>
              </w:rPr>
              <w:t>易联众办公系统（</w:t>
            </w:r>
            <w:r>
              <w:rPr>
                <w:rFonts w:ascii="Times New Roman" w:hAnsi="Times New Roman" w:cs="Times New Roman" w:eastAsia="Times New Roman" w:hint="default"/>
                <w:sz w:val="18"/>
                <w:szCs w:val="18"/>
              </w:rPr>
              <w:t>Livebos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灵动业务架构平台）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民生自助服务终端</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网络平台</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用友财务软件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7,868,559.45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-1,931,002.22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5,937,557.23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医保软件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五险合一管理信息系统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49,272.93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3"/>
        <w:gridCol w:w="1844"/>
      </w:tblGrid>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0"/>
              <w:jc w:val="left"/>
              <w:rPr>
                <w:rFonts w:ascii="宋体" w:hAnsi="宋体" w:cs="宋体" w:eastAsia="宋体" w:hint="default"/>
                <w:sz w:val="18"/>
                <w:szCs w:val="18"/>
              </w:rPr>
            </w:pPr>
            <w:r>
              <w:rPr>
                <w:rFonts w:ascii="宋体" w:hAnsi="宋体" w:cs="宋体" w:eastAsia="宋体" w:hint="default"/>
                <w:sz w:val="18"/>
                <w:szCs w:val="18"/>
              </w:rPr>
              <w:t>城镇居民医疗保险信息管 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131,277.80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56,261.96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PACS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403,333.27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药企通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220,952.58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132,571.62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点通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203,655.40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122,193.16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数据总线平台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95,876.02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59,922.42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智能开发平台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357,585.17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223,490.69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区域医疗信息管理系统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305,476.80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218,197.68</w:t>
            </w:r>
          </w:p>
        </w:tc>
      </w:tr>
      <w:tr>
        <w:trPr>
          <w:trHeight w:val="715"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0"/>
              <w:jc w:val="left"/>
              <w:rPr>
                <w:rFonts w:ascii="宋体" w:hAnsi="宋体" w:cs="宋体" w:eastAsia="宋体" w:hint="default"/>
                <w:sz w:val="18"/>
                <w:szCs w:val="18"/>
              </w:rPr>
            </w:pPr>
            <w:r>
              <w:rPr>
                <w:rFonts w:ascii="宋体" w:hAnsi="宋体" w:cs="宋体" w:eastAsia="宋体" w:hint="default"/>
                <w:sz w:val="18"/>
                <w:szCs w:val="18"/>
              </w:rPr>
              <w:t>新型农村养老保险信息系 统</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508,124.92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378,390.88</w:t>
            </w:r>
          </w:p>
        </w:tc>
      </w:tr>
      <w:tr>
        <w:trPr>
          <w:trHeight w:val="71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易联众办公系统（</w:t>
            </w:r>
            <w:r>
              <w:rPr>
                <w:rFonts w:ascii="Times New Roman" w:hAnsi="Times New Roman" w:cs="Times New Roman" w:eastAsia="Times New Roman" w:hint="default"/>
                <w:sz w:val="18"/>
                <w:szCs w:val="18"/>
              </w:rPr>
              <w:t>Livebos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灵动业务架构平台）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78,404.55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56,524.13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民生自助服务终端</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5,374,600.01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4,281,460.97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网络平台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用友财务软件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296,543.72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本期摊销额</w:t>
      </w:r>
      <w:r>
        <w:rPr>
          <w:spacing w:val="-49"/>
        </w:rPr>
        <w:t> </w:t>
      </w:r>
      <w:r>
        <w:rPr>
          <w:rFonts w:ascii="Times New Roman" w:hAnsi="Times New Roman" w:cs="Times New Roman" w:eastAsia="Times New Roman" w:hint="default"/>
        </w:rPr>
        <w:t>2,274,114.18</w:t>
      </w:r>
      <w:r>
        <w:rPr>
          <w:rFonts w:ascii="Times New Roman" w:hAnsi="Times New Roman" w:cs="Times New Roman" w:eastAsia="Times New Roman" w:hint="default"/>
          <w:spacing w:val="-4"/>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民生一体化门户网 站系统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3,577,429.83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5,369,720.93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8,947,150.76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居民健康信息系统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1,533,763.95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1,718,049.14</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3,251,813.09</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工伤生育保险信息 管理系统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1,032,122.25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1,378,338.31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2,410,460.56</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社区化在线学习云 服务平台</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1,155,579.20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1,155,579.20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电子病例管理系统</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1,443,930.80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1,443,930.80</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湖南易联众社会保 障卡管理平台</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147,987.82</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147,987.82</w:t>
            </w:r>
          </w:p>
        </w:tc>
      </w:tr>
      <w:tr>
        <w:trPr>
          <w:trHeight w:val="102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both"/>
              <w:rPr>
                <w:rFonts w:ascii="宋体" w:hAnsi="宋体" w:cs="宋体" w:eastAsia="宋体" w:hint="default"/>
                <w:sz w:val="18"/>
                <w:szCs w:val="18"/>
              </w:rPr>
            </w:pPr>
            <w:r>
              <w:rPr>
                <w:rFonts w:ascii="宋体" w:hAnsi="宋体" w:cs="宋体" w:eastAsia="宋体" w:hint="default"/>
                <w:sz w:val="18"/>
                <w:szCs w:val="18"/>
              </w:rPr>
              <w:t>易联众湖南省养老 保险信息管理系统 全省数据大集中版</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145,807.41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145,807.41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6,143,316.03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11,359,413.61</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17,502,729.64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38" w:lineRule="auto" w:before="44"/>
        <w:ind w:right="140"/>
        <w:jc w:val="left"/>
      </w:pPr>
      <w:r>
        <w:rPr/>
        <w:t>本期开发支出占本期研究开发项目支出总额的比例</w:t>
      </w:r>
      <w:r>
        <w:rPr>
          <w:spacing w:val="-44"/>
        </w:rPr>
        <w:t> </w:t>
      </w:r>
      <w:r>
        <w:rPr>
          <w:rFonts w:ascii="Times New Roman" w:hAnsi="Times New Roman" w:cs="Times New Roman" w:eastAsia="Times New Roman" w:hint="default"/>
        </w:rPr>
        <w:t>30.79%</w:t>
      </w:r>
      <w:r>
        <w:rPr/>
        <w:t>。 通过公司内部研发形成的无形资产占无形资产期末账面价值的比例</w:t>
      </w:r>
      <w:r>
        <w:rPr>
          <w:spacing w:val="-44"/>
        </w:rPr>
        <w:t> </w:t>
      </w:r>
      <w:r>
        <w:rPr>
          <w:rFonts w:ascii="Times New Roman" w:hAnsi="Times New Roman" w:cs="Times New Roman" w:eastAsia="Times New Roman" w:hint="default"/>
        </w:rPr>
        <w:t>92.17%</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办公家具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1,174,366.95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131,718.95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352,684.45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953,401.45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917,686.17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3,360,464.49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892,582.14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3,385,568.52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2,092,053.12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3,492,183.44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1,245,266.59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4,338,969.97</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16</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6"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4,348,350.14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3,234,163.12</w:t>
            </w:r>
          </w:p>
        </w:tc>
      </w:tr>
      <w:tr>
        <w:trPr>
          <w:trHeight w:val="404"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668,551.23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278,417.90</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合并抵消的未实现内部利润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1,761.57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30,505.19</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5,018,662.94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3,543,086.21</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pStyle w:val="BodyText"/>
        <w:spacing w:line="240" w:lineRule="auto" w:before="49"/>
        <w:ind w:right="0"/>
        <w:jc w:val="left"/>
      </w:pPr>
      <w:r>
        <w:rPr/>
        <w:t>未确认递延所得税资产明细</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2,792,318.35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1,113,671.61</w:t>
            </w:r>
          </w:p>
        </w:tc>
      </w:tr>
      <w:tr>
        <w:trPr>
          <w:trHeight w:val="402"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2,792,318.35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1,113,671.61</w:t>
            </w: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应纳税差异和可抵扣差异项目明细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5713"/>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6"/>
        <w:gridCol w:w="1628"/>
        <w:gridCol w:w="1627"/>
        <w:gridCol w:w="1617"/>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5"/>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8"/>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7" w:right="77"/>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7" w:type="dxa"/>
            <w:vMerge/>
            <w:tcBorders>
              <w:left w:val="single" w:sz="4" w:space="0" w:color="000000"/>
              <w:right w:val="single" w:sz="4" w:space="0" w:color="000000"/>
            </w:tcBorders>
            <w:shd w:val="clear" w:color="auto" w:fill="D2D2D2"/>
          </w:tcPr>
          <w:p>
            <w:pPr/>
          </w:p>
        </w:tc>
        <w:tc>
          <w:tcPr>
            <w:tcW w:w="1617"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6"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7" w:type="dxa"/>
            <w:vMerge/>
            <w:tcBorders>
              <w:left w:val="single" w:sz="4" w:space="0" w:color="000000"/>
              <w:bottom w:val="single" w:sz="4" w:space="0" w:color="000000"/>
              <w:right w:val="single" w:sz="4" w:space="0" w:color="000000"/>
            </w:tcBorders>
            <w:shd w:val="clear" w:color="auto" w:fill="D2D2D2"/>
          </w:tcPr>
          <w:p>
            <w:pPr/>
          </w:p>
        </w:tc>
        <w:tc>
          <w:tcPr>
            <w:tcW w:w="161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43" w:right="0"/>
              <w:jc w:val="left"/>
              <w:rPr>
                <w:rFonts w:ascii="Times New Roman" w:hAnsi="Times New Roman" w:cs="Times New Roman" w:eastAsia="Times New Roman" w:hint="default"/>
                <w:sz w:val="18"/>
                <w:szCs w:val="18"/>
              </w:rPr>
            </w:pPr>
            <w:r>
              <w:rPr>
                <w:rFonts w:ascii="Times New Roman"/>
                <w:sz w:val="18"/>
              </w:rPr>
              <w:t>5,018,662.94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31,183,723.29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9" w:right="0"/>
              <w:jc w:val="left"/>
              <w:rPr>
                <w:rFonts w:ascii="Times New Roman" w:hAnsi="Times New Roman" w:cs="Times New Roman" w:eastAsia="Times New Roman" w:hint="default"/>
                <w:sz w:val="18"/>
                <w:szCs w:val="18"/>
              </w:rPr>
            </w:pPr>
            <w:r>
              <w:rPr>
                <w:rFonts w:ascii="Times New Roman"/>
                <w:sz w:val="18"/>
              </w:rPr>
              <w:t>3,543,086.21</w:t>
            </w:r>
          </w:p>
        </w:tc>
        <w:tc>
          <w:tcPr>
            <w:tcW w:w="1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20,963,051.56</w:t>
            </w:r>
          </w:p>
        </w:tc>
      </w:tr>
    </w:tbl>
    <w:p>
      <w:pPr>
        <w:pStyle w:val="BodyText"/>
        <w:spacing w:line="240" w:lineRule="auto" w:before="49"/>
        <w:ind w:right="0"/>
        <w:jc w:val="left"/>
      </w:pPr>
      <w:r>
        <w:rPr/>
        <w:t>递延所得税资产和递延所得税负债互抵明细</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、资产减值准备明细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400"/>
        <w:gridCol w:w="1397"/>
        <w:gridCol w:w="1453"/>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vMerge/>
            <w:tcBorders>
              <w:left w:val="single" w:sz="4" w:space="0" w:color="000000"/>
              <w:bottom w:val="single" w:sz="4" w:space="0" w:color="000000"/>
              <w:right w:val="single" w:sz="4" w:space="0" w:color="000000"/>
            </w:tcBorders>
            <w:shd w:val="clear" w:color="auto" w:fill="D2D2D2"/>
          </w:tcPr>
          <w:p>
            <w:pPr/>
          </w:p>
        </w:tc>
        <w:tc>
          <w:tcPr>
            <w:tcW w:w="1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4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0"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19,646,012.00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10,727,307.79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1,993,658.63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28,379,661.16</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19,646,012.00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10,727,307.79</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1,993,658.63</w:t>
            </w:r>
          </w:p>
        </w:tc>
        <w:tc>
          <w:tcPr>
            <w:tcW w:w="1397"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28,379,661.16</w:t>
            </w:r>
          </w:p>
        </w:tc>
      </w:tr>
    </w:tbl>
    <w:p>
      <w:pPr>
        <w:pStyle w:val="BodyText"/>
        <w:spacing w:line="240" w:lineRule="auto" w:before="49"/>
        <w:ind w:right="0"/>
        <w:jc w:val="left"/>
      </w:pPr>
      <w:r>
        <w:rPr/>
        <w:t>资产减值明细情况的说明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2,126,804.14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2,126,804.14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3,300,000.00</w:t>
            </w:r>
          </w:p>
        </w:tc>
      </w:tr>
    </w:tbl>
    <w:p>
      <w:pPr>
        <w:pStyle w:val="BodyText"/>
        <w:spacing w:line="338" w:lineRule="auto" w:before="49"/>
        <w:ind w:right="6219"/>
        <w:jc w:val="left"/>
      </w:pPr>
      <w:r>
        <w:rPr/>
        <w:t>下一会计期间将到期的金额</w:t>
      </w:r>
      <w:r>
        <w:rPr>
          <w:spacing w:val="-46"/>
        </w:rPr>
        <w:t> </w:t>
      </w:r>
      <w:r>
        <w:rPr>
          <w:rFonts w:ascii="Times New Roman" w:hAnsi="Times New Roman" w:cs="Times New Roman" w:eastAsia="Times New Roman" w:hint="default"/>
        </w:rPr>
        <w:t>2,126,804.14</w:t>
      </w:r>
      <w:r>
        <w:rPr>
          <w:rFonts w:ascii="Times New Roman" w:hAnsi="Times New Roman" w:cs="Times New Roman" w:eastAsia="Times New Roman" w:hint="default"/>
          <w:spacing w:val="1"/>
        </w:rPr>
        <w:t> </w:t>
      </w:r>
      <w:r>
        <w:rPr/>
        <w:t>元。 应付票据的说明</w:t>
      </w:r>
    </w:p>
    <w:p>
      <w:pPr>
        <w:spacing w:after="0" w:line="338"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73,248,264.22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70,483,681.75</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470,195.52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1,665,147.24</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73,718,459.74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72,148,828.99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3294"/>
        <w:gridCol w:w="1531"/>
        <w:gridCol w:w="2240"/>
        <w:gridCol w:w="2007"/>
      </w:tblGrid>
      <w:tr>
        <w:trPr>
          <w:trHeight w:val="351" w:hRule="exact"/>
        </w:trPr>
        <w:tc>
          <w:tcPr>
            <w:tcW w:w="329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债权人名称</w:t>
            </w:r>
            <w:r>
              <w:rPr>
                <w:rFonts w:ascii="宋体" w:hAnsi="宋体" w:cs="宋体" w:eastAsia="宋体" w:hint="default"/>
                <w:sz w:val="18"/>
                <w:szCs w:val="18"/>
              </w:rPr>
            </w:r>
          </w:p>
        </w:tc>
        <w:tc>
          <w:tcPr>
            <w:tcW w:w="153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24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200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b/>
                <w:bCs/>
                <w:sz w:val="18"/>
                <w:szCs w:val="18"/>
              </w:rPr>
              <w:t>未偿还的原因</w:t>
            </w:r>
            <w:r>
              <w:rPr>
                <w:rFonts w:ascii="宋体" w:hAnsi="宋体" w:cs="宋体" w:eastAsia="宋体" w:hint="default"/>
                <w:sz w:val="18"/>
                <w:szCs w:val="18"/>
              </w:rPr>
            </w:r>
          </w:p>
        </w:tc>
      </w:tr>
      <w:tr>
        <w:trPr>
          <w:trHeight w:val="353" w:hRule="exact"/>
        </w:trPr>
        <w:tc>
          <w:tcPr>
            <w:tcW w:w="3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北京握奇智能科技有限公司</w:t>
            </w:r>
          </w:p>
        </w:tc>
        <w:tc>
          <w:tcPr>
            <w:tcW w:w="15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3,989,086.70</w:t>
            </w:r>
          </w:p>
        </w:tc>
        <w:tc>
          <w:tcPr>
            <w:tcW w:w="22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采购款</w:t>
            </w:r>
          </w:p>
        </w:tc>
        <w:tc>
          <w:tcPr>
            <w:tcW w:w="20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项目尚未结束</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20</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21,852,609.62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26,459,435.86</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21,852,609.62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26,459,435.86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）账龄超过一年的大额预收账款情况的说明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426" w:type="dxa"/>
        <w:tblLayout w:type="fixed"/>
        <w:tblCellMar>
          <w:top w:w="0" w:type="dxa"/>
          <w:left w:w="0" w:type="dxa"/>
          <w:bottom w:w="0" w:type="dxa"/>
          <w:right w:w="0" w:type="dxa"/>
        </w:tblCellMar>
        <w:tblLook w:val="01E0"/>
      </w:tblPr>
      <w:tblGrid>
        <w:gridCol w:w="3987"/>
        <w:gridCol w:w="1385"/>
        <w:gridCol w:w="1891"/>
        <w:gridCol w:w="1810"/>
      </w:tblGrid>
      <w:tr>
        <w:trPr>
          <w:trHeight w:val="350" w:hRule="exact"/>
        </w:trPr>
        <w:tc>
          <w:tcPr>
            <w:tcW w:w="3987"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客</w:t>
            </w:r>
            <w:r>
              <w:rPr>
                <w:rFonts w:ascii="宋体" w:hAnsi="宋体" w:cs="宋体" w:eastAsia="宋体" w:hint="default"/>
                <w:b/>
                <w:bCs/>
                <w:spacing w:val="63"/>
                <w:sz w:val="18"/>
                <w:szCs w:val="18"/>
              </w:rPr>
              <w:t> </w:t>
            </w:r>
            <w:r>
              <w:rPr>
                <w:rFonts w:ascii="宋体" w:hAnsi="宋体" w:cs="宋体" w:eastAsia="宋体" w:hint="default"/>
                <w:b/>
                <w:bCs/>
                <w:sz w:val="18"/>
                <w:szCs w:val="18"/>
              </w:rPr>
              <w:t>户</w:t>
            </w:r>
            <w:r>
              <w:rPr>
                <w:rFonts w:ascii="宋体" w:hAnsi="宋体" w:cs="宋体" w:eastAsia="宋体" w:hint="default"/>
                <w:sz w:val="18"/>
                <w:szCs w:val="18"/>
              </w:rPr>
            </w:r>
          </w:p>
        </w:tc>
        <w:tc>
          <w:tcPr>
            <w:tcW w:w="138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91"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性质或内容</w:t>
            </w:r>
            <w:r>
              <w:rPr>
                <w:rFonts w:ascii="宋体" w:hAnsi="宋体" w:cs="宋体" w:eastAsia="宋体" w:hint="default"/>
                <w:sz w:val="18"/>
                <w:szCs w:val="18"/>
              </w:rPr>
            </w:r>
          </w:p>
        </w:tc>
        <w:tc>
          <w:tcPr>
            <w:tcW w:w="1810"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b/>
                <w:bCs/>
                <w:sz w:val="18"/>
                <w:szCs w:val="18"/>
              </w:rPr>
              <w:t>未结转的原因</w:t>
            </w:r>
            <w:r>
              <w:rPr>
                <w:rFonts w:ascii="宋体" w:hAnsi="宋体" w:cs="宋体" w:eastAsia="宋体" w:hint="default"/>
                <w:sz w:val="18"/>
                <w:szCs w:val="18"/>
              </w:rPr>
            </w:r>
          </w:p>
        </w:tc>
      </w:tr>
      <w:tr>
        <w:trPr>
          <w:trHeight w:val="350" w:hRule="exact"/>
        </w:trPr>
        <w:tc>
          <w:tcPr>
            <w:tcW w:w="3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宁德人力资源和社会保障局</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5,653,000.50</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c>
          <w:tcPr>
            <w:tcW w:w="1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劳务尚未提供</w:t>
            </w:r>
          </w:p>
        </w:tc>
      </w:tr>
      <w:tr>
        <w:trPr>
          <w:trHeight w:val="353" w:hRule="exact"/>
        </w:trPr>
        <w:tc>
          <w:tcPr>
            <w:tcW w:w="3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中国银行股份有限公司漳州分行</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3,025,969.70</w:t>
            </w:r>
          </w:p>
        </w:tc>
        <w:tc>
          <w:tcPr>
            <w:tcW w:w="18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预收货款</w:t>
            </w:r>
          </w:p>
        </w:tc>
        <w:tc>
          <w:tcPr>
            <w:tcW w:w="18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23"/>
              <w:jc w:val="center"/>
              <w:rPr>
                <w:rFonts w:ascii="宋体" w:hAnsi="宋体" w:cs="宋体" w:eastAsia="宋体" w:hint="default"/>
                <w:sz w:val="18"/>
                <w:szCs w:val="18"/>
              </w:rPr>
            </w:pPr>
            <w:r>
              <w:rPr>
                <w:rFonts w:ascii="宋体" w:hAnsi="宋体" w:cs="宋体" w:eastAsia="宋体" w:hint="default"/>
                <w:sz w:val="18"/>
                <w:szCs w:val="18"/>
              </w:rPr>
              <w:t>尚未供货</w:t>
            </w:r>
          </w:p>
        </w:tc>
      </w:tr>
      <w:tr>
        <w:trPr>
          <w:trHeight w:val="353" w:hRule="exact"/>
        </w:trPr>
        <w:tc>
          <w:tcPr>
            <w:tcW w:w="39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1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b/>
                <w:sz w:val="18"/>
              </w:rPr>
              <w:t>8,678,970.20</w:t>
            </w:r>
            <w:r>
              <w:rPr>
                <w:rFonts w:ascii="Times New Roman"/>
                <w:sz w:val="18"/>
              </w:rPr>
            </w:r>
          </w:p>
        </w:tc>
        <w:tc>
          <w:tcPr>
            <w:tcW w:w="1891" w:type="dxa"/>
            <w:tcBorders>
              <w:top w:val="single" w:sz="8" w:space="0" w:color="000000"/>
              <w:left w:val="single" w:sz="8" w:space="0" w:color="000000"/>
              <w:bottom w:val="single" w:sz="8" w:space="0" w:color="000000"/>
              <w:right w:val="single" w:sz="8" w:space="0" w:color="000000"/>
            </w:tcBorders>
          </w:tcPr>
          <w:p>
            <w:pPr/>
          </w:p>
        </w:tc>
        <w:tc>
          <w:tcPr>
            <w:tcW w:w="181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1"/>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10,559,877.26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55,024,097.10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55,972,203.05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9,611,771.31</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18,900.00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2,362,828.57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2,378,028.57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73,514.54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7,993,807.19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7,999,351.07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67,970.66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19,927.35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2,171,707.36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2,184,801.62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6,833.09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42,026.02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5,531,870.87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5,570,194.06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3,702.83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8,929.17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155,357.74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107,410.63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56,876.28</w:t>
            </w:r>
            <w:r>
              <w:rPr>
                <w:rFonts w:ascii="Times New Roman"/>
                <w:sz w:val="18"/>
              </w:rPr>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1,361.27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59,942.30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61,075.91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1,270.73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74,928.92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75,868.85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28,579.21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2,794,564.20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2,789,580.20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33,563.21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1,622,000.68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1,438,323.94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1,468,982.04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1,591,342.58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1,622,000.68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1,432,288.94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1,462,947.04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1,591,342.58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6,035.00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6,035.00</w:t>
            </w:r>
          </w:p>
        </w:tc>
        <w:tc>
          <w:tcPr>
            <w:tcW w:w="18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12,302,871.69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69,613,621.00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70,608,144.93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11,308,347.76</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733" w:firstLine="360"/>
        <w:jc w:val="left"/>
      </w:pPr>
      <w:r>
        <w:rPr/>
        <w:t>工会经费和职工教育经费金额</w:t>
      </w:r>
      <w:r>
        <w:rPr>
          <w:spacing w:val="-47"/>
        </w:rPr>
        <w:t> </w:t>
      </w:r>
      <w:r>
        <w:rPr>
          <w:rFonts w:ascii="Times New Roman" w:hAnsi="Times New Roman" w:cs="Times New Roman" w:eastAsia="Times New Roman" w:hint="default"/>
        </w:rPr>
        <w:t>1,622,000.68</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0.00 </w:t>
      </w:r>
      <w:r>
        <w:rPr/>
        <w:t>元。 应付职工薪酬预计发放时间、金额等安排</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-4,722,623.27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-4,607,289.57</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203,332.70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235,076.11</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2,935,703.81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6,631,154.06</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187,313.63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95,805.73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466,353.56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249,875.19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300,009.13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160,691.48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91,984.61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64,370.83</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价调基金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58,722.43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36,257.27</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江海堤防费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19,722.34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72,167.05</w:t>
            </w:r>
          </w:p>
        </w:tc>
      </w:tr>
      <w:tr>
        <w:trPr>
          <w:trHeight w:val="404"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114,936.57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70,326.39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-344,544.49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3,008,434.54</w:t>
            </w:r>
          </w:p>
        </w:tc>
      </w:tr>
    </w:tbl>
    <w:p>
      <w:pPr>
        <w:pStyle w:val="BodyText"/>
        <w:spacing w:line="357" w:lineRule="auto" w:before="49"/>
        <w:ind w:left="513" w:right="128" w:hanging="361"/>
        <w:jc w:val="left"/>
      </w:pPr>
      <w:r>
        <w:rPr/>
        <w:t>应交税费说明，所在地税务机关同意各分公司、分厂之间应纳税所得额相互调剂的，应说明税款计算过程 应交税费年末余额较年初余额减少</w:t>
      </w:r>
      <w:r>
        <w:rPr>
          <w:rFonts w:ascii="Times New Roman" w:hAnsi="Times New Roman" w:cs="Times New Roman" w:eastAsia="Times New Roman" w:hint="default"/>
        </w:rPr>
        <w:t>111.45%</w:t>
      </w:r>
      <w:r>
        <w:rPr/>
        <w:t>，主要系本公司本年度应纳税所得额下降，应交企业所得税相应减少所致。</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18,280.94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23,025.61</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18,280.94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23,025.61</w:t>
            </w:r>
          </w:p>
        </w:tc>
      </w:tr>
    </w:tbl>
    <w:p>
      <w:pPr>
        <w:pStyle w:val="BodyText"/>
        <w:spacing w:line="240" w:lineRule="auto" w:before="49"/>
        <w:ind w:right="0"/>
        <w:jc w:val="left"/>
      </w:pPr>
      <w:r>
        <w:rPr/>
        <w:t>应付利息说明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621,944.66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548,280.45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535,773.97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141,443.72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1,157,718.63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5,393,724.17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25</w:t>
      </w:r>
      <w:r>
        <w:rPr/>
        <w:t>、其他流动负债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物联网发展专项资金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r>
    </w:tbl>
    <w:p>
      <w:pPr>
        <w:pStyle w:val="BodyText"/>
        <w:spacing w:line="240" w:lineRule="auto" w:before="49"/>
        <w:ind w:right="0"/>
        <w:jc w:val="left"/>
      </w:pPr>
      <w:r>
        <w:rPr/>
        <w:t>其他流动负债说明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8,699,166.80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10,706,666.88</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8,699,166.80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10,706,666.88</w:t>
            </w:r>
          </w:p>
        </w:tc>
      </w:tr>
    </w:tbl>
    <w:p>
      <w:pPr>
        <w:pStyle w:val="BodyText"/>
        <w:spacing w:line="240" w:lineRule="auto" w:before="49"/>
        <w:ind w:right="0"/>
        <w:jc w:val="left"/>
      </w:pPr>
      <w:r>
        <w:rPr/>
        <w:t>长期借款分类的说明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6"/>
        <w:gridCol w:w="1064"/>
        <w:gridCol w:w="1063"/>
        <w:gridCol w:w="1066"/>
        <w:gridCol w:w="1056"/>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本币金额</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公司厦门城 市建设支行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6" w:right="1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基准利率水 平上浮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1,213,333.40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1,493,333.44</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公司厦门城 市建设支行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06" w:right="1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基准利率水 平上浮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1,202,500.00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1,480,000.00</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公司厦门城 市建设支行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6" w:right="1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基准利率水 平上浮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1,159,166.60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1,426,666.56</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公司厦门城 市建设支行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06" w:right="1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基准利率水 平上浮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1,148,333.40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1,413,333.44</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中国建设银 行股份有限 公司厦门城 市建设支行</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6" w:right="19" w:hanging="75"/>
              <w:jc w:val="left"/>
              <w:rPr>
                <w:rFonts w:ascii="Times New Roman" w:hAnsi="Times New Roman" w:cs="Times New Roman" w:eastAsia="Times New Roman" w:hint="default"/>
                <w:sz w:val="18"/>
                <w:szCs w:val="18"/>
              </w:rPr>
            </w:pPr>
            <w:r>
              <w:rPr>
                <w:rFonts w:ascii="宋体" w:hAnsi="宋体" w:cs="宋体" w:eastAsia="宋体" w:hint="default"/>
                <w:sz w:val="18"/>
                <w:szCs w:val="18"/>
              </w:rPr>
              <w:t>基准利率水 平上浮</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1,077,916.60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1,326,666.56</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center"/>
              <w:rPr>
                <w:rFonts w:ascii="Times New Roman" w:hAnsi="Times New Roman" w:cs="Times New Roman" w:eastAsia="Times New Roman" w:hint="default"/>
                <w:sz w:val="18"/>
                <w:szCs w:val="18"/>
              </w:rPr>
            </w:pPr>
            <w:r>
              <w:rPr>
                <w:rFonts w:ascii="Times New Roman"/>
                <w:sz w:val="18"/>
              </w:rPr>
              <w:t>5,801,250.00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7,140,000.00</w:t>
            </w:r>
          </w:p>
        </w:tc>
      </w:tr>
    </w:tbl>
    <w:p>
      <w:pPr>
        <w:pStyle w:val="BodyText"/>
        <w:spacing w:line="240" w:lineRule="auto" w:before="49"/>
        <w:ind w:right="0"/>
        <w:jc w:val="left"/>
      </w:pPr>
      <w:r>
        <w:rPr/>
        <w:t>长期借款说明，因逾期借款获得展期形成的长期借款，应说明获得展期的条件、本金、利息、预计还款安排等</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27</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名中医医案研究应用系统扶持金</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通用嵌入式读卡器与软构件平台产业化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133,333.33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53,333.33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233,333.33</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line="240" w:lineRule="auto" w:before="3"/>
        <w:rPr>
          <w:rFonts w:ascii="宋体" w:hAnsi="宋体" w:cs="宋体" w:eastAsia="宋体" w:hint="default"/>
          <w:sz w:val="15"/>
          <w:szCs w:val="15"/>
        </w:rPr>
      </w:pPr>
    </w:p>
    <w:p>
      <w:pPr>
        <w:pStyle w:val="BodyText"/>
        <w:spacing w:line="300" w:lineRule="auto"/>
        <w:ind w:right="156" w:firstLine="360"/>
        <w:jc w:val="both"/>
      </w:pPr>
      <w:r>
        <w:rPr>
          <w:spacing w:val="-1"/>
        </w:rPr>
        <w:t>根据厦门市科学技术局、厦门市财政局</w:t>
      </w:r>
      <w:r>
        <w:rPr>
          <w:rFonts w:ascii="Times New Roman" w:hAnsi="Times New Roman" w:cs="Times New Roman" w:eastAsia="Times New Roman" w:hint="default"/>
          <w:spacing w:val="-1"/>
        </w:rPr>
        <w:t>“</w:t>
      </w:r>
      <w:r>
        <w:rPr>
          <w:spacing w:val="-1"/>
        </w:rPr>
        <w:t>厦科联</w:t>
      </w:r>
      <w:r>
        <w:rPr>
          <w:rFonts w:ascii="Times New Roman" w:hAnsi="Times New Roman" w:cs="Times New Roman" w:eastAsia="Times New Roman" w:hint="default"/>
          <w:spacing w:val="-1"/>
        </w:rPr>
        <w:t>[2008]35</w:t>
      </w:r>
      <w:r>
        <w:rPr>
          <w:spacing w:val="-1"/>
        </w:rPr>
        <w:t>号</w:t>
      </w:r>
      <w:r>
        <w:rPr>
          <w:rFonts w:ascii="Times New Roman" w:hAnsi="Times New Roman" w:cs="Times New Roman" w:eastAsia="Times New Roman" w:hint="default"/>
          <w:spacing w:val="-1"/>
        </w:rPr>
        <w:t>”</w:t>
      </w:r>
      <w:r>
        <w:rPr>
          <w:spacing w:val="-1"/>
        </w:rPr>
        <w:t>《厦门市科学技术局、厦门市财政局关于批准建立厦门市卫</w:t>
      </w:r>
      <w:r>
        <w:rPr/>
        <w:t> 生信息化等四家工程技术研究中心及下达项目专项资金的通知》，本公司于</w:t>
      </w:r>
      <w:r>
        <w:rPr>
          <w:rFonts w:ascii="Times New Roman" w:hAnsi="Times New Roman" w:cs="Times New Roman" w:eastAsia="Times New Roman" w:hint="default"/>
        </w:rPr>
        <w:t>2008</w:t>
      </w:r>
      <w:r>
        <w:rPr/>
        <w:t>年收到政府补助款</w:t>
      </w:r>
      <w:r>
        <w:rPr>
          <w:rFonts w:ascii="Times New Roman" w:hAnsi="Times New Roman" w:cs="Times New Roman" w:eastAsia="Times New Roman" w:hint="default"/>
        </w:rPr>
        <w:t>500,000.00</w:t>
      </w:r>
      <w:r>
        <w:rPr/>
        <w:t>元，用于购置 设备。本公司自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月起在电子设备折旧年限</w:t>
      </w:r>
      <w:r>
        <w:rPr>
          <w:rFonts w:ascii="Times New Roman" w:hAnsi="Times New Roman" w:cs="Times New Roman" w:eastAsia="Times New Roman" w:hint="default"/>
        </w:rPr>
        <w:t>5</w:t>
      </w:r>
      <w:r>
        <w:rPr/>
        <w:t>年内平均摊销，</w:t>
      </w:r>
      <w:r>
        <w:rPr>
          <w:rFonts w:ascii="Times New Roman" w:hAnsi="Times New Roman" w:cs="Times New Roman" w:eastAsia="Times New Roman" w:hint="default"/>
        </w:rPr>
        <w:t>2012</w:t>
      </w:r>
      <w:r>
        <w:rPr/>
        <w:t>年摊销计入营业外收入的金额为</w:t>
      </w:r>
      <w:r>
        <w:rPr>
          <w:rFonts w:ascii="Times New Roman" w:hAnsi="Times New Roman" w:cs="Times New Roman" w:eastAsia="Times New Roman" w:hint="default"/>
        </w:rPr>
        <w:t>100,000.00</w:t>
      </w:r>
      <w:r>
        <w:rPr/>
        <w:t>元。</w:t>
      </w:r>
    </w:p>
    <w:p>
      <w:pPr>
        <w:spacing w:line="240" w:lineRule="auto" w:before="7"/>
        <w:rPr>
          <w:rFonts w:ascii="宋体" w:hAnsi="宋体" w:cs="宋体" w:eastAsia="宋体" w:hint="default"/>
          <w:sz w:val="17"/>
          <w:szCs w:val="17"/>
        </w:rPr>
      </w:pPr>
    </w:p>
    <w:p>
      <w:pPr>
        <w:pStyle w:val="BodyText"/>
        <w:spacing w:line="300" w:lineRule="auto"/>
        <w:ind w:right="156" w:firstLine="360"/>
        <w:jc w:val="both"/>
      </w:pPr>
      <w:r>
        <w:rPr>
          <w:spacing w:val="-1"/>
        </w:rPr>
        <w:t>根据厦门市财政局</w:t>
      </w:r>
      <w:r>
        <w:rPr>
          <w:rFonts w:ascii="Times New Roman" w:hAnsi="Times New Roman" w:cs="Times New Roman" w:eastAsia="Times New Roman" w:hint="default"/>
          <w:spacing w:val="-1"/>
        </w:rPr>
        <w:t>“</w:t>
      </w:r>
      <w:r>
        <w:rPr>
          <w:spacing w:val="-1"/>
        </w:rPr>
        <w:t>厦财企</w:t>
      </w:r>
      <w:r>
        <w:rPr>
          <w:rFonts w:ascii="Times New Roman" w:hAnsi="Times New Roman" w:cs="Times New Roman" w:eastAsia="Times New Roman" w:hint="default"/>
          <w:spacing w:val="-1"/>
        </w:rPr>
        <w:t>[2008]32</w:t>
      </w:r>
      <w:r>
        <w:rPr>
          <w:spacing w:val="-1"/>
        </w:rPr>
        <w:t>号</w:t>
      </w:r>
      <w:r>
        <w:rPr>
          <w:rFonts w:ascii="Times New Roman" w:hAnsi="Times New Roman" w:cs="Times New Roman" w:eastAsia="Times New Roman" w:hint="default"/>
          <w:spacing w:val="-1"/>
        </w:rPr>
        <w:t>”</w:t>
      </w:r>
      <w:r>
        <w:rPr>
          <w:spacing w:val="-1"/>
        </w:rPr>
        <w:t>《厦门市财政局关于下达</w:t>
      </w:r>
      <w:r>
        <w:rPr>
          <w:rFonts w:ascii="Times New Roman" w:hAnsi="Times New Roman" w:cs="Times New Roman" w:eastAsia="Times New Roman" w:hint="default"/>
          <w:spacing w:val="-1"/>
        </w:rPr>
        <w:t>2008</w:t>
      </w:r>
      <w:r>
        <w:rPr>
          <w:spacing w:val="-1"/>
        </w:rPr>
        <w:t>年第一批促进项目成果转化扶持资金支出预算的通</w:t>
      </w:r>
      <w:r>
        <w:rPr/>
        <w:t> 知》、厦门市发展和改革委员会</w:t>
      </w:r>
      <w:r>
        <w:rPr>
          <w:rFonts w:ascii="Times New Roman" w:hAnsi="Times New Roman" w:cs="Times New Roman" w:eastAsia="Times New Roman" w:hint="default"/>
        </w:rPr>
        <w:t>“</w:t>
      </w:r>
      <w:r>
        <w:rPr/>
        <w:t>厦发改投资</w:t>
      </w:r>
      <w:r>
        <w:rPr>
          <w:rFonts w:ascii="Times New Roman" w:hAnsi="Times New Roman" w:cs="Times New Roman" w:eastAsia="Times New Roman" w:hint="default"/>
        </w:rPr>
        <w:t>[2008]537</w:t>
      </w:r>
      <w:r>
        <w:rPr/>
        <w:t>号</w:t>
      </w:r>
      <w:r>
        <w:rPr>
          <w:rFonts w:ascii="Times New Roman" w:hAnsi="Times New Roman" w:cs="Times New Roman" w:eastAsia="Times New Roman" w:hint="default"/>
        </w:rPr>
        <w:t>”</w:t>
      </w:r>
      <w:r>
        <w:rPr/>
        <w:t>《厦门市发展改革委关于下达市</w:t>
      </w:r>
      <w:r>
        <w:rPr>
          <w:rFonts w:ascii="Times New Roman" w:hAnsi="Times New Roman" w:cs="Times New Roman" w:eastAsia="Times New Roman" w:hint="default"/>
        </w:rPr>
        <w:t>2008</w:t>
      </w:r>
      <w:r>
        <w:rPr/>
        <w:t>年第五批基本建设计划的通</w:t>
      </w:r>
      <w:r>
        <w:rPr>
          <w:spacing w:val="-21"/>
        </w:rPr>
        <w:t> </w:t>
      </w:r>
      <w:r>
        <w:rPr>
          <w:spacing w:val="-21"/>
        </w:rPr>
      </w:r>
      <w:r>
        <w:rPr/>
        <w:t>知》，本公司于</w:t>
      </w:r>
      <w:r>
        <w:rPr>
          <w:rFonts w:ascii="Times New Roman" w:hAnsi="Times New Roman" w:cs="Times New Roman" w:eastAsia="Times New Roman" w:hint="default"/>
        </w:rPr>
        <w:t>2008</w:t>
      </w:r>
      <w:r>
        <w:rPr/>
        <w:t>年收到政府补助款</w:t>
      </w:r>
      <w:r>
        <w:rPr>
          <w:rFonts w:ascii="Times New Roman" w:hAnsi="Times New Roman" w:cs="Times New Roman" w:eastAsia="Times New Roman" w:hint="default"/>
        </w:rPr>
        <w:t>400,000.00</w:t>
      </w:r>
      <w:r>
        <w:rPr/>
        <w:t>元，用于购置设备。本公司自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月起在电子设备折旧年限</w:t>
      </w:r>
      <w:r>
        <w:rPr>
          <w:rFonts w:ascii="Times New Roman" w:hAnsi="Times New Roman" w:cs="Times New Roman" w:eastAsia="Times New Roman" w:hint="default"/>
        </w:rPr>
        <w:t>5</w:t>
      </w:r>
      <w:r>
        <w:rPr/>
        <w:t>年内平均</w:t>
      </w:r>
    </w:p>
    <w:p>
      <w:pPr>
        <w:spacing w:after="0" w:line="300"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摊销，</w:t>
      </w:r>
      <w:r>
        <w:rPr>
          <w:rFonts w:ascii="Times New Roman" w:hAnsi="Times New Roman" w:cs="Times New Roman" w:eastAsia="Times New Roman" w:hint="default"/>
        </w:rPr>
        <w:t>2012</w:t>
      </w:r>
      <w:r>
        <w:rPr/>
        <w:t>年摊销计入营业外收入的金额为</w:t>
      </w:r>
      <w:r>
        <w:rPr>
          <w:rFonts w:ascii="Times New Roman" w:hAnsi="Times New Roman" w:cs="Times New Roman" w:eastAsia="Times New Roman" w:hint="default"/>
        </w:rPr>
        <w:t>80,000.00</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172,000,000.00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172,000,000.00</w:t>
            </w:r>
          </w:p>
        </w:tc>
      </w:tr>
    </w:tbl>
    <w:p>
      <w:pPr>
        <w:pStyle w:val="BodyText"/>
        <w:spacing w:line="240" w:lineRule="auto" w:before="49"/>
        <w:ind w:left="0" w:right="150"/>
        <w:jc w:val="right"/>
      </w:pPr>
      <w:r>
        <w:rPr>
          <w:spacing w:val="-2"/>
        </w:rPr>
        <w:t>股本变动情况说明，本报告期内有增资或减资行为的，应披露执行验资的会计师事务所名称和验资报告文号；运行不足</w:t>
      </w:r>
    </w:p>
    <w:p>
      <w:pPr>
        <w:pStyle w:val="BodyText"/>
        <w:spacing w:line="240" w:lineRule="auto" w:before="76"/>
        <w:ind w:left="0" w:right="153"/>
        <w:jc w:val="right"/>
      </w:pP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1"/>
        </w:rPr>
        <w:t>年的股份有限公司，设立前的年份只需说明净资产情况；有限责任公司整体变更为股份公司应说明公司设立时的验资情况</w:t>
      </w:r>
    </w:p>
    <w:p>
      <w:pPr>
        <w:spacing w:line="240" w:lineRule="auto" w:before="13"/>
        <w:rPr>
          <w:rFonts w:ascii="宋体" w:hAnsi="宋体" w:cs="宋体" w:eastAsia="宋体" w:hint="default"/>
          <w:sz w:val="13"/>
          <w:szCs w:val="13"/>
        </w:rPr>
      </w:pPr>
    </w:p>
    <w:p>
      <w:pPr>
        <w:pStyle w:val="BodyText"/>
        <w:spacing w:line="300" w:lineRule="auto"/>
        <w:ind w:right="156" w:firstLine="360"/>
        <w:jc w:val="both"/>
      </w:pPr>
      <w:r>
        <w:rPr/>
        <w:t>说明</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[2010]890</w:t>
      </w:r>
      <w:r>
        <w:rPr/>
        <w:t>号</w:t>
      </w:r>
      <w:r>
        <w:rPr>
          <w:rFonts w:ascii="Times New Roman" w:hAnsi="Times New Roman" w:cs="Times New Roman" w:eastAsia="Times New Roman" w:hint="default"/>
        </w:rPr>
        <w:t>”</w:t>
      </w:r>
      <w:r>
        <w:rPr/>
        <w:t>文《关于核准易联众信息技术股份有限公 </w:t>
      </w:r>
      <w:r>
        <w:rPr>
          <w:spacing w:val="-1"/>
        </w:rPr>
        <w:t>司首次公开发行股票并在创业板上市的批复》核准，本公司申请通过向社会公开发行人民币普通股（</w:t>
      </w:r>
      <w:r>
        <w:rPr>
          <w:rFonts w:ascii="Times New Roman" w:hAnsi="Times New Roman" w:cs="Times New Roman" w:eastAsia="Times New Roman" w:hint="default"/>
          <w:spacing w:val="-1"/>
        </w:rPr>
        <w:t>A</w:t>
      </w:r>
      <w:r>
        <w:rPr>
          <w:spacing w:val="-1"/>
        </w:rPr>
        <w:t>股）增加注册资本人</w:t>
      </w:r>
      <w:r>
        <w:rPr>
          <w:spacing w:val="-78"/>
        </w:rPr>
        <w:t> </w:t>
      </w:r>
      <w:r>
        <w:rPr>
          <w:spacing w:val="-78"/>
        </w:rPr>
      </w:r>
      <w:r>
        <w:rPr>
          <w:spacing w:val="-4"/>
        </w:rPr>
        <w:t>民币</w:t>
      </w:r>
      <w:r>
        <w:rPr>
          <w:rFonts w:ascii="Times New Roman" w:hAnsi="Times New Roman" w:cs="Times New Roman" w:eastAsia="Times New Roman" w:hint="default"/>
          <w:spacing w:val="-4"/>
        </w:rPr>
        <w:t>2,200</w:t>
      </w:r>
      <w:r>
        <w:rPr>
          <w:spacing w:val="-4"/>
        </w:rPr>
        <w:t>万元，变更后的股本为</w:t>
      </w:r>
      <w:r>
        <w:rPr>
          <w:rFonts w:ascii="Times New Roman" w:hAnsi="Times New Roman" w:cs="Times New Roman" w:eastAsia="Times New Roman" w:hint="default"/>
          <w:spacing w:val="-4"/>
        </w:rPr>
        <w:t>8,600</w:t>
      </w:r>
      <w:r>
        <w:rPr>
          <w:spacing w:val="-4"/>
        </w:rPr>
        <w:t>万股，注册资本为人民币</w:t>
      </w:r>
      <w:r>
        <w:rPr>
          <w:rFonts w:ascii="Times New Roman" w:hAnsi="Times New Roman" w:cs="Times New Roman" w:eastAsia="Times New Roman" w:hint="default"/>
          <w:spacing w:val="-4"/>
        </w:rPr>
        <w:t>8,600</w:t>
      </w:r>
      <w:r>
        <w:rPr>
          <w:spacing w:val="-4"/>
        </w:rPr>
        <w:t>万元。此次增资业经天健正信会计师事务所有限公司 </w:t>
      </w:r>
      <w:r>
        <w:rPr>
          <w:rFonts w:ascii="Times New Roman" w:hAnsi="Times New Roman" w:cs="Times New Roman" w:eastAsia="Times New Roman" w:hint="default"/>
        </w:rPr>
        <w:t>“</w:t>
      </w:r>
      <w:r>
        <w:rPr/>
        <w:t>天</w:t>
      </w:r>
      <w:r>
        <w:rPr>
          <w:spacing w:val="-63"/>
        </w:rPr>
        <w:t> </w:t>
      </w:r>
      <w:r>
        <w:rPr/>
        <w:t>健正信验（</w:t>
      </w:r>
      <w:r>
        <w:rPr>
          <w:rFonts w:ascii="Times New Roman" w:hAnsi="Times New Roman" w:cs="Times New Roman" w:eastAsia="Times New Roman" w:hint="default"/>
        </w:rPr>
        <w:t>2010</w:t>
      </w:r>
      <w:r>
        <w:rPr/>
        <w:t>）综字第</w:t>
      </w:r>
      <w:r>
        <w:rPr>
          <w:rFonts w:ascii="Times New Roman" w:hAnsi="Times New Roman" w:cs="Times New Roman" w:eastAsia="Times New Roman" w:hint="default"/>
        </w:rPr>
        <w:t>020095</w:t>
      </w:r>
      <w:r>
        <w:rPr/>
        <w:t>号</w:t>
      </w:r>
      <w:r>
        <w:rPr>
          <w:rFonts w:ascii="Times New Roman" w:hAnsi="Times New Roman" w:cs="Times New Roman" w:eastAsia="Times New Roman" w:hint="default"/>
        </w:rPr>
        <w:t>”</w:t>
      </w:r>
      <w:r>
        <w:rPr/>
        <w:t>《验资报告》审验。</w:t>
      </w:r>
    </w:p>
    <w:p>
      <w:pPr>
        <w:spacing w:line="240" w:lineRule="auto" w:before="7"/>
        <w:rPr>
          <w:rFonts w:ascii="宋体" w:hAnsi="宋体" w:cs="宋体" w:eastAsia="宋体" w:hint="default"/>
          <w:sz w:val="17"/>
          <w:szCs w:val="17"/>
        </w:rPr>
      </w:pPr>
    </w:p>
    <w:p>
      <w:pPr>
        <w:pStyle w:val="BodyText"/>
        <w:spacing w:line="300" w:lineRule="auto"/>
        <w:ind w:right="156" w:firstLine="360"/>
        <w:jc w:val="both"/>
      </w:pPr>
      <w:r>
        <w:rPr/>
        <w:t>说明</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日，本公司根据</w:t>
      </w:r>
      <w:r>
        <w:rPr>
          <w:rFonts w:ascii="Times New Roman" w:hAnsi="Times New Roman" w:cs="Times New Roman" w:eastAsia="Times New Roman" w:hint="default"/>
        </w:rPr>
        <w:t>2010</w:t>
      </w:r>
      <w:r>
        <w:rPr/>
        <w:t>年度股东大会决议通过的《关于</w:t>
      </w:r>
      <w:r>
        <w:rPr>
          <w:rFonts w:ascii="Times New Roman" w:hAnsi="Times New Roman" w:cs="Times New Roman" w:eastAsia="Times New Roman" w:hint="default"/>
        </w:rPr>
        <w:t>&lt;</w:t>
      </w:r>
      <w:r>
        <w:rPr/>
        <w:t>公司</w:t>
      </w:r>
      <w:r>
        <w:rPr>
          <w:rFonts w:ascii="Times New Roman" w:hAnsi="Times New Roman" w:cs="Times New Roman" w:eastAsia="Times New Roman" w:hint="default"/>
        </w:rPr>
        <w:t>2010</w:t>
      </w:r>
      <w:r>
        <w:rPr/>
        <w:t>年度利润分配及资本公积金转增股 </w:t>
      </w:r>
      <w:r>
        <w:rPr>
          <w:spacing w:val="-2"/>
        </w:rPr>
        <w:t>本预案</w:t>
      </w:r>
      <w:r>
        <w:rPr>
          <w:rFonts w:ascii="Times New Roman" w:hAnsi="Times New Roman" w:cs="Times New Roman" w:eastAsia="Times New Roman" w:hint="default"/>
          <w:spacing w:val="-2"/>
        </w:rPr>
        <w:t>&gt;</w:t>
      </w:r>
      <w:r>
        <w:rPr>
          <w:spacing w:val="-2"/>
        </w:rPr>
        <w:t>的议案》，以本公司总股本</w:t>
      </w:r>
      <w:r>
        <w:rPr>
          <w:rFonts w:ascii="Times New Roman" w:hAnsi="Times New Roman" w:cs="Times New Roman" w:eastAsia="Times New Roman" w:hint="default"/>
          <w:spacing w:val="-2"/>
        </w:rPr>
        <w:t>8,600</w:t>
      </w:r>
      <w:r>
        <w:rPr>
          <w:spacing w:val="-2"/>
        </w:rPr>
        <w:t>万股为基数，以资本公积向全体股东每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股。资本公积转增股本后，本公</w:t>
      </w:r>
      <w:r>
        <w:rPr>
          <w:spacing w:val="-37"/>
        </w:rPr>
        <w:t> </w:t>
      </w:r>
      <w:r>
        <w:rPr>
          <w:spacing w:val="-37"/>
        </w:rPr>
      </w:r>
      <w:r>
        <w:rPr/>
        <w:t>司总股本为</w:t>
      </w:r>
      <w:r>
        <w:rPr>
          <w:rFonts w:ascii="Times New Roman" w:hAnsi="Times New Roman" w:cs="Times New Roman" w:eastAsia="Times New Roman" w:hint="default"/>
        </w:rPr>
        <w:t>17,200</w:t>
      </w:r>
      <w:r>
        <w:rPr/>
        <w:t>万股。</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292,196,667.26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292,196,667.26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292,196,667.26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292,196,667.26</w:t>
            </w:r>
          </w:p>
        </w:tc>
      </w:tr>
    </w:tbl>
    <w:p>
      <w:pPr>
        <w:pStyle w:val="BodyText"/>
        <w:spacing w:line="240" w:lineRule="auto" w:before="49"/>
        <w:ind w:right="0"/>
        <w:jc w:val="left"/>
      </w:pPr>
      <w:r>
        <w:rPr/>
        <w:t>资本公积说明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8"/>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11,359,373.55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13,543,123.68</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11,359,373.55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2,183,750.13</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13,543,123.68</w:t>
            </w:r>
          </w:p>
        </w:tc>
      </w:tr>
    </w:tbl>
    <w:p>
      <w:pPr>
        <w:pStyle w:val="BodyText"/>
        <w:spacing w:line="441" w:lineRule="auto" w:before="49"/>
        <w:ind w:left="513" w:right="2303"/>
        <w:jc w:val="left"/>
      </w:pPr>
      <w:r>
        <w:rPr/>
        <w:t>盈余公积说明，用盈余公积转增股本、弥补亏损、分派股利的，应说明有关决议 本年增加系根据公司章程规定，按母公司净利润的</w:t>
      </w:r>
      <w:r>
        <w:rPr>
          <w:rFonts w:ascii="宋体" w:hAnsi="宋体" w:cs="宋体" w:eastAsia="宋体" w:hint="default"/>
        </w:rPr>
        <w:t>10%</w:t>
      </w:r>
      <w:r>
        <w:rPr/>
        <w:t>计提法定盈余公积</w:t>
      </w:r>
      <w:r>
        <w:rPr>
          <w:rFonts w:ascii="宋体" w:hAnsi="宋体" w:cs="宋体" w:eastAsia="宋体" w:hint="default"/>
        </w:rPr>
        <w:t>2,183,750.13</w:t>
      </w:r>
      <w:r>
        <w:rPr/>
        <w:t>元。</w:t>
      </w:r>
    </w:p>
    <w:p>
      <w:pPr>
        <w:spacing w:line="240" w:lineRule="auto" w:before="8"/>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31</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10"/>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7"/>
        <w:gridCol w:w="3730"/>
        <w:gridCol w:w="212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115,918,957.20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115,918,957.20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56,241,855.51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9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2,183,750.13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152,777,062.58</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96"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0"/>
        <w:jc w:val="left"/>
      </w:pPr>
      <w:r>
        <w:rPr/>
        <w:t>调整年初未分配利润明细：</w:t>
      </w:r>
    </w:p>
    <w:p>
      <w:pPr>
        <w:pStyle w:val="BodyText"/>
        <w:spacing w:line="240" w:lineRule="auto" w:before="115"/>
        <w:ind w:left="513"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left="513"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4"/>
        <w:ind w:left="513" w:right="0"/>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w:t>
      </w:r>
    </w:p>
    <w:p>
      <w:pPr>
        <w:pStyle w:val="BodyText"/>
        <w:spacing w:line="316" w:lineRule="auto" w:before="1"/>
        <w:ind w:right="0"/>
        <w:jc w:val="left"/>
      </w:pPr>
      <w:r>
        <w:rPr>
          <w:spacing w:val="-2"/>
        </w:rPr>
        <w:t>予以说明；如果发行前的滚存利润经股东大会决议在发行前进行分配并由老股东享有，公司应明确披露应付股利中老股东享</w:t>
      </w:r>
      <w:r>
        <w:rPr>
          <w:spacing w:val="-64"/>
        </w:rPr>
        <w:t> </w:t>
      </w:r>
      <w:r>
        <w:rPr>
          <w:spacing w:val="-64"/>
        </w:rPr>
      </w:r>
      <w:r>
        <w:rPr/>
        <w:t>有的经审计的利润数</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279,797,747.85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382,517,145.28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147,221,533.74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228,563,291.13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279,797,747.85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147,221,533.74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382,517,145.28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228,563,291.13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279,797,747.85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147,221,533.74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382,517,145.28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228,563,291.13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3"/>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footerReference w:type="default" r:id="rId19"/>
          <w:pgSz w:w="11910" w:h="16840"/>
          <w:pgMar w:footer="980"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183,864,439.33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84,791,002.29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284,246,705.00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166,763,422.27</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31,906,518.65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13,206,377.73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27,018,236.80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11,829,454.09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61,616,667.20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48,664,880.72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70,662,203.48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49,611,071.77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2,410,122.67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559,273.00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359,343.00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279,797,747.85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147,221,533.74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382,517,145.28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228,563,291.13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119,109,847.55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63,899,836.19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282,371,141.51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158,140,047.24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87,149,121.82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32,632,589.86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66,132,033.74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47,197,983.88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29,222,222.22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21,777,657.46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487,179.50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308,500.11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12,055,415.58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8,061,578.67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19,593,477.52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14,365,701.06</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11,591,003.02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8,632,268.38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6,173,396.20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3,326,374.98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4,851,685.41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3,102,401.59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5,473,007.92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2,596,040.69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4,055,226.47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2,373,260.00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4,738,461.52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4,619,436.21</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1,878,569.27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387,675.00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359,343.00</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1,293,207.55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879,616.74</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531,553.40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171,598.00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581,941.80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236,861.56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4,436,401.13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2,716,054.25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279,797,747.85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147,221,533.74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382,517,145.28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228,563,291.13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49"/>
        <w:gridCol w:w="4127"/>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24,920,478.89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21,182,492.94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15,123,909.08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13,608,219.39</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10,910,720.68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85,745,820.98</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30.65%</w:t>
            </w:r>
          </w:p>
        </w:tc>
      </w:tr>
    </w:tbl>
    <w:p>
      <w:pPr>
        <w:pStyle w:val="BodyText"/>
        <w:spacing w:line="240" w:lineRule="auto" w:before="49"/>
        <w:ind w:right="0"/>
        <w:jc w:val="left"/>
      </w:pPr>
      <w:r>
        <w:rPr/>
        <w:t>营业收入的说明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、营业税金及附加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4"/>
        <w:gridCol w:w="1993"/>
        <w:gridCol w:w="1863"/>
        <w:gridCol w:w="2921"/>
      </w:tblGrid>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1,655,975.65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1,257,374.14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1,668,211.20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1,981,004.94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1,170,900.92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1,403,943.66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81,666.25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49,839.76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122,499.37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74,759.67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江海堤防费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41,385.57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165,432.86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42,683.65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24,588.26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4,783,322.61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4,956,943.29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7,340,635.99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3,982,626.58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2,490,358.43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1,028,521.54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2,077,727.66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1,342,352.20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874,665.82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948,473.69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739,216.90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572,705.80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385,410.03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340,937.62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182,056.69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127,326.59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131,101.10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17,915.67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14,204,834.75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8,491,960.79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25,537,246.26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13,950,375.28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15,673,543.15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12,406,661.81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6,914,015.83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6,242,597.27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2,369,331.09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3,380,861.61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4,482,713.66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1,906,426.35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2,228,577.56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1,790,394.90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1,127,715.99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1,353,771.42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1,392,707.21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1,067,931.00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744,161.40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675,319.95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640,558.14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486,630.00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61,110,570.29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43,260,969.59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703,237.85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946,473.20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-7,660,422.17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-7,531,155.43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80,136.79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93,750.81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-6,877,047.53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-6,490,931.42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11"/>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0"/>
        <w:jc w:val="left"/>
      </w:pPr>
      <w:r>
        <w:rPr/>
        <w:t>公允价值变动收益的说明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626,116.88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626,116.88</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626,989.89</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本年新增投资</w:t>
            </w: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福州南华医保健康研发有限公司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-873.01</w:t>
            </w:r>
            <w:r>
              <w:rPr>
                <w:rFonts w:ascii="Times New Roman"/>
                <w:sz w:val="18"/>
              </w:rPr>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本年新增投资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8,733,649.16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7,142,924.38</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8,733,649.16</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7,142,924.38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40</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19,589,874.33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6,024,225.63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8,804,833.33</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11,278.17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2,099.14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11,278.17</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19,601,152.50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6,026,324.77</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8,816,111.50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5"/>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软件增值税退税款</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10,785,041.00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3,706,154.69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软件产品增值税实际税负超过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 部分，享受即征即退政策</w:t>
            </w:r>
          </w:p>
        </w:tc>
      </w:tr>
      <w:tr>
        <w:trPr>
          <w:trHeight w:val="352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名中医医案研究应用系统扶持金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1"/>
                <w:sz w:val="18"/>
                <w:szCs w:val="18"/>
              </w:rPr>
              <w:t>根据厦门市科学技术局、厦门市财政</w:t>
            </w:r>
            <w:r>
              <w:rPr>
                <w:rFonts w:ascii="宋体" w:hAnsi="宋体" w:cs="宋体" w:eastAsia="宋体" w:hint="default"/>
                <w:sz w:val="18"/>
                <w:szCs w:val="18"/>
              </w:rPr>
              <w:t> </w:t>
            </w:r>
            <w:r>
              <w:rPr>
                <w:rFonts w:ascii="宋体" w:hAnsi="宋体" w:cs="宋体" w:eastAsia="宋体" w:hint="default"/>
                <w:spacing w:val="-4"/>
                <w:sz w:val="18"/>
                <w:szCs w:val="18"/>
              </w:rPr>
              <w:t>局“厦科联</w:t>
            </w:r>
            <w:r>
              <w:rPr>
                <w:rFonts w:ascii="Times New Roman" w:hAnsi="Times New Roman" w:cs="Times New Roman" w:eastAsia="Times New Roman" w:hint="default"/>
                <w:spacing w:val="-4"/>
                <w:sz w:val="18"/>
                <w:szCs w:val="18"/>
              </w:rPr>
              <w:t>[2008]35</w:t>
            </w:r>
            <w:r>
              <w:rPr>
                <w:rFonts w:ascii="Times New Roman" w:hAnsi="Times New Roman" w:cs="Times New Roman" w:eastAsia="Times New Roman" w:hint="default"/>
                <w:spacing w:val="9"/>
                <w:sz w:val="18"/>
                <w:szCs w:val="18"/>
              </w:rPr>
              <w:t> </w:t>
            </w:r>
            <w:r>
              <w:rPr>
                <w:rFonts w:ascii="宋体" w:hAnsi="宋体" w:cs="宋体" w:eastAsia="宋体" w:hint="default"/>
                <w:spacing w:val="-18"/>
                <w:sz w:val="18"/>
                <w:szCs w:val="18"/>
              </w:rPr>
              <w:t>号”《厦门市科学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技术局、厦门市财政局关于批准建立</w:t>
            </w:r>
            <w:r>
              <w:rPr>
                <w:rFonts w:ascii="宋体" w:hAnsi="宋体" w:cs="宋体" w:eastAsia="宋体" w:hint="default"/>
                <w:sz w:val="18"/>
                <w:szCs w:val="18"/>
              </w:rPr>
              <w:t> 厦门市卫生信息化等四家工程技术 研究中心及下达项目专项资金的通 </w:t>
            </w:r>
            <w:r>
              <w:rPr>
                <w:rFonts w:ascii="宋体" w:hAnsi="宋体" w:cs="宋体" w:eastAsia="宋体" w:hint="default"/>
                <w:spacing w:val="-16"/>
                <w:sz w:val="18"/>
                <w:szCs w:val="18"/>
              </w:rPr>
              <w:t>知》，本公司于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年收到政府补助</w:t>
            </w:r>
          </w:p>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元，用于购置设备。本</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月起在电子设备折 旧年限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年内平均摊销，</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年摊销 计入营业外收入的金额为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100,000.00 </w:t>
            </w:r>
            <w:r>
              <w:rPr>
                <w:rFonts w:ascii="宋体" w:hAnsi="宋体" w:cs="宋体" w:eastAsia="宋体" w:hint="default"/>
                <w:sz w:val="18"/>
                <w:szCs w:val="18"/>
              </w:rPr>
              <w:t>元。</w:t>
            </w:r>
          </w:p>
        </w:tc>
      </w:tr>
      <w:tr>
        <w:trPr>
          <w:trHeight w:val="129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05"/>
              <w:jc w:val="left"/>
              <w:rPr>
                <w:rFonts w:ascii="宋体" w:hAnsi="宋体" w:cs="宋体" w:eastAsia="宋体" w:hint="default"/>
                <w:sz w:val="18"/>
                <w:szCs w:val="18"/>
              </w:rPr>
            </w:pPr>
            <w:r>
              <w:rPr>
                <w:rFonts w:ascii="宋体" w:hAnsi="宋体" w:cs="宋体" w:eastAsia="宋体" w:hint="default"/>
                <w:sz w:val="18"/>
                <w:szCs w:val="18"/>
              </w:rPr>
              <w:t>通用嵌入式读卡器与软构件平台 产业化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根据厦门市财政局“厦财企</w:t>
            </w:r>
            <w:r>
              <w:rPr>
                <w:rFonts w:ascii="Times New Roman" w:hAnsi="Times New Roman" w:cs="Times New Roman" w:eastAsia="Times New Roman" w:hint="default"/>
                <w:sz w:val="18"/>
                <w:szCs w:val="18"/>
              </w:rPr>
              <w:t>[2008]32 </w:t>
            </w:r>
            <w:r>
              <w:rPr>
                <w:rFonts w:ascii="宋体" w:hAnsi="宋体" w:cs="宋体" w:eastAsia="宋体" w:hint="default"/>
                <w:spacing w:val="-9"/>
                <w:sz w:val="18"/>
                <w:szCs w:val="18"/>
              </w:rPr>
              <w:t>号”《厦门市财政局关于下达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第一批促进项目成果转化扶持资金 </w:t>
            </w:r>
            <w:r>
              <w:rPr>
                <w:rFonts w:ascii="宋体" w:hAnsi="宋体" w:cs="宋体" w:eastAsia="宋体" w:hint="default"/>
                <w:spacing w:val="-6"/>
                <w:sz w:val="18"/>
                <w:szCs w:val="18"/>
              </w:rPr>
              <w:t>支出预算的通知》、厦门市发展和改</w:t>
            </w:r>
          </w:p>
        </w:tc>
      </w:tr>
    </w:tbl>
    <w:p>
      <w:pPr>
        <w:spacing w:after="0" w:line="30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6"/>
          <w:szCs w:val="26"/>
        </w:rPr>
      </w:pPr>
    </w:p>
    <w:p>
      <w:pPr>
        <w:pStyle w:val="BodyText"/>
        <w:spacing w:line="240" w:lineRule="auto" w:before="44"/>
        <w:ind w:left="0" w:right="153"/>
        <w:jc w:val="right"/>
      </w:pPr>
      <w:r>
        <w:rPr/>
        <w:pict>
          <v:shape style="position:absolute;margin-left:56.400002pt;margin-top:1.311738pt;width:479.3pt;height:607.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5"/>
                    <w:gridCol w:w="1995"/>
                    <w:gridCol w:w="2921"/>
                  </w:tblGrid>
                  <w:tr>
                    <w:trPr>
                      <w:trHeight w:val="2859"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革委员会“厦发改投资</w:t>
                        </w:r>
                        <w:r>
                          <w:rPr>
                            <w:rFonts w:ascii="Times New Roman" w:hAnsi="Times New Roman" w:cs="Times New Roman" w:eastAsia="Times New Roman" w:hint="default"/>
                            <w:sz w:val="18"/>
                            <w:szCs w:val="18"/>
                          </w:rPr>
                          <w:t>[2008]537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《厦门市发展改革委关于下达市</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年第五批基本建设计划的通</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知</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年收到</w:t>
                        </w:r>
                        <w:r>
                          <w:rPr>
                            <w:rFonts w:ascii="宋体" w:hAnsi="宋体" w:cs="宋体" w:eastAsia="宋体" w:hint="default"/>
                            <w:spacing w:val="-3"/>
                            <w:sz w:val="18"/>
                            <w:szCs w:val="18"/>
                          </w:rPr>
                          <w:t>政</w:t>
                        </w:r>
                        <w:r>
                          <w:rPr>
                            <w:rFonts w:ascii="宋体" w:hAnsi="宋体" w:cs="宋体" w:eastAsia="宋体" w:hint="default"/>
                            <w:sz w:val="18"/>
                            <w:szCs w:val="18"/>
                          </w:rPr>
                          <w:t>府补助</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400,000.00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元，用于购置设备。本</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公司自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月起在电子设备折 旧年限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年内平均摊销，</w:t>
                        </w:r>
                        <w:r>
                          <w:rPr>
                            <w:rFonts w:ascii="Times New Roman" w:hAnsi="Times New Roman" w:cs="Times New Roman" w:eastAsia="Times New Roman" w:hint="default"/>
                            <w:spacing w:val="-6"/>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年摊销 计入营业外收入的金额为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80,000.00 </w:t>
                        </w:r>
                        <w:r>
                          <w:rPr>
                            <w:rFonts w:ascii="宋体" w:hAnsi="宋体" w:cs="宋体" w:eastAsia="宋体" w:hint="default"/>
                            <w:sz w:val="18"/>
                            <w:szCs w:val="18"/>
                          </w:rPr>
                          <w:t>元。</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厦门医疗自助服务平台扶持金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金融社保卡的研制、规模化生产 及发行应用资助款</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年度高企财政扶持资金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1,275,400.00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工业中小企业技术改造项目补贴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年度技改财政扶持资金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年软件及信息服务业纳税大 户奖励</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507,600.00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软件和信息服务业发展专项资金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物联网发展专项资金补助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333,333.33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666,666.67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山西省科技型中小企业创新基金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5"/>
                          <w:jc w:val="both"/>
                          <w:rPr>
                            <w:rFonts w:ascii="宋体" w:hAnsi="宋体" w:cs="宋体" w:eastAsia="宋体" w:hint="default"/>
                            <w:sz w:val="18"/>
                            <w:szCs w:val="18"/>
                          </w:rPr>
                        </w:pPr>
                        <w:r>
                          <w:rPr>
                            <w:rFonts w:ascii="宋体" w:hAnsi="宋体" w:cs="宋体" w:eastAsia="宋体" w:hint="default"/>
                            <w:sz w:val="18"/>
                            <w:szCs w:val="18"/>
                          </w:rPr>
                          <w:t>厦门市科学技术局、厦门财政局 厦门市科技计划创新项目、科技 型中小企业技术创新资金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年科学进步奖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软件产业发展专项资金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年度优秀新产品奖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年度纳税大户奖励金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年度科技进步奖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年度科技进步奖</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专利申请费用资助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毕业生实习补贴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年度高企财政扶持资金等</w:t>
                        </w:r>
                      </w:p>
                    </w:tc>
                    <w:tc>
                      <w:tcPr>
                        <w:tcW w:w="1995"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1,309,004.27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19,589,874.33</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6,024,225.63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ind w:right="0"/>
        <w:jc w:val="left"/>
      </w:pPr>
      <w:r>
        <w:rPr/>
        <w:t>营业外收入说明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41</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682"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2"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63,257.34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28,264.79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63,257.34</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63,257.34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28,264.79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63,257.34</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62,838.03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62,838.03</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7,375.00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34,955.90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7,375.00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138,470.37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63,220.69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138,470.37</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42</w:t>
      </w:r>
      <w:r>
        <w:rPr/>
        <w:t>、所得税费用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14,039,727.75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17,439,729.64</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-1,475,576.73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-1,105,924.98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12,564,151.02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16,333,804.66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、基本每股收益和稀释每股收益的计算过程</w:t>
      </w:r>
      <w:r>
        <w:rPr>
          <w:b w:val="0"/>
          <w:bCs w:val="0"/>
        </w:rPr>
      </w:r>
    </w:p>
    <w:p>
      <w:pPr>
        <w:spacing w:line="240" w:lineRule="auto" w:before="7"/>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4967"/>
        <w:gridCol w:w="1352"/>
        <w:gridCol w:w="1375"/>
        <w:gridCol w:w="1378"/>
      </w:tblGrid>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b/>
                <w:bCs/>
                <w:sz w:val="18"/>
                <w:szCs w:val="18"/>
              </w:rPr>
              <w:t>代码</w:t>
            </w:r>
            <w:r>
              <w:rPr>
                <w:rFonts w:ascii="宋体" w:hAnsi="宋体" w:cs="宋体" w:eastAsia="宋体" w:hint="default"/>
                <w:sz w:val="18"/>
                <w:szCs w:val="18"/>
              </w:rPr>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本年发生额</w:t>
            </w:r>
            <w:r>
              <w:rPr>
                <w:rFonts w:ascii="宋体" w:hAnsi="宋体" w:cs="宋体" w:eastAsia="宋体" w:hint="default"/>
                <w:sz w:val="18"/>
                <w:szCs w:val="18"/>
              </w:rPr>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b/>
                <w:bCs/>
                <w:w w:val="95"/>
                <w:sz w:val="18"/>
                <w:szCs w:val="18"/>
              </w:rPr>
              <w:t>上年发生额</w:t>
            </w:r>
            <w:r>
              <w:rPr>
                <w:rFonts w:ascii="宋体" w:hAnsi="宋体" w:cs="宋体" w:eastAsia="宋体" w:hint="default"/>
                <w:sz w:val="18"/>
                <w:szCs w:val="18"/>
              </w:rPr>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P1</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56,241,855.51</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86,353,307.85</w:t>
            </w:r>
          </w:p>
        </w:tc>
      </w:tr>
      <w:tr>
        <w:trPr>
          <w:trHeight w:val="351"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报告期归属于公司普通股股东的非经常性损益</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7,317,523.53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1,934,703.40</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报告期扣除非经常性损益后归属于公司普通股股东的净利润</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P2=P1-F</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48,924,331.98</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84,418,604.45</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稀释事项对归属于公司普通股股东的净利润的影响</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P3</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662"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7"/>
              <w:ind w:left="2" w:right="84"/>
              <w:jc w:val="left"/>
              <w:rPr>
                <w:rFonts w:ascii="宋体" w:hAnsi="宋体" w:cs="宋体" w:eastAsia="宋体" w:hint="default"/>
                <w:sz w:val="18"/>
                <w:szCs w:val="18"/>
              </w:rPr>
            </w:pPr>
            <w:r>
              <w:rPr>
                <w:rFonts w:ascii="宋体" w:hAnsi="宋体" w:cs="宋体" w:eastAsia="宋体" w:hint="default"/>
                <w:sz w:val="18"/>
                <w:szCs w:val="18"/>
              </w:rPr>
              <w:t>稀释事项对扣除非经常性损益后归属于公司普通股股东的净利 润的影响</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P4</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S0</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172,000,000.00</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86,000,000.00</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报告期因公积金转增股本或股票股利分配等增加股份数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S1</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86,000,000.00</w:t>
            </w:r>
          </w:p>
        </w:tc>
      </w:tr>
      <w:tr>
        <w:trPr>
          <w:trHeight w:val="350"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Si</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增加股份下一月份起至报告期年末的月份数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Mi</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Sj</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1"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Mj</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Sk</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M0</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12.00</w:t>
            </w:r>
          </w:p>
        </w:tc>
      </w:tr>
      <w:tr>
        <w:trPr>
          <w:trHeight w:val="662"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S=S0+S1+Si*Mi/</w:t>
            </w:r>
          </w:p>
          <w:p>
            <w:pPr>
              <w:pStyle w:val="TableParagraph"/>
              <w:spacing w:line="240" w:lineRule="auto" w:before="105"/>
              <w:ind w:right="0"/>
              <w:jc w:val="left"/>
              <w:rPr>
                <w:rFonts w:ascii="Times New Roman" w:hAnsi="Times New Roman" w:cs="Times New Roman" w:eastAsia="Times New Roman" w:hint="default"/>
                <w:sz w:val="18"/>
                <w:szCs w:val="18"/>
              </w:rPr>
            </w:pPr>
            <w:r>
              <w:rPr>
                <w:rFonts w:ascii="Times New Roman"/>
                <w:sz w:val="18"/>
              </w:rPr>
              <w:t>M0-Sj*Mj/M0-Sk</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172,000,000.00</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665"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0"/>
              <w:ind w:left="2" w:right="84"/>
              <w:jc w:val="left"/>
              <w:rPr>
                <w:rFonts w:ascii="宋体" w:hAnsi="宋体" w:cs="宋体" w:eastAsia="宋体" w:hint="default"/>
                <w:sz w:val="18"/>
                <w:szCs w:val="18"/>
              </w:rPr>
            </w:pPr>
            <w:r>
              <w:rPr>
                <w:rFonts w:ascii="宋体" w:hAnsi="宋体" w:cs="宋体" w:eastAsia="宋体" w:hint="default"/>
                <w:sz w:val="18"/>
                <w:szCs w:val="18"/>
              </w:rPr>
              <w:t>加：假定稀释性潜在普通股转换为已发行普通股而增加的普通 股加权平均数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X1</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4967"/>
        <w:gridCol w:w="1352"/>
        <w:gridCol w:w="1375"/>
        <w:gridCol w:w="1378"/>
      </w:tblGrid>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X2=S+X1</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172,000,000.00</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172,000,000.00</w:t>
            </w:r>
          </w:p>
        </w:tc>
      </w:tr>
      <w:tr>
        <w:trPr>
          <w:trHeight w:val="351"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其中：可转换公司债转换而增加的普通股加权数</w:t>
            </w:r>
          </w:p>
        </w:tc>
        <w:tc>
          <w:tcPr>
            <w:tcW w:w="1352" w:type="dxa"/>
            <w:tcBorders>
              <w:top w:val="single" w:sz="8" w:space="0" w:color="000000"/>
              <w:left w:val="single" w:sz="8" w:space="0" w:color="000000"/>
              <w:bottom w:val="single" w:sz="8" w:space="0" w:color="000000"/>
              <w:right w:val="single" w:sz="8" w:space="0" w:color="000000"/>
            </w:tcBorders>
          </w:tcPr>
          <w:p>
            <w:pP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认股权证</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股份期权行权而增加的普通股加权数</w:t>
            </w:r>
          </w:p>
        </w:tc>
        <w:tc>
          <w:tcPr>
            <w:tcW w:w="1352" w:type="dxa"/>
            <w:tcBorders>
              <w:top w:val="single" w:sz="8" w:space="0" w:color="000000"/>
              <w:left w:val="single" w:sz="8" w:space="0" w:color="000000"/>
              <w:bottom w:val="single" w:sz="8" w:space="0" w:color="000000"/>
              <w:right w:val="single" w:sz="8" w:space="0" w:color="000000"/>
            </w:tcBorders>
          </w:tcPr>
          <w:p>
            <w:pP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352" w:type="dxa"/>
            <w:tcBorders>
              <w:top w:val="single" w:sz="8" w:space="0" w:color="000000"/>
              <w:left w:val="single" w:sz="8" w:space="0" w:color="000000"/>
              <w:bottom w:val="single" w:sz="8" w:space="0" w:color="000000"/>
              <w:right w:val="single" w:sz="8" w:space="0" w:color="000000"/>
            </w:tcBorders>
          </w:tcPr>
          <w:p>
            <w:pP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350"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0"/>
              <w:jc w:val="left"/>
              <w:rPr>
                <w:rFonts w:ascii="Times New Roman" w:hAnsi="Times New Roman" w:cs="Times New Roman" w:eastAsia="Times New Roman" w:hint="default"/>
                <w:sz w:val="18"/>
                <w:szCs w:val="18"/>
              </w:rPr>
            </w:pPr>
            <w:r>
              <w:rPr>
                <w:rFonts w:ascii="Times New Roman"/>
                <w:sz w:val="18"/>
              </w:rPr>
              <w:t>Y1=P1/S</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0.33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0.50</w:t>
            </w:r>
          </w:p>
        </w:tc>
      </w:tr>
      <w:tr>
        <w:trPr>
          <w:trHeight w:val="353"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扣除非经常性损益后归属于公司普通股股东的基本每股收益</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left"/>
              <w:rPr>
                <w:rFonts w:ascii="Times New Roman" w:hAnsi="Times New Roman" w:cs="Times New Roman" w:eastAsia="Times New Roman" w:hint="default"/>
                <w:sz w:val="18"/>
                <w:szCs w:val="18"/>
              </w:rPr>
            </w:pPr>
            <w:r>
              <w:rPr>
                <w:rFonts w:ascii="Times New Roman"/>
                <w:sz w:val="18"/>
              </w:rPr>
              <w:t>Y2=P2/S</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0.28</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0.49</w:t>
            </w:r>
          </w:p>
        </w:tc>
      </w:tr>
      <w:tr>
        <w:trPr>
          <w:trHeight w:val="665"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Y3=</w:t>
            </w:r>
            <w:r>
              <w:rPr>
                <w:rFonts w:ascii="宋体" w:hAnsi="宋体" w:cs="宋体" w:eastAsia="宋体" w:hint="default"/>
                <w:sz w:val="18"/>
                <w:szCs w:val="18"/>
              </w:rPr>
              <w:t>（</w:t>
            </w:r>
            <w:r>
              <w:rPr>
                <w:rFonts w:ascii="Times New Roman" w:hAnsi="Times New Roman" w:cs="Times New Roman" w:eastAsia="Times New Roman" w:hint="default"/>
                <w:sz w:val="18"/>
                <w:szCs w:val="18"/>
              </w:rPr>
              <w:t>P1</w:t>
            </w:r>
            <w:r>
              <w:rPr>
                <w:rFonts w:ascii="宋体" w:hAnsi="宋体" w:cs="宋体" w:eastAsia="宋体" w:hint="default"/>
                <w:sz w:val="18"/>
                <w:szCs w:val="18"/>
              </w:rPr>
              <w:t>＋</w:t>
            </w:r>
            <w:r>
              <w:rPr>
                <w:rFonts w:ascii="Times New Roman" w:hAnsi="Times New Roman" w:cs="Times New Roman" w:eastAsia="Times New Roman" w:hint="default"/>
                <w:sz w:val="18"/>
                <w:szCs w:val="18"/>
              </w:rPr>
              <w:t>P3</w:t>
            </w:r>
            <w:r>
              <w:rPr>
                <w:rFonts w:ascii="宋体" w:hAnsi="宋体" w:cs="宋体" w:eastAsia="宋体" w:hint="default"/>
                <w:sz w:val="18"/>
                <w:szCs w:val="18"/>
              </w:rPr>
              <w:t>）</w:t>
            </w:r>
          </w:p>
          <w:p>
            <w:pPr>
              <w:pStyle w:val="TableParagraph"/>
              <w:spacing w:line="240" w:lineRule="auto" w:before="105"/>
              <w:ind w:right="0"/>
              <w:jc w:val="left"/>
              <w:rPr>
                <w:rFonts w:ascii="Times New Roman" w:hAnsi="Times New Roman" w:cs="Times New Roman" w:eastAsia="Times New Roman" w:hint="default"/>
                <w:sz w:val="18"/>
                <w:szCs w:val="18"/>
              </w:rPr>
            </w:pPr>
            <w:r>
              <w:rPr>
                <w:rFonts w:ascii="Times New Roman"/>
                <w:sz w:val="18"/>
              </w:rPr>
              <w:t>/X2</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0.33</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0.50</w:t>
            </w:r>
          </w:p>
        </w:tc>
      </w:tr>
      <w:tr>
        <w:trPr>
          <w:trHeight w:val="665" w:hRule="exact"/>
        </w:trPr>
        <w:tc>
          <w:tcPr>
            <w:tcW w:w="49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扣除非经常性损益后归属于公司普通股股东的稀释每股收益</w:t>
            </w:r>
          </w:p>
        </w:tc>
        <w:tc>
          <w:tcPr>
            <w:tcW w:w="13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Y4=</w:t>
            </w:r>
            <w:r>
              <w:rPr>
                <w:rFonts w:ascii="宋体" w:hAnsi="宋体" w:cs="宋体" w:eastAsia="宋体" w:hint="default"/>
                <w:sz w:val="18"/>
                <w:szCs w:val="18"/>
              </w:rPr>
              <w:t>（</w:t>
            </w:r>
            <w:r>
              <w:rPr>
                <w:rFonts w:ascii="Times New Roman" w:hAnsi="Times New Roman" w:cs="Times New Roman" w:eastAsia="Times New Roman" w:hint="default"/>
                <w:sz w:val="18"/>
                <w:szCs w:val="18"/>
              </w:rPr>
              <w:t>P2</w:t>
            </w:r>
            <w:r>
              <w:rPr>
                <w:rFonts w:ascii="宋体" w:hAnsi="宋体" w:cs="宋体" w:eastAsia="宋体" w:hint="default"/>
                <w:sz w:val="18"/>
                <w:szCs w:val="18"/>
              </w:rPr>
              <w:t>＋</w:t>
            </w:r>
            <w:r>
              <w:rPr>
                <w:rFonts w:ascii="Times New Roman" w:hAnsi="Times New Roman" w:cs="Times New Roman" w:eastAsia="Times New Roman" w:hint="default"/>
                <w:sz w:val="18"/>
                <w:szCs w:val="18"/>
              </w:rPr>
              <w:t>P4</w:t>
            </w:r>
            <w:r>
              <w:rPr>
                <w:rFonts w:ascii="宋体" w:hAnsi="宋体" w:cs="宋体" w:eastAsia="宋体" w:hint="default"/>
                <w:sz w:val="18"/>
                <w:szCs w:val="18"/>
              </w:rPr>
              <w:t>）</w:t>
            </w:r>
          </w:p>
          <w:p>
            <w:pPr>
              <w:pStyle w:val="TableParagraph"/>
              <w:spacing w:line="240" w:lineRule="auto" w:before="105"/>
              <w:ind w:right="0"/>
              <w:jc w:val="left"/>
              <w:rPr>
                <w:rFonts w:ascii="Times New Roman" w:hAnsi="Times New Roman" w:cs="Times New Roman" w:eastAsia="Times New Roman" w:hint="default"/>
                <w:sz w:val="18"/>
                <w:szCs w:val="18"/>
              </w:rPr>
            </w:pPr>
            <w:r>
              <w:rPr>
                <w:rFonts w:ascii="Times New Roman"/>
                <w:sz w:val="18"/>
              </w:rPr>
              <w:t>/X2</w:t>
            </w:r>
          </w:p>
        </w:tc>
        <w:tc>
          <w:tcPr>
            <w:tcW w:w="13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0.28</w:t>
            </w: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0.49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44</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8,281,000.00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5,460,146.92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收到退还的保证金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3,590,398.74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974,166.87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2,090,729.63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20,396,442.16</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支付管理费用及销售费用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23,064,082.34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7,086,697.00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2,555,967.02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1,234,421.48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1,085,632.54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35,026,800.38</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1,342,500.00</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1,063,402.07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1,063,402.07</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58,145,532.82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86,221,286.94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8,733,649.16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7,142,924.38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8,303,922.30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4,439,786.93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2,274,114.18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1,319,995.38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1,245,266.59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535,120.76</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62,907.34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20,650.62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7,614.17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-6,564,536.40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-728,252.49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-626,116.88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-1,475,576.73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-1,105,924.98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3,344,302.89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-16,819,997.15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-16,747,049.54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-64,854,946.71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-5,355,938.91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65,915,968.37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51,340,826.82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85,443,677.60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285,782,533.85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258,916,756.88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258,916,756.88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237,030,693.72</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26,865,776.97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21,886,063.16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285,782,533.85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258,916,756.88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171,508.29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79,166.91</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285,611,025.56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258,837,589.97</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285,782,533.85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258,916,756.88</w:t>
            </w:r>
          </w:p>
        </w:tc>
      </w:tr>
    </w:tbl>
    <w:p>
      <w:pPr>
        <w:pStyle w:val="BodyText"/>
        <w:spacing w:line="240" w:lineRule="auto" w:before="49"/>
        <w:ind w:right="0"/>
        <w:jc w:val="left"/>
      </w:pPr>
      <w:r>
        <w:rPr/>
        <w:t>现金流量表补充资料的说明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安徽易联众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钟里明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75683533-1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山西易联众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张眉河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77250723-1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福建易联众 软件系统开 发有限公司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77961890-3</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22"/>
              <w:jc w:val="left"/>
              <w:rPr>
                <w:rFonts w:ascii="宋体" w:hAnsi="宋体" w:cs="宋体" w:eastAsia="宋体" w:hint="default"/>
                <w:sz w:val="18"/>
                <w:szCs w:val="18"/>
              </w:rPr>
            </w:pPr>
            <w:r>
              <w:rPr>
                <w:rFonts w:ascii="宋体" w:hAnsi="宋体" w:cs="宋体" w:eastAsia="宋体" w:hint="default"/>
                <w:sz w:val="18"/>
                <w:szCs w:val="18"/>
              </w:rPr>
              <w:t>福州易联众 信息技术有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雷彪</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21"/>
              <w:jc w:val="left"/>
              <w:rPr>
                <w:rFonts w:ascii="宋体" w:hAnsi="宋体" w:cs="宋体" w:eastAsia="宋体" w:hint="default"/>
                <w:sz w:val="18"/>
                <w:szCs w:val="18"/>
              </w:rPr>
            </w:pPr>
            <w:r>
              <w:rPr>
                <w:rFonts w:ascii="宋体" w:hAnsi="宋体" w:cs="宋体" w:eastAsia="宋体" w:hint="default"/>
                <w:sz w:val="18"/>
                <w:szCs w:val="18"/>
              </w:rPr>
              <w:t>软件开发及 应用系统集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68935031-7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5"/>
        <w:gridCol w:w="961"/>
        <w:gridCol w:w="958"/>
        <w:gridCol w:w="956"/>
        <w:gridCol w:w="958"/>
        <w:gridCol w:w="955"/>
        <w:gridCol w:w="958"/>
        <w:gridCol w:w="958"/>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吴松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56538367-8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大连易联众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大连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55984152-1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湖南易联众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钟里明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58703052-3</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2"/>
              <w:jc w:val="both"/>
              <w:rPr>
                <w:rFonts w:ascii="宋体" w:hAnsi="宋体" w:cs="宋体" w:eastAsia="宋体" w:hint="default"/>
                <w:sz w:val="18"/>
                <w:szCs w:val="18"/>
              </w:rPr>
            </w:pPr>
            <w:r>
              <w:rPr>
                <w:rFonts w:ascii="宋体" w:hAnsi="宋体" w:cs="宋体" w:eastAsia="宋体" w:hint="default"/>
                <w:sz w:val="18"/>
                <w:szCs w:val="18"/>
              </w:rPr>
              <w:t>广西易联众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卡研发生 产、软件开 发及应用系 统集成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59511088-1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广东易联众 计算机技术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05658582-9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北京易联众 信息技术有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吴文飞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69962554-8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0"/>
        <w:gridCol w:w="956"/>
        <w:gridCol w:w="955"/>
        <w:gridCol w:w="960"/>
        <w:gridCol w:w="958"/>
        <w:gridCol w:w="958"/>
        <w:gridCol w:w="958"/>
        <w:gridCol w:w="960"/>
      </w:tblGrid>
      <w:tr>
        <w:trPr>
          <w:trHeight w:val="1339"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陈建芳</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58256735-6</w:t>
            </w:r>
          </w:p>
        </w:tc>
      </w:tr>
      <w:tr>
        <w:trPr>
          <w:trHeight w:val="1340"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福州南华 医保健康 研发有限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7"/>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蔡宗元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19"/>
              <w:jc w:val="left"/>
              <w:rPr>
                <w:rFonts w:ascii="宋体" w:hAnsi="宋体" w:cs="宋体" w:eastAsia="宋体" w:hint="default"/>
                <w:sz w:val="18"/>
                <w:szCs w:val="18"/>
              </w:rPr>
            </w:pPr>
            <w:r>
              <w:rPr>
                <w:rFonts w:ascii="宋体" w:hAnsi="宋体" w:cs="宋体" w:eastAsia="宋体" w:hint="default"/>
                <w:sz w:val="18"/>
                <w:szCs w:val="18"/>
              </w:rPr>
              <w:t>医疗咨询、 服务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59348975-2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福州实达医疗系统有限公司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72424007-7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陈企珠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施莹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控股子公司少数股东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自然人</w:t>
            </w:r>
          </w:p>
        </w:tc>
      </w:tr>
    </w:tbl>
    <w:p>
      <w:pPr>
        <w:pStyle w:val="BodyText"/>
        <w:spacing w:line="240" w:lineRule="auto" w:before="49"/>
        <w:ind w:right="0"/>
        <w:jc w:val="left"/>
      </w:pPr>
      <w:r>
        <w:rPr/>
        <w:t>本企业的其他关联方情况的说明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十、股份支付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24"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3"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328"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44"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十四、其他重要事项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726"/>
        <w:gridCol w:w="1992"/>
        <w:gridCol w:w="1860"/>
        <w:gridCol w:w="1990"/>
      </w:tblGrid>
      <w:tr>
        <w:trPr>
          <w:trHeight w:val="401"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88,913,045.42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68.12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16,819,335.85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87,709,114.50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52.04%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11,200,915.16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41,603,702.84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80,846,143.09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47.96%</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130,516,748.26</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16,819,335.85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12.89%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168,555,257.59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11,200,915.16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12.77%</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130,516,748.26</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16,819,335.85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168,555,257.59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11,200,915.16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57" w:lineRule="auto" w:before="49"/>
        <w:ind w:right="-20"/>
        <w:jc w:val="left"/>
      </w:pPr>
      <w:r>
        <w:rPr/>
        <w:t>应收账款种类的说明 期末单项金额重大并单项计提坏账准备的应收账款</w:t>
      </w:r>
    </w:p>
    <w:p>
      <w:pPr>
        <w:pStyle w:val="BodyText"/>
        <w:spacing w:line="360" w:lineRule="auto" w:before="29"/>
        <w:ind w:right="-20"/>
        <w:jc w:val="left"/>
      </w:pPr>
      <w:r>
        <w:rPr/>
        <w:t>□ 适用 √</w:t>
      </w:r>
      <w:r>
        <w:rPr>
          <w:spacing w:val="3"/>
        </w:rPr>
        <w:t> </w:t>
      </w:r>
      <w:r>
        <w:rPr/>
        <w:t>不适用</w:t>
      </w:r>
      <w:r>
        <w:rPr/>
        <w:t> 组合中，采用账龄分析法计提坏账准备的应收账款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113" w:space="471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5"/>
        <w:gridCol w:w="2000"/>
        <w:gridCol w:w="651"/>
        <w:gridCol w:w="1474"/>
        <w:gridCol w:w="2126"/>
        <w:gridCol w:w="653"/>
        <w:gridCol w:w="1600"/>
      </w:tblGrid>
      <w:tr>
        <w:trPr>
          <w:trHeight w:val="401" w:hRule="exact"/>
        </w:trPr>
        <w:tc>
          <w:tcPr>
            <w:tcW w:w="1055"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6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shd w:val="clear" w:color="auto" w:fill="D2D2D2"/>
          </w:tcPr>
          <w:p>
            <w:pPr/>
          </w:p>
        </w:tc>
        <w:tc>
          <w:tcPr>
            <w:tcW w:w="27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0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51" w:type="dxa"/>
            <w:gridSpan w:val="2"/>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780"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55" w:type="dxa"/>
            <w:vMerge/>
            <w:tcBorders>
              <w:left w:val="single" w:sz="4" w:space="0" w:color="000000"/>
              <w:bottom w:val="nil" w:sz="6" w:space="0" w:color="auto"/>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55" w:type="dxa"/>
            <w:vMerge w:val="restart"/>
            <w:tcBorders>
              <w:top w:val="nil" w:sz="6" w:space="0" w:color="auto"/>
              <w:left w:val="single" w:sz="4" w:space="0" w:color="000000"/>
              <w:right w:val="single" w:sz="4" w:space="0" w:color="000000"/>
            </w:tcBorders>
            <w:shd w:val="clear" w:color="auto" w:fill="D2D2D2"/>
          </w:tcPr>
          <w:p>
            <w:pPr/>
          </w:p>
        </w:tc>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474"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55" w:type="dxa"/>
            <w:vMerge/>
            <w:tcBorders>
              <w:left w:val="single" w:sz="4" w:space="0" w:color="000000"/>
              <w:right w:val="single" w:sz="4" w:space="0" w:color="000000"/>
            </w:tcBorders>
            <w:shd w:val="clear" w:color="auto" w:fill="D2D2D2"/>
          </w:tcPr>
          <w:p>
            <w:pPr/>
          </w:p>
        </w:tc>
        <w:tc>
          <w:tcPr>
            <w:tcW w:w="2000"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474"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55" w:type="dxa"/>
            <w:vMerge/>
            <w:tcBorders>
              <w:left w:val="single" w:sz="4" w:space="0" w:color="000000"/>
              <w:bottom w:val="single" w:sz="4" w:space="0" w:color="000000"/>
              <w:right w:val="single" w:sz="4" w:space="0" w:color="000000"/>
            </w:tcBorders>
            <w:shd w:val="clear" w:color="auto" w:fill="D2D2D2"/>
          </w:tcPr>
          <w:p>
            <w:pPr/>
          </w:p>
        </w:tc>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474"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42,611,849.08</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47.93%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2,130,592.45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61,587,983.89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70.22%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3,079,399.20</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24,768,280.03</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27.86%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2,476,828.01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12,492,269.86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14.24%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1,249,226.98</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8,875,969.24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9.98%</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1,775,193.85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4,505,911.75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901,182.35</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12,656,947.07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14.23%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10,436,721.54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9,122,949.00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5,971,106.63</w:t>
            </w:r>
          </w:p>
        </w:tc>
      </w:tr>
      <w:tr>
        <w:trPr>
          <w:trHeight w:val="715"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4,440,451.07</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4.99%</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2,220,225.54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6,303,684.75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7.19%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3,151,842.38</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8,097,696.00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2"/>
                <w:sz w:val="18"/>
              </w:rPr>
              <w:t>9.11%</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8,097,696.00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2,705,842.00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2,705,842.00</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118,800.00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0.13%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118,800.00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113,422.25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0.13%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113,422.25</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88,913,045.42</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16,819,335.85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87,709,114.50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11,200,915.16</w:t>
            </w:r>
          </w:p>
        </w:tc>
      </w:tr>
    </w:tbl>
    <w:p>
      <w:pPr>
        <w:pStyle w:val="BodyText"/>
        <w:spacing w:line="240" w:lineRule="auto" w:before="49"/>
        <w:ind w:right="0"/>
        <w:jc w:val="left"/>
      </w:pPr>
      <w:r>
        <w:rPr/>
        <w:t>组合中，采用余额百分比法计提坏账准备的应收账款</w:t>
      </w:r>
    </w:p>
    <w:p>
      <w:pPr>
        <w:pStyle w:val="BodyText"/>
        <w:spacing w:line="357" w:lineRule="auto" w:before="117"/>
        <w:ind w:right="5994"/>
        <w:jc w:val="left"/>
      </w:pPr>
      <w:r>
        <w:rPr/>
        <w:t>□ 适用 √</w:t>
      </w:r>
      <w:r>
        <w:rPr>
          <w:spacing w:val="3"/>
        </w:rPr>
        <w:t> </w:t>
      </w:r>
      <w:r>
        <w:rPr/>
        <w:t>不适用</w:t>
      </w:r>
      <w:r>
        <w:rPr/>
        <w:t> 组合中，采用其他方法计提坏账准备的应收账款</w:t>
      </w:r>
    </w:p>
    <w:p>
      <w:pPr>
        <w:pStyle w:val="BodyText"/>
        <w:spacing w:line="360" w:lineRule="auto" w:before="29"/>
        <w:ind w:right="5454"/>
        <w:jc w:val="left"/>
      </w:pPr>
      <w:r>
        <w:rPr/>
        <w:t>□ 适用 √</w:t>
      </w:r>
      <w:r>
        <w:rPr>
          <w:spacing w:val="3"/>
        </w:rPr>
        <w:t> </w:t>
      </w:r>
      <w:r>
        <w:rPr/>
        <w:t>不适用</w:t>
      </w:r>
      <w:r>
        <w:rPr/>
        <w:t> 期末单项金额虽不重大但单项计提坏账准备的应收账款</w:t>
      </w:r>
    </w:p>
    <w:p>
      <w:pPr>
        <w:pStyle w:val="BodyText"/>
        <w:spacing w:line="240" w:lineRule="auto" w:before="24"/>
        <w:ind w:right="0"/>
        <w:jc w:val="left"/>
      </w:pPr>
      <w:r>
        <w:rPr/>
        <w:t>□ 适用 √</w:t>
      </w:r>
      <w:r>
        <w:rPr>
          <w:spacing w:val="3"/>
        </w:rPr>
        <w:t> </w:t>
      </w:r>
      <w:r>
        <w:rPr/>
        <w:t>不适用</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28,985,312.50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12,395,090.34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6,108,136.56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5,505,543.35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4,371,360.00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57,365,442.75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山西易联众信息技术有限公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28,985,312.50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22.21%</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福州易联众信息技术有限公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12,395,090.34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9.5%</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安徽易联众信息技术有限公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41,603,702.84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31.88%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8"/>
        <w:gridCol w:w="1191"/>
        <w:gridCol w:w="52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5,870,775.22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79.15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2,467,504.49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42.03</w:t>
            </w:r>
          </w:p>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7,218,484.71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42.15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1,763,507.62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1,546,771.03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9,906,268.94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1"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8"/>
        <w:gridCol w:w="1191"/>
        <w:gridCol w:w="526"/>
      </w:tblGrid>
      <w:tr>
        <w:trPr>
          <w:trHeight w:val="71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7,417,546.25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2,467,504.49</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33.27</w:t>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17,124,753.65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1,763,507.62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7,417,546.25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2,467,504.49</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17,124,753.65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1,763,507.62</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60" w:lineRule="auto" w:before="29"/>
        <w:ind w:right="-20"/>
        <w:jc w:val="left"/>
      </w:pPr>
      <w:r>
        <w:rPr/>
        <w:t>□ 适用 √</w:t>
      </w:r>
      <w:r>
        <w:rPr>
          <w:spacing w:val="3"/>
        </w:rPr>
        <w:t> </w:t>
      </w:r>
      <w:r>
        <w:rPr/>
        <w:t>不适用</w:t>
      </w:r>
      <w:r>
        <w:rPr/>
        <w:t> 组合中，采用账龄分析法计提坏账准备的其他应收款</w:t>
      </w:r>
    </w:p>
    <w:p>
      <w:pPr>
        <w:pStyle w:val="BodyText"/>
        <w:spacing w:line="240" w:lineRule="auto" w:before="2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6"/>
        <w:gridCol w:w="1799"/>
        <w:gridCol w:w="657"/>
        <w:gridCol w:w="1600"/>
        <w:gridCol w:w="1862"/>
        <w:gridCol w:w="653"/>
        <w:gridCol w:w="1732"/>
      </w:tblGrid>
      <w:tr>
        <w:trPr>
          <w:trHeight w:val="401" w:hRule="exact"/>
        </w:trPr>
        <w:tc>
          <w:tcPr>
            <w:tcW w:w="1256" w:type="dxa"/>
            <w:vMerge w:val="restart"/>
            <w:tcBorders>
              <w:top w:val="single" w:sz="4" w:space="0" w:color="000000"/>
              <w:left w:val="single" w:sz="4" w:space="0" w:color="000000"/>
              <w:right w:val="single" w:sz="4" w:space="0" w:color="000000"/>
            </w:tcBorders>
            <w:shd w:val="clear" w:color="auto" w:fill="D2D2D2"/>
          </w:tcPr>
          <w:p>
            <w:pPr/>
          </w:p>
        </w:tc>
        <w:tc>
          <w:tcPr>
            <w:tcW w:w="40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6"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2" w:type="dxa"/>
            <w:vMerge w:val="restart"/>
            <w:tcBorders>
              <w:top w:val="single" w:sz="4" w:space="0" w:color="000000"/>
              <w:left w:val="single" w:sz="4" w:space="0" w:color="000000"/>
              <w:right w:val="single" w:sz="4" w:space="0" w:color="000000"/>
            </w:tcBorders>
            <w:shd w:val="clear" w:color="auto" w:fill="D2D2D2"/>
          </w:tcPr>
          <w:p>
            <w:pPr/>
          </w:p>
        </w:tc>
      </w:tr>
      <w:tr>
        <w:trPr>
          <w:trHeight w:val="224" w:hRule="exact"/>
        </w:trPr>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2" w:type="dxa"/>
            <w:vMerge/>
            <w:tcBorders>
              <w:left w:val="single" w:sz="4" w:space="0" w:color="000000"/>
              <w:bottom w:val="nil" w:sz="6" w:space="0" w:color="auto"/>
              <w:right w:val="single" w:sz="4" w:space="0" w:color="000000"/>
            </w:tcBorders>
            <w:shd w:val="clear" w:color="auto" w:fill="D2D2D2"/>
          </w:tcPr>
          <w:p>
            <w:pPr/>
          </w:p>
        </w:tc>
      </w:tr>
      <w:tr>
        <w:trPr>
          <w:trHeight w:val="177" w:hRule="exact"/>
        </w:trPr>
        <w:tc>
          <w:tcPr>
            <w:tcW w:w="1256" w:type="dxa"/>
            <w:vMerge/>
            <w:tcBorders>
              <w:left w:val="single" w:sz="4" w:space="0" w:color="000000"/>
              <w:bottom w:val="single" w:sz="4" w:space="0" w:color="FFFFFF"/>
              <w:right w:val="single" w:sz="4" w:space="0" w:color="000000"/>
            </w:tcBorders>
            <w:shd w:val="clear" w:color="auto" w:fill="D2D2D2"/>
          </w:tcPr>
          <w:p>
            <w:pPr/>
          </w:p>
        </w:tc>
        <w:tc>
          <w:tcPr>
            <w:tcW w:w="179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8" w:right="0"/>
              <w:jc w:val="left"/>
              <w:rPr>
                <w:rFonts w:ascii="Times New Roman" w:hAnsi="Times New Roman" w:cs="Times New Roman" w:eastAsia="Times New Roman" w:hint="default"/>
                <w:sz w:val="18"/>
                <w:szCs w:val="18"/>
              </w:rPr>
            </w:pPr>
            <w:r>
              <w:rPr>
                <w:rFonts w:ascii="Times New Roman"/>
                <w:sz w:val="18"/>
              </w:rPr>
              <w:t>(%)</w:t>
            </w:r>
          </w:p>
        </w:tc>
        <w:tc>
          <w:tcPr>
            <w:tcW w:w="17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6" w:type="dxa"/>
            <w:vMerge w:val="restart"/>
            <w:tcBorders>
              <w:top w:val="single" w:sz="4" w:space="0" w:color="FFFFFF"/>
              <w:left w:val="single" w:sz="4" w:space="0" w:color="000000"/>
              <w:right w:val="single" w:sz="4" w:space="0" w:color="000000"/>
            </w:tcBorders>
            <w:shd w:val="clear" w:color="auto" w:fill="D2D2D2"/>
          </w:tcPr>
          <w:p>
            <w:pPr/>
          </w:p>
        </w:tc>
        <w:tc>
          <w:tcPr>
            <w:tcW w:w="17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3" w:type="dxa"/>
            <w:vMerge/>
            <w:tcBorders>
              <w:left w:val="single" w:sz="4" w:space="0" w:color="000000"/>
              <w:right w:val="single" w:sz="4" w:space="0" w:color="000000"/>
            </w:tcBorders>
            <w:shd w:val="clear" w:color="auto" w:fill="D2D2D2"/>
          </w:tcPr>
          <w:p>
            <w:pPr/>
          </w:p>
        </w:tc>
        <w:tc>
          <w:tcPr>
            <w:tcW w:w="1732"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6" w:type="dxa"/>
            <w:vMerge/>
            <w:tcBorders>
              <w:left w:val="single" w:sz="4" w:space="0" w:color="000000"/>
              <w:right w:val="single" w:sz="4" w:space="0" w:color="000000"/>
            </w:tcBorders>
            <w:shd w:val="clear" w:color="auto" w:fill="D2D2D2"/>
          </w:tcPr>
          <w:p>
            <w:pPr/>
          </w:p>
        </w:tc>
        <w:tc>
          <w:tcPr>
            <w:tcW w:w="1799"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173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6" w:type="dxa"/>
            <w:vMerge/>
            <w:tcBorders>
              <w:left w:val="single" w:sz="4" w:space="0" w:color="000000"/>
              <w:bottom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1732"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406"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1,666,494.59</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28.38%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83,324.73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3,065,707.28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42.48%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153,285.37</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1,019,660.17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17.37%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101,966.02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1,212,275.90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16.79%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121,227.59</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966,195.90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16.46%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193,239.18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472,075.51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6.54%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94,415.10</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2,218,424.56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37.79%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2,088,974.56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2,468,426.02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34.19%</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1,394,579.56</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258,900.00</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left"/>
              <w:rPr>
                <w:rFonts w:ascii="Times New Roman" w:hAnsi="Times New Roman" w:cs="Times New Roman" w:eastAsia="Times New Roman" w:hint="default"/>
                <w:sz w:val="18"/>
                <w:szCs w:val="18"/>
              </w:rPr>
            </w:pPr>
            <w:r>
              <w:rPr>
                <w:rFonts w:ascii="Times New Roman"/>
                <w:sz w:val="18"/>
              </w:rPr>
              <w:t>4.41%</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129,450.00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2,147,692.92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29.75%</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1,073,846.46</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1,959,524.56</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33.38%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1,959,524.56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320,733.10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4.44%</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320,733.10</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5,870,775.22</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2,467,504.49</w:t>
            </w:r>
          </w:p>
        </w:tc>
        <w:tc>
          <w:tcPr>
            <w:tcW w:w="186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7,218,484.71</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1,763,507.62</w:t>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5814"/>
        <w:jc w:val="left"/>
      </w:pPr>
      <w:r>
        <w:rPr/>
        <w:t>□ 适用 √</w:t>
      </w:r>
      <w:r>
        <w:rPr>
          <w:spacing w:val="3"/>
        </w:rPr>
        <w:t> </w:t>
      </w:r>
      <w:r>
        <w:rPr/>
        <w:t>不适用</w:t>
      </w:r>
      <w:r>
        <w:rPr/>
        <w:t> 组合中，采用其他方法计提坏账准备的其他应收款</w:t>
      </w:r>
    </w:p>
    <w:p>
      <w:pPr>
        <w:pStyle w:val="BodyText"/>
        <w:spacing w:line="357" w:lineRule="auto" w:before="27"/>
        <w:ind w:right="5274"/>
        <w:jc w:val="left"/>
      </w:pPr>
      <w:r>
        <w:rPr/>
        <w:t>□ 适用 √</w:t>
      </w:r>
      <w:r>
        <w:rPr>
          <w:spacing w:val="3"/>
        </w:rPr>
        <w:t> </w:t>
      </w:r>
      <w:r>
        <w:rPr/>
        <w:t>不适用</w:t>
      </w:r>
      <w:r>
        <w:rPr/>
        <w:t> 期末单项金额虽不重大但单项计提坏账准备的其他应收款</w:t>
      </w:r>
    </w:p>
    <w:p>
      <w:pPr>
        <w:pStyle w:val="BodyText"/>
        <w:spacing w:line="240" w:lineRule="auto" w:before="29"/>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1"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福建省机关事业社会保 险局</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1,097,400.00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14.79%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北京易联众信息技术有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679,562.12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合肥市政府采购中心</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451,568.80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中国农业银行股份有限 公司龙岩分行</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莆田市信辉招标代理有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2,988,030.92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679,562.12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9.16%</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安徽易联众信息技术有限公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210,758.17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福建易联众软件系统开发有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279,446.12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福州易联众信息技术有限公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31,272.79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1,201,039.20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山西易联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10,545,60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10,545,60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10,545,60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安徽易联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3,798,000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39"/>
              <w:jc w:val="left"/>
              <w:rPr>
                <w:rFonts w:ascii="宋体" w:hAnsi="宋体" w:cs="宋体" w:eastAsia="宋体" w:hint="default"/>
                <w:sz w:val="18"/>
                <w:szCs w:val="18"/>
              </w:rPr>
            </w:pPr>
            <w:r>
              <w:rPr>
                <w:rFonts w:ascii="宋体" w:hAnsi="宋体" w:cs="宋体" w:eastAsia="宋体" w:hint="default"/>
                <w:sz w:val="18"/>
                <w:szCs w:val="18"/>
              </w:rPr>
              <w:t>福建易联 众软件系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17,160,00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800"/>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统开发有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福州易联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福建易联 众电子科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湖南易联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广西易联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北京易联 众信息技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9,973,200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9,973,200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9,973,200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广东易联 众计算机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大连易联 众科技有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17,550,00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北京尚洋 易捷信息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1,306,989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1,306,989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145,456,8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56,053,60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90,030,18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146,083,7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89.89</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160,108,179.81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299,872,740.49</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160,108,179.81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299,872,740.49</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109,120,276.20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193,540,097.89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160,108,179.81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109,120,276.20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299,872,740.49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193,540,097.89</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160,108,179.81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109,120,276.20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299,872,740.49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193,540,097.89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98,389,519.89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64,910,093.39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236,371,488.35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150,744,123.27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18,755,894.95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8,437,662.43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14,372,267.66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4,844,346.89</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42,962,764.97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35,772,520.38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49,128,984.48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37,951,627.73</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160,108,179.81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109,120,276.20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299,872,740.49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193,540,097.89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0"/>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101,750,623.43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63,462,761.49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270,098,499.41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169,037,207.17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23,758,275.59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18,020,207.30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18,223,245.73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15,434,011.07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11,591,003.02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8,632,268.38</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10,564,102.56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9,700,214.97</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5,445,176.20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2,585,797.36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3,210,098.29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1,903,318.65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4,738,461.52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4,619,436.21</w:t>
            </w:r>
          </w:p>
        </w:tc>
        <w:tc>
          <w:tcPr>
            <w:tcW w:w="1860"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664,128.22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688,533.49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746,205.12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597,280.87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554,273.51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505,226.38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5,602,136.75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5,402,032.24</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1,042,135.76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905,830.62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1,992,555.19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1,166,247.89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0"/>
        <w:gridCol w:w="1726"/>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160,108,179.81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109,120,276.20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299,872,740.49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193,540,097.89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1"/>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29,111,100.18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18.18%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23,758,275.59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14.84%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13,608,219.39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10,239,316.24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6,895,994.20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4.31%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83,612,905.60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52.23%</w:t>
            </w:r>
          </w:p>
        </w:tc>
      </w:tr>
    </w:tbl>
    <w:p>
      <w:pPr>
        <w:pStyle w:val="BodyText"/>
        <w:spacing w:line="240" w:lineRule="auto" w:before="49"/>
        <w:ind w:right="0"/>
        <w:jc w:val="left"/>
      </w:pPr>
      <w:r>
        <w:rPr/>
        <w:t>营业收入的说明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626,989.89</w:t>
            </w:r>
          </w:p>
        </w:tc>
        <w:tc>
          <w:tcPr>
            <w:tcW w:w="252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626,989.89</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北京尚洋易捷信息技术有限公司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5" w:right="0"/>
              <w:jc w:val="left"/>
              <w:rPr>
                <w:rFonts w:ascii="Times New Roman" w:hAnsi="Times New Roman" w:cs="Times New Roman" w:eastAsia="Times New Roman" w:hint="default"/>
                <w:sz w:val="18"/>
                <w:szCs w:val="18"/>
              </w:rPr>
            </w:pPr>
            <w:r>
              <w:rPr>
                <w:rFonts w:ascii="Times New Roman"/>
                <w:sz w:val="18"/>
              </w:rPr>
              <w:t>626,989.89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本年新增投资</w:t>
            </w:r>
          </w:p>
        </w:tc>
      </w:tr>
    </w:tbl>
    <w:p>
      <w:pPr>
        <w:pStyle w:val="BodyText"/>
        <w:spacing w:line="240" w:lineRule="auto" w:before="49"/>
        <w:ind w:right="0"/>
        <w:jc w:val="left"/>
      </w:pPr>
      <w:r>
        <w:rPr/>
        <w:t>投资收益的说明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21,837,501.29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65,052,925.16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6,327,810.02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4,831,218.28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7,018,742.87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3,751,404.75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1,818,440.49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848,115.02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1,006,374.58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289,758.69</w:t>
            </w:r>
          </w:p>
        </w:tc>
      </w:tr>
      <w:tr>
        <w:trPr>
          <w:trHeight w:val="714" w:hRule="exact"/>
        </w:trPr>
        <w:tc>
          <w:tcPr>
            <w:tcW w:w="5041"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14" w:lineRule="auto" w:before="50"/>
              <w:ind w:left="22" w:right="-4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7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44,708.31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13,026.41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7,614.17</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-6,549,078.43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-728,252.49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-626,989.89</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-949,171.49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-724,682.75</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3,335,473.55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-16,009,853.57</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52,587,686.86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-67,254,935.36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-4,025,002.71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63,885,989.72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81,826,495.45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53,962,328.03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76" w:right="0"/>
              <w:jc w:val="left"/>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156,440,990.48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174,033,766.20</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174,033,766.20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205,689,686.41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-17,592,775.72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-31,655,920.21</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十六、补充资料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1" w:space="0" w:color="D2D2D2"/>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0.33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0.33</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26"/>
          <w:szCs w:val="26"/>
        </w:rPr>
      </w:pPr>
    </w:p>
    <w:p>
      <w:pPr>
        <w:pStyle w:val="Heading4"/>
        <w:spacing w:line="240" w:lineRule="auto"/>
        <w:ind w:right="0"/>
        <w:jc w:val="left"/>
        <w:rPr>
          <w:b w:val="0"/>
          <w:bCs w:val="0"/>
        </w:rPr>
      </w:pPr>
      <w:r>
        <w:rPr/>
        <w:t>资产负债项目变动情况</w:t>
      </w:r>
      <w:r>
        <w:rPr>
          <w:b w:val="0"/>
          <w:bCs w:val="0"/>
        </w:rPr>
      </w:r>
    </w:p>
    <w:p>
      <w:pPr>
        <w:pStyle w:val="BodyText"/>
        <w:spacing w:line="300" w:lineRule="auto" w:before="76"/>
        <w:ind w:right="189" w:firstLine="480"/>
        <w:jc w:val="left"/>
      </w:pPr>
      <w:r>
        <w:rPr/>
        <w:t>（</w:t>
      </w:r>
      <w:r>
        <w:rPr>
          <w:rFonts w:ascii="Times New Roman" w:hAnsi="Times New Roman" w:cs="Times New Roman" w:eastAsia="Times New Roman" w:hint="default"/>
        </w:rPr>
        <w:t>1</w:t>
      </w:r>
      <w:r>
        <w:rPr/>
        <w:t>）预付帐款较上年减少</w:t>
      </w:r>
      <w:r>
        <w:rPr>
          <w:rFonts w:ascii="Times New Roman" w:hAnsi="Times New Roman" w:cs="Times New Roman" w:eastAsia="Times New Roman" w:hint="default"/>
        </w:rPr>
        <w:t>71.93%</w:t>
      </w:r>
      <w:r>
        <w:rPr/>
        <w:t>，主要原因是本公司控股子公司福建易联众电子科技有限公司收到退回的上年预付 款项所致。</w:t>
      </w:r>
    </w:p>
    <w:p>
      <w:pPr>
        <w:pStyle w:val="BodyText"/>
        <w:spacing w:line="240" w:lineRule="auto" w:before="31"/>
        <w:ind w:left="633" w:right="0"/>
        <w:jc w:val="left"/>
      </w:pPr>
      <w:r>
        <w:rPr/>
        <w:t>（</w:t>
      </w:r>
      <w:r>
        <w:rPr>
          <w:rFonts w:ascii="Times New Roman" w:hAnsi="Times New Roman" w:cs="Times New Roman" w:eastAsia="Times New Roman" w:hint="default"/>
        </w:rPr>
        <w:t>2</w:t>
      </w:r>
      <w:r>
        <w:rPr/>
        <w:t>）应收利息较上年减少</w:t>
      </w:r>
      <w:r>
        <w:rPr>
          <w:rFonts w:ascii="Times New Roman" w:hAnsi="Times New Roman" w:cs="Times New Roman" w:eastAsia="Times New Roman" w:hint="default"/>
        </w:rPr>
        <w:t>24.01%</w:t>
      </w:r>
      <w:r>
        <w:rPr/>
        <w:t>，主要原因是本年度募集资金投入使用所致。</w:t>
      </w:r>
    </w:p>
    <w:p>
      <w:pPr>
        <w:pStyle w:val="BodyText"/>
        <w:spacing w:line="240" w:lineRule="auto" w:before="63"/>
        <w:ind w:left="633" w:right="0"/>
        <w:jc w:val="left"/>
      </w:pPr>
      <w:r>
        <w:rPr/>
        <w:t>（</w:t>
      </w:r>
      <w:r>
        <w:rPr>
          <w:rFonts w:ascii="Times New Roman" w:hAnsi="Times New Roman" w:cs="Times New Roman" w:eastAsia="Times New Roman" w:hint="default"/>
        </w:rPr>
        <w:t>3</w:t>
      </w:r>
      <w:r>
        <w:rPr/>
        <w:t>）其他应收款较上年减少</w:t>
      </w:r>
      <w:r>
        <w:rPr>
          <w:rFonts w:ascii="Times New Roman" w:hAnsi="Times New Roman" w:cs="Times New Roman" w:eastAsia="Times New Roman" w:hint="default"/>
        </w:rPr>
        <w:t>24.40%</w:t>
      </w:r>
      <w:r>
        <w:rPr/>
        <w:t>，主要原因是收回投标保证金及个人借款。</w:t>
      </w:r>
    </w:p>
    <w:p>
      <w:pPr>
        <w:pStyle w:val="BodyText"/>
        <w:spacing w:line="240" w:lineRule="auto" w:before="62"/>
        <w:ind w:left="633" w:right="0"/>
        <w:jc w:val="left"/>
      </w:pPr>
      <w:r>
        <w:rPr/>
        <w:t>（</w:t>
      </w:r>
      <w:r>
        <w:rPr>
          <w:rFonts w:ascii="Times New Roman" w:hAnsi="Times New Roman" w:cs="Times New Roman" w:eastAsia="Times New Roman" w:hint="default"/>
        </w:rPr>
        <w:t>4</w:t>
      </w:r>
      <w:r>
        <w:rPr/>
        <w:t>）固定资产较上年增长</w:t>
      </w:r>
      <w:r>
        <w:rPr>
          <w:rFonts w:ascii="Times New Roman" w:hAnsi="Times New Roman" w:cs="Times New Roman" w:eastAsia="Times New Roman" w:hint="default"/>
        </w:rPr>
        <w:t>13.89%</w:t>
      </w:r>
      <w:r>
        <w:rPr/>
        <w:t>，主要是公司募集资金项目采购相应的固定资产及在建工程结转所致。</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633" w:right="0"/>
        <w:jc w:val="left"/>
      </w:pPr>
      <w:r>
        <w:rPr/>
        <w:t>（</w:t>
      </w:r>
      <w:r>
        <w:rPr>
          <w:rFonts w:ascii="Times New Roman" w:hAnsi="Times New Roman" w:cs="Times New Roman" w:eastAsia="Times New Roman" w:hint="default"/>
        </w:rPr>
        <w:t>5</w:t>
      </w:r>
      <w:r>
        <w:rPr/>
        <w:t>）无形资产较上年减少</w:t>
      </w:r>
      <w:r>
        <w:rPr>
          <w:rFonts w:ascii="Times New Roman" w:hAnsi="Times New Roman" w:cs="Times New Roman" w:eastAsia="Times New Roman" w:hint="default"/>
        </w:rPr>
        <w:t>24.54%</w:t>
      </w:r>
      <w:r>
        <w:rPr/>
        <w:t>，主要是无形资产摊销所致。</w:t>
      </w:r>
    </w:p>
    <w:p>
      <w:pPr>
        <w:pStyle w:val="BodyText"/>
        <w:spacing w:line="300" w:lineRule="auto" w:before="63"/>
        <w:ind w:right="0" w:firstLine="480"/>
        <w:jc w:val="left"/>
      </w:pPr>
      <w:r>
        <w:rPr>
          <w:spacing w:val="-1"/>
        </w:rPr>
        <w:t>（</w:t>
      </w:r>
      <w:r>
        <w:rPr>
          <w:rFonts w:ascii="Times New Roman" w:hAnsi="Times New Roman" w:cs="Times New Roman" w:eastAsia="Times New Roman" w:hint="default"/>
          <w:spacing w:val="-1"/>
        </w:rPr>
        <w:t>6</w:t>
      </w:r>
      <w:r>
        <w:rPr>
          <w:spacing w:val="-1"/>
        </w:rPr>
        <w:t>）开发支出较上年增加</w:t>
      </w:r>
      <w:r>
        <w:rPr>
          <w:rFonts w:ascii="Times New Roman" w:hAnsi="Times New Roman" w:cs="Times New Roman" w:eastAsia="Times New Roman" w:hint="default"/>
          <w:spacing w:val="-1"/>
        </w:rPr>
        <w:t>184.91%</w:t>
      </w:r>
      <w:r>
        <w:rPr>
          <w:spacing w:val="-1"/>
        </w:rPr>
        <w:t>，主要是本年度公司继续加大民生一体化门户网站系统、居民健康信息系统、社会</w:t>
      </w:r>
      <w:r>
        <w:rPr/>
        <w:t> 保险核心平台等项目的研发投入所致。</w:t>
      </w:r>
    </w:p>
    <w:p>
      <w:pPr>
        <w:pStyle w:val="BodyText"/>
        <w:spacing w:line="240" w:lineRule="auto" w:before="31"/>
        <w:ind w:left="633" w:right="0"/>
        <w:jc w:val="left"/>
      </w:pPr>
      <w:r>
        <w:rPr/>
        <w:t>（</w:t>
      </w:r>
      <w:r>
        <w:rPr>
          <w:rFonts w:ascii="Times New Roman" w:hAnsi="Times New Roman" w:cs="Times New Roman" w:eastAsia="Times New Roman" w:hint="default"/>
        </w:rPr>
        <w:t>7</w:t>
      </w:r>
      <w:r>
        <w:rPr/>
        <w:t>）长期待摊费用较上年增加</w:t>
      </w:r>
      <w:r>
        <w:rPr>
          <w:rFonts w:ascii="Times New Roman" w:hAnsi="Times New Roman" w:cs="Times New Roman" w:eastAsia="Times New Roman" w:hint="default"/>
        </w:rPr>
        <w:t>107.40%</w:t>
      </w:r>
      <w:r>
        <w:rPr/>
        <w:t>，主要是公司募投项目社会保障卡及读写终端制作中心项目装修费用所致。</w:t>
      </w:r>
    </w:p>
    <w:p>
      <w:pPr>
        <w:pStyle w:val="BodyText"/>
        <w:spacing w:line="240" w:lineRule="auto" w:before="63"/>
        <w:ind w:left="633" w:right="0"/>
        <w:jc w:val="left"/>
      </w:pPr>
      <w:r>
        <w:rPr/>
        <w:t>（</w:t>
      </w:r>
      <w:r>
        <w:rPr>
          <w:rFonts w:ascii="Times New Roman" w:hAnsi="Times New Roman" w:cs="Times New Roman" w:eastAsia="Times New Roman" w:hint="default"/>
        </w:rPr>
        <w:t>8</w:t>
      </w:r>
      <w:r>
        <w:rPr/>
        <w:t>）递延所得税资产较上年增长</w:t>
      </w:r>
      <w:r>
        <w:rPr>
          <w:rFonts w:ascii="Times New Roman" w:hAnsi="Times New Roman" w:cs="Times New Roman" w:eastAsia="Times New Roman" w:hint="default"/>
        </w:rPr>
        <w:t>41.65%</w:t>
      </w:r>
      <w:r>
        <w:rPr/>
        <w:t>，主要是本年提取的资产减值准备及子公司可抵扣的亏损增加所致。</w:t>
      </w:r>
    </w:p>
    <w:p>
      <w:pPr>
        <w:pStyle w:val="BodyText"/>
        <w:spacing w:line="240" w:lineRule="auto" w:before="63"/>
        <w:ind w:left="633" w:right="0"/>
        <w:jc w:val="left"/>
      </w:pPr>
      <w:r>
        <w:rPr/>
        <w:t>（</w:t>
      </w:r>
      <w:r>
        <w:rPr>
          <w:rFonts w:ascii="Times New Roman" w:hAnsi="Times New Roman" w:cs="Times New Roman" w:eastAsia="Times New Roman" w:hint="default"/>
        </w:rPr>
        <w:t>9</w:t>
      </w:r>
      <w:r>
        <w:rPr/>
        <w:t>）应付票据较上年减少</w:t>
      </w:r>
      <w:r>
        <w:rPr>
          <w:rFonts w:ascii="Times New Roman" w:hAnsi="Times New Roman" w:cs="Times New Roman" w:eastAsia="Times New Roman" w:hint="default"/>
        </w:rPr>
        <w:t>35.55%</w:t>
      </w:r>
      <w:r>
        <w:rPr/>
        <w:t>，主要是银行承兑汇票支付所致。</w:t>
      </w:r>
    </w:p>
    <w:p>
      <w:pPr>
        <w:pStyle w:val="BodyText"/>
        <w:spacing w:line="240" w:lineRule="auto" w:before="63"/>
        <w:ind w:left="633" w:right="0"/>
        <w:jc w:val="left"/>
      </w:pPr>
      <w:r>
        <w:rPr/>
        <w:t>（</w:t>
      </w:r>
      <w:r>
        <w:rPr>
          <w:rFonts w:ascii="Times New Roman" w:hAnsi="Times New Roman" w:cs="Times New Roman" w:eastAsia="Times New Roman" w:hint="default"/>
        </w:rPr>
        <w:t>10</w:t>
      </w:r>
      <w:r>
        <w:rPr/>
        <w:t>）预收账款较上年减少</w:t>
      </w:r>
      <w:r>
        <w:rPr>
          <w:rFonts w:ascii="Times New Roman" w:hAnsi="Times New Roman" w:cs="Times New Roman" w:eastAsia="Times New Roman" w:hint="default"/>
        </w:rPr>
        <w:t>17.41%</w:t>
      </w:r>
      <w:r>
        <w:rPr/>
        <w:t>，主要是根据公司会计政策对满足收入确认条件的预收款项结转收入所致。</w:t>
      </w:r>
    </w:p>
    <w:p>
      <w:pPr>
        <w:pStyle w:val="BodyText"/>
        <w:spacing w:line="300" w:lineRule="auto" w:before="63"/>
        <w:ind w:right="189" w:firstLine="480"/>
        <w:jc w:val="left"/>
      </w:pPr>
      <w:r>
        <w:rPr/>
        <w:t>（</w:t>
      </w:r>
      <w:r>
        <w:rPr>
          <w:rFonts w:ascii="Times New Roman" w:hAnsi="Times New Roman" w:cs="Times New Roman" w:eastAsia="Times New Roman" w:hint="default"/>
        </w:rPr>
        <w:t>11</w:t>
      </w:r>
      <w:r>
        <w:rPr/>
        <w:t>）应交税费较上年减少</w:t>
      </w:r>
      <w:r>
        <w:rPr>
          <w:rFonts w:ascii="Times New Roman" w:hAnsi="Times New Roman" w:cs="Times New Roman" w:eastAsia="Times New Roman" w:hint="default"/>
        </w:rPr>
        <w:t>111.45%</w:t>
      </w:r>
      <w:r>
        <w:rPr/>
        <w:t>，主要是由于以前年度增值税进项税额尚未抵完，且本年度末应交所得税金较上 年减少所致。</w:t>
      </w:r>
    </w:p>
    <w:p>
      <w:pPr>
        <w:pStyle w:val="BodyText"/>
        <w:spacing w:line="300" w:lineRule="auto" w:before="31"/>
        <w:ind w:right="0" w:firstLine="480"/>
        <w:jc w:val="left"/>
      </w:pPr>
      <w:r>
        <w:rPr>
          <w:spacing w:val="-1"/>
        </w:rPr>
        <w:t>（</w:t>
      </w:r>
      <w:r>
        <w:rPr>
          <w:rFonts w:ascii="Times New Roman" w:hAnsi="Times New Roman" w:cs="Times New Roman" w:eastAsia="Times New Roman" w:hint="default"/>
          <w:spacing w:val="-1"/>
        </w:rPr>
        <w:t>12</w:t>
      </w:r>
      <w:r>
        <w:rPr>
          <w:spacing w:val="-1"/>
        </w:rPr>
        <w:t>）其他应付款较上年减少</w:t>
      </w:r>
      <w:r>
        <w:rPr>
          <w:rFonts w:ascii="Times New Roman" w:hAnsi="Times New Roman" w:cs="Times New Roman" w:eastAsia="Times New Roman" w:hint="default"/>
          <w:spacing w:val="-1"/>
        </w:rPr>
        <w:t>78.54%</w:t>
      </w:r>
      <w:r>
        <w:rPr>
          <w:spacing w:val="-1"/>
        </w:rPr>
        <w:t>，主要是本年度支付子公司福建易联众软件系统开发有限公司的少数股东股权转</w:t>
      </w:r>
      <w:r>
        <w:rPr/>
        <w:t> 让款</w:t>
      </w:r>
      <w:r>
        <w:rPr>
          <w:rFonts w:ascii="Times New Roman" w:hAnsi="Times New Roman" w:cs="Times New Roman" w:eastAsia="Times New Roman" w:hint="default"/>
        </w:rPr>
        <w:t>470.40</w:t>
      </w:r>
      <w:r>
        <w:rPr/>
        <w:t>万元所致。</w:t>
      </w:r>
    </w:p>
    <w:p>
      <w:pPr>
        <w:pStyle w:val="BodyText"/>
        <w:spacing w:line="240" w:lineRule="auto" w:before="133"/>
        <w:ind w:left="633" w:right="0"/>
        <w:jc w:val="left"/>
      </w:pPr>
      <w:r>
        <w:rPr/>
        <w:t>（</w:t>
      </w:r>
      <w:r>
        <w:rPr>
          <w:rFonts w:ascii="Times New Roman" w:hAnsi="Times New Roman" w:cs="Times New Roman" w:eastAsia="Times New Roman" w:hint="default"/>
        </w:rPr>
        <w:t>13</w:t>
      </w:r>
      <w:r>
        <w:rPr/>
        <w:t>）盈余公积较上年增长</w:t>
      </w:r>
      <w:r>
        <w:rPr>
          <w:rFonts w:ascii="Times New Roman" w:hAnsi="Times New Roman" w:cs="Times New Roman" w:eastAsia="Times New Roman" w:hint="default"/>
        </w:rPr>
        <w:t>19.22%</w:t>
      </w:r>
      <w:r>
        <w:rPr/>
        <w:t>，主要原因是根据公司章程规定，按母公司净利润的</w:t>
      </w:r>
      <w:r>
        <w:rPr>
          <w:rFonts w:ascii="Times New Roman" w:hAnsi="Times New Roman" w:cs="Times New Roman" w:eastAsia="Times New Roman" w:hint="default"/>
        </w:rPr>
        <w:t>10%</w:t>
      </w:r>
      <w:r>
        <w:rPr/>
        <w:t>计提法定盈余公积所致。</w:t>
      </w:r>
    </w:p>
    <w:p>
      <w:pPr>
        <w:pStyle w:val="BodyText"/>
        <w:spacing w:line="417" w:lineRule="auto" w:before="63"/>
        <w:ind w:right="3339" w:firstLine="480"/>
        <w:jc w:val="left"/>
        <w:rPr>
          <w:rFonts w:ascii="宋体" w:hAnsi="宋体" w:cs="宋体" w:eastAsia="宋体" w:hint="default"/>
        </w:rPr>
      </w:pPr>
      <w:r>
        <w:rPr/>
        <w:t>（</w:t>
      </w:r>
      <w:r>
        <w:rPr>
          <w:rFonts w:ascii="Times New Roman" w:hAnsi="Times New Roman" w:cs="Times New Roman" w:eastAsia="Times New Roman" w:hint="default"/>
        </w:rPr>
        <w:t>14</w:t>
      </w:r>
      <w:r>
        <w:rPr/>
        <w:t>）未分配利润较上年增加</w:t>
      </w:r>
      <w:r>
        <w:rPr>
          <w:rFonts w:ascii="Times New Roman" w:hAnsi="Times New Roman" w:cs="Times New Roman" w:eastAsia="Times New Roman" w:hint="default"/>
        </w:rPr>
        <w:t>31.80%</w:t>
      </w:r>
      <w:r>
        <w:rPr/>
        <w:t>，主要原因是本年实现的净利润所致。 </w:t>
      </w:r>
      <w:r>
        <w:rPr>
          <w:rFonts w:ascii="宋体" w:hAnsi="宋体" w:cs="宋体" w:eastAsia="宋体" w:hint="default"/>
          <w:b/>
          <w:bCs/>
        </w:rPr>
        <w:t>经营成果变动情况：</w:t>
      </w:r>
      <w:r>
        <w:rPr>
          <w:rFonts w:ascii="宋体" w:hAnsi="宋体" w:cs="宋体" w:eastAsia="宋体" w:hint="default"/>
        </w:rPr>
      </w:r>
    </w:p>
    <w:p>
      <w:pPr>
        <w:pStyle w:val="BodyText"/>
        <w:spacing w:line="300" w:lineRule="auto" w:before="63"/>
        <w:ind w:right="151" w:firstLine="480"/>
        <w:jc w:val="both"/>
      </w:pPr>
      <w:r>
        <w:rPr/>
        <w:t>（</w:t>
      </w:r>
      <w:r>
        <w:rPr>
          <w:rFonts w:ascii="Times New Roman" w:hAnsi="Times New Roman" w:cs="Times New Roman" w:eastAsia="Times New Roman" w:hint="default"/>
        </w:rPr>
        <w:t>1</w:t>
      </w:r>
      <w:r>
        <w:rPr/>
        <w:t>）本年度营业收入较上年减少</w:t>
      </w:r>
      <w:r>
        <w:rPr>
          <w:rFonts w:ascii="Times New Roman" w:hAnsi="Times New Roman" w:cs="Times New Roman" w:eastAsia="Times New Roman" w:hint="default"/>
        </w:rPr>
        <w:t>26.85%</w:t>
      </w:r>
      <w:r>
        <w:rPr/>
        <w:t>，主要是本年度正在拓展的项目推迟，整体销售规模下降所致。本年度综合 </w:t>
      </w:r>
      <w:r>
        <w:rPr>
          <w:spacing w:val="-1"/>
        </w:rPr>
        <w:t>毛利率为</w:t>
      </w:r>
      <w:r>
        <w:rPr>
          <w:rFonts w:ascii="Times New Roman" w:hAnsi="Times New Roman" w:cs="Times New Roman" w:eastAsia="Times New Roman" w:hint="default"/>
          <w:spacing w:val="-1"/>
        </w:rPr>
        <w:t>47.35%</w:t>
      </w:r>
      <w:r>
        <w:rPr>
          <w:spacing w:val="-1"/>
        </w:rPr>
        <w:t>，较上年度的</w:t>
      </w:r>
      <w:r>
        <w:rPr>
          <w:rFonts w:ascii="Times New Roman" w:hAnsi="Times New Roman" w:cs="Times New Roman" w:eastAsia="Times New Roman" w:hint="default"/>
          <w:spacing w:val="-1"/>
        </w:rPr>
        <w:t>40.25%</w:t>
      </w:r>
      <w:r>
        <w:rPr>
          <w:spacing w:val="-1"/>
        </w:rPr>
        <w:t>上升</w:t>
      </w:r>
      <w:r>
        <w:rPr>
          <w:rFonts w:ascii="Times New Roman" w:hAnsi="Times New Roman" w:cs="Times New Roman" w:eastAsia="Times New Roman" w:hint="default"/>
          <w:spacing w:val="-1"/>
        </w:rPr>
        <w:t>7.10%</w:t>
      </w:r>
      <w:r>
        <w:rPr>
          <w:spacing w:val="-1"/>
        </w:rPr>
        <w:t>，其主要原因是本年度公司大部分</w:t>
      </w:r>
      <w:r>
        <w:rPr>
          <w:rFonts w:ascii="Times New Roman" w:hAnsi="Times New Roman" w:cs="Times New Roman" w:eastAsia="Times New Roman" w:hint="default"/>
          <w:spacing w:val="-1"/>
        </w:rPr>
        <w:t>IC</w:t>
      </w:r>
      <w:r>
        <w:rPr>
          <w:spacing w:val="-1"/>
        </w:rPr>
        <w:t>卡业务不包含芯片的采购，使得公司营</w:t>
      </w:r>
      <w:r>
        <w:rPr>
          <w:spacing w:val="-72"/>
        </w:rPr>
        <w:t> </w:t>
      </w:r>
      <w:r>
        <w:rPr>
          <w:spacing w:val="-72"/>
        </w:rPr>
      </w:r>
      <w:r>
        <w:rPr/>
        <w:t>业成本出现较大幅度的减少，导致本年度综合毛利率上升。</w:t>
      </w:r>
    </w:p>
    <w:p>
      <w:pPr>
        <w:pStyle w:val="BodyText"/>
        <w:spacing w:line="300" w:lineRule="auto" w:before="31"/>
        <w:ind w:right="189" w:firstLine="480"/>
        <w:jc w:val="left"/>
      </w:pPr>
      <w:r>
        <w:rPr/>
        <w:t>（</w:t>
      </w:r>
      <w:r>
        <w:rPr>
          <w:rFonts w:ascii="Times New Roman" w:hAnsi="Times New Roman" w:cs="Times New Roman" w:eastAsia="Times New Roman" w:hint="default"/>
        </w:rPr>
        <w:t>2</w:t>
      </w:r>
      <w:r>
        <w:rPr/>
        <w:t>）本年度管理费用较上年度增长</w:t>
      </w:r>
      <w:r>
        <w:rPr>
          <w:rFonts w:ascii="Times New Roman" w:hAnsi="Times New Roman" w:cs="Times New Roman" w:eastAsia="Times New Roman" w:hint="default"/>
        </w:rPr>
        <w:t>41.26%</w:t>
      </w:r>
      <w:r>
        <w:rPr/>
        <w:t>，主要原因包括：①本年度增加对研究开发项目的投入，研究开发费较上 年增加</w:t>
      </w:r>
      <w:r>
        <w:rPr>
          <w:rFonts w:ascii="Times New Roman" w:hAnsi="Times New Roman" w:cs="Times New Roman" w:eastAsia="Times New Roman" w:hint="default"/>
        </w:rPr>
        <w:t>1,158.69</w:t>
      </w:r>
      <w:r>
        <w:rPr/>
        <w:t>万元；②本年度上调薪资导致职工薪酬增加。</w:t>
      </w:r>
    </w:p>
    <w:p>
      <w:pPr>
        <w:pStyle w:val="BodyText"/>
        <w:spacing w:line="300" w:lineRule="auto" w:before="13"/>
        <w:ind w:right="189" w:firstLine="480"/>
        <w:jc w:val="left"/>
      </w:pPr>
      <w:r>
        <w:rPr/>
        <w:t>（</w:t>
      </w:r>
      <w:r>
        <w:rPr>
          <w:rFonts w:ascii="Times New Roman" w:hAnsi="Times New Roman" w:cs="Times New Roman" w:eastAsia="Times New Roman" w:hint="default"/>
        </w:rPr>
        <w:t>3</w:t>
      </w:r>
      <w:r>
        <w:rPr/>
        <w:t>）本年度销售费用较上年增加</w:t>
      </w:r>
      <w:r>
        <w:rPr>
          <w:rFonts w:ascii="Times New Roman" w:hAnsi="Times New Roman" w:cs="Times New Roman" w:eastAsia="Times New Roman" w:hint="default"/>
        </w:rPr>
        <w:t>67.27%</w:t>
      </w:r>
      <w:r>
        <w:rPr/>
        <w:t>，主要系本公司本年度增加营销投入，职工薪酬、差旅费及招待费等相应增 加所致。</w:t>
      </w:r>
    </w:p>
    <w:p>
      <w:pPr>
        <w:pStyle w:val="BodyText"/>
        <w:spacing w:line="300" w:lineRule="auto" w:before="31"/>
        <w:ind w:right="189" w:firstLine="480"/>
        <w:jc w:val="left"/>
      </w:pPr>
      <w:r>
        <w:rPr/>
        <w:t>（</w:t>
      </w:r>
      <w:r>
        <w:rPr>
          <w:rFonts w:ascii="Times New Roman" w:hAnsi="Times New Roman" w:cs="Times New Roman" w:eastAsia="Times New Roman" w:hint="default"/>
        </w:rPr>
        <w:t>4</w:t>
      </w:r>
      <w:r>
        <w:rPr/>
        <w:t>）本年度资产减值损失较上年度增长</w:t>
      </w:r>
      <w:r>
        <w:rPr>
          <w:rFonts w:ascii="Times New Roman" w:hAnsi="Times New Roman" w:cs="Times New Roman" w:eastAsia="Times New Roman" w:hint="default"/>
        </w:rPr>
        <w:t>22.27%</w:t>
      </w:r>
      <w:r>
        <w:rPr/>
        <w:t>，主要原因是应收帐款回收尚不理想，部分款项账龄延长而导致计提 的坏帐准备增加所致。</w:t>
      </w:r>
    </w:p>
    <w:p>
      <w:pPr>
        <w:pStyle w:val="BodyText"/>
        <w:spacing w:line="240" w:lineRule="auto" w:before="31"/>
        <w:ind w:left="633" w:right="0"/>
        <w:jc w:val="left"/>
      </w:pPr>
      <w:r>
        <w:rPr/>
        <w:t>（</w:t>
      </w:r>
      <w:r>
        <w:rPr>
          <w:rFonts w:ascii="Times New Roman" w:hAnsi="Times New Roman" w:cs="Times New Roman" w:eastAsia="Times New Roman" w:hint="default"/>
        </w:rPr>
        <w:t>5</w:t>
      </w:r>
      <w:r>
        <w:rPr/>
        <w:t>）本年度投资收益</w:t>
      </w:r>
      <w:r>
        <w:rPr>
          <w:rFonts w:ascii="Times New Roman" w:hAnsi="Times New Roman" w:cs="Times New Roman" w:eastAsia="Times New Roman" w:hint="default"/>
        </w:rPr>
        <w:t>626,116.88</w:t>
      </w:r>
      <w:r>
        <w:rPr>
          <w:rFonts w:ascii="Times New Roman" w:hAnsi="Times New Roman" w:cs="Times New Roman" w:eastAsia="Times New Roman" w:hint="default"/>
          <w:spacing w:val="25"/>
        </w:rPr>
        <w:t> </w:t>
      </w:r>
      <w:r>
        <w:rPr/>
        <w:t>元，主要是按权益法核算的参股公司的投资收益。</w:t>
      </w:r>
    </w:p>
    <w:p>
      <w:pPr>
        <w:pStyle w:val="BodyText"/>
        <w:spacing w:line="300" w:lineRule="auto" w:before="63"/>
        <w:ind w:right="0" w:firstLine="480"/>
        <w:jc w:val="left"/>
      </w:pPr>
      <w:r>
        <w:rPr>
          <w:spacing w:val="-1"/>
        </w:rPr>
        <w:t>（</w:t>
      </w:r>
      <w:r>
        <w:rPr>
          <w:rFonts w:ascii="Times New Roman" w:hAnsi="Times New Roman" w:cs="Times New Roman" w:eastAsia="Times New Roman" w:hint="default"/>
          <w:spacing w:val="-1"/>
        </w:rPr>
        <w:t>6</w:t>
      </w:r>
      <w:r>
        <w:rPr>
          <w:spacing w:val="-1"/>
        </w:rPr>
        <w:t>）本年度营业外收入较上年度增长</w:t>
      </w:r>
      <w:r>
        <w:rPr>
          <w:rFonts w:ascii="Times New Roman" w:hAnsi="Times New Roman" w:cs="Times New Roman" w:eastAsia="Times New Roman" w:hint="default"/>
          <w:spacing w:val="-1"/>
        </w:rPr>
        <w:t>225.26%%</w:t>
      </w:r>
      <w:r>
        <w:rPr>
          <w:spacing w:val="-1"/>
        </w:rPr>
        <w:t>，主要原因一是收到的政府补助款较上年增加，二是本年度收到上年</w:t>
      </w:r>
      <w:r>
        <w:rPr/>
        <w:t> 度软件退税款。</w:t>
      </w:r>
    </w:p>
    <w:p>
      <w:pPr>
        <w:pStyle w:val="Heading4"/>
        <w:spacing w:line="240" w:lineRule="auto" w:before="151"/>
        <w:ind w:right="0"/>
        <w:jc w:val="left"/>
        <w:rPr>
          <w:b w:val="0"/>
          <w:bCs w:val="0"/>
        </w:rPr>
      </w:pPr>
      <w:r>
        <w:rPr/>
        <w:t>现金流量表项目变动情况：</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89" w:firstLine="480"/>
        <w:jc w:val="left"/>
      </w:pPr>
      <w:r>
        <w:rPr/>
        <w:t>（</w:t>
      </w:r>
      <w:r>
        <w:rPr>
          <w:rFonts w:ascii="Times New Roman" w:hAnsi="Times New Roman" w:cs="Times New Roman" w:eastAsia="Times New Roman" w:hint="default"/>
        </w:rPr>
        <w:t>1</w:t>
      </w:r>
      <w:r>
        <w:rPr/>
        <w:t>）经营活动产生的现金流量净额：本年度内公司经营活动产生的现金流量净额较上年同期减少</w:t>
      </w:r>
      <w:r>
        <w:rPr>
          <w:rFonts w:ascii="Times New Roman" w:hAnsi="Times New Roman" w:cs="Times New Roman" w:eastAsia="Times New Roman" w:hint="default"/>
        </w:rPr>
        <w:t>39.91%</w:t>
      </w:r>
      <w:r>
        <w:rPr/>
        <w:t>，主要原因 是本年度销售规模下降，致使本期经营活动产生的现金流量净额较上年同期出现较大幅度减少。</w:t>
      </w:r>
    </w:p>
    <w:p>
      <w:pPr>
        <w:pStyle w:val="BodyText"/>
        <w:spacing w:line="300" w:lineRule="auto" w:before="31"/>
        <w:ind w:right="189" w:firstLine="480"/>
        <w:jc w:val="left"/>
      </w:pPr>
      <w:r>
        <w:rPr/>
        <w:t>（</w:t>
      </w:r>
      <w:r>
        <w:rPr>
          <w:rFonts w:ascii="Times New Roman" w:hAnsi="Times New Roman" w:cs="Times New Roman" w:eastAsia="Times New Roman" w:hint="default"/>
        </w:rPr>
        <w:t>2</w:t>
      </w:r>
      <w:r>
        <w:rPr/>
        <w:t>）投资活动产生的现金流量净额：本年度内投资活动产生的现金流量净额较上年同期减少</w:t>
      </w:r>
      <w:r>
        <w:rPr>
          <w:rFonts w:ascii="Times New Roman" w:hAnsi="Times New Roman" w:cs="Times New Roman" w:eastAsia="Times New Roman" w:hint="default"/>
        </w:rPr>
        <w:t>83.41%</w:t>
      </w:r>
      <w:r>
        <w:rPr/>
        <w:t>，主要原因是本 年购置的固定资产较上年减少。</w:t>
      </w:r>
    </w:p>
    <w:p>
      <w:pPr>
        <w:pStyle w:val="BodyText"/>
        <w:spacing w:line="300" w:lineRule="auto" w:before="31"/>
        <w:ind w:right="129" w:firstLine="480"/>
        <w:jc w:val="left"/>
      </w:pPr>
      <w:r>
        <w:rPr/>
        <w:t>（</w:t>
      </w:r>
      <w:r>
        <w:rPr>
          <w:rFonts w:ascii="Times New Roman" w:hAnsi="Times New Roman" w:cs="Times New Roman" w:eastAsia="Times New Roman" w:hint="default"/>
        </w:rPr>
        <w:t>3</w:t>
      </w:r>
      <w:r>
        <w:rPr/>
        <w:t>）筹资活动产生的现金流量净额：本年度内筹资活动产生的现金流量净额较上年同期减少</w:t>
      </w:r>
      <w:r>
        <w:rPr>
          <w:rFonts w:ascii="Times New Roman" w:hAnsi="Times New Roman" w:cs="Times New Roman" w:eastAsia="Times New Roman" w:hint="default"/>
        </w:rPr>
        <w:t>-34.40%</w:t>
      </w:r>
      <w:r>
        <w:rPr/>
        <w:t>，主要原因是本 年度未发生银行短期借款的借贷行为所致。</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71" w:right="3312"/>
        <w:jc w:val="center"/>
        <w:rPr>
          <w:b w:val="0"/>
          <w:bCs w:val="0"/>
        </w:rPr>
      </w:pPr>
      <w:bookmarkStart w:name="_bookmark9" w:id="10"/>
      <w:bookmarkEnd w:id="10"/>
      <w:r>
        <w:rPr>
          <w:b w:val="0"/>
          <w:bCs w:val="0"/>
        </w:rPr>
      </w:r>
      <w:r>
        <w:rPr/>
        <w:t>第十节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441" w:right="91"/>
        <w:jc w:val="left"/>
      </w:pPr>
      <w:r>
        <w:rPr>
          <w:spacing w:val="-2"/>
        </w:rPr>
        <w:t>一、载有公司法定代表人、主管会计工作的公司负责人、公司会计机构负责人（会计主管人员）签名并盖章的财务报表。</w:t>
      </w:r>
      <w:r>
        <w:rPr>
          <w:spacing w:val="-87"/>
        </w:rPr>
        <w:t> </w:t>
      </w:r>
      <w:r>
        <w:rPr>
          <w:spacing w:val="-87"/>
        </w:rPr>
      </w:r>
      <w:r>
        <w:rPr/>
        <w:t>二、载有会计师事务所盖章、注册会计师签名并盖章的审计报告原件。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2012</w:t>
      </w:r>
      <w:r>
        <w:rPr/>
        <w:t>年年度报告文本原件。</w:t>
      </w:r>
    </w:p>
    <w:p>
      <w:pPr>
        <w:pStyle w:val="BodyText"/>
        <w:spacing w:line="316" w:lineRule="auto"/>
        <w:ind w:left="441" w:right="5745"/>
        <w:jc w:val="left"/>
      </w:pPr>
      <w:r>
        <w:rPr/>
        <w:t>五、其他相关资料。 以上备查文件的备置地点：公司董事会办公室。</w:t>
      </w:r>
    </w:p>
    <w:p>
      <w:pPr>
        <w:spacing w:line="240" w:lineRule="auto" w:before="4"/>
        <w:rPr>
          <w:rFonts w:ascii="宋体" w:hAnsi="宋体" w:cs="宋体" w:eastAsia="宋体" w:hint="default"/>
          <w:sz w:val="25"/>
          <w:szCs w:val="25"/>
        </w:rPr>
      </w:pPr>
    </w:p>
    <w:p>
      <w:pPr>
        <w:pStyle w:val="BodyText"/>
        <w:spacing w:line="319" w:lineRule="auto"/>
        <w:ind w:left="6499" w:right="1343" w:hanging="216"/>
        <w:jc w:val="left"/>
      </w:pPr>
      <w:r>
        <w:rPr/>
        <w:t>易联众信息技术股份有限公司 法定代表人：古培坚 二〇一三年四月十七日</w:t>
      </w:r>
    </w:p>
    <w:sectPr>
      <w:pgSz w:w="11910" w:h="16840"/>
      <w:pgMar w:header="745" w:footer="980" w:top="1060" w:bottom="116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13892pt;width:6.5pt;height:11pt;mso-position-horizontal-relative:page;mso-position-vertical-relative:page;z-index:-8220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22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8219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8219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21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821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8218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22064" type="#_x0000_t202" filled="false" stroked="false">
          <v:textbox inset="0,0,0,0">
            <w:txbxContent>
              <w:p>
                <w:pPr>
                  <w:pStyle w:val="BodyText"/>
                  <w:spacing w:line="214" w:lineRule="exact"/>
                  <w:ind w:left="20" w:right="0"/>
                  <w:jc w:val="left"/>
                </w:pPr>
                <w:r>
                  <w:rPr/>
                  <w:t>易联众信息技术股份有限公司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zhushaojing553@163.com" TargetMode="External"/><Relationship Id="rId13" Type="http://schemas.openxmlformats.org/officeDocument/2006/relationships/hyperlink" Target="http://www.cninfo.com.cn/" TargetMode="External"/><Relationship Id="rId14" Type="http://schemas.openxmlformats.org/officeDocument/2006/relationships/image" Target="media/image2.png"/><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易联众信息技术股份有限公司2012年度报告全文</dc:title>
  <dcterms:created xsi:type="dcterms:W3CDTF">2020-05-04T01:46:41Z</dcterms:created>
  <dcterms:modified xsi:type="dcterms:W3CDTF">2020-05-04T01:46:41Z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Microsoft® Office Word 2007</vt:lpwstr>
  </property>
  <property fmtid="{D5CDD505-2E9C-101B-9397-08002B2CF9AE}" pid="4" name="LastSaved">
    <vt:filetime>2020-05-03T00:00:00Z</vt:filetime>
  </property>
</Properties>
</file>