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865505" cy="8470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65505" cy="847090"/>
                    </a:xfrm>
                    <a:prstGeom prst="rect"/>
                  </pic:spPr>
                </pic:pic>
              </a:graphicData>
            </a:graphic>
          </wp:inline>
        </w:drawing>
      </w:r>
    </w:p>
    <w:p>
      <w:pPr>
        <w:widowControl w:val="0"/>
        <w:spacing w:after="1219" w:line="1" w:lineRule="exact"/>
      </w:pPr>
    </w:p>
    <w:p>
      <w:pPr>
        <w:pStyle w:val="Style6"/>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易联众信息技术股份有限公司</w:t>
      </w:r>
      <w:bookmarkEnd w:id="0"/>
      <w:bookmarkEnd w:id="1"/>
      <w:bookmarkEnd w:id="2"/>
    </w:p>
    <w:p>
      <w:pPr>
        <w:pStyle w:val="Style8"/>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886" w:right="1109" w:bottom="2886" w:left="1109"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ind w:left="0" w:right="0"/>
        <w:jc w:val="both"/>
      </w:pPr>
      <w:bookmarkStart w:id="9" w:name="bookmark9"/>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9"/>
    </w:p>
    <w:p>
      <w:pPr>
        <w:pStyle w:val="Style16"/>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r>
    </w:tbl>
    <w:p>
      <w:pPr>
        <w:widowControl w:val="0"/>
        <w:spacing w:after="259" w:line="1" w:lineRule="exact"/>
      </w:pPr>
    </w:p>
    <w:p>
      <w:pPr>
        <w:pStyle w:val="Style14"/>
        <w:keepNext w:val="0"/>
        <w:keepLines w:val="0"/>
        <w:widowControl w:val="0"/>
        <w:shd w:val="clear" w:color="auto" w:fill="auto"/>
        <w:bidi w:val="0"/>
        <w:spacing w:before="0" w:after="260" w:line="240" w:lineRule="auto"/>
        <w:ind w:left="0" w:right="0"/>
        <w:jc w:val="both"/>
      </w:pPr>
      <w:r>
        <w:rPr>
          <w:color w:val="000000"/>
          <w:spacing w:val="0"/>
          <w:w w:val="100"/>
          <w:position w:val="0"/>
        </w:rPr>
        <w:t>公司负责人古培坚、主管会计工作负责人陈东红及会计机构负责人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w:t>
      </w:r>
    </w:p>
    <w:p>
      <w:pPr>
        <w:pStyle w:val="Style14"/>
        <w:keepNext w:val="0"/>
        <w:keepLines w:val="0"/>
        <w:widowControl w:val="0"/>
        <w:shd w:val="clear" w:color="auto" w:fill="auto"/>
        <w:bidi w:val="0"/>
        <w:spacing w:before="0" w:after="320" w:line="240" w:lineRule="auto"/>
        <w:ind w:left="0" w:right="0" w:firstLine="0"/>
        <w:jc w:val="both"/>
        <w:sectPr>
          <w:headerReference w:type="default" r:id="rId9"/>
          <w:footerReference w:type="default" r:id="rId10"/>
          <w:footnotePr>
            <w:pos w:val="pageBottom"/>
            <w:numFmt w:val="decimal"/>
            <w:numRestart w:val="continuous"/>
          </w:footnotePr>
          <w:pgSz w:w="11900" w:h="16840"/>
          <w:pgMar w:top="1969" w:right="1109" w:bottom="1969" w:left="1109" w:header="0" w:footer="3" w:gutter="0"/>
          <w:cols w:space="720"/>
          <w:noEndnote/>
          <w:rtlGutter w:val="0"/>
          <w:docGrid w:linePitch="360"/>
        </w:sectPr>
      </w:pPr>
      <w:r>
        <w:rPr>
          <w:color w:val="000000"/>
          <w:spacing w:val="0"/>
          <w:w w:val="100"/>
          <w:position w:val="0"/>
        </w:rPr>
        <w:t>管人员</w:t>
      </w:r>
      <w:r>
        <w:rPr>
          <w:rFonts w:ascii="Times New Roman" w:eastAsia="Times New Roman" w:hAnsi="Times New Roman" w:cs="Times New Roman"/>
          <w:color w:val="000000"/>
          <w:spacing w:val="0"/>
          <w:w w:val="100"/>
          <w:position w:val="0"/>
        </w:rPr>
        <w:t>）</w:t>
      </w:r>
      <w:r>
        <w:rPr>
          <w:color w:val="000000"/>
          <w:spacing w:val="0"/>
          <w:w w:val="100"/>
          <w:position w:val="0"/>
        </w:rPr>
        <w:t>尤泽祥声明：保证年度报告中财务报告的真实、准确、完整。</w:t>
      </w:r>
    </w:p>
    <w:p>
      <w:pPr>
        <w:pStyle w:val="Style6"/>
        <w:keepNext/>
        <w:keepLines/>
        <w:widowControl w:val="0"/>
        <w:shd w:val="clear" w:color="auto" w:fill="auto"/>
        <w:bidi w:val="0"/>
        <w:spacing w:before="1420" w:after="154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22"/>
        <w:keepNext w:val="0"/>
        <w:keepLines w:val="0"/>
        <w:widowControl w:val="0"/>
        <w:shd w:val="clear" w:color="auto" w:fill="auto"/>
        <w:tabs>
          <w:tab w:pos="728" w:val="left"/>
          <w:tab w:leader="dot" w:pos="9613"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w:t>
          <w:tab/>
          <w:t>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17" w:tooltip="Current Document">
        <w:r>
          <w:rPr>
            <w:color w:val="000000"/>
            <w:spacing w:val="0"/>
            <w:w w:val="100"/>
            <w:position w:val="0"/>
            <w:sz w:val="17"/>
            <w:szCs w:val="17"/>
          </w:rPr>
          <w:t>第二节公司基本情况简介</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36" w:tooltip="Current Document">
        <w:r>
          <w:rPr>
            <w:color w:val="000000"/>
            <w:spacing w:val="0"/>
            <w:w w:val="100"/>
            <w:position w:val="0"/>
            <w:sz w:val="17"/>
            <w:szCs w:val="17"/>
          </w:rPr>
          <w:t>第三节会计数据和财务指标摘要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55" w:tooltip="Current Document">
        <w:r>
          <w:rPr>
            <w:color w:val="000000"/>
            <w:spacing w:val="0"/>
            <w:w w:val="100"/>
            <w:position w:val="0"/>
            <w:sz w:val="17"/>
            <w:szCs w:val="17"/>
          </w:rPr>
          <w:t>第四节董事会报告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153"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34</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276"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44</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331" w:tooltip="Current Document">
        <w:r>
          <w:rPr>
            <w:color w:val="000000"/>
            <w:spacing w:val="0"/>
            <w:w w:val="100"/>
            <w:position w:val="0"/>
            <w:sz w:val="17"/>
            <w:szCs w:val="17"/>
          </w:rPr>
          <w:t>第七节董事、监事、高级管理人员和员工情况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50</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386" w:tooltip="Current Document">
        <w:r>
          <w:rPr>
            <w:color w:val="000000"/>
            <w:spacing w:val="0"/>
            <w:w w:val="100"/>
            <w:position w:val="0"/>
            <w:sz w:val="17"/>
            <w:szCs w:val="17"/>
          </w:rPr>
          <w:t>第八节公司治理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58</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422" w:tooltip="Current Document">
        <w:r>
          <w:rPr>
            <w:color w:val="000000"/>
            <w:spacing w:val="0"/>
            <w:w w:val="100"/>
            <w:position w:val="0"/>
            <w:sz w:val="17"/>
            <w:szCs w:val="17"/>
          </w:rPr>
          <w:t>第九节财务报告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60</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18"/>
          <w:szCs w:val="18"/>
        </w:rPr>
      </w:pPr>
      <w:hyperlink w:anchor="bookmark1665" w:tooltip="Current Document">
        <w:r>
          <w:rPr>
            <w:color w:val="000000"/>
            <w:spacing w:val="0"/>
            <w:w w:val="100"/>
            <w:position w:val="0"/>
            <w:sz w:val="17"/>
            <w:szCs w:val="17"/>
          </w:rPr>
          <w:t>第十节备查文件目录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154</w:t>
        </w:r>
      </w:hyperlink>
      <w:r>
        <w:br w:type="page"/>
      </w:r>
      <w:r>
        <w:fldChar w:fldCharType="end"/>
      </w:r>
    </w:p>
    <w:p>
      <w:pPr>
        <w:pStyle w:val="Style8"/>
        <w:keepNext/>
        <w:keepLines/>
        <w:widowControl w:val="0"/>
        <w:shd w:val="clear" w:color="auto" w:fill="auto"/>
        <w:bidi w:val="0"/>
        <w:spacing w:before="0" w:after="82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大连易联众科技有限公司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易联众电子科技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中职动力</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中职动力（北京）科技有限公司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尚洋易捷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北京尚洋易捷信息技术有限公司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广东易联众计算机技术有限公司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易联众信息技术股份有限公司股东大会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易联众信息技术股份有限公司董事会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易联众信息技术股份有限公司监事会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厦门证监局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中国证券监督管理委员会厦门监管局</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易联众信息技术股份有限公司章程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实际控制人、控股股东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天健正信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天健正信会计师事务所有限公司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保荐机构、主承销商</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律师、律师顾问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北京市天元律师事务所</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发行人首次向社会公众发行</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股的行为</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报告期末（本报告期末）</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40" w:bottom="1484" w:left="1089" w:header="0" w:footer="3" w:gutter="0"/>
          <w:cols w:space="720"/>
          <w:noEndnote/>
          <w:rtlGutter w:val="0"/>
          <w:docGrid w:linePitch="360"/>
        </w:sectPr>
      </w:pPr>
    </w:p>
    <w:p>
      <w:pPr>
        <w:pStyle w:val="Style8"/>
        <w:keepNext/>
        <w:keepLines/>
        <w:widowControl w:val="0"/>
        <w:shd w:val="clear" w:color="auto" w:fill="auto"/>
        <w:bidi w:val="0"/>
        <w:spacing w:before="640" w:after="540" w:line="240" w:lineRule="auto"/>
        <w:ind w:left="0" w:right="0" w:firstLine="0"/>
        <w:jc w:val="center"/>
      </w:pPr>
      <w:bookmarkStart w:id="16" w:name="bookmark16"/>
      <w:bookmarkStart w:id="17" w:name="bookmark17"/>
      <w:bookmarkStart w:id="18" w:name="bookmark18"/>
      <w:r>
        <w:rPr>
          <w:color w:val="000000"/>
          <w:spacing w:val="0"/>
          <w:w w:val="100"/>
          <w:position w:val="0"/>
        </w:rPr>
        <w:t>第二节公司基本情况简介</w:t>
      </w:r>
      <w:bookmarkEnd w:id="16"/>
      <w:bookmarkEnd w:id="17"/>
      <w:bookmarkEnd w:id="18"/>
    </w:p>
    <w:p>
      <w:pPr>
        <w:pStyle w:val="Style28"/>
        <w:keepNext/>
        <w:keepLines/>
        <w:widowControl w:val="0"/>
        <w:shd w:val="clear" w:color="auto" w:fill="auto"/>
        <w:bidi w:val="0"/>
        <w:spacing w:before="0" w:after="320" w:line="240" w:lineRule="auto"/>
        <w:ind w:left="0" w:right="0" w:firstLine="240"/>
        <w:jc w:val="left"/>
      </w:pPr>
      <w:bookmarkStart w:id="19" w:name="bookmark19"/>
      <w:bookmarkStart w:id="20" w:name="bookmark20"/>
      <w:bookmarkStart w:id="21" w:name="bookmark21"/>
      <w:bookmarkStart w:id="22" w:name="bookmark22"/>
      <w:r>
        <w:rPr>
          <w:color w:val="000000"/>
          <w:spacing w:val="0"/>
          <w:w w:val="100"/>
          <w:position w:val="0"/>
        </w:rPr>
        <w:t>、公司信息</w:t>
      </w:r>
      <w:bookmarkEnd w:id="20"/>
      <w:bookmarkEnd w:id="21"/>
      <w:bookmarkEnd w:id="22"/>
      <w:bookmarkEnd w:id="19"/>
    </w:p>
    <w:tbl>
      <w:tblPr>
        <w:tblOverlap w:val="never"/>
        <w:jc w:val="center"/>
        <w:tblLayout w:type="fixed"/>
      </w:tblPr>
      <w:tblGrid>
        <w:gridCol w:w="2933"/>
        <w:gridCol w:w="2304"/>
        <w:gridCol w:w="2160"/>
        <w:gridCol w:w="218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YLZ Information Technology Co.</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Ltd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YLZ</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"http://www.ylzinfo.com" </w:instrText>
            </w:r>
            <w:r>
              <w:fldChar w:fldCharType="separate"/>
            </w:r>
            <w:r>
              <w:rPr>
                <w:rFonts w:ascii="Times New Roman" w:eastAsia="Times New Roman" w:hAnsi="Times New Roman" w:cs="Times New Roman"/>
                <w:color w:val="000000"/>
                <w:spacing w:val="0"/>
                <w:w w:val="100"/>
                <w:position w:val="0"/>
                <w:sz w:val="18"/>
                <w:szCs w:val="18"/>
              </w:rPr>
              <w:t>www.ylzinfo.com</w:t>
            </w:r>
            <w:r>
              <w:fldChar w:fldCharType="end"/>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YLZ@ylzinfo. com</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厦门市曾厝垵软件园创新大厦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rPr>
              <w:t>楼</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二</w:t>
      </w:r>
      <w:bookmarkEnd w:id="25"/>
      <w:r>
        <w:rPr>
          <w:color w:val="000000"/>
          <w:spacing w:val="0"/>
          <w:w w:val="100"/>
          <w:position w:val="0"/>
        </w:rPr>
        <w:t>、联系人和联系方式</w:t>
      </w:r>
      <w:bookmarkEnd w:id="23"/>
      <w:bookmarkEnd w:id="24"/>
      <w:bookmarkEnd w:id="2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祝少静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0592-2517011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0592-6307553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0592-2517008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0592-2517008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"mailto:tylee173@163.com" </w:instrText>
            </w:r>
            <w:r>
              <w:fldChar w:fldCharType="separate"/>
            </w:r>
            <w:r>
              <w:rPr>
                <w:rFonts w:ascii="Times New Roman" w:eastAsia="Times New Roman" w:hAnsi="Times New Roman" w:cs="Times New Roman"/>
                <w:color w:val="000000"/>
                <w:spacing w:val="0"/>
                <w:w w:val="100"/>
                <w:position w:val="0"/>
                <w:sz w:val="18"/>
                <w:szCs w:val="18"/>
              </w:rPr>
              <w:t>tylee173@163.com</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zhushaoj ing553@163 .com</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三</w:t>
      </w:r>
      <w:bookmarkEnd w:id="29"/>
      <w:r>
        <w:rPr>
          <w:color w:val="000000"/>
          <w:spacing w:val="0"/>
          <w:w w:val="100"/>
          <w:position w:val="0"/>
        </w:rPr>
        <w:t>、信息披露及备置地点</w:t>
      </w:r>
      <w:bookmarkEnd w:id="27"/>
      <w:bookmarkEnd w:id="28"/>
      <w:bookmarkEnd w:id="30"/>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中国证监会指定的创业板信息披露网站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室易联众信息技术股份有限公司董事 会办公室</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四</w:t>
      </w:r>
      <w:bookmarkEnd w:id="33"/>
      <w:r>
        <w:rPr>
          <w:color w:val="000000"/>
          <w:spacing w:val="0"/>
          <w:w w:val="100"/>
          <w:position w:val="0"/>
        </w:rPr>
        <w:t>、公司历史沿革</w:t>
      </w:r>
      <w:bookmarkEnd w:id="31"/>
      <w:bookmarkEnd w:id="32"/>
      <w:bookmarkEnd w:id="34"/>
    </w:p>
    <w:tbl>
      <w:tblPr>
        <w:tblOverlap w:val="never"/>
        <w:jc w:val="center"/>
        <w:tblLayout w:type="fixed"/>
      </w:tblPr>
      <w:tblGrid>
        <w:gridCol w:w="1598"/>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厦门软件园软件技 术服务大楼</w:t>
            </w:r>
            <w:r>
              <w:rPr>
                <w:rFonts w:ascii="Times New Roman" w:eastAsia="Times New Roman" w:hAnsi="Times New Roman" w:cs="Times New Roman"/>
                <w:color w:val="000000"/>
                <w:spacing w:val="0"/>
                <w:w w:val="100"/>
                <w:position w:val="0"/>
                <w:sz w:val="18"/>
                <w:szCs w:val="18"/>
              </w:rPr>
              <w:t>5F-B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企独闽厦总副字第</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05235 </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350206612040492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61204049-2</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有限公司整体变更 为股份有限公司注 册登记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厦门火炬高新区软 件园软件技术服务 大楼</w:t>
            </w:r>
            <w:r>
              <w:rPr>
                <w:rFonts w:ascii="Times New Roman" w:eastAsia="Times New Roman" w:hAnsi="Times New Roman" w:cs="Times New Roman"/>
                <w:color w:val="000000"/>
                <w:spacing w:val="0"/>
                <w:w w:val="100"/>
                <w:position w:val="0"/>
                <w:sz w:val="18"/>
                <w:szCs w:val="18"/>
              </w:rPr>
              <w:t>5F-B</w:t>
            </w:r>
            <w:r>
              <w:rPr>
                <w:color w:val="000000"/>
                <w:spacing w:val="0"/>
                <w:w w:val="100"/>
                <w:position w:val="0"/>
              </w:rPr>
              <w:t>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350298200002795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350206612040492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61204049-2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首次公开发行股票 资本变更注册登记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厦门市软件园二期 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350298200002795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350206612040492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61204049-2</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资本公积转增股本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资本变更注册登记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厦门市软件园二期 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350298200002795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350206612040492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61204049-2</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经营范围变更注册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厦门市软件园二期 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350298200002795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350206612040492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61204049-2</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35" w:name="bookmark35"/>
      <w:bookmarkStart w:id="36" w:name="bookmark36"/>
      <w:bookmarkStart w:id="37" w:name="bookmark37"/>
      <w:r>
        <w:rPr>
          <w:color w:val="000000"/>
          <w:spacing w:val="0"/>
          <w:w w:val="100"/>
          <w:position w:val="0"/>
        </w:rPr>
        <w:t>第三节会计数据和财务指标摘要</w:t>
      </w:r>
      <w:bookmarkEnd w:id="35"/>
      <w:bookmarkEnd w:id="36"/>
      <w:bookmarkEnd w:id="37"/>
    </w:p>
    <w:p>
      <w:pPr>
        <w:pStyle w:val="Style28"/>
        <w:keepNext/>
        <w:keepLines/>
        <w:widowControl w:val="0"/>
        <w:shd w:val="clear" w:color="auto" w:fill="auto"/>
        <w:bidi w:val="0"/>
        <w:spacing w:before="0" w:after="220" w:line="240" w:lineRule="auto"/>
        <w:ind w:left="0" w:right="0" w:firstLine="240"/>
        <w:jc w:val="left"/>
      </w:pPr>
      <w:bookmarkStart w:id="38" w:name="bookmark38"/>
      <w:bookmarkStart w:id="39" w:name="bookmark39"/>
      <w:bookmarkStart w:id="40" w:name="bookmark40"/>
      <w:bookmarkStart w:id="41" w:name="bookmark41"/>
      <w:r>
        <w:rPr>
          <w:color w:val="000000"/>
          <w:spacing w:val="0"/>
          <w:w w:val="100"/>
          <w:position w:val="0"/>
        </w:rPr>
        <w:t>、主要会计数据和财务指标</w:t>
      </w:r>
      <w:bookmarkEnd w:id="39"/>
      <w:bookmarkEnd w:id="40"/>
      <w:bookmarkEnd w:id="41"/>
      <w:bookmarkEnd w:id="38"/>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否</w:t>
      </w:r>
    </w:p>
    <w:tbl>
      <w:tblPr>
        <w:tblOverlap w:val="never"/>
        <w:jc w:val="center"/>
        <w:tblLayout w:type="fixed"/>
      </w:tblPr>
      <w:tblGrid>
        <w:gridCol w:w="2621"/>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279,797,747.85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382,517,145.28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149,192,461.19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147,221,533.74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228,563,291.13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34,631,402.14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51,247,001.71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96,591,987.52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47,228,584.14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70,709,683.84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102,555,091.60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40,405,024.15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56,241,855.51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86,353,307.85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36,527,262.72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48,924,331.98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84,418,604.45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30,520,624.93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51,340,826.82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85,443,677.60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808,942,792.13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759,411,423.38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732,785,368.49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144,528,781.66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118,590,176.47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133,909,654.40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653,721,877.67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630,516,853.52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591,474,998.01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r>
    </w:tbl>
    <w:p>
      <w:pPr>
        <w:pStyle w:val="Style28"/>
        <w:keepNext/>
        <w:keepLines/>
        <w:widowControl w:val="0"/>
        <w:shd w:val="clear" w:color="auto" w:fill="auto"/>
        <w:bidi w:val="0"/>
        <w:spacing w:before="0" w:after="38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二</w:t>
      </w:r>
      <w:bookmarkEnd w:id="44"/>
      <w:r>
        <w:rPr>
          <w:color w:val="000000"/>
          <w:spacing w:val="0"/>
          <w:w w:val="100"/>
          <w:position w:val="0"/>
        </w:rPr>
        <w:t>、非经常性损益的项目及金额</w:t>
      </w:r>
      <w:bookmarkEnd w:id="42"/>
      <w:bookmarkEnd w:id="43"/>
      <w:bookmarkEnd w:id="4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-28,264.79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4,840,540.25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8,804,833.33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2,318,070.94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882,193.49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1,360,821.12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321,820.99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3,877,761.43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7,317,523.53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1,934,703.40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三</w:t>
      </w:r>
      <w:bookmarkEnd w:id="48"/>
      <w:r>
        <w:rPr>
          <w:color w:val="000000"/>
          <w:spacing w:val="0"/>
          <w:w w:val="100"/>
          <w:position w:val="0"/>
        </w:rPr>
        <w:t>、重大风险提示</w:t>
      </w:r>
      <w:bookmarkEnd w:id="46"/>
      <w:bookmarkEnd w:id="47"/>
      <w:bookmarkEnd w:id="49"/>
    </w:p>
    <w:p>
      <w:pPr>
        <w:pStyle w:val="Style26"/>
        <w:keepNext w:val="0"/>
        <w:keepLines w:val="0"/>
        <w:widowControl w:val="0"/>
        <w:shd w:val="clear" w:color="auto" w:fill="auto"/>
        <w:tabs>
          <w:tab w:pos="751" w:val="left"/>
        </w:tabs>
        <w:bidi w:val="0"/>
        <w:spacing w:before="0" w:after="0" w:line="360" w:lineRule="auto"/>
        <w:ind w:left="0" w:right="0" w:firstLine="460"/>
        <w:jc w:val="both"/>
      </w:pPr>
      <w:bookmarkStart w:id="50" w:name="bookmark50"/>
      <w:r>
        <w:rPr>
          <w:rFonts w:ascii="Times New Roman" w:eastAsia="Times New Roman" w:hAnsi="Times New Roman" w:cs="Times New Roman"/>
          <w:color w:val="000000"/>
          <w:spacing w:val="0"/>
          <w:w w:val="100"/>
          <w:position w:val="0"/>
          <w:sz w:val="18"/>
          <w:szCs w:val="18"/>
        </w:rPr>
        <w:t>1</w:t>
      </w:r>
      <w:bookmarkEnd w:id="50"/>
      <w:r>
        <w:rPr>
          <w:color w:val="000000"/>
          <w:spacing w:val="0"/>
          <w:w w:val="100"/>
          <w:position w:val="0"/>
        </w:rPr>
        <w:t>、</w:t>
        <w:tab/>
        <w:t>不能持续进行技术创新或产品更新的风险</w:t>
      </w:r>
    </w:p>
    <w:p>
      <w:pPr>
        <w:pStyle w:val="Style26"/>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由于软件等信息技术类产品具有技术更新快、产品生命周期短的特点，用户对软件及相关产品的功能要求不断提高， 因此公司需要不断进行新技术、新产品的研发和升级。如果公司不能持续进行技术创新，则难以保持行业领先地位，陷入同 质化经营。因此未来，公司仍需要不断进行技术创新，坚持技术领先的发展战略，注重引进和培养优秀技术人才，从而保持 核心竞争力，确保在行业的领先地位。</w:t>
      </w:r>
    </w:p>
    <w:p>
      <w:pPr>
        <w:pStyle w:val="Style26"/>
        <w:keepNext w:val="0"/>
        <w:keepLines w:val="0"/>
        <w:widowControl w:val="0"/>
        <w:shd w:val="clear" w:color="auto" w:fill="auto"/>
        <w:tabs>
          <w:tab w:pos="771" w:val="left"/>
        </w:tabs>
        <w:bidi w:val="0"/>
        <w:spacing w:before="0" w:after="0" w:line="360" w:lineRule="auto"/>
        <w:ind w:left="0" w:right="0" w:firstLine="460"/>
        <w:jc w:val="both"/>
      </w:pPr>
      <w:bookmarkStart w:id="51" w:name="bookmark51"/>
      <w:r>
        <w:rPr>
          <w:rFonts w:ascii="Times New Roman" w:eastAsia="Times New Roman" w:hAnsi="Times New Roman" w:cs="Times New Roman"/>
          <w:color w:val="000000"/>
          <w:spacing w:val="0"/>
          <w:w w:val="100"/>
          <w:position w:val="0"/>
          <w:sz w:val="18"/>
          <w:szCs w:val="18"/>
        </w:rPr>
        <w:t>2</w:t>
      </w:r>
      <w:bookmarkEnd w:id="51"/>
      <w:r>
        <w:rPr>
          <w:color w:val="000000"/>
          <w:spacing w:val="0"/>
          <w:w w:val="100"/>
          <w:position w:val="0"/>
        </w:rPr>
        <w:t>、</w:t>
        <w:tab/>
        <w:t>产品的市场竞争风险</w:t>
      </w:r>
    </w:p>
    <w:p>
      <w:pPr>
        <w:pStyle w:val="Style26"/>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近年来，民生行业呈加快发展的趋势。随着市场规模的不断扩大，市场竞争越发激烈。尽管公司在国内细分市场拥有 明显的竞争优势，市场竞争的风险仍可能对公司的产品和服务的价格、市场份额等产生不利影响。公司针对面临的市场风险, 将充分利用社保平台建设及民生信息服务提供等方面具备的优势及经验，建立完善的政策分析与监测机制，避免可能造成的 风险。</w:t>
      </w:r>
    </w:p>
    <w:p>
      <w:pPr>
        <w:pStyle w:val="Style26"/>
        <w:keepNext w:val="0"/>
        <w:keepLines w:val="0"/>
        <w:widowControl w:val="0"/>
        <w:shd w:val="clear" w:color="auto" w:fill="auto"/>
        <w:tabs>
          <w:tab w:pos="771" w:val="left"/>
        </w:tabs>
        <w:bidi w:val="0"/>
        <w:spacing w:before="0" w:after="0" w:line="360" w:lineRule="auto"/>
        <w:ind w:left="0" w:right="0" w:firstLine="460"/>
        <w:jc w:val="both"/>
      </w:pPr>
      <w:bookmarkStart w:id="52" w:name="bookmark52"/>
      <w:r>
        <w:rPr>
          <w:rFonts w:ascii="Times New Roman" w:eastAsia="Times New Roman" w:hAnsi="Times New Roman" w:cs="Times New Roman"/>
          <w:color w:val="000000"/>
          <w:spacing w:val="0"/>
          <w:w w:val="100"/>
          <w:position w:val="0"/>
          <w:sz w:val="18"/>
          <w:szCs w:val="18"/>
        </w:rPr>
        <w:t>3</w:t>
      </w:r>
      <w:bookmarkEnd w:id="52"/>
      <w:r>
        <w:rPr>
          <w:color w:val="000000"/>
          <w:spacing w:val="0"/>
          <w:w w:val="100"/>
          <w:position w:val="0"/>
        </w:rPr>
        <w:t>、</w:t>
        <w:tab/>
        <w:t>关键技术人员流失的风险</w:t>
      </w:r>
    </w:p>
    <w:p>
      <w:pPr>
        <w:pStyle w:val="Style26"/>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软件企业一般都面临人员流动大、知识结构更新快的问题，行业内的市场竞争也越来越体现为对高素质人才的竞争。 核心骨干人员流失、无法吸引新的优秀人才，将对公司生产经营带来一定的影响。为了稳定公司的管理、技术和销售队伍， 公司通过提供有竞争力的薪酬、福利和建立公平的竞争晋升机制，提供全面、完善的培训计划，创造开放、协作的工作环境 和提倡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的企业理念来吸引、培养人才。</w:t>
      </w:r>
    </w:p>
    <w:p>
      <w:pPr>
        <w:pStyle w:val="Style26"/>
        <w:keepNext w:val="0"/>
        <w:keepLines w:val="0"/>
        <w:widowControl w:val="0"/>
        <w:shd w:val="clear" w:color="auto" w:fill="auto"/>
        <w:tabs>
          <w:tab w:pos="771" w:val="left"/>
        </w:tabs>
        <w:bidi w:val="0"/>
        <w:spacing w:before="0" w:after="0" w:line="360" w:lineRule="auto"/>
        <w:ind w:left="0" w:right="0" w:firstLine="460"/>
        <w:jc w:val="both"/>
      </w:pPr>
      <w:bookmarkStart w:id="53" w:name="bookmark53"/>
      <w:r>
        <w:rPr>
          <w:rFonts w:ascii="Times New Roman" w:eastAsia="Times New Roman" w:hAnsi="Times New Roman" w:cs="Times New Roman"/>
          <w:color w:val="000000"/>
          <w:spacing w:val="0"/>
          <w:w w:val="100"/>
          <w:position w:val="0"/>
          <w:sz w:val="18"/>
          <w:szCs w:val="18"/>
        </w:rPr>
        <w:t>4</w:t>
      </w:r>
      <w:bookmarkEnd w:id="53"/>
      <w:r>
        <w:rPr>
          <w:color w:val="000000"/>
          <w:spacing w:val="0"/>
          <w:w w:val="100"/>
          <w:position w:val="0"/>
        </w:rPr>
        <w:t>、</w:t>
        <w:tab/>
        <w:t>募集资金投资项目风险</w:t>
      </w:r>
    </w:p>
    <w:p>
      <w:pPr>
        <w:pStyle w:val="Style26"/>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募集资金投资项目具有软件行业所特有的高投入、高收益和高风险的特点。尽管公司募集资金投向均是公司专注多年 主营业务的升级或必要延伸，但在项目建设及开发过程中，面临着技术开发的不确定性、技术替代、宏观政策变化、市场变 化等诸多风险，任何一项因素向不利于公司的方向转化，都有可能影响项目的投资效益。此外，也可能由于主、客观原因导 致项目实施延误，或项目在短时间内达不到原设计要求，因此，亦不排除公司在项目管理和组织实施中存在一定的风险。面 对募集资金项目风险，公司将认真组织募集资金投资项目的实施，争取尽快投产，促进公司生产规模的扩大和设备技术水平 的提高，增强公司行业的核心竞争力。</w:t>
      </w:r>
    </w:p>
    <w:p>
      <w:pPr>
        <w:pStyle w:val="Style8"/>
        <w:keepNext/>
        <w:keepLines/>
        <w:widowControl w:val="0"/>
        <w:shd w:val="clear" w:color="auto" w:fill="auto"/>
        <w:bidi w:val="0"/>
        <w:spacing w:before="0" w:after="540" w:line="240" w:lineRule="auto"/>
        <w:ind w:left="0" w:right="0" w:firstLine="0"/>
        <w:jc w:val="center"/>
      </w:pPr>
      <w:bookmarkStart w:id="54" w:name="bookmark54"/>
      <w:bookmarkStart w:id="55" w:name="bookmark55"/>
      <w:bookmarkStart w:id="56" w:name="bookmark56"/>
      <w:r>
        <w:rPr>
          <w:color w:val="000000"/>
          <w:spacing w:val="0"/>
          <w:w w:val="100"/>
          <w:position w:val="0"/>
        </w:rPr>
        <w:t>第四节董事会报告</w:t>
      </w:r>
      <w:bookmarkEnd w:id="54"/>
      <w:bookmarkEnd w:id="55"/>
      <w:bookmarkEnd w:id="56"/>
    </w:p>
    <w:p>
      <w:pPr>
        <w:pStyle w:val="Style28"/>
        <w:keepNext/>
        <w:keepLines/>
        <w:widowControl w:val="0"/>
        <w:shd w:val="clear" w:color="auto" w:fill="auto"/>
        <w:bidi w:val="0"/>
        <w:spacing w:before="0" w:after="380" w:line="240" w:lineRule="auto"/>
        <w:ind w:left="0" w:right="0" w:firstLine="0"/>
        <w:jc w:val="both"/>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、管理层讨论与分析</w:t>
      </w:r>
      <w:bookmarkEnd w:id="58"/>
      <w:bookmarkEnd w:id="59"/>
      <w:bookmarkEnd w:id="61"/>
      <w:bookmarkEnd w:id="57"/>
    </w:p>
    <w:p>
      <w:pPr>
        <w:pStyle w:val="Style33"/>
        <w:keepNext/>
        <w:keepLines/>
        <w:widowControl w:val="0"/>
        <w:shd w:val="clear" w:color="auto" w:fill="auto"/>
        <w:tabs>
          <w:tab w:pos="315" w:val="left"/>
        </w:tabs>
        <w:bidi w:val="0"/>
        <w:spacing w:before="0" w:after="260" w:line="240" w:lineRule="auto"/>
        <w:ind w:left="0" w:right="0" w:firstLine="0"/>
        <w:jc w:val="both"/>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w:t>
        <w:tab/>
        <w:t>报告期内主要业务回顾</w:t>
      </w:r>
      <w:bookmarkEnd w:id="62"/>
      <w:bookmarkEnd w:id="63"/>
      <w:bookmarkEnd w:id="65"/>
    </w:p>
    <w:p>
      <w:pPr>
        <w:pStyle w:val="Style26"/>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年，公司在十八大提出的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必须以保障和改善民生为重点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的号召下，继续紧抓国家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规划及政府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 题的发展机遇，继续重点关注以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医疗卫生、社会保障、劳动就业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为核心的民生相关业务领域，有序开展研发、销售、管理、 市场开拓等各项工作，坚持自主创新，强化管理提升，继续加大新产品的研究开发和新技术的运用力度，不断夯实企业在国 内民生信息化领域的领先地位。</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30,092.98</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7.55%</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3,463.14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32.42%</w:t>
      </w:r>
      <w:r>
        <w:rPr>
          <w:color w:val="000000"/>
          <w:spacing w:val="0"/>
          <w:w w:val="100"/>
          <w:position w:val="0"/>
        </w:rPr>
        <w:t>。公司利润同 比下降的主要原因是：报告期内，公司正在拓展的项目延迟，使得公司销售费用上升较快，加之研发持续投入的增加、折旧 费用增加导致公司管理费用有所上升。费用的整体上升使得本报告期经营业绩相应下降。</w:t>
      </w:r>
    </w:p>
    <w:p>
      <w:pPr>
        <w:pStyle w:val="Style26"/>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年，公司重新梳理现有业务，明确业务主线，调整公司组织架构，理顺了集团、职能部门、业务单元、分子公司之 间在业务、市场、管理等方面的协作关系，增强了公司的核心竞争力，不断提升管理水平，加快工作效率，减少重复投入， 推动企业整体价值的上升，重视引进高素质人才，提升中高层综合能力，促进公司快速发展。</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为了稳固并提升传统业务，公司重组了产品研发中心，招聘新员工，培训老员工，加强内部管理，调整绩效考核，切实 增强了技术力量，提升了研发效率，为尽快推出各项产品打下良好基础。丰富了人力资源和社会保障领域的公共服务产品， 进一步提升了人力资源与社会保障领域整体解决方案的竞争力。提供的解决方案帮助厦门市荣获电子社保示范城市称号，为 多个省份提供了省级大集中的完整解决方案；实现了医院和区域医疗产品的全面提升，形成了区域平台、医院、基层医疗机 构、再到村卫生所、药店的全线产品；在主业务线之外，还实现了在民政、住建、计生、公安、金融、交通等领域的业务突 破。</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公司在推动民生云发展的同时，与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签署联合行动协议，共建健康云创新中心，携手打造中国健康云服务产业平台， 为实现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从中国最专业的民生行业应用解决方案提供商向领先的民生信息服务提供商转型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这一战略目标打下坚实基础。</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公司自主产权的自助服务终端已广泛应用到了人社、医疗、计生、农业、政务等领域，并取得了用户的好评与认可，为 终端设备的推广夯实了基础。公司积极探索银医合作模式，实现了患者、银行、医院、公司多方共赢，并及时将成功的模式、 经验推广并复制到其他区域。</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公司不断探索并拓展</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卡的应用，实现从制发卡到制发卡与卡应用并重的转变，将人社卡应用延伸到医疗卫生、计生、 公积金、图书馆、交通等方面，实现新的业务增长点，形成公司在卡业务上的综合竞争力。</w:t>
      </w:r>
    </w:p>
    <w:p>
      <w:pPr>
        <w:pStyle w:val="Style26"/>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公司通过引进、培养、合作的方式，实现了人才和技术积累；公司继续专注于社会保险、劳动就业、医疗卫生领域的民 生信息化建设，并对公众最关心的民生业务和政策有了进一步的认识，了解公众真正需要的服务，在此基础上，公司推出了 民生云、云学院等产品。</w:t>
      </w:r>
    </w:p>
    <w:p>
      <w:pPr>
        <w:pStyle w:val="Style33"/>
        <w:keepNext/>
        <w:keepLines/>
        <w:widowControl w:val="0"/>
        <w:shd w:val="clear" w:color="auto" w:fill="auto"/>
        <w:tabs>
          <w:tab w:pos="325" w:val="left"/>
        </w:tabs>
        <w:bidi w:val="0"/>
        <w:spacing w:before="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报告期内主要经营情况</w:t>
      </w:r>
      <w:bookmarkEnd w:id="66"/>
      <w:bookmarkEnd w:id="67"/>
      <w:bookmarkEnd w:id="69"/>
    </w:p>
    <w:p>
      <w:pPr>
        <w:pStyle w:val="Style33"/>
        <w:keepNext/>
        <w:keepLines/>
        <w:widowControl w:val="0"/>
        <w:shd w:val="clear" w:color="auto" w:fill="auto"/>
        <w:bidi w:val="0"/>
        <w:spacing w:before="0" w:line="240" w:lineRule="auto"/>
        <w:ind w:left="0" w:right="0" w:firstLine="0"/>
        <w:jc w:val="left"/>
      </w:pPr>
      <w:bookmarkStart w:id="66" w:name="bookmark66"/>
      <w:bookmarkStart w:id="67" w:name="bookmark67"/>
      <w:bookmarkStart w:id="70" w:name="bookmark70"/>
      <w:bookmarkStart w:id="71" w:name="bookmark71"/>
      <w:r>
        <w:rPr>
          <w:color w:val="000000"/>
          <w:spacing w:val="0"/>
          <w:w w:val="100"/>
          <w:position w:val="0"/>
        </w:rPr>
        <w:t>（</w:t>
      </w:r>
      <w:bookmarkEnd w:id="70"/>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66"/>
      <w:bookmarkEnd w:id="67"/>
      <w:bookmarkEnd w:id="71"/>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概述</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报告期内，公司在基础业务（包括软硬件、系统集成、技术服务）方面稳步发展。为进一步加强公司竞争力，公司在 研发、销售、管理、市场开拓等多项工作领域加强管理。</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30,092.98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7.55%,</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14,919.25</w:t>
      </w:r>
      <w:r>
        <w:rPr>
          <w:color w:val="000000"/>
          <w:spacing w:val="0"/>
          <w:w w:val="100"/>
          <w:position w:val="0"/>
        </w:rPr>
        <w:t>万元，较上年同期增加</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 营业利润</w:t>
      </w:r>
      <w:r>
        <w:rPr>
          <w:rFonts w:ascii="Times New Roman" w:eastAsia="Times New Roman" w:hAnsi="Times New Roman" w:cs="Times New Roman"/>
          <w:color w:val="000000"/>
          <w:spacing w:val="0"/>
          <w:w w:val="100"/>
          <w:position w:val="0"/>
          <w:sz w:val="18"/>
          <w:szCs w:val="18"/>
        </w:rPr>
        <w:t>3,463.14</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32.42%</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4,722.86</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33.21%</w:t>
      </w:r>
      <w:r>
        <w:rPr>
          <w:color w:val="000000"/>
          <w:spacing w:val="0"/>
          <w:w w:val="100"/>
          <w:position w:val="0"/>
        </w:rPr>
        <w:t>，归属于母公司所有者的 净利润</w:t>
      </w:r>
      <w:r>
        <w:rPr>
          <w:rFonts w:ascii="Times New Roman" w:eastAsia="Times New Roman" w:hAnsi="Times New Roman" w:cs="Times New Roman"/>
          <w:color w:val="000000"/>
          <w:spacing w:val="0"/>
          <w:w w:val="100"/>
          <w:position w:val="0"/>
          <w:sz w:val="18"/>
          <w:szCs w:val="18"/>
        </w:rPr>
        <w:t>4,040.50</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28.16%</w:t>
      </w:r>
      <w:r>
        <w:rPr>
          <w:color w:val="000000"/>
          <w:spacing w:val="0"/>
          <w:w w:val="100"/>
          <w:position w:val="0"/>
        </w:rPr>
        <w:t>，主要是由于报告期内公司正在拓展的项目延迟导致公司销售费用上升较快，</w:t>
        <w:br w:type="page"/>
      </w:r>
      <w:r>
        <w:rPr>
          <w:color w:val="000000"/>
          <w:spacing w:val="0"/>
          <w:w w:val="100"/>
          <w:position w:val="0"/>
        </w:rPr>
        <w:t>研发持续投入的增加、折旧费用增加导致公司管理费用有所上升，最终费用的整体上升使得本报告期经营业绩下降。</w:t>
      </w:r>
    </w:p>
    <w:p>
      <w:pPr>
        <w:pStyle w:val="Style26"/>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报告期内，公司管理费用较上年同期增长</w:t>
      </w:r>
      <w:r>
        <w:rPr>
          <w:rFonts w:ascii="Times New Roman" w:eastAsia="Times New Roman" w:hAnsi="Times New Roman" w:cs="Times New Roman"/>
          <w:color w:val="000000"/>
          <w:spacing w:val="0"/>
          <w:w w:val="100"/>
          <w:position w:val="0"/>
          <w:sz w:val="18"/>
          <w:szCs w:val="18"/>
        </w:rPr>
        <w:t>49.63%</w:t>
      </w:r>
      <w:r>
        <w:rPr>
          <w:color w:val="000000"/>
          <w:spacing w:val="0"/>
          <w:w w:val="100"/>
          <w:position w:val="0"/>
        </w:rPr>
        <w:t>，主要是由于公司本年度增加对研究开发项目的投入、人员规模、上 调薪资所致。</w:t>
      </w:r>
    </w:p>
    <w:p>
      <w:pPr>
        <w:pStyle w:val="Style2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报告期内，公司销售费用较上年同期增加</w:t>
      </w:r>
      <w:r>
        <w:rPr>
          <w:rFonts w:ascii="Times New Roman" w:eastAsia="Times New Roman" w:hAnsi="Times New Roman" w:cs="Times New Roman"/>
          <w:color w:val="000000"/>
          <w:spacing w:val="0"/>
          <w:w w:val="100"/>
          <w:position w:val="0"/>
          <w:sz w:val="18"/>
          <w:szCs w:val="18"/>
        </w:rPr>
        <w:t>80.21%</w:t>
      </w:r>
      <w:r>
        <w:rPr>
          <w:color w:val="000000"/>
          <w:spacing w:val="0"/>
          <w:w w:val="100"/>
          <w:position w:val="0"/>
        </w:rPr>
        <w:t>，主要是由于公司本年度增加营销投入，职工薪酬、差旅费等增加所 致。</w:t>
      </w:r>
    </w:p>
    <w:p>
      <w:pPr>
        <w:pStyle w:val="Style2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报告期内，公司投资收益较上年增长</w:t>
      </w:r>
      <w:r>
        <w:rPr>
          <w:rFonts w:ascii="Times New Roman" w:eastAsia="Times New Roman" w:hAnsi="Times New Roman" w:cs="Times New Roman"/>
          <w:color w:val="000000"/>
          <w:spacing w:val="0"/>
          <w:w w:val="100"/>
          <w:position w:val="0"/>
          <w:sz w:val="18"/>
          <w:szCs w:val="18"/>
        </w:rPr>
        <w:t>242.09%</w:t>
      </w:r>
      <w:r>
        <w:rPr>
          <w:color w:val="000000"/>
          <w:spacing w:val="0"/>
          <w:w w:val="100"/>
          <w:position w:val="0"/>
        </w:rPr>
        <w:t>，主要是由于按权益法核算的参股公司的投资收益。</w:t>
      </w:r>
    </w:p>
    <w:p>
      <w:pPr>
        <w:pStyle w:val="Style2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报告期内，公司研发投入总计</w:t>
      </w:r>
      <w:r>
        <w:rPr>
          <w:rFonts w:ascii="Times New Roman" w:eastAsia="Times New Roman" w:hAnsi="Times New Roman" w:cs="Times New Roman"/>
          <w:color w:val="000000"/>
          <w:spacing w:val="0"/>
          <w:w w:val="100"/>
          <w:position w:val="0"/>
          <w:sz w:val="18"/>
          <w:szCs w:val="18"/>
        </w:rPr>
        <w:t>4,536.78</w:t>
      </w:r>
      <w:r>
        <w:rPr>
          <w:color w:val="000000"/>
          <w:spacing w:val="0"/>
          <w:w w:val="100"/>
          <w:position w:val="0"/>
        </w:rPr>
        <w:t>万元，占当期营业收入的</w:t>
      </w:r>
      <w:r>
        <w:rPr>
          <w:rFonts w:ascii="Times New Roman" w:eastAsia="Times New Roman" w:hAnsi="Times New Roman" w:cs="Times New Roman"/>
          <w:color w:val="000000"/>
          <w:spacing w:val="0"/>
          <w:w w:val="100"/>
          <w:position w:val="0"/>
          <w:sz w:val="18"/>
          <w:szCs w:val="18"/>
        </w:rPr>
        <w:t>15.08%</w:t>
      </w:r>
      <w:r>
        <w:rPr>
          <w:color w:val="000000"/>
          <w:spacing w:val="0"/>
          <w:w w:val="100"/>
          <w:position w:val="0"/>
        </w:rPr>
        <w:t>,主要是由于公司为增强公司的市场竟争力，公 司持续加大了研发投入。</w:t>
      </w:r>
    </w:p>
    <w:p>
      <w:pPr>
        <w:pStyle w:val="Style26"/>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报告期内，本年度内公司经营活动产生的现金流量净额较上年同期减少</w:t>
      </w:r>
      <w:r>
        <w:rPr>
          <w:rFonts w:ascii="Times New Roman" w:eastAsia="Times New Roman" w:hAnsi="Times New Roman" w:cs="Times New Roman"/>
          <w:color w:val="000000"/>
          <w:spacing w:val="0"/>
          <w:w w:val="100"/>
          <w:position w:val="0"/>
          <w:sz w:val="18"/>
          <w:szCs w:val="18"/>
        </w:rPr>
        <w:t>40.55%</w:t>
      </w:r>
      <w:r>
        <w:rPr>
          <w:color w:val="000000"/>
          <w:spacing w:val="0"/>
          <w:w w:val="100"/>
          <w:position w:val="0"/>
        </w:rPr>
        <w:t>，主要是由于公司本年度支付上年货款 所致。</w:t>
      </w:r>
    </w:p>
    <w:p>
      <w:pPr>
        <w:pStyle w:val="Style26"/>
        <w:keepNext w:val="0"/>
        <w:keepLines w:val="0"/>
        <w:widowControl w:val="0"/>
        <w:shd w:val="clear" w:color="auto" w:fill="auto"/>
        <w:bidi w:val="0"/>
        <w:spacing w:before="0" w:after="160" w:line="318" w:lineRule="exact"/>
        <w:ind w:left="0" w:right="0" w:firstLine="440"/>
        <w:jc w:val="both"/>
      </w:pPr>
      <w:r>
        <w:rPr>
          <w:color w:val="000000"/>
          <w:spacing w:val="0"/>
          <w:w w:val="100"/>
          <w:position w:val="0"/>
        </w:rPr>
        <w:t>报告期内，本年度投资活动产生的现金净流出较上年同期增加</w:t>
      </w:r>
      <w:r>
        <w:rPr>
          <w:rFonts w:ascii="Tahoma" w:eastAsia="Tahoma" w:hAnsi="Tahoma" w:cs="Tahoma"/>
          <w:color w:val="000000"/>
          <w:spacing w:val="0"/>
          <w:w w:val="100"/>
          <w:position w:val="0"/>
          <w:sz w:val="16"/>
          <w:szCs w:val="16"/>
        </w:rPr>
        <w:t>1465.23%</w:t>
      </w:r>
      <w:r>
        <w:rPr>
          <w:color w:val="000000"/>
          <w:spacing w:val="0"/>
          <w:w w:val="100"/>
          <w:position w:val="0"/>
        </w:rPr>
        <w:t>，主要原因是本年定期存款较上年减少所致。</w:t>
      </w:r>
    </w:p>
    <w:p>
      <w:pPr>
        <w:pStyle w:val="Style26"/>
        <w:keepNext w:val="0"/>
        <w:keepLines w:val="0"/>
        <w:widowControl w:val="0"/>
        <w:shd w:val="clear" w:color="auto" w:fill="auto"/>
        <w:tabs>
          <w:tab w:pos="343" w:val="left"/>
        </w:tabs>
        <w:bidi w:val="0"/>
        <w:spacing w:before="0" w:after="0" w:line="360" w:lineRule="auto"/>
        <w:ind w:left="0" w:right="0" w:firstLine="0"/>
        <w:jc w:val="both"/>
      </w:pPr>
      <w:bookmarkStart w:id="72" w:name="bookmark72"/>
      <w:r>
        <w:rPr>
          <w:rFonts w:ascii="Times New Roman" w:eastAsia="Times New Roman" w:hAnsi="Times New Roman" w:cs="Times New Roman"/>
          <w:color w:val="000000"/>
          <w:spacing w:val="0"/>
          <w:w w:val="100"/>
          <w:position w:val="0"/>
          <w:sz w:val="18"/>
          <w:szCs w:val="18"/>
        </w:rPr>
        <w:t>2</w:t>
      </w:r>
      <w:bookmarkEnd w:id="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p>
    <w:p>
      <w:pPr>
        <w:pStyle w:val="Style26"/>
        <w:keepNext w:val="0"/>
        <w:keepLines w:val="0"/>
        <w:widowControl w:val="0"/>
        <w:shd w:val="clear" w:color="auto" w:fill="auto"/>
        <w:bidi w:val="0"/>
        <w:spacing w:before="0" w:after="160" w:line="318" w:lineRule="exact"/>
        <w:ind w:left="0" w:right="0" w:firstLine="380"/>
        <w:jc w:val="both"/>
      </w:pPr>
      <w:r>
        <mc:AlternateContent>
          <mc:Choice Requires="wps">
            <w:drawing>
              <wp:anchor distT="0" distB="0" distL="0" distR="0" simplePos="0" relativeHeight="125829378" behindDoc="0" locked="0" layoutInCell="1" allowOverlap="1">
                <wp:simplePos x="0" y="0"/>
                <wp:positionH relativeFrom="page">
                  <wp:posOffset>6367145</wp:posOffset>
                </wp:positionH>
                <wp:positionV relativeFrom="paragraph">
                  <wp:posOffset>520700</wp:posOffset>
                </wp:positionV>
                <wp:extent cx="484505" cy="149225"/>
                <wp:wrapSquare wrapText="left"/>
                <wp:docPr id="12" name="Shape 12"/>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8" type="#_x0000_t202" style="position:absolute;margin-left:501.35000000000002pt;margin-top:41.pt;width:38.149999999999999pt;height:11.75pt;z-index:-125829375;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不适用。</w:t>
      </w:r>
    </w:p>
    <w:tbl>
      <w:tblPr>
        <w:tblOverlap w:val="never"/>
        <w:jc w:val="left"/>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framePr w:w="9581" w:h="816" w:hSpace="24" w:vSpace="634" w:wrap="notBeside" w:vAnchor="text" w:hAnchor="text" w:x="66" w:y="63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framePr w:w="9581" w:h="816" w:hSpace="24" w:vSpace="634" w:wrap="notBeside" w:vAnchor="text" w:hAnchor="text" w:x="66"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framePr w:w="9581" w:h="816" w:hSpace="24" w:vSpace="634" w:wrap="notBeside" w:vAnchor="text" w:hAnchor="text" w:x="66"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framePr w:w="9581" w:h="816" w:hSpace="24" w:vSpace="634" w:wrap="notBeside" w:vAnchor="text" w:hAnchor="text" w:x="66" w:y="635"/>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framePr w:w="9581" w:h="816" w:hSpace="24" w:vSpace="634" w:wrap="notBeside" w:vAnchor="text" w:hAnchor="text" w:x="66" w:y="635"/>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9"/>
              <w:keepNext w:val="0"/>
              <w:keepLines w:val="0"/>
              <w:framePr w:w="9581" w:h="816" w:hSpace="24" w:vSpace="634" w:wrap="notBeside" w:vAnchor="text" w:hAnchor="text" w:x="66" w:y="635"/>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bottom w:val="single" w:sz="4"/>
            </w:tcBorders>
            <w:shd w:val="clear" w:color="auto" w:fill="FFFFFF"/>
            <w:vAlign w:val="center"/>
          </w:tcPr>
          <w:p>
            <w:pPr>
              <w:pStyle w:val="Style19"/>
              <w:keepNext w:val="0"/>
              <w:keepLines w:val="0"/>
              <w:framePr w:w="9581" w:h="816" w:hSpace="24" w:vSpace="634" w:wrap="notBeside" w:vAnchor="text" w:hAnchor="text" w:x="66"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279,797,747.85</w:t>
            </w:r>
          </w:p>
        </w:tc>
        <w:tc>
          <w:tcPr>
            <w:tcBorders>
              <w:top w:val="single" w:sz="4"/>
              <w:left w:val="single" w:sz="4"/>
              <w:bottom w:val="single" w:sz="4"/>
              <w:right w:val="single" w:sz="4"/>
            </w:tcBorders>
            <w:shd w:val="clear" w:color="auto" w:fill="FFFFFF"/>
            <w:vAlign w:val="center"/>
          </w:tcPr>
          <w:p>
            <w:pPr>
              <w:pStyle w:val="Style19"/>
              <w:keepNext w:val="0"/>
              <w:keepLines w:val="0"/>
              <w:framePr w:w="9581" w:h="816" w:hSpace="24" w:vSpace="634" w:wrap="notBeside" w:vAnchor="text" w:hAnchor="text" w:x="66"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bl>
    <w:p>
      <w:pPr>
        <w:pStyle w:val="Style16"/>
        <w:keepNext w:val="0"/>
        <w:keepLines w:val="0"/>
        <w:framePr w:w="9691" w:h="317" w:hSpace="41" w:wrap="notBeside" w:vAnchor="text" w:hAnchor="text" w:x="42" w:y="1"/>
        <w:widowControl w:val="0"/>
        <w:shd w:val="clear" w:color="auto" w:fill="auto"/>
        <w:tabs>
          <w:tab w:pos="158"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收入</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tbl>
      <w:tblPr>
        <w:tblOverlap w:val="never"/>
        <w:jc w:val="left"/>
        <w:tblLayout w:type="fixed"/>
      </w:tblPr>
      <w:tblGrid>
        <w:gridCol w:w="1843"/>
        <w:gridCol w:w="2242"/>
        <w:gridCol w:w="1877"/>
        <w:gridCol w:w="1790"/>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本年营业收入发生额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上年营业收入发生额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定制软件及</w:t>
            </w:r>
            <w:r>
              <w:rPr>
                <w:rFonts w:ascii="Times New Roman" w:eastAsia="Times New Roman" w:hAnsi="Times New Roman" w:cs="Times New Roman"/>
                <w:color w:val="000000"/>
                <w:spacing w:val="0"/>
                <w:w w:val="100"/>
                <w:position w:val="0"/>
                <w:sz w:val="18"/>
                <w:szCs w:val="18"/>
              </w:rPr>
              <w:t>IC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187,858,594.63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183,864,439.33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40,733,902.97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31,906,518.65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系统集成及硬件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70,673,313.94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61,616,667.20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14.70%</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1,664,029.12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2,410,122.67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-30.96%</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300,929,840.66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279,797,747.85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7.55%</w:t>
            </w:r>
          </w:p>
        </w:tc>
      </w:tr>
    </w:tbl>
    <w:p>
      <w:pPr>
        <w:widowControl w:val="0"/>
        <w:spacing w:after="239" w:line="1" w:lineRule="exact"/>
      </w:pPr>
    </w:p>
    <w:p>
      <w:pPr>
        <w:pStyle w:val="Style26"/>
        <w:keepNext w:val="0"/>
        <w:keepLines w:val="0"/>
        <w:widowControl w:val="0"/>
        <w:shd w:val="clear" w:color="auto" w:fill="auto"/>
        <w:bidi w:val="0"/>
        <w:spacing w:before="0" w:after="80" w:line="328" w:lineRule="exact"/>
        <w:ind w:left="0" w:right="0" w:firstLine="380"/>
        <w:jc w:val="both"/>
      </w:pPr>
      <w:r>
        <w:rPr>
          <w:color w:val="000000"/>
          <w:spacing w:val="0"/>
          <w:w w:val="100"/>
          <w:position w:val="0"/>
        </w:rPr>
        <w:t>驱动收入变化的因素：报告期，公司实现营业收入</w:t>
      </w:r>
      <w:r>
        <w:rPr>
          <w:rFonts w:ascii="Times New Roman" w:eastAsia="Times New Roman" w:hAnsi="Times New Roman" w:cs="Times New Roman"/>
          <w:color w:val="000000"/>
          <w:spacing w:val="0"/>
          <w:w w:val="100"/>
          <w:position w:val="0"/>
          <w:sz w:val="18"/>
          <w:szCs w:val="18"/>
        </w:rPr>
        <w:t>30,092.98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7.55%</w:t>
      </w:r>
      <w:r>
        <w:rPr>
          <w:color w:val="000000"/>
          <w:spacing w:val="0"/>
          <w:w w:val="100"/>
          <w:position w:val="0"/>
        </w:rPr>
        <w:t>,其中技术服务实现收入</w:t>
      </w:r>
      <w:r>
        <w:rPr>
          <w:rFonts w:ascii="Times New Roman" w:eastAsia="Times New Roman" w:hAnsi="Times New Roman" w:cs="Times New Roman"/>
          <w:color w:val="000000"/>
          <w:spacing w:val="0"/>
          <w:w w:val="100"/>
          <w:position w:val="0"/>
          <w:sz w:val="18"/>
          <w:szCs w:val="18"/>
        </w:rPr>
        <w:t xml:space="preserve">4,073.39 </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27.67%</w:t>
      </w:r>
      <w:r>
        <w:rPr>
          <w:color w:val="000000"/>
          <w:spacing w:val="0"/>
          <w:w w:val="100"/>
          <w:position w:val="0"/>
        </w:rPr>
        <w:t xml:space="preserve">,主要是公司前期建设信息系统已经进入了收费运营维护阶段；系统集成及硬件实现收入 </w:t>
      </w:r>
      <w:r>
        <w:rPr>
          <w:rFonts w:ascii="Times New Roman" w:eastAsia="Times New Roman" w:hAnsi="Times New Roman" w:cs="Times New Roman"/>
          <w:color w:val="000000"/>
          <w:spacing w:val="0"/>
          <w:w w:val="100"/>
          <w:position w:val="0"/>
          <w:sz w:val="18"/>
          <w:szCs w:val="18"/>
        </w:rPr>
        <w:t>7,067.33</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14.70%</w:t>
      </w:r>
      <w:r>
        <w:rPr>
          <w:color w:val="000000"/>
          <w:spacing w:val="0"/>
          <w:w w:val="100"/>
          <w:position w:val="0"/>
        </w:rPr>
        <w:t>，主要是报告期公司自助服务终端从原有小规模试点阶段到了大规模投放销售阶段。 公司实物销售收入是否大于劳务收入</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信息机（自助终端）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w:t>
            </w: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9,486,657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7,429,586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9,311,143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7,378,727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2,158,390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2,333,904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读卡器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6,325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bl>
    <w:p>
      <w:pPr>
        <w:pStyle w:val="Style26"/>
        <w:keepNext w:val="0"/>
        <w:keepLines w:val="0"/>
        <w:widowControl w:val="0"/>
        <w:shd w:val="clear" w:color="auto" w:fill="auto"/>
        <w:bidi w:val="0"/>
        <w:spacing w:before="0" w:after="120" w:line="322"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报告期内，公司信息机（自助终端）项目生产量增长</w:t>
      </w:r>
      <w:r>
        <w:rPr>
          <w:rFonts w:ascii="Times New Roman" w:eastAsia="Times New Roman" w:hAnsi="Times New Roman" w:cs="Times New Roman"/>
          <w:color w:val="000000"/>
          <w:spacing w:val="0"/>
          <w:w w:val="100"/>
          <w:position w:val="0"/>
          <w:sz w:val="18"/>
          <w:szCs w:val="18"/>
        </w:rPr>
        <w:t>139.12%</w:t>
      </w:r>
      <w:r>
        <w:rPr>
          <w:color w:val="000000"/>
          <w:spacing w:val="0"/>
          <w:w w:val="100"/>
          <w:position w:val="0"/>
        </w:rPr>
        <w:t>，销售量增长</w:t>
      </w:r>
      <w:r>
        <w:rPr>
          <w:rFonts w:ascii="Times New Roman" w:eastAsia="Times New Roman" w:hAnsi="Times New Roman" w:cs="Times New Roman"/>
          <w:color w:val="000000"/>
          <w:spacing w:val="0"/>
          <w:w w:val="100"/>
          <w:position w:val="0"/>
          <w:sz w:val="18"/>
          <w:szCs w:val="18"/>
        </w:rPr>
        <w:t>209.09%</w:t>
      </w:r>
      <w:r>
        <w:rPr>
          <w:color w:val="000000"/>
          <w:spacing w:val="0"/>
          <w:w w:val="100"/>
          <w:position w:val="0"/>
        </w:rPr>
        <w:t>,主要是由于该项目在本年度广泛 布点，业务量增长较多。</w:t>
      </w:r>
    </w:p>
    <w:p>
      <w:pPr>
        <w:pStyle w:val="Style26"/>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公司重大的在手订单情况</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数量分散的订单情况</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公司报告期内产品或服务发生重大变化或调整有关情况</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76,471,316.71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91,364,030.31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72,721,144.48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48.74%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55,857,503.43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25,597,849.21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14,204,834.75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主要是本公司本年度增加营销投入， 职工薪酬、差旅费等相应增加所致。</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91,437,225.70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61,110,570.29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主要原因包括：①本年度增加对研究 开发项目的投入②本年度人员规模 增加及上调薪资导致职工薪酬增加。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-6,980,172.06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-6,877,047.53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8,885,820.58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12,564,151.02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公司自成立以来，一直将技术创新、产品研发作为企业发展壮大的动力。报告期内，为增强公司的技术研发实力和产品 的市场竞争力，公司持续不断推进技术创新，易联众电子病历管理系统、社区化在线学习云服务平台、易联众民生一体化信 息服务平台、易联众居民健康信息系统、社会保险核心平台工伤生育保险信息管理系统等产品的研发投入力度，以保障公司 在行业内的技术领先地位。</w:t>
      </w:r>
    </w:p>
    <w:p>
      <w:pPr>
        <w:pStyle w:val="Style26"/>
        <w:keepNext w:val="0"/>
        <w:keepLines w:val="0"/>
        <w:widowControl w:val="0"/>
        <w:shd w:val="clear" w:color="auto" w:fill="auto"/>
        <w:bidi w:val="0"/>
        <w:spacing w:before="0" w:after="120" w:line="305" w:lineRule="exact"/>
        <w:ind w:left="0" w:right="0" w:firstLine="380"/>
        <w:jc w:val="both"/>
      </w:pPr>
      <w:r>
        <w:rPr>
          <w:color w:val="000000"/>
          <w:spacing w:val="0"/>
          <w:w w:val="100"/>
          <w:position w:val="0"/>
        </w:rPr>
        <w:t>报告期内，正在研发中的项目包括易联众电子病历管理系统、社区化在线学习云服务平台等项目。报告期内研发投入总 计</w:t>
      </w:r>
      <w:r>
        <w:rPr>
          <w:rFonts w:ascii="Times New Roman" w:eastAsia="Times New Roman" w:hAnsi="Times New Roman" w:cs="Times New Roman"/>
          <w:color w:val="000000"/>
          <w:spacing w:val="0"/>
          <w:w w:val="100"/>
          <w:position w:val="0"/>
          <w:sz w:val="18"/>
          <w:szCs w:val="18"/>
        </w:rPr>
        <w:t>4,536.78</w:t>
      </w:r>
      <w:r>
        <w:rPr>
          <w:color w:val="000000"/>
          <w:spacing w:val="0"/>
          <w:w w:val="100"/>
          <w:position w:val="0"/>
        </w:rPr>
        <w:t>万元，其中资本化金额为</w:t>
      </w:r>
      <w:r>
        <w:rPr>
          <w:rFonts w:ascii="Times New Roman" w:eastAsia="Times New Roman" w:hAnsi="Times New Roman" w:cs="Times New Roman"/>
          <w:color w:val="000000"/>
          <w:spacing w:val="0"/>
          <w:w w:val="100"/>
          <w:position w:val="0"/>
          <w:sz w:val="18"/>
          <w:szCs w:val="18"/>
        </w:rPr>
        <w:t>443.03</w:t>
      </w:r>
      <w:r>
        <w:rPr>
          <w:color w:val="000000"/>
          <w:spacing w:val="0"/>
          <w:w w:val="100"/>
          <w:position w:val="0"/>
        </w:rPr>
        <w:t>万元，资本化金额占研发投入比重为</w:t>
      </w:r>
      <w:r>
        <w:rPr>
          <w:rFonts w:ascii="Times New Roman" w:eastAsia="Times New Roman" w:hAnsi="Times New Roman" w:cs="Times New Roman"/>
          <w:color w:val="000000"/>
          <w:spacing w:val="0"/>
          <w:w w:val="100"/>
          <w:position w:val="0"/>
          <w:sz w:val="18"/>
          <w:szCs w:val="18"/>
        </w:rPr>
        <w:t>9.77%</w:t>
      </w:r>
      <w:r>
        <w:rPr>
          <w:color w:val="000000"/>
          <w:spacing w:val="0"/>
          <w:w w:val="100"/>
          <w:position w:val="0"/>
        </w:rPr>
        <w:t xml:space="preserve">,报告期内研发投入占当期营业收入的 </w:t>
      </w:r>
      <w:r>
        <w:rPr>
          <w:rFonts w:ascii="Times New Roman" w:eastAsia="Times New Roman" w:hAnsi="Times New Roman" w:cs="Times New Roman"/>
          <w:color w:val="000000"/>
          <w:spacing w:val="0"/>
          <w:w w:val="100"/>
          <w:position w:val="0"/>
          <w:sz w:val="18"/>
          <w:szCs w:val="18"/>
        </w:rPr>
        <w:t>15.08%</w:t>
      </w:r>
      <w:r>
        <w:rPr>
          <w:color w:val="000000"/>
          <w:spacing w:val="0"/>
          <w:w w:val="100"/>
          <w:position w:val="0"/>
        </w:rPr>
        <w:t>。</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45,365,756.12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36,650,711.24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26,915,358.95</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4,430,286.27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11,359,400.00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8,250,291.97</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报告期内，公司研发投入总计</w:t>
      </w:r>
      <w:r>
        <w:rPr>
          <w:rFonts w:ascii="Tahoma" w:eastAsia="Tahoma" w:hAnsi="Tahoma" w:cs="Tahoma"/>
          <w:color w:val="000000"/>
          <w:spacing w:val="0"/>
          <w:w w:val="100"/>
          <w:position w:val="0"/>
          <w:sz w:val="16"/>
          <w:szCs w:val="16"/>
        </w:rPr>
        <w:t>45,365,756.12</w:t>
      </w:r>
      <w:r>
        <w:rPr>
          <w:color w:val="000000"/>
          <w:spacing w:val="0"/>
          <w:w w:val="100"/>
          <w:position w:val="0"/>
        </w:rPr>
        <w:t>万元，占当期营业收入的</w:t>
      </w:r>
      <w:r>
        <w:rPr>
          <w:rFonts w:ascii="Tahoma" w:eastAsia="Tahoma" w:hAnsi="Tahoma" w:cs="Tahoma"/>
          <w:color w:val="000000"/>
          <w:spacing w:val="0"/>
          <w:w w:val="100"/>
          <w:position w:val="0"/>
          <w:sz w:val="16"/>
          <w:szCs w:val="16"/>
        </w:rPr>
        <w:t>15.08%</w:t>
      </w:r>
      <w:r>
        <w:rPr>
          <w:color w:val="000000"/>
          <w:spacing w:val="0"/>
          <w:w w:val="100"/>
          <w:position w:val="0"/>
        </w:rPr>
        <w:t>，主要是由于公司为增强公司的竟争力， 持续加大了研发投入。本期研发投入资本化率为</w:t>
      </w:r>
      <w:r>
        <w:rPr>
          <w:rFonts w:ascii="Tahoma" w:eastAsia="Tahoma" w:hAnsi="Tahoma" w:cs="Tahoma"/>
          <w:color w:val="000000"/>
          <w:spacing w:val="0"/>
          <w:w w:val="100"/>
          <w:position w:val="0"/>
          <w:sz w:val="16"/>
          <w:szCs w:val="16"/>
        </w:rPr>
        <w:t>9.77%,</w:t>
      </w:r>
      <w:r>
        <w:rPr>
          <w:color w:val="000000"/>
          <w:spacing w:val="0"/>
          <w:w w:val="100"/>
          <w:position w:val="0"/>
        </w:rPr>
        <w:t>较上年减少</w:t>
      </w:r>
      <w:r>
        <w:rPr>
          <w:rFonts w:ascii="Tahoma" w:eastAsia="Tahoma" w:hAnsi="Tahoma" w:cs="Tahoma"/>
          <w:color w:val="000000"/>
          <w:spacing w:val="0"/>
          <w:w w:val="100"/>
          <w:position w:val="0"/>
          <w:sz w:val="16"/>
          <w:szCs w:val="16"/>
        </w:rPr>
        <w:t>21.22%</w:t>
      </w:r>
      <w:r>
        <w:rPr>
          <w:color w:val="000000"/>
          <w:spacing w:val="0"/>
          <w:w w:val="100"/>
          <w:position w:val="0"/>
        </w:rPr>
        <w:t>，主要是因为前期达到资本化条件计入开发支出 的项目多数已形成无形资产，本期研发投入的项目多数处于研究阶段，支出直接计入了当期管理费用。</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387,167,089.04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339,350,994.92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356,646,464.11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288,010,168.10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30,520,624.93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51,340,826.82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12,552,596.94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38,275,649.25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103,941,060.03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44,114,314.43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-91,388,463.09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-5,838,665.18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19,783,683.18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20,978,884.67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-17,333,683.18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-18,636,384.67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-78,201,521.34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26,865,776.97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-391.08%</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320"/>
        <w:jc w:val="both"/>
      </w:pPr>
      <w:r>
        <w:rPr>
          <w:color w:val="000000"/>
          <w:spacing w:val="0"/>
          <w:w w:val="100"/>
          <w:position w:val="0"/>
        </w:rPr>
        <w:t>报告期内，公司经营活动产生的现金流量净额较上年同期减少</w:t>
      </w:r>
      <w:r>
        <w:rPr>
          <w:rFonts w:ascii="Times New Roman" w:eastAsia="Times New Roman" w:hAnsi="Times New Roman" w:cs="Times New Roman"/>
          <w:color w:val="000000"/>
          <w:spacing w:val="0"/>
          <w:w w:val="100"/>
          <w:position w:val="0"/>
          <w:sz w:val="18"/>
          <w:szCs w:val="18"/>
        </w:rPr>
        <w:t>40.55%</w:t>
      </w:r>
      <w:r>
        <w:rPr>
          <w:color w:val="000000"/>
          <w:spacing w:val="0"/>
          <w:w w:val="100"/>
          <w:position w:val="0"/>
        </w:rPr>
        <w:t>，主要原因是本年度支付上年货款，致使本期经营 活动产生的现金流量净额较上年同期出现较大幅度减少。</w:t>
      </w:r>
    </w:p>
    <w:p>
      <w:pPr>
        <w:pStyle w:val="Style26"/>
        <w:keepNext w:val="0"/>
        <w:keepLines w:val="0"/>
        <w:widowControl w:val="0"/>
        <w:shd w:val="clear" w:color="auto" w:fill="auto"/>
        <w:bidi w:val="0"/>
        <w:spacing w:before="0" w:after="320" w:line="322" w:lineRule="exact"/>
        <w:ind w:left="0" w:right="0" w:firstLine="320"/>
        <w:jc w:val="both"/>
      </w:pPr>
      <w:r>
        <w:rPr>
          <w:color w:val="000000"/>
          <w:spacing w:val="0"/>
          <w:w w:val="100"/>
          <w:position w:val="0"/>
        </w:rPr>
        <w:t>报告期内，公司投资活动产生的现金净流出较上年同期增加</w:t>
      </w:r>
      <w:r>
        <w:rPr>
          <w:rFonts w:ascii="Times New Roman" w:eastAsia="Times New Roman" w:hAnsi="Times New Roman" w:cs="Times New Roman"/>
          <w:color w:val="000000"/>
          <w:spacing w:val="0"/>
          <w:w w:val="100"/>
          <w:position w:val="0"/>
          <w:sz w:val="18"/>
          <w:szCs w:val="18"/>
        </w:rPr>
        <w:t>1,465.23%</w:t>
      </w:r>
      <w:r>
        <w:rPr>
          <w:color w:val="000000"/>
          <w:spacing w:val="0"/>
          <w:w w:val="100"/>
          <w:position w:val="0"/>
        </w:rPr>
        <w:t>，主要原因是本年定期存款较上年减少。</w:t>
      </w:r>
    </w:p>
    <w:p>
      <w:pPr>
        <w:pStyle w:val="Style26"/>
        <w:keepNext w:val="0"/>
        <w:keepLines w:val="0"/>
        <w:widowControl w:val="0"/>
        <w:shd w:val="clear" w:color="auto" w:fill="auto"/>
        <w:bidi w:val="0"/>
        <w:spacing w:before="0" w:after="80" w:line="350"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 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67,161,239.03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r>
    </w:tbl>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48,980,605.24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w:t>
            </w:r>
          </w:p>
        </w:tc>
      </w:tr>
    </w:tbl>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首次公开发行招股说明书中披露的未来发展与规划在本报告期的实施情况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报告期内，公司继续推进招股说明书中披露的三年发展规划。针对不同服务群体，包括政府相关部门、业务衍生机构、 社会公众，整合公司资源，建设研发中心、运维中心、民生信息服务中心、社保卡及读写终端制作中心等四个业务中心，构 建研发、市场和服务的完善业务运营架构，全面提升公司的综合运营能力，强化公司在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以劳动和社会保障为核心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的民生行 业应用解决方案和信息服务领域的领先优势。鉴于社保卡是面向社会公众的最前端环节和民生信息交互的基础介质，公司将 强化与金融机构合作，积极拓展社保卡的金融应用功能，不仅可以扩大社保卡的使用范围，而且可大幅拓展公司信息服务的 人群。同时，公司将通过民生信息服务中心平台的建设，构建市场化、社会化的网络服务平台，通过商业模式的创新，为参 保人群提供全面的综合民生信息服务，逐步将公司发展成为国内领先的民生行业信息服务提供商。</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前期披露的发展战略和经营计划在报告期内的进展情况</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本报告期内，公司紧紧围绕既定的发展战略和经营计划开展工作，完成了既定目标。公司将继续保持原有的市场，并突 出优势，扬长避短。注重省级中心市场开发，并利用平台优势向全省其他区域渗透，将产品的用途实现最大化。根据实际市 场需求状况，细分客户，细分市场，设法提供满足客户需求的产品和服务。面对行业竞争突出技术优势，保持良好口碑。建 立起企业防范风险体制，及早注意规避市场风险，防范风险带来的压力。争取发展成为国内覆盖人群面最大、服务最便捷的 综合民生信息服务提供商。</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w:t>
      </w:r>
      <w:bookmarkEnd w:id="75"/>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73"/>
      <w:bookmarkEnd w:id="74"/>
      <w:bookmarkEnd w:id="76"/>
    </w:p>
    <w:p>
      <w:pPr>
        <w:pStyle w:val="Style26"/>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软件和信息技术服务业（民生服务行业）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151,737,379.47</w:t>
            </w:r>
          </w:p>
        </w:tc>
      </w:tr>
      <w:tr>
        <w:trPr>
          <w:trHeight w:val="398"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定制软件及</w:t>
            </w:r>
            <w:r>
              <w:rPr>
                <w:rFonts w:ascii="Times New Roman" w:eastAsia="Times New Roman" w:hAnsi="Times New Roman" w:cs="Times New Roman"/>
                <w:color w:val="000000"/>
                <w:spacing w:val="0"/>
                <w:w w:val="100"/>
                <w:position w:val="0"/>
                <w:sz w:val="18"/>
                <w:szCs w:val="18"/>
              </w:rPr>
              <w:t>IC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187,858,594.63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106,921,674.38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40,733,902.97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26,997,096.07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系统集成及硬件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70,673,313.94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16,513,475.60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1,664,029.12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1,305,133.42</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132,646,770.15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65,266,193.86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100,494,898.19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62,227,455.34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4,372,087.17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845,822.46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24,852,102.22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9,956,074.60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-903,389.82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13,307,375.01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5,354,477.85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6,897,385.44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3,425,474.66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7,896,817.22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1,239,925.93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1,456,310.68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1,271,657.68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3,010,210.94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649,683.93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1,945,961.78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946,069.95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2,253,589.74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370,002.92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1,663,853.48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1,087,930.11</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服务业（民生服 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149,192,461.19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定制软件及</w:t>
            </w:r>
            <w:r>
              <w:rPr>
                <w:rFonts w:ascii="Times New Roman" w:eastAsia="Times New Roman" w:hAnsi="Times New Roman" w:cs="Times New Roman"/>
                <w:color w:val="000000"/>
                <w:spacing w:val="0"/>
                <w:w w:val="100"/>
                <w:position w:val="0"/>
                <w:sz w:val="18"/>
                <w:szCs w:val="18"/>
              </w:rPr>
              <w:t>IC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187,858,594.63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80,936,920.25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40,733,902.97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13,736,806.90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系统集成及硬件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70,673,313.94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54,159,838.34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132,646,770.15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67,380,576.29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100,494,898.19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38,267,442.85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w:t>
      </w:r>
      <w:bookmarkEnd w:id="79"/>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77"/>
      <w:bookmarkEnd w:id="78"/>
      <w:bookmarkEnd w:id="80"/>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392,227,331.5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416,603,863.15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162"/>
        <w:gridCol w:w="1066"/>
        <w:gridCol w:w="1195"/>
        <w:gridCol w:w="1061"/>
        <w:gridCol w:w="797"/>
        <w:gridCol w:w="2928"/>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191,320,769.6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187,412,019.87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57,726,393.89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46,344,427.93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3,519,980.33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1,378,116.88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95,563,654.98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65,141,940.58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6,691,666.80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8,699,166.80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618" w:val="left"/>
        </w:tabs>
        <w:bidi w:val="0"/>
        <w:spacing w:before="0" w:line="240" w:lineRule="auto"/>
        <w:ind w:left="0" w:right="0" w:firstLine="140"/>
        <w:jc w:val="left"/>
      </w:pPr>
      <w:bookmarkStart w:id="81" w:name="bookmark81"/>
      <w:bookmarkStart w:id="82" w:name="bookmark82"/>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4</w:t>
      </w:r>
      <w:r>
        <w:rPr>
          <w:color w:val="000000"/>
          <w:spacing w:val="0"/>
          <w:w w:val="100"/>
          <w:position w:val="0"/>
        </w:rPr>
        <w:t>）</w:t>
        <w:tab/>
        <w:t>公司竞争能力重大变化分析</w:t>
      </w:r>
      <w:bookmarkEnd w:id="81"/>
      <w:bookmarkEnd w:id="82"/>
      <w:bookmarkEnd w:id="84"/>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618" w:val="left"/>
        </w:tabs>
        <w:bidi w:val="0"/>
        <w:spacing w:before="0" w:line="240" w:lineRule="auto"/>
        <w:ind w:left="0" w:right="0" w:firstLine="140"/>
        <w:jc w:val="left"/>
      </w:pPr>
      <w:bookmarkStart w:id="85" w:name="bookmark85"/>
      <w:bookmarkStart w:id="86" w:name="bookmark86"/>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5</w:t>
      </w:r>
      <w:r>
        <w:rPr>
          <w:color w:val="000000"/>
          <w:spacing w:val="0"/>
          <w:w w:val="100"/>
          <w:position w:val="0"/>
        </w:rPr>
        <w:t>）</w:t>
        <w:tab/>
        <w:t>投资状况分析</w:t>
      </w:r>
      <w:bookmarkEnd w:id="85"/>
      <w:bookmarkEnd w:id="86"/>
      <w:bookmarkEnd w:id="88"/>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698"/>
        <w:gridCol w:w="499"/>
        <w:gridCol w:w="667"/>
        <w:gridCol w:w="1594"/>
        <w:gridCol w:w="926"/>
        <w:gridCol w:w="139"/>
        <w:gridCol w:w="1061"/>
        <w:gridCol w:w="931"/>
        <w:gridCol w:w="1066"/>
      </w:tblGrid>
      <w:tr>
        <w:trPr>
          <w:trHeight w:val="40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4,050,000.00</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80,200,000.00</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本期投资 盈亏（元）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广东易联众计算机技术有限公司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软件开发及应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陈企珠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-3,756,687.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软件开发及应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用系统集成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颜新永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-818,227.87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25,301.12</w:t>
            </w:r>
          </w:p>
        </w:tc>
      </w:tr>
    </w:tbl>
    <w:p>
      <w:pPr>
        <w:widowControl w:val="0"/>
        <w:spacing w:line="1" w:lineRule="exact"/>
      </w:pPr>
      <w:r>
        <w:br w:type="page"/>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日止，募集资金累计投入</w:t>
            </w:r>
            <w:r>
              <w:rPr>
                <w:rFonts w:ascii="Times New Roman" w:eastAsia="Times New Roman" w:hAnsi="Times New Roman" w:cs="Times New Roman"/>
                <w:color w:val="000000"/>
                <w:spacing w:val="0"/>
                <w:w w:val="100"/>
                <w:position w:val="0"/>
                <w:sz w:val="18"/>
                <w:szCs w:val="18"/>
              </w:rPr>
              <w:t>25,301.12</w:t>
            </w:r>
            <w:r>
              <w:rPr>
                <w:color w:val="000000"/>
                <w:spacing w:val="0"/>
                <w:w w:val="100"/>
                <w:position w:val="0"/>
              </w:rPr>
              <w:t>万元，尚未使用的金额为</w:t>
            </w:r>
            <w:r>
              <w:rPr>
                <w:rFonts w:ascii="Times New Roman" w:eastAsia="Times New Roman" w:hAnsi="Times New Roman" w:cs="Times New Roman"/>
                <w:color w:val="000000"/>
                <w:spacing w:val="0"/>
                <w:w w:val="100"/>
                <w:position w:val="0"/>
                <w:sz w:val="18"/>
                <w:szCs w:val="18"/>
              </w:rPr>
              <w:t>16,012.13</w:t>
            </w:r>
            <w:r>
              <w:rPr>
                <w:color w:val="000000"/>
                <w:spacing w:val="0"/>
                <w:w w:val="100"/>
                <w:position w:val="0"/>
              </w:rPr>
              <w:t>万元(其中募集资金</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14,072.78</w:t>
            </w:r>
            <w:r>
              <w:rPr>
                <w:color w:val="000000"/>
                <w:spacing w:val="0"/>
                <w:w w:val="100"/>
                <w:position w:val="0"/>
              </w:rPr>
              <w:t>万元，专户存储累计利息扣除手续费</w:t>
            </w:r>
            <w:r>
              <w:rPr>
                <w:rFonts w:ascii="Times New Roman" w:eastAsia="Times New Roman" w:hAnsi="Times New Roman" w:cs="Times New Roman"/>
                <w:color w:val="000000"/>
                <w:spacing w:val="0"/>
                <w:w w:val="100"/>
                <w:position w:val="0"/>
                <w:sz w:val="18"/>
                <w:szCs w:val="18"/>
              </w:rPr>
              <w:t>1,939.35</w:t>
            </w:r>
            <w:r>
              <w:rPr>
                <w:color w:val="000000"/>
                <w:spacing w:val="0"/>
                <w:w w:val="100"/>
                <w:position w:val="0"/>
              </w:rPr>
              <w:t>万元)，尚未使用的募集资金均存储于募集资金专户中。</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37"/>
        <w:gridCol w:w="725"/>
        <w:gridCol w:w="720"/>
        <w:gridCol w:w="720"/>
        <w:gridCol w:w="720"/>
        <w:gridCol w:w="720"/>
        <w:gridCol w:w="725"/>
        <w:gridCol w:w="720"/>
        <w:gridCol w:w="720"/>
        <w:gridCol w:w="725"/>
        <w:gridCol w:w="720"/>
        <w:gridCol w:w="734"/>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19"/>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研发中心平台建设 与软件升级产业化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运维体系及灾备服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民生一体化综合信 息服务平台项目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社会保障卡及读写 终端制作中心项目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18,779.0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9,732.7</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5,391.8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大连易联众科技有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福建易联众电子科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购买福州软件园产 业基地二期</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研发 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622"/>
        <w:gridCol w:w="725"/>
        <w:gridCol w:w="720"/>
        <w:gridCol w:w="720"/>
        <w:gridCol w:w="720"/>
        <w:gridCol w:w="720"/>
        <w:gridCol w:w="725"/>
        <w:gridCol w:w="720"/>
        <w:gridCol w:w="720"/>
        <w:gridCol w:w="725"/>
        <w:gridCol w:w="720"/>
        <w:gridCol w:w="720"/>
      </w:tblGrid>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15,568.4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-233.76</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6,257.53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25,301.1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5,158.04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6"/>
        <w:keepNext w:val="0"/>
        <w:keepLines w:val="0"/>
        <w:widowControl w:val="0"/>
        <w:shd w:val="clear" w:color="auto" w:fill="auto"/>
        <w:bidi w:val="0"/>
        <w:spacing w:before="0" w:after="40" w:line="312" w:lineRule="exact"/>
        <w:ind w:left="1640" w:right="0" w:firstLine="0"/>
        <w:jc w:val="both"/>
      </w:pPr>
      <w:r>
        <w:rPr>
          <w:color w:val="000000"/>
          <w:spacing w:val="0"/>
          <w:w w:val="100"/>
          <w:position w:val="0"/>
        </w:rPr>
        <w:t>研发中心平台建设与软件升级产业化项目未达到计划进度的情况和原因</w:t>
      </w:r>
    </w:p>
    <w:p>
      <w:pPr>
        <w:pStyle w:val="Style26"/>
        <w:keepNext w:val="0"/>
        <w:keepLines w:val="0"/>
        <w:widowControl w:val="0"/>
        <w:shd w:val="clear" w:color="auto" w:fill="auto"/>
        <w:bidi w:val="0"/>
        <w:spacing w:before="0" w:after="40" w:line="312" w:lineRule="exact"/>
        <w:ind w:left="164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日经公司第一届董事会第二十次会议审议通过，决定将该项目完成日推迟至</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日，推迟期一年</w:t>
      </w:r>
      <w:r>
        <w:rPr>
          <w:rFonts w:ascii="Tahoma" w:eastAsia="Tahoma" w:hAnsi="Tahoma" w:cs="Tahoma"/>
          <w:color w:val="000000"/>
          <w:spacing w:val="0"/>
          <w:w w:val="100"/>
          <w:position w:val="0"/>
          <w:sz w:val="16"/>
          <w:szCs w:val="16"/>
        </w:rPr>
        <w:t xml:space="preserve">o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日经公司第二届董事会第九次会议审议通过，决定再次调 整该项目的实施进度，将完成日推迟至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40" w:line="312" w:lineRule="exact"/>
        <w:ind w:left="1640" w:right="0" w:firstLine="460"/>
        <w:jc w:val="both"/>
      </w:pPr>
      <w:r>
        <w:rPr>
          <w:color w:val="000000"/>
          <w:spacing w:val="0"/>
          <w:w w:val="100"/>
          <w:position w:val="0"/>
        </w:rPr>
        <w:t>进度推迟原因：本项目建设过程中，恰逢国家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规划制定并颁布，对人力资源和社会保 障、医疗卫生两个行业的信息化提出了新的规划和要求，同时两个行业的信息化工作本身也在快速发 展过程中，新的趋势和变化不断产生。为了募集资金的效益最大化，本项目建设过程中须重视、评估 这些新的需求和变化，以把握行业信息化的趋势和热点，使得本项目中研发的软件产品能更贴近行业 需求，具备更强的市场竞争力，这需延长软件的研发周期。</w:t>
      </w:r>
    </w:p>
    <w:p>
      <w:pPr>
        <w:pStyle w:val="Style26"/>
        <w:keepNext w:val="0"/>
        <w:keepLines w:val="0"/>
        <w:widowControl w:val="0"/>
        <w:shd w:val="clear" w:color="auto" w:fill="auto"/>
        <w:bidi w:val="0"/>
        <w:spacing w:before="0" w:after="500" w:line="313" w:lineRule="exact"/>
        <w:ind w:left="1640" w:right="0"/>
        <w:jc w:val="both"/>
      </w:pPr>
      <w:r>
        <w:rPr>
          <w:color w:val="000000"/>
          <w:spacing w:val="0"/>
          <w:w w:val="100"/>
          <w:position w:val="0"/>
        </w:rPr>
        <w:t>本项目与公司另一募投项目一民生一体化综合信息服务平台项目在软、硬件建设内容及服务应 用方面具有较大关联性。民生一体化综合信息服务平台项目建设正在按计划顺利推进，已建设了包括 大型云服务主机在内的软硬件平台。由于该项目尚未完全展开，目前有较多空闲资源。为合理利用资 源，现将民生一体化综合信息服务平台项目的云服务平台划出部分资源暂时供研发中心平台建设与软 件升级产业化项目使用，等有实际需要的时候，再开始投入本项目中与民生一体化综合信息服务平台 重合部分的软、硬件平台建设。</w:t>
      </w:r>
    </w:p>
    <w:p>
      <w:pPr>
        <w:pStyle w:val="Style26"/>
        <w:keepNext w:val="0"/>
        <w:keepLines w:val="0"/>
        <w:widowControl w:val="0"/>
        <w:shd w:val="clear" w:color="auto" w:fill="auto"/>
        <w:bidi w:val="0"/>
        <w:spacing w:before="0" w:after="40" w:line="240" w:lineRule="auto"/>
        <w:ind w:left="1640" w:right="0" w:firstLine="0"/>
        <w:jc w:val="both"/>
      </w:pPr>
      <w:r>
        <w:rPr>
          <w:color w:val="000000"/>
          <w:spacing w:val="0"/>
          <w:w w:val="100"/>
          <w:position w:val="0"/>
        </w:rPr>
        <w:t>民生一体化综合信息服务平台项目未达到计划进度的情况和原因</w:t>
      </w:r>
    </w:p>
    <w:p>
      <w:pPr>
        <w:pStyle w:val="Style26"/>
        <w:keepNext w:val="0"/>
        <w:keepLines w:val="0"/>
        <w:widowControl w:val="0"/>
        <w:shd w:val="clear" w:color="auto" w:fill="auto"/>
        <w:bidi w:val="0"/>
        <w:spacing w:before="0" w:after="40" w:line="314" w:lineRule="exact"/>
        <w:ind w:left="0" w:right="0" w:firstLine="380"/>
        <w:jc w:val="both"/>
      </w:pPr>
      <w:r>
        <mc:AlternateContent>
          <mc:Choice Requires="wps">
            <w:drawing>
              <wp:anchor distT="0" distB="0" distL="0" distR="0" simplePos="0" relativeHeight="125829380" behindDoc="0" locked="0" layoutInCell="1" allowOverlap="1">
                <wp:simplePos x="0" y="0"/>
                <wp:positionH relativeFrom="page">
                  <wp:posOffset>711835</wp:posOffset>
                </wp:positionH>
                <wp:positionV relativeFrom="paragraph">
                  <wp:posOffset>12700</wp:posOffset>
                </wp:positionV>
                <wp:extent cx="1029970" cy="612775"/>
                <wp:wrapSquare wrapText="bothSides"/>
                <wp:docPr id="14" name="Shape 14"/>
                <a:graphic xmlns:a="http://schemas.openxmlformats.org/drawingml/2006/main">
                  <a:graphicData uri="http://schemas.microsoft.com/office/word/2010/wordprocessingShape">
                    <wps:wsp>
                      <wps:cNvSpPr txBox="1"/>
                      <wps:spPr>
                        <a:xfrm>
                          <a:ext cx="1029970" cy="612775"/>
                        </a:xfrm>
                        <a:prstGeom prst="rect"/>
                        <a:noFill/>
                      </wps:spPr>
                      <wps:txbx>
                        <w:txbxContent>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xbxContent>
                      </wps:txbx>
                      <wps:bodyPr lIns="0" tIns="0" rIns="0" bIns="0">
                        <a:noAutoFit/>
                      </wps:bodyPr>
                    </wps:wsp>
                  </a:graphicData>
                </a:graphic>
              </wp:anchor>
            </w:drawing>
          </mc:Choice>
          <mc:Fallback>
            <w:pict>
              <v:shape id="_x0000_s1040" type="#_x0000_t202" style="position:absolute;margin-left:56.050000000000004pt;margin-top:1.pt;width:81.100000000000009pt;height:48.25pt;z-index:-125829373;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xbxContent>
                </v:textbox>
                <w10:wrap type="square" anchorx="page"/>
              </v:shape>
            </w:pict>
          </mc:Fallback>
        </mc:AlternateConten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日经公司第二届董事会第二次会议审议通过，决定将项目完成日推迟至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日，推迟期一年。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日经公司第二届董事会第十三次会议审议通过，决定再次调整 该项目的实施进度，将完成日推迟至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6"/>
        <w:keepNext w:val="0"/>
        <w:keepLines w:val="0"/>
        <w:widowControl w:val="0"/>
        <w:shd w:val="clear" w:color="auto" w:fill="auto"/>
        <w:bidi w:val="0"/>
        <w:spacing w:before="0" w:after="40" w:line="312" w:lineRule="exact"/>
        <w:ind w:left="1640" w:right="0"/>
        <w:jc w:val="both"/>
      </w:pPr>
      <w:r>
        <w:rPr>
          <w:color w:val="000000"/>
          <w:spacing w:val="0"/>
          <w:w w:val="100"/>
          <w:position w:val="0"/>
        </w:rPr>
        <w:t>进度推迟原因：该项目的民生服务自助机系统是由系统应用软件和自助信息终端机组成，计划在 基层网点布设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套自助机和终端软件。在本项目民生服务自助信息机布放过程中，</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十八大召开，确定了深化政府转型、经济结构转型、基本公共服务均等化等改革的重点领域和方向， 推动了我国就业服务和基本社会保障、公共卫生和基本医疗服务体系建设以及服务外包产业市场空间 的挖掘和释放，也为我司民生自助信息服务一体机的推广和布放提供了更为广阔的市场空间和前景。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月国务院总理李克强主持召开国务院常务会议，会议确定今年在行政体制、价格、民生、统 筹城乡、农业农村等重点领域和关键环节加大改革力度。继续推进医药卫生体制改革，加快推进城乡 居民大病保险。完善相关公共服务及社会保障制度。公司民生一体化综合信息服务平台项目原计划 应于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日完工，公司已于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月份与供应商签订了 </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台的民生服务自助信息机 采购合同，并积极进行布放。但是，由于相关政策的变化，客户增加了部分需求，致使布放过程放缓。</w:t>
      </w:r>
    </w:p>
    <w:p>
      <w:pPr>
        <w:pStyle w:val="Style26"/>
        <w:keepNext w:val="0"/>
        <w:keepLines w:val="0"/>
        <w:widowControl w:val="0"/>
        <w:shd w:val="clear" w:color="auto" w:fill="auto"/>
        <w:bidi w:val="0"/>
        <w:spacing w:before="0" w:after="40" w:line="314" w:lineRule="exact"/>
        <w:ind w:left="164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月底，国务院总理李克强主持召开国务院常务会议，研究推进政府向社会力量购买公共 服务。在这个政策的鼓励下，政府为了进一步提高公共服务管理水平，计划在民生服务自助信息机上 加载更多的公共服务业务，不仅从信息服务内容的多样化需求以及自助信息机原有系统具有更广阔的 升级空间，都需要对民生服务自助信息机系统进行升级改造。公司与客户积极展开规划、设计，但由 于业务需求细化需要一个过程。</w:t>
      </w:r>
    </w:p>
    <w:p>
      <w:pPr>
        <w:pStyle w:val="Style26"/>
        <w:keepNext w:val="0"/>
        <w:keepLines w:val="0"/>
        <w:widowControl w:val="0"/>
        <w:shd w:val="clear" w:color="auto" w:fill="auto"/>
        <w:bidi w:val="0"/>
        <w:spacing w:before="0" w:after="40" w:line="317" w:lineRule="exact"/>
        <w:ind w:left="164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月，十八大三中全会召开恰逢其时。十八大三中全会通过了《中共中央关于全面深化 改革若干重大问题的决定》鉴于前述国家政策以及移动互联行业发展的大势，从宏观影响产业方向 到向微观影响行业规划发展的转变，是一个逐步清晰和渐进的过程。在三中全会之后，客户提出的需</w:t>
      </w:r>
      <w:r>
        <w:br w:type="page"/>
      </w:r>
    </w:p>
    <w:tbl>
      <w:tblPr>
        <w:tblOverlap w:val="never"/>
        <w:jc w:val="center"/>
        <w:tblLayout w:type="fixed"/>
      </w:tblPr>
      <w:tblGrid>
        <w:gridCol w:w="1637"/>
        <w:gridCol w:w="7949"/>
      </w:tblGrid>
      <w:tr>
        <w:trPr>
          <w:trHeight w:val="1075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求更加明确，也更加丰富。原来民生服务自助信息机的配置难以满足这一变化，为了更好地实现一系 列的新增公共服务，公司已组织项目团队进行设备、系统的规划设计，并回收了部分已布放的设备。 但由于新增需求的具体细节需要与客户充分沟通，时间上具有一定不确定性，因此未能及时调整该项 目的实施进度。</w:t>
            </w:r>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目前，已完成了民生服务自助信息机的设备改造和软件升级的规划工作，包括医疗、社保、劳动、 教育、住房等各业务口的服务细化和应用扩展，例如医疗方面居民健康档案的应用，健康体检和健康 管理的扩展；住房方面对厦门市公积金管理中心自助服务系统的建设；便民服务方面对水、电、煤、 交通罚没等方面接入便民应用，引入金融支付模块等。为了更好地实现一系列的新增公共服务，将公 司民生综合信息服务与政改（推广政府购买服务、政府机构改革以及去行政化等）、医改、促进就业 创业、建立更加公平可持续的社会保障制度等新政策相融合，公司需要时间对计划布放的民生服务自 助信息机和软件进行更新、升级后再进行布放。</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社会保障卡及读写终端制作中心项目未达到计划进度的情况和原因</w:t>
            </w:r>
          </w:p>
          <w:p>
            <w:pPr>
              <w:pStyle w:val="Style19"/>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日经公司第一届董事会第二十次会议审议通过，决定将该项目完成日推迟至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日，推迟期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1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进度推迟原因：该项目是为了满足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全民参保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形成的巨大的社会保障卡市场需求而立项。项目建 设伊始，恰逢本公司正承担福建设社会保障卡的建设工作，时间紧，任务重，为满足福建省政府对全 省社会保障卡的制作和发放工作的规划要求，本公司进行流程优化将社会保障卡的部分制作交付第三 方进行生产并在制作环节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增员扩容匚因此，本公司在社会保障卡及读写终端制作中心项目的建设进 度作了推迟建设的安排。</w:t>
            </w:r>
          </w:p>
          <w:p>
            <w:pPr>
              <w:pStyle w:val="Style19"/>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其次，目前中国人民银行和人社部也正在合力推动金融社保卡的发行工作，这给规范主体和市场 带来了新的变化和要求，为了顺应这一变化，本公司在社保卡项目的建设过程中，也要充分考虑到这 些新的变化，以使募投资金的利用更有效率，产出更加良好，这在一定程度上也影响了社会保障卡及 读写终端制作中心项目的建设进度。</w:t>
            </w:r>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截至本报告期末，该项目已经建设完成，公司内部已完成了项目验收工作，并正式投入生产。</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社会保障卡及读写终端制作中心项目未达到预计收益的情况和原因</w:t>
            </w:r>
          </w:p>
          <w:p>
            <w:pPr>
              <w:pStyle w:val="Style1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本报告期，社会保障卡及读写终端制作中心项目实际实现效益与预计效益存在差异的主要原因 是：前期，由于人力资源与社会保障部关于社保卡规范升级及人民银行</w:t>
            </w:r>
            <w:r>
              <w:rPr>
                <w:rFonts w:ascii="Times New Roman" w:eastAsia="Times New Roman" w:hAnsi="Times New Roman" w:cs="Times New Roman"/>
                <w:color w:val="000000"/>
                <w:spacing w:val="0"/>
                <w:w w:val="100"/>
                <w:position w:val="0"/>
                <w:sz w:val="18"/>
                <w:szCs w:val="18"/>
              </w:rPr>
              <w:t>PBOC2.0</w:t>
            </w:r>
            <w:r>
              <w:rPr>
                <w:color w:val="000000"/>
                <w:spacing w:val="0"/>
                <w:w w:val="100"/>
                <w:position w:val="0"/>
              </w:rPr>
              <w:t>升级，这给规范主 体和市场带来了新的变化和要求，为顺应这些变化和要求，本项目的建设、商务拓展和生产销售等工 作均发生了延迟，收入和利润的实现也受到了很大影响。报告期，制卡中心已经投产并产生效益。公 司在安徽、湖南等省的社保卡制发卡工作也已经开始稳步推进，后续将带动社保卡卡片制作销售。同 时，公司正在加强市场销售工作，争取在银行卡及其他卡片方面实现销售。</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840" w:val="left"/>
              </w:tabs>
              <w:bidi w:val="0"/>
              <w:spacing w:before="0" w:after="0" w:line="298" w:lineRule="exact"/>
              <w:ind w:left="0" w:right="0" w:firstLine="380"/>
              <w:jc w:val="both"/>
            </w:pPr>
            <w:r>
              <w:rPr>
                <w:color w:val="000000"/>
                <w:spacing w:val="0"/>
                <w:w w:val="100"/>
                <w:position w:val="0"/>
              </w:rPr>
              <w:t>运维体系及灾备服务平台项目、投资设立大连易联众科技有限公司项目可行性发生重大变化，详 见附表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年度变更募集资金投资项目情况表。</w:t>
            </w:r>
          </w:p>
        </w:tc>
      </w:tr>
      <w:tr>
        <w:trPr>
          <w:trHeight w:val="39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328"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本公司募集资金净额</w:t>
            </w:r>
            <w:r>
              <w:rPr>
                <w:rFonts w:ascii="Times New Roman" w:eastAsia="Times New Roman" w:hAnsi="Times New Roman" w:cs="Times New Roman"/>
                <w:color w:val="000000"/>
                <w:spacing w:val="0"/>
                <w:w w:val="100"/>
                <w:position w:val="0"/>
                <w:sz w:val="18"/>
                <w:szCs w:val="18"/>
              </w:rPr>
              <w:t>39,373.90</w:t>
            </w:r>
            <w:r>
              <w:rPr>
                <w:color w:val="000000"/>
                <w:spacing w:val="0"/>
                <w:w w:val="100"/>
                <w:position w:val="0"/>
              </w:rPr>
              <w:t>万元，与承诺募投项目资金</w:t>
            </w:r>
            <w:r>
              <w:rPr>
                <w:rFonts w:ascii="Times New Roman" w:eastAsia="Times New Roman" w:hAnsi="Times New Roman" w:cs="Times New Roman"/>
                <w:color w:val="000000"/>
                <w:spacing w:val="0"/>
                <w:w w:val="100"/>
                <w:position w:val="0"/>
                <w:sz w:val="18"/>
                <w:szCs w:val="18"/>
              </w:rPr>
              <w:t>18,779.07</w:t>
            </w:r>
            <w:r>
              <w:rPr>
                <w:color w:val="000000"/>
                <w:spacing w:val="0"/>
                <w:w w:val="100"/>
                <w:position w:val="0"/>
              </w:rPr>
              <w:t xml:space="preserve">万元相比，超募资金为 </w:t>
            </w:r>
            <w:r>
              <w:rPr>
                <w:rFonts w:ascii="Times New Roman" w:eastAsia="Times New Roman" w:hAnsi="Times New Roman" w:cs="Times New Roman"/>
                <w:color w:val="000000"/>
                <w:spacing w:val="0"/>
                <w:w w:val="100"/>
                <w:position w:val="0"/>
                <w:sz w:val="18"/>
                <w:szCs w:val="18"/>
              </w:rPr>
              <w:t>20,594.83</w:t>
            </w:r>
            <w:r>
              <w:rPr>
                <w:color w:val="000000"/>
                <w:spacing w:val="0"/>
                <w:w w:val="100"/>
                <w:position w:val="0"/>
              </w:rPr>
              <w:t>万元，超募资金实际使用情况如下：</w:t>
            </w:r>
          </w:p>
          <w:p>
            <w:pPr>
              <w:pStyle w:val="Style19"/>
              <w:keepNext w:val="0"/>
              <w:keepLines w:val="0"/>
              <w:widowControl w:val="0"/>
              <w:shd w:val="clear" w:color="auto" w:fill="auto"/>
              <w:tabs>
                <w:tab w:pos="600" w:val="left"/>
              </w:tabs>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日第一届董事会第七次会议审议通过，本公司使用超募资金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万元用于永 久性补充公司流动资金。</w:t>
            </w:r>
          </w:p>
          <w:p>
            <w:pPr>
              <w:pStyle w:val="Style19"/>
              <w:keepNext w:val="0"/>
              <w:keepLines w:val="0"/>
              <w:widowControl w:val="0"/>
              <w:shd w:val="clear" w:color="auto" w:fill="auto"/>
              <w:tabs>
                <w:tab w:pos="576"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日第一届董事会第八次会议审议通过，本公司使用超募资金</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万元投资设立 福建易联众电子科技有限公司。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月，本公司使用超募资金</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万元用于福建易联众电子科 技有限公司的首期注册资金。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月，本公司使用超募资金</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万元用于福建易联众电子科技有</w:t>
            </w:r>
          </w:p>
        </w:tc>
      </w:tr>
    </w:tbl>
    <w:p>
      <w:pPr>
        <w:spacing w:lineRule="exact" w:line="1"/>
        <w:rPr>
          <w:sz w:val="2"/>
          <w:szCs w:val="2"/>
        </w:rPr>
      </w:pPr>
      <w:r>
        <w:br w:type="page"/>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1580" w:right="0" w:firstLine="0"/>
        <w:jc w:val="both"/>
      </w:pPr>
      <w:r>
        <w:rPr>
          <w:color w:val="000000"/>
          <w:spacing w:val="0"/>
          <w:w w:val="100"/>
          <w:position w:val="0"/>
        </w:rPr>
        <w:t>限公司的第二期出资。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日，经本公司第一届董事会第十七次会议审议通过，将所持有 福建易联众电子科技有限公司</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的股权（出资额为</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万元人民币）以</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万元人民币的价格转让给 福建易联众电子科技有限公司的三位技术人员施莹、高扬和阮文华，股权转让款已于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日归还至募集资金专用账户。</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1940" w:right="0" w:firstLine="0"/>
        <w:jc w:val="both"/>
      </w:pPr>
      <w:r>
        <w:rPr>
          <w:color w:val="000000"/>
          <w:spacing w:val="0"/>
          <w:w w:val="100"/>
          <w:position w:val="0"/>
        </w:rPr>
        <w:t>公司使用超募资金投资的子公司</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福建易联众电子科技未达到预计效益的情况和原因</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1580" w:right="0"/>
        <w:jc w:val="both"/>
      </w:pPr>
      <w:r>
        <w:rPr>
          <w:color w:val="000000"/>
          <w:spacing w:val="0"/>
          <w:w w:val="100"/>
          <w:position w:val="0"/>
        </w:rPr>
        <w:t>本报告期，福建易联众电子科技实际实现的效益与预计效益存在差异的主要原因是：福建易联众 电子科技针对银行安全认证及相关产品正在进行福建省外的全国市场的业务拓展，目前正处于市场的 拓展阶段。本报告期，虽然利润实现上没有达到预期的目标，但通过研发及市场积累，已经形成了比 较完整的产品线，省外客户市场也有了较大突破。</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224" w:val="left"/>
        </w:tabs>
        <w:bidi w:val="0"/>
        <w:spacing w:before="0" w:after="0" w:line="317" w:lineRule="exact"/>
        <w:ind w:left="1580" w:right="0"/>
        <w:jc w:val="both"/>
      </w:pPr>
      <w:bookmarkStart w:id="89" w:name="bookmark89"/>
      <w:r>
        <w:rPr>
          <w:rFonts w:ascii="Times New Roman" w:eastAsia="Times New Roman" w:hAnsi="Times New Roman" w:cs="Times New Roman"/>
          <w:color w:val="000000"/>
          <w:spacing w:val="0"/>
          <w:w w:val="100"/>
          <w:position w:val="0"/>
          <w:sz w:val="18"/>
          <w:szCs w:val="18"/>
        </w:rPr>
        <w:t>3</w:t>
      </w:r>
      <w:bookmarkEnd w:id="8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日第一届董事会第八次会议审议通过，本公司使用超募资金</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万元投资设 立大连易联众科技有限公司。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月，本公司使用超募资金</w:t>
      </w:r>
      <w:r>
        <w:rPr>
          <w:rFonts w:ascii="Times New Roman" w:eastAsia="Times New Roman" w:hAnsi="Times New Roman" w:cs="Times New Roman"/>
          <w:color w:val="000000"/>
          <w:spacing w:val="0"/>
          <w:w w:val="100"/>
          <w:position w:val="0"/>
          <w:sz w:val="18"/>
          <w:szCs w:val="18"/>
        </w:rPr>
        <w:t>945</w:t>
      </w:r>
      <w:r>
        <w:rPr>
          <w:color w:val="000000"/>
          <w:spacing w:val="0"/>
          <w:w w:val="100"/>
          <w:position w:val="0"/>
        </w:rPr>
        <w:t>万元用于大连易联众科技有限 公司的首期注册资金。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月，本公司使用超募资金</w:t>
      </w:r>
      <w:r>
        <w:rPr>
          <w:rFonts w:ascii="Times New Roman" w:eastAsia="Times New Roman" w:hAnsi="Times New Roman" w:cs="Times New Roman"/>
          <w:color w:val="000000"/>
          <w:spacing w:val="0"/>
          <w:w w:val="100"/>
          <w:position w:val="0"/>
          <w:sz w:val="18"/>
          <w:szCs w:val="18"/>
        </w:rPr>
        <w:t>1,755</w:t>
      </w:r>
      <w:r>
        <w:rPr>
          <w:color w:val="000000"/>
          <w:spacing w:val="0"/>
          <w:w w:val="100"/>
          <w:position w:val="0"/>
        </w:rPr>
        <w:t>万元用于大连易联众科技有限公司 第二期出资。</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158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日经第二届董事会第九次会议审议通过，并经公司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 议通过，公司决定终止超募资金投资项目</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大连易联众科技有限公司。具体情况详见公司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日刊登在中国证监会指定的创业板信息披露网站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的《关于</w:t>
      </w:r>
      <w:r>
        <w:rPr>
          <w:color w:val="000000"/>
          <w:spacing w:val="0"/>
          <w:w w:val="100"/>
          <w:position w:val="0"/>
        </w:rPr>
        <w:t xml:space="preserve"> 终止超募资金投资项目</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大连易联众科技有限公司公告》。</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158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月，完成了对大连易联众科技有限公司的注销登记工作。具体情况详见公司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日刊登在中国证监会指定的创业板信息披露网站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的《关</w:t>
      </w:r>
      <w:r>
        <w:rPr>
          <w:color w:val="000000"/>
          <w:spacing w:val="0"/>
          <w:w w:val="100"/>
          <w:position w:val="0"/>
        </w:rPr>
        <w:t xml:space="preserve"> 于完成子公司注销登记的公告》，公司对大连易联众依法清算后剩余财产</w:t>
      </w:r>
      <w:r>
        <w:rPr>
          <w:rFonts w:ascii="Times New Roman" w:eastAsia="Times New Roman" w:hAnsi="Times New Roman" w:cs="Times New Roman"/>
          <w:color w:val="000000"/>
          <w:spacing w:val="0"/>
          <w:w w:val="100"/>
          <w:position w:val="0"/>
          <w:sz w:val="18"/>
          <w:szCs w:val="18"/>
        </w:rPr>
        <w:t>2607.10</w:t>
      </w:r>
      <w:r>
        <w:rPr>
          <w:color w:val="000000"/>
          <w:spacing w:val="0"/>
          <w:w w:val="100"/>
          <w:position w:val="0"/>
        </w:rPr>
        <w:t>万元已转回超募资 金专户。</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224" w:val="left"/>
        </w:tabs>
        <w:bidi w:val="0"/>
        <w:spacing w:before="0" w:after="0" w:line="319" w:lineRule="exact"/>
        <w:ind w:left="1580" w:right="0"/>
        <w:jc w:val="both"/>
      </w:pPr>
      <w:bookmarkStart w:id="90" w:name="bookmark90"/>
      <w:r>
        <w:rPr>
          <w:rFonts w:ascii="Times New Roman" w:eastAsia="Times New Roman" w:hAnsi="Times New Roman" w:cs="Times New Roman"/>
          <w:color w:val="000000"/>
          <w:spacing w:val="0"/>
          <w:w w:val="100"/>
          <w:position w:val="0"/>
          <w:sz w:val="18"/>
          <w:szCs w:val="18"/>
        </w:rPr>
        <w:t>4</w:t>
      </w:r>
      <w:bookmarkEnd w:id="9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日第一届董事会第十七次会议审议通过，本公司使用超募资金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万元用于 永久性补充公司流动资金，截止目前该</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万元超募资金实际已全部用于公司社会保障卡项目等日 常经营所需流动资金。</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238" w:val="left"/>
        </w:tabs>
        <w:bidi w:val="0"/>
        <w:spacing w:before="0" w:after="0" w:line="312" w:lineRule="exact"/>
        <w:ind w:left="1580" w:right="0"/>
        <w:jc w:val="both"/>
      </w:pPr>
      <w:bookmarkStart w:id="91" w:name="bookmark91"/>
      <w:r>
        <w:rPr>
          <w:rFonts w:ascii="Times New Roman" w:eastAsia="Times New Roman" w:hAnsi="Times New Roman" w:cs="Times New Roman"/>
          <w:color w:val="000000"/>
          <w:spacing w:val="0"/>
          <w:w w:val="100"/>
          <w:position w:val="0"/>
          <w:sz w:val="18"/>
          <w:szCs w:val="18"/>
        </w:rPr>
        <w:t>5</w:t>
      </w:r>
      <w:bookmarkEnd w:id="9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日第二届董事会第五次会议审议通过，本公司使用超募资金</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万元用于 购置位于福州市鼓楼区软件大道</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福州软件园动漫游戏产业基地二期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3691.2</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独 栋研发楼，用于公司在福州地区子公司、办事处及相关部门的办公场所。截至本报告期末止，该项目 实际投入</w:t>
      </w:r>
      <w:r>
        <w:rPr>
          <w:rFonts w:ascii="Times New Roman" w:eastAsia="Times New Roman" w:hAnsi="Times New Roman" w:cs="Times New Roman"/>
          <w:color w:val="000000"/>
          <w:spacing w:val="0"/>
          <w:w w:val="100"/>
          <w:position w:val="0"/>
          <w:sz w:val="18"/>
          <w:szCs w:val="18"/>
        </w:rPr>
        <w:t>2965.52</w:t>
      </w:r>
      <w:r>
        <w:rPr>
          <w:color w:val="000000"/>
          <w:spacing w:val="0"/>
          <w:w w:val="100"/>
          <w:position w:val="0"/>
        </w:rPr>
        <w:t>万元。</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158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日，该办公楼已达到预计使用状态，由在建工程转入公司固定资产。截至本报告 公告日，该办公楼尚未办理产权登记手续。关于购买该办公楼的具体情况详见公司于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日刊登在中国证监会指定的创业板信息披露网站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的《关于使用</w:t>
      </w:r>
      <w:r>
        <w:rPr>
          <w:color w:val="000000"/>
          <w:spacing w:val="0"/>
          <w:w w:val="100"/>
          <w:position w:val="0"/>
        </w:rPr>
        <w:t xml:space="preserve"> 超募资金购置福州软件园产业基地二期</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研发楼的公告》。</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229" w:val="left"/>
        </w:tabs>
        <w:bidi w:val="0"/>
        <w:spacing w:before="0" w:after="0" w:line="326" w:lineRule="exact"/>
        <w:ind w:left="1580" w:right="0"/>
        <w:jc w:val="both"/>
      </w:pPr>
      <w:bookmarkStart w:id="92" w:name="bookmark92"/>
      <w:r>
        <w:rPr>
          <w:rFonts w:ascii="Times New Roman" w:eastAsia="Times New Roman" w:hAnsi="Times New Roman" w:cs="Times New Roman"/>
          <w:color w:val="000000"/>
          <w:spacing w:val="0"/>
          <w:w w:val="100"/>
          <w:position w:val="0"/>
          <w:sz w:val="18"/>
          <w:szCs w:val="18"/>
        </w:rPr>
        <w:t>6</w:t>
      </w:r>
      <w:bookmarkEnd w:id="9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日，经公司第二届董事会第七次会议审议通过，本公司使用超募资金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 元用于永久性补充公司流动资金。</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234" w:val="left"/>
        </w:tabs>
        <w:bidi w:val="0"/>
        <w:spacing w:before="0" w:after="80" w:line="315" w:lineRule="exact"/>
        <w:ind w:left="1940" w:right="0" w:firstLine="0"/>
        <w:jc w:val="both"/>
      </w:pPr>
      <w:bookmarkStart w:id="93" w:name="bookmark93"/>
      <w:r>
        <w:rPr>
          <w:rFonts w:ascii="Times New Roman" w:eastAsia="Times New Roman" w:hAnsi="Times New Roman" w:cs="Times New Roman"/>
          <w:color w:val="000000"/>
          <w:spacing w:val="0"/>
          <w:w w:val="100"/>
          <w:position w:val="0"/>
          <w:sz w:val="18"/>
          <w:szCs w:val="18"/>
        </w:rPr>
        <w:t>7</w:t>
      </w:r>
      <w:bookmarkEnd w:id="93"/>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日止，公司累计使用超募资金人民币</w:t>
      </w:r>
      <w:r>
        <w:rPr>
          <w:rFonts w:ascii="Times New Roman" w:eastAsia="Times New Roman" w:hAnsi="Times New Roman" w:cs="Times New Roman"/>
          <w:color w:val="000000"/>
          <w:spacing w:val="0"/>
          <w:w w:val="100"/>
          <w:position w:val="0"/>
          <w:sz w:val="18"/>
          <w:szCs w:val="18"/>
        </w:rPr>
        <w:t>15,568.42</w:t>
      </w:r>
      <w:r>
        <w:rPr>
          <w:color w:val="000000"/>
          <w:spacing w:val="0"/>
          <w:w w:val="100"/>
          <w:position w:val="0"/>
        </w:rPr>
        <w:t>万元。</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1580" w:right="0" w:firstLine="0"/>
        <w:jc w:val="both"/>
      </w:pPr>
      <w:r>
        <w:rPr>
          <w:color w:val="000000"/>
          <w:spacing w:val="0"/>
          <w:w w:val="100"/>
          <w:position w:val="0"/>
        </w:rPr>
        <w:t>适用</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1580" w:right="0" w:firstLine="0"/>
        <w:jc w:val="both"/>
      </w:pPr>
      <w:r>
        <w:rPr>
          <w:color w:val="000000"/>
          <w:spacing w:val="0"/>
          <w:w w:val="100"/>
          <w:position w:val="0"/>
        </w:rPr>
        <w:t>以前年度发生</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380"/>
        <w:jc w:val="both"/>
      </w:pPr>
      <w:r>
        <mc:AlternateContent>
          <mc:Choice Requires="wps">
            <w:drawing>
              <wp:anchor distT="0" distB="0" distL="88900" distR="88900" simplePos="0" relativeHeight="125829382" behindDoc="0" locked="0" layoutInCell="1" allowOverlap="1">
                <wp:simplePos x="0" y="0"/>
                <wp:positionH relativeFrom="page">
                  <wp:posOffset>687070</wp:posOffset>
                </wp:positionH>
                <wp:positionV relativeFrom="paragraph">
                  <wp:posOffset>139700</wp:posOffset>
                </wp:positionV>
                <wp:extent cx="944880" cy="402590"/>
                <wp:wrapSquare wrapText="bothSides"/>
                <wp:docPr id="16" name="Shape 16"/>
                <a:graphic xmlns:a="http://schemas.openxmlformats.org/drawingml/2006/main">
                  <a:graphicData uri="http://schemas.microsoft.com/office/word/2010/wordprocessingShape">
                    <wps:wsp>
                      <wps:cNvSpPr txBox="1"/>
                      <wps:spPr>
                        <a:xfrm>
                          <a:ext cx="944880" cy="402590"/>
                        </a:xfrm>
                        <a:prstGeom prst="rect"/>
                        <a:noFill/>
                      </wps:spPr>
                      <wps:txbx>
                        <w:txbxContent>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xbxContent>
                      </wps:txbx>
                      <wps:bodyPr lIns="0" tIns="0" rIns="0" bIns="0">
                        <a:noAutoFit/>
                      </wps:bodyPr>
                    </wps:wsp>
                  </a:graphicData>
                </a:graphic>
              </wp:anchor>
            </w:drawing>
          </mc:Choice>
          <mc:Fallback>
            <w:pict>
              <v:shape id="_x0000_s1042" type="#_x0000_t202" style="position:absolute;margin-left:54.100000000000001pt;margin-top:11.pt;width:74.400000000000006pt;height:31.699999999999999pt;z-index:-125829371;mso-wrap-distance-left:7.pt;mso-wrap-distance-right:7.pt;mso-position-horizontal-relative:page" filled="f" stroked="f">
                <v:textbox inset="0,0,0,0">
                  <w:txbxContent>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xbxContent>
                </v:textbox>
                <w10:wrap type="square" anchorx="page"/>
              </v:shape>
            </w:pict>
          </mc:Fallback>
        </mc:AlternateConten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日，本公司第一届董事会第二十次会议审议通过了《关于变更募投项目一社会 保障卡及读写终端制作中心项目实施地点的议案》，由于福建省政府于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年下半年率先开始推行 社保卡和就诊一卡通项目建设，本公司承接了福建省全省金融社保卡业务，组建了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人的卡业务数 据采集和处理团队，加上生产线建设用地，原规划场地厦门市软件园二期公司办公大楼面积</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平 方米，不能满足项目建设发展需求，长远来看，产业发展空间受限，而且软件园二期公司办公大楼现 有剩余空间不能满足项目实施产地扩充的要求。因此，决定将该募投项目实施地点变更至厦门思明区</w:t>
      </w:r>
      <w:r>
        <w:br w:type="page"/>
      </w:r>
    </w:p>
    <w:tbl>
      <w:tblPr>
        <w:tblOverlap w:val="never"/>
        <w:jc w:val="center"/>
        <w:tblLayout w:type="fixed"/>
      </w:tblPr>
      <w:tblGrid>
        <w:gridCol w:w="1637"/>
        <w:gridCol w:w="7949"/>
      </w:tblGrid>
      <w:tr>
        <w:trPr>
          <w:trHeight w:val="134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前埔西路</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号，场地面积</w:t>
            </w:r>
            <w:r>
              <w:rPr>
                <w:rFonts w:ascii="Times New Roman" w:eastAsia="Times New Roman" w:hAnsi="Times New Roman" w:cs="Times New Roman"/>
                <w:color w:val="000000"/>
                <w:spacing w:val="0"/>
                <w:w w:val="100"/>
                <w:position w:val="0"/>
                <w:sz w:val="18"/>
                <w:szCs w:val="18"/>
              </w:rPr>
              <w:t>2613</w:t>
            </w:r>
            <w:r>
              <w:rPr>
                <w:color w:val="000000"/>
                <w:spacing w:val="0"/>
                <w:w w:val="100"/>
                <w:position w:val="0"/>
              </w:rPr>
              <w:t>平方米能够适应募投项目建设需求，实现公司产业发展战略。</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此次项目实施地点变更，能优化募投项目的实施布局，使本公司获得较大的发展空间和优越的发 展环境，并且未改变募投项目的实施主体、建设内容和实施方式，不存在变相改变募集资金投向和损 害股东利益的情形。</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日，本公司第一届董事会第十二次会议审议通过了《关于用募集资金置换预先投 入募投项目的自筹资金的议案》，同意以募集资金置换公司预先已投入募集资金投资项目的自筹资金 </w:t>
            </w:r>
            <w:r>
              <w:rPr>
                <w:rFonts w:ascii="Times New Roman" w:eastAsia="Times New Roman" w:hAnsi="Times New Roman" w:cs="Times New Roman"/>
                <w:color w:val="000000"/>
                <w:spacing w:val="0"/>
                <w:w w:val="100"/>
                <w:position w:val="0"/>
                <w:sz w:val="18"/>
                <w:szCs w:val="18"/>
              </w:rPr>
              <w:t>9,003,342.01</w:t>
            </w:r>
            <w:r>
              <w:rPr>
                <w:color w:val="000000"/>
                <w:spacing w:val="0"/>
                <w:w w:val="100"/>
                <w:position w:val="0"/>
              </w:rPr>
              <w:t>元，其中预先投入研发中心平台建设与软件升级产业化项目</w:t>
            </w:r>
            <w:r>
              <w:rPr>
                <w:rFonts w:ascii="Times New Roman" w:eastAsia="Times New Roman" w:hAnsi="Times New Roman" w:cs="Times New Roman"/>
                <w:color w:val="000000"/>
                <w:spacing w:val="0"/>
                <w:w w:val="100"/>
                <w:position w:val="0"/>
                <w:sz w:val="18"/>
                <w:szCs w:val="18"/>
              </w:rPr>
              <w:t>2,792,456.46</w:t>
            </w:r>
            <w:r>
              <w:rPr>
                <w:color w:val="000000"/>
                <w:spacing w:val="0"/>
                <w:w w:val="100"/>
                <w:position w:val="0"/>
              </w:rPr>
              <w:t>元，运维体系及 灾备服务平台项目</w:t>
            </w:r>
            <w:r>
              <w:rPr>
                <w:rFonts w:ascii="Times New Roman" w:eastAsia="Times New Roman" w:hAnsi="Times New Roman" w:cs="Times New Roman"/>
                <w:color w:val="000000"/>
                <w:spacing w:val="0"/>
                <w:w w:val="100"/>
                <w:position w:val="0"/>
                <w:sz w:val="18"/>
                <w:szCs w:val="18"/>
              </w:rPr>
              <w:t>315,731.59</w:t>
            </w:r>
            <w:r>
              <w:rPr>
                <w:color w:val="000000"/>
                <w:spacing w:val="0"/>
                <w:w w:val="100"/>
                <w:position w:val="0"/>
              </w:rPr>
              <w:t>元，民生一体化综合信息服务平台项目</w:t>
            </w:r>
            <w:r>
              <w:rPr>
                <w:rFonts w:ascii="Times New Roman" w:eastAsia="Times New Roman" w:hAnsi="Times New Roman" w:cs="Times New Roman"/>
                <w:color w:val="000000"/>
                <w:spacing w:val="0"/>
                <w:w w:val="100"/>
                <w:position w:val="0"/>
                <w:sz w:val="18"/>
                <w:szCs w:val="18"/>
              </w:rPr>
              <w:t>3,071,952.30</w:t>
            </w:r>
            <w:r>
              <w:rPr>
                <w:color w:val="000000"/>
                <w:spacing w:val="0"/>
                <w:w w:val="100"/>
                <w:position w:val="0"/>
              </w:rPr>
              <w:t>元，社会保障卡及 读写终端制作中心项目</w:t>
            </w:r>
            <w:r>
              <w:rPr>
                <w:rFonts w:ascii="Times New Roman" w:eastAsia="Times New Roman" w:hAnsi="Times New Roman" w:cs="Times New Roman"/>
                <w:color w:val="000000"/>
                <w:spacing w:val="0"/>
                <w:w w:val="100"/>
                <w:position w:val="0"/>
                <w:sz w:val="18"/>
                <w:szCs w:val="18"/>
              </w:rPr>
              <w:t>2,823,201.66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日，上述募集资金置换完毕。</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30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日第一届董事会第十一次会议审议通过，本公司使用超募资金</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万元用于临 时补充公司流动资金，使用期限不超过董事会批准之日起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日，本公司已在规 定期限内将上述资金一次性全部归还至募集资金专用账户。</w:t>
            </w:r>
          </w:p>
        </w:tc>
      </w:tr>
      <w:tr>
        <w:trPr>
          <w:trHeight w:val="39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1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0" w:line="306" w:lineRule="exact"/>
              <w:ind w:left="0" w:right="0" w:firstLine="380"/>
              <w:jc w:val="both"/>
            </w:pPr>
            <w:r>
              <w:rPr>
                <w:color w:val="000000"/>
                <w:spacing w:val="0"/>
                <w:w w:val="100"/>
                <w:position w:val="0"/>
              </w:rPr>
              <w:t>报告期，运维服务平台项目已达到预定可使用状态，该项目承诺募集资金投资总额为</w:t>
            </w:r>
            <w:r>
              <w:rPr>
                <w:rFonts w:ascii="Times New Roman" w:eastAsia="Times New Roman" w:hAnsi="Times New Roman" w:cs="Times New Roman"/>
                <w:color w:val="000000"/>
                <w:spacing w:val="0"/>
                <w:w w:val="100"/>
                <w:position w:val="0"/>
                <w:sz w:val="18"/>
                <w:szCs w:val="18"/>
              </w:rPr>
              <w:t>1,959.68</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日项目实际累计投入募集资金</w:t>
            </w:r>
            <w:r>
              <w:rPr>
                <w:rFonts w:ascii="Times New Roman" w:eastAsia="Times New Roman" w:hAnsi="Times New Roman" w:cs="Times New Roman"/>
                <w:color w:val="000000"/>
                <w:spacing w:val="0"/>
                <w:w w:val="100"/>
                <w:position w:val="0"/>
                <w:sz w:val="18"/>
                <w:szCs w:val="18"/>
              </w:rPr>
              <w:t>1,861.30</w:t>
            </w:r>
            <w:r>
              <w:rPr>
                <w:color w:val="000000"/>
                <w:spacing w:val="0"/>
                <w:w w:val="100"/>
                <w:position w:val="0"/>
              </w:rPr>
              <w:t>万元，尚有</w:t>
            </w:r>
            <w:r>
              <w:rPr>
                <w:rFonts w:ascii="Times New Roman" w:eastAsia="Times New Roman" w:hAnsi="Times New Roman" w:cs="Times New Roman"/>
                <w:color w:val="000000"/>
                <w:spacing w:val="0"/>
                <w:w w:val="100"/>
                <w:position w:val="0"/>
                <w:sz w:val="18"/>
                <w:szCs w:val="18"/>
              </w:rPr>
              <w:t>21.43</w:t>
            </w:r>
            <w:r>
              <w:rPr>
                <w:color w:val="000000"/>
                <w:spacing w:val="0"/>
                <w:w w:val="100"/>
                <w:position w:val="0"/>
              </w:rPr>
              <w:t>万元需要在期后进 行支付，为设备采购尾款等支出。本项目结余募集资金</w:t>
            </w:r>
            <w:r>
              <w:rPr>
                <w:rFonts w:ascii="Times New Roman" w:eastAsia="Times New Roman" w:hAnsi="Times New Roman" w:cs="Times New Roman"/>
                <w:color w:val="000000"/>
                <w:spacing w:val="0"/>
                <w:w w:val="100"/>
                <w:position w:val="0"/>
                <w:sz w:val="18"/>
                <w:szCs w:val="18"/>
              </w:rPr>
              <w:t>76.95</w:t>
            </w:r>
            <w:r>
              <w:rPr>
                <w:color w:val="000000"/>
                <w:spacing w:val="0"/>
                <w:w w:val="100"/>
                <w:position w:val="0"/>
              </w:rPr>
              <w:t>万元(不含利息)，节约金额占承诺投 资总额的比例为</w:t>
            </w:r>
            <w:r>
              <w:rPr>
                <w:rFonts w:ascii="Times New Roman" w:eastAsia="Times New Roman" w:hAnsi="Times New Roman" w:cs="Times New Roman"/>
                <w:color w:val="000000"/>
                <w:spacing w:val="0"/>
                <w:w w:val="100"/>
                <w:position w:val="0"/>
                <w:sz w:val="18"/>
                <w:szCs w:val="18"/>
              </w:rPr>
              <w:t>3.93%</w:t>
            </w:r>
            <w:r>
              <w:rPr>
                <w:color w:val="000000"/>
                <w:spacing w:val="0"/>
                <w:w w:val="100"/>
                <w:position w:val="0"/>
              </w:rPr>
              <w:t>，不存在重大差异。本项目募集资金结余主要原因是在项目实际实施中，加强 成本控制，降低了采购成本和减少了部分设备采购。</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报告期，社会保障卡及读写终端制作中心项目已达到预定可使用状态，该项目承诺募集资金投资 总额为</w:t>
            </w:r>
            <w:r>
              <w:rPr>
                <w:rFonts w:ascii="Times New Roman" w:eastAsia="Times New Roman" w:hAnsi="Times New Roman" w:cs="Times New Roman"/>
                <w:color w:val="000000"/>
                <w:spacing w:val="0"/>
                <w:w w:val="100"/>
                <w:position w:val="0"/>
                <w:sz w:val="18"/>
                <w:szCs w:val="18"/>
              </w:rPr>
              <w:t>3,761.23</w:t>
            </w:r>
            <w:r>
              <w:rPr>
                <w:color w:val="000000"/>
                <w:spacing w:val="0"/>
                <w:w w:val="100"/>
                <w:position w:val="0"/>
              </w:rPr>
              <w:t>万元，项目累计投入募集资金</w:t>
            </w:r>
            <w:r>
              <w:rPr>
                <w:rFonts w:ascii="Times New Roman" w:eastAsia="Times New Roman" w:hAnsi="Times New Roman" w:cs="Times New Roman"/>
                <w:color w:val="000000"/>
                <w:spacing w:val="0"/>
                <w:w w:val="100"/>
                <w:position w:val="0"/>
                <w:sz w:val="18"/>
                <w:szCs w:val="18"/>
              </w:rPr>
              <w:t>3,178.77</w:t>
            </w:r>
            <w:r>
              <w:rPr>
                <w:color w:val="000000"/>
                <w:spacing w:val="0"/>
                <w:w w:val="100"/>
                <w:position w:val="0"/>
              </w:rPr>
              <w:t>万元，结余募集资金</w:t>
            </w:r>
            <w:r>
              <w:rPr>
                <w:rFonts w:ascii="Times New Roman" w:eastAsia="Times New Roman" w:hAnsi="Times New Roman" w:cs="Times New Roman"/>
                <w:color w:val="000000"/>
                <w:spacing w:val="0"/>
                <w:w w:val="100"/>
                <w:position w:val="0"/>
                <w:sz w:val="18"/>
                <w:szCs w:val="18"/>
              </w:rPr>
              <w:t>582.46</w:t>
            </w:r>
            <w:r>
              <w:rPr>
                <w:color w:val="000000"/>
                <w:spacing w:val="0"/>
                <w:w w:val="100"/>
                <w:position w:val="0"/>
              </w:rPr>
              <w:t>万元(不含利息)</w:t>
            </w:r>
            <w:r>
              <w:rPr>
                <w:i/>
                <w:iCs/>
                <w:color w:val="000000"/>
                <w:spacing w:val="0"/>
                <w:w w:val="100"/>
                <w:position w:val="0"/>
              </w:rPr>
              <w:t xml:space="preserve">， </w:t>
            </w:r>
            <w:r>
              <w:rPr>
                <w:color w:val="000000"/>
                <w:spacing w:val="0"/>
                <w:w w:val="100"/>
                <w:position w:val="0"/>
              </w:rPr>
              <w:t>节约金额占承诺投资总额的比例为</w:t>
            </w:r>
            <w:r>
              <w:rPr>
                <w:rFonts w:ascii="Times New Roman" w:eastAsia="Times New Roman" w:hAnsi="Times New Roman" w:cs="Times New Roman"/>
                <w:color w:val="000000"/>
                <w:spacing w:val="0"/>
                <w:w w:val="100"/>
                <w:position w:val="0"/>
                <w:sz w:val="18"/>
                <w:szCs w:val="18"/>
              </w:rPr>
              <w:t>15.48%</w:t>
            </w:r>
            <w:r>
              <w:rPr>
                <w:color w:val="000000"/>
                <w:spacing w:val="0"/>
                <w:w w:val="100"/>
                <w:position w:val="0"/>
              </w:rPr>
              <w:t>，不存在重大差异。本项目募集资金结余主要原因是在项 目建设过程中，外部政策、标准发生了较大变化，技术也在不断的发展升级，公司在充分考虑这些变 化后结合自身行业优势，采用了更集约化的建设方式，优化资源配置，降低了采购成本和减少了部分 设备采购，实现了项目投入的节约。</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尚未使用的募集资金(包括超募资金)存放于本公司募集资金专户。本公司将根据公司发展规划， 妥善安排剩余募集资金(包括超募资金)的使用，将其用于本公司主营业务。</w:t>
            </w: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募集资金变更项目情况</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截至期末实 际累计投入</w:t>
            </w:r>
          </w:p>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19"/>
              <w:keepNext w:val="0"/>
              <w:keepLines w:val="0"/>
              <w:widowControl w:val="0"/>
              <w:shd w:val="clear" w:color="auto" w:fill="auto"/>
              <w:bidi w:val="0"/>
              <w:spacing w:before="0" w:after="0" w:line="353"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1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变化</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运维体系及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1,959.68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6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台项目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灾备服务平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大连易联众 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投资设立大 连易联众科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-2,137.97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594.37</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2005" w:hRule="exact"/>
        </w:trPr>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运维体系及灾备服务平台项目变更为运维服务平台项目</w:t>
            </w:r>
          </w:p>
          <w:p>
            <w:pPr>
              <w:pStyle w:val="Style19"/>
              <w:keepNext w:val="0"/>
              <w:keepLines w:val="0"/>
              <w:widowControl w:val="0"/>
              <w:shd w:val="clear" w:color="auto" w:fill="auto"/>
              <w:tabs>
                <w:tab w:pos="442" w:val="left"/>
              </w:tabs>
              <w:bidi w:val="0"/>
              <w:spacing w:before="0" w:after="40" w:line="31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项目投资内容调整原因：在过去的三年里，公司运维体系及灾备服务平台项目 建设的外部市场环境发生了重大变化。</w:t>
            </w:r>
          </w:p>
          <w:p>
            <w:pPr>
              <w:pStyle w:val="Style19"/>
              <w:keepNext w:val="0"/>
              <w:keepLines w:val="0"/>
              <w:widowControl w:val="0"/>
              <w:shd w:val="clear" w:color="auto" w:fill="auto"/>
              <w:bidi w:val="0"/>
              <w:spacing w:before="0" w:after="40" w:line="312" w:lineRule="exact"/>
              <w:ind w:left="0" w:right="0" w:firstLine="200"/>
              <w:jc w:val="both"/>
            </w:pPr>
            <w:r>
              <w:rPr>
                <w:color w:val="000000"/>
                <w:spacing w:val="0"/>
                <w:w w:val="100"/>
                <w:position w:val="0"/>
              </w:rPr>
              <w:t>第一，国家在新一代信息技术产业规划里重点发展云计算产业，地方政府也相继出 台了云计算产业发展规划，部分地方政府</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系统的建设模式发生了变化，增加了运 维服务市场的不确定因素，导致客户规模缩小。因此，决定相应缩小运维服务平台（即 原项目的运维体系部分）建设规模。</w:t>
            </w:r>
          </w:p>
          <w:p>
            <w:pPr>
              <w:pStyle w:val="Style19"/>
              <w:keepNext w:val="0"/>
              <w:keepLines w:val="0"/>
              <w:widowControl w:val="0"/>
              <w:shd w:val="clear" w:color="auto" w:fill="auto"/>
              <w:bidi w:val="0"/>
              <w:spacing w:before="0" w:after="40" w:line="314" w:lineRule="exact"/>
              <w:ind w:left="0" w:right="0" w:firstLine="200"/>
              <w:jc w:val="both"/>
            </w:pPr>
            <w:r>
              <w:rPr>
                <w:color w:val="000000"/>
                <w:spacing w:val="0"/>
                <w:w w:val="100"/>
                <w:position w:val="0"/>
              </w:rPr>
              <w:t>第二，由于国家正在福建泉州建设东南沿海最大的国家级数据灾备中心，对政府行 业内的灾备服务外包市场构成一定的影响，鉴于政府项目建设思路的变化，灾备服务 平台项目不具备继续进行下去的前提和环境，公司决定终止原项目中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灾备服务平台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的建设。</w:t>
            </w:r>
          </w:p>
          <w:p>
            <w:pPr>
              <w:pStyle w:val="Style19"/>
              <w:keepNext w:val="0"/>
              <w:keepLines w:val="0"/>
              <w:widowControl w:val="0"/>
              <w:shd w:val="clear" w:color="auto" w:fill="auto"/>
              <w:bidi w:val="0"/>
              <w:spacing w:before="0" w:after="0" w:line="318"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决策程序：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日公司第二届董事会第九次会议、第二届监事会第八 次会议分别审议通过了《关于变更募集资金投资项目一运维体系及灾备服务平台项 目投资内容的议案》，公司全体独立董事和保荐机构亦发表了明确同意意见。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p>
            <w:pPr>
              <w:pStyle w:val="Style19"/>
              <w:keepNext w:val="0"/>
              <w:keepLines w:val="0"/>
              <w:widowControl w:val="0"/>
              <w:shd w:val="clear" w:color="auto" w:fill="auto"/>
              <w:bidi w:val="0"/>
              <w:spacing w:before="0" w:after="40" w:line="318"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年第一次临时股东大会审议通过了《关于变更募集资金投资项目 —运维体系及灾备服务平台项目投资内容的议案》。</w:t>
            </w:r>
          </w:p>
          <w:p>
            <w:pPr>
              <w:pStyle w:val="Style19"/>
              <w:keepNext w:val="0"/>
              <w:keepLines w:val="0"/>
              <w:widowControl w:val="0"/>
              <w:shd w:val="clear" w:color="auto" w:fill="auto"/>
              <w:bidi w:val="0"/>
              <w:spacing w:before="0" w:after="0" w:line="31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信息披露情况：《第二届董事会第九次会议决议公告》、《关于变更募集资金 投资项目一运维体系及灾备服务平台项目投资内容的公告》、《独立董事关于第二 届董事会第九次会议相关事项的独立意见》、《第二届监事会第八次会议决议公告》、</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《招商证券股份有限公司关于公司募集资金投资项目变动事项的核查意见》已于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日在中国证监会指定信息披露网站上披露。《</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 决议公告》已于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日在中国证监会指定信息披露网站上披露。</w:t>
            </w:r>
          </w:p>
          <w:p>
            <w:pPr>
              <w:pStyle w:val="Style19"/>
              <w:keepNext w:val="0"/>
              <w:keepLines w:val="0"/>
              <w:widowControl w:val="0"/>
              <w:shd w:val="clear" w:color="auto" w:fill="auto"/>
              <w:bidi w:val="0"/>
              <w:spacing w:before="0" w:after="380" w:line="314" w:lineRule="exact"/>
              <w:ind w:left="0" w:right="0" w:firstLine="200"/>
              <w:jc w:val="both"/>
            </w:pPr>
            <w:r>
              <w:rPr>
                <w:color w:val="000000"/>
                <w:spacing w:val="0"/>
                <w:w w:val="100"/>
                <w:position w:val="0"/>
              </w:rPr>
              <w:t>截至本报告期末，该项目已经完成了运维中心机房、呼叫中心、运维服务管理体系、 北京、广西公司办公和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环境的建设，项目已建设完成并正式投入使用，达到了预 期目标。</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大连易联众科技有限公司注销</w:t>
            </w:r>
          </w:p>
          <w:p>
            <w:pPr>
              <w:pStyle w:val="Style19"/>
              <w:keepNext w:val="0"/>
              <w:keepLines w:val="0"/>
              <w:widowControl w:val="0"/>
              <w:shd w:val="clear" w:color="auto" w:fill="auto"/>
              <w:bidi w:val="0"/>
              <w:spacing w:before="0" w:after="40" w:line="308"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、变更原因：大连易联众科技有限公司是公司为了进一步拓展医疗卫生信息化 领域相关业务与常忠先生合资设立的子公司。大连易联众成立后至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 大连市的业务拓展没有取得预期进展，原合作方常忠先生也因此提出出让股权退出合 作，公司全资子公司福州易联众信息技术有限公司受让了常忠先生所持有的大连易联 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w:t>
            </w:r>
          </w:p>
          <w:p>
            <w:pPr>
              <w:pStyle w:val="Style1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此后，为了继续开拓以大连市为辐射的医疗卫生行业信息化市场，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月开 始，公司与大连公众信息产业有限公司建立战略合作伙伴关系，以期利用双方各自的 资源和优势，通过项目合作方式为切入点，共同推动、开拓大连市医疗卫生行业信息 化市场，包括居民健康档案、居民健康卡、大连市级新农合项目、易联众自助服务终 端产品代理销售方面等相关业务。截止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月，经过双方努力，虽然取得一定</w:t>
            </w:r>
          </w:p>
        </w:tc>
      </w:tr>
    </w:tbl>
    <w:p>
      <w:pPr>
        <w:widowControl w:val="0"/>
        <w:spacing w:line="1" w:lineRule="exact"/>
      </w:pPr>
      <w:r>
        <w:br w:type="page"/>
      </w:r>
    </w:p>
    <w:tbl>
      <w:tblPr>
        <w:tblOverlap w:val="never"/>
        <w:jc w:val="center"/>
        <w:tblLayout w:type="fixed"/>
      </w:tblPr>
      <w:tblGrid>
        <w:gridCol w:w="2875"/>
        <w:gridCol w:w="6710"/>
      </w:tblGrid>
      <w:tr>
        <w:trPr>
          <w:trHeight w:val="6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成效，但大连市健康服务平台建设项目一直没有实质性启动，也尚未实现销售，处在 亏损状态。此外，公司与大连公众信息产业有限公司的战略合作协议也已到期，而最 终项目何时启动与结果还存在较大不确定性。</w:t>
            </w:r>
          </w:p>
          <w:p>
            <w:pPr>
              <w:pStyle w:val="Style19"/>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因此，为避免项目久拖不决，控制投资风险，避免出现更大投资损失，更好地维 护公司和投资者的利益，公司决定终止该募投项目。</w:t>
            </w:r>
          </w:p>
          <w:p>
            <w:pPr>
              <w:pStyle w:val="Style19"/>
              <w:keepNext w:val="0"/>
              <w:keepLines w:val="0"/>
              <w:widowControl w:val="0"/>
              <w:shd w:val="clear" w:color="auto" w:fill="auto"/>
              <w:bidi w:val="0"/>
              <w:spacing w:before="0" w:after="40" w:line="31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决策程序：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日公司第二届董事会第九次会议、第二届监事会 第八次会议分别审议通过了《关于终止超募资金投资项目</w:t>
            </w:r>
            <w:r>
              <w:rPr>
                <w:color w:val="000000"/>
                <w:spacing w:val="0"/>
                <w:w w:val="100"/>
                <w:position w:val="0"/>
              </w:rPr>
              <w:t>一</w:t>
            </w:r>
            <w:r>
              <w:rPr>
                <w:color w:val="000000"/>
                <w:spacing w:val="0"/>
                <w:w w:val="100"/>
                <w:position w:val="0"/>
              </w:rPr>
              <w:t>大连易联众科技有限公 司的议案》，公司全体独立董事和保荐机构亦发表了明确同意意见。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年第一次临时股东大会审议通过了《公司关于终止超募资金投资项目一 大连易联众科技有限公司的议案》。</w:t>
            </w:r>
          </w:p>
          <w:p>
            <w:pPr>
              <w:pStyle w:val="Style19"/>
              <w:keepNext w:val="0"/>
              <w:keepLines w:val="0"/>
              <w:widowControl w:val="0"/>
              <w:shd w:val="clear" w:color="auto" w:fill="auto"/>
              <w:bidi w:val="0"/>
              <w:spacing w:before="0" w:after="40" w:line="311"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信息披露情况：《第二届董事会第九次会议决议公告》、《关于终止超募资 金投资项目</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大连易联众科技有限公司的公告》、《独立董事关于第二届董事会第九 次会议相关事项的独立意见》、《第二届监事会第八次会议决议公告》、《招商证券 股份有限公司关于公司募集资金投资项目变动事项的核查意见》已于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日在中国证监会指定信息披露网站上披露。《</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年第一次临时股东大会决议公告》 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日在中国证监会指定信息披露网站上披露。</w:t>
            </w:r>
          </w:p>
          <w:p>
            <w:pPr>
              <w:pStyle w:val="Style19"/>
              <w:keepNext w:val="0"/>
              <w:keepLines w:val="0"/>
              <w:widowControl w:val="0"/>
              <w:shd w:val="clear" w:color="auto" w:fill="auto"/>
              <w:bidi w:val="0"/>
              <w:spacing w:before="0" w:after="40" w:line="314" w:lineRule="exact"/>
              <w:ind w:left="0" w:right="0" w:firstLine="4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月，公司完成了对大连易联众科技有限公司的注销登记工作。具体情 况详见公司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日刊登在中国证监会指定的创业板信息披露网站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巨潮资 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的《关于完成子公司注销登记的公告》</w:t>
            </w:r>
            <w:r>
              <w:rPr>
                <w:i/>
                <w:iCs/>
                <w:color w:val="000000"/>
                <w:spacing w:val="0"/>
                <w:w w:val="100"/>
                <w:position w:val="0"/>
              </w:rPr>
              <w:t>，</w:t>
            </w:r>
            <w:r>
              <w:rPr>
                <w:color w:val="000000"/>
                <w:spacing w:val="0"/>
                <w:w w:val="100"/>
                <w:position w:val="0"/>
              </w:rPr>
              <w:t>公司对大连易</w:t>
            </w:r>
            <w:r>
              <w:rPr>
                <w:color w:val="000000"/>
                <w:spacing w:val="0"/>
                <w:w w:val="100"/>
                <w:position w:val="0"/>
              </w:rPr>
              <w:t xml:space="preserve"> 联众依法清算后剩余财产</w:t>
            </w:r>
            <w:r>
              <w:rPr>
                <w:rFonts w:ascii="Times New Roman" w:eastAsia="Times New Roman" w:hAnsi="Times New Roman" w:cs="Times New Roman"/>
                <w:color w:val="000000"/>
                <w:spacing w:val="0"/>
                <w:w w:val="100"/>
                <w:position w:val="0"/>
                <w:sz w:val="18"/>
                <w:szCs w:val="18"/>
              </w:rPr>
              <w:t>2607.10</w:t>
            </w:r>
            <w:r>
              <w:rPr>
                <w:color w:val="000000"/>
                <w:spacing w:val="0"/>
                <w:w w:val="100"/>
                <w:position w:val="0"/>
              </w:rPr>
              <w:t>万元已转回超募资金专户。</w:t>
            </w:r>
          </w:p>
        </w:tc>
      </w:tr>
      <w:tr>
        <w:trPr>
          <w:trHeight w:val="169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大连易联众科技有限公司未达到预计效益的情况和原因</w:t>
            </w:r>
          </w:p>
          <w:p>
            <w:pPr>
              <w:pStyle w:val="Style19"/>
              <w:keepNext w:val="0"/>
              <w:keepLines w:val="0"/>
              <w:widowControl w:val="0"/>
              <w:shd w:val="clear" w:color="auto" w:fill="auto"/>
              <w:bidi w:val="0"/>
              <w:spacing w:before="0" w:after="0" w:line="315" w:lineRule="exact"/>
              <w:ind w:left="0" w:right="0" w:firstLine="480"/>
              <w:jc w:val="both"/>
            </w:pPr>
            <w:r>
              <w:rPr>
                <w:color w:val="000000"/>
                <w:spacing w:val="0"/>
                <w:w w:val="100"/>
                <w:position w:val="0"/>
              </w:rPr>
              <w:t>该公司已经注销，具体情况详见公司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日刊登在中国证监会指定 的创业板信息披露网站的《关于终止超募资金投资项目</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大连易联众科技有限公司公 告》，以及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日刊登在中国证监会指定的创业板信息披露网站的《关 于完成子公司注销登记的公告》。</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非募集资金投资的重大项目情况</w:t>
      </w:r>
    </w:p>
    <w:p>
      <w:pPr>
        <w:widowControl w:val="0"/>
        <w:spacing w:after="9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98"/>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截止报告期末累计 实现的收益</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广东易联众计算机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-375.69</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w:t>
      </w:r>
      <w:bookmarkEnd w:id="96"/>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94"/>
      <w:bookmarkEnd w:id="95"/>
      <w:bookmarkEnd w:id="97"/>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0"/>
        <w:gridCol w:w="1080"/>
        <w:gridCol w:w="941"/>
        <w:gridCol w:w="946"/>
        <w:gridCol w:w="941"/>
        <w:gridCol w:w="941"/>
        <w:gridCol w:w="946"/>
        <w:gridCol w:w="941"/>
        <w:gridCol w:w="811"/>
        <w:gridCol w:w="108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总资产</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净资产</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营业利润</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91,766,097.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65,194,148.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51,804,273.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3,359,220</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2,995,599.74</w:t>
            </w:r>
          </w:p>
        </w:tc>
      </w:tr>
      <w:tr>
        <w:trPr>
          <w:trHeight w:val="350"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众信息技</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息技术服</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及应用系</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950"/>
        <w:gridCol w:w="1080"/>
        <w:gridCol w:w="941"/>
        <w:gridCol w:w="946"/>
        <w:gridCol w:w="941"/>
        <w:gridCol w:w="941"/>
        <w:gridCol w:w="946"/>
        <w:gridCol w:w="941"/>
        <w:gridCol w:w="811"/>
        <w:gridCol w:w="1080"/>
      </w:tblGrid>
      <w:tr>
        <w:trPr>
          <w:trHeight w:val="6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术有限公</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务业（民生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山西易联 众信息技 术有限公</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务业（民生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8" w:lineRule="exact"/>
              <w:ind w:left="0" w:right="0" w:firstLine="0"/>
              <w:jc w:val="both"/>
            </w:pPr>
            <w:r>
              <w:rPr>
                <w:color w:val="000000"/>
                <w:spacing w:val="0"/>
                <w:w w:val="100"/>
                <w:position w:val="0"/>
              </w:rPr>
              <w:t>软件开发 及应用系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107,960,82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72,448,350.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77,015,411.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19,857,50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16,366,265.1</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统集成</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安徽易联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众信息技 术有限公</w:t>
            </w:r>
          </w:p>
        </w:tc>
        <w:tc>
          <w:tcPr>
            <w:vMerge w:val="restart"/>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息技术服 务业（民生</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26,815,824.</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16,319,578.</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23,484,152.</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5,154,096</w:t>
            </w: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4,338,260.75</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及应用系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统集成</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福建易联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众软件系 统开发有</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息技术服 务业（民生</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47,059,283.</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21,470,172.</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40,619,948.</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-1,016,66</w:t>
            </w: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65,297.66</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及应用系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统集成</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福建易联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众电子科 技有限公</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息技术服 务业（民生</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10,576,544.</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9,012,126.1</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5,322,303.6</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-4,917,44</w:t>
            </w: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-2,602,272.22</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及应用系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统集成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技术开发、</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中职动力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 技有限公</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息技术服 务业（民生</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 计算机技</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4,084,589.1</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3,612,207.2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1,994,611.6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-1,639,08</w:t>
            </w: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-1,235,688.95</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vMerge/>
            <w:tcBorders>
              <w:left w:val="single" w:sz="4"/>
              <w:right w:val="single" w:sz="4"/>
            </w:tcBorders>
            <w:shd w:val="clear" w:color="auto" w:fill="FFFFFF"/>
            <w:vAlign w:val="center"/>
          </w:tcPr>
          <w:p>
            <w:pPr/>
          </w:p>
        </w:tc>
      </w:tr>
      <w:tr>
        <w:trPr>
          <w:trHeight w:val="97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术培训；计</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算机系统 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众信息技 术有限公</w:t>
            </w:r>
          </w:p>
        </w:tc>
        <w:tc>
          <w:tcPr>
            <w:vMerge w:val="restart"/>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息技术服 务业（民生</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20,339,705.</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12,318,290.</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13,248,037.</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2,306,139</w:t>
            </w: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2,518,901.26</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及应用系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统集成</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卡研发生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众信息技 术有限公</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息技术服 务业（民生</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产、软件开 发及应用</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9,806,662.8</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9,158,555.2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2,868,685.4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-1,036,23</w:t>
            </w: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-846,136.05</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众计算机 技术有限</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息技术服 务业（民生</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3,943,677.0</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3,111,471.2</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3,291,892.3</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-4,821,10</w:t>
            </w: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-3,756,687.83</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及应用系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统集成</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众信息技 术有限公</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息技术服 务业（民生</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9,148,080.4</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8,669,034.2</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2,469,902.9</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-862,260.</w:t>
            </w:r>
          </w:p>
        </w:tc>
        <w:tc>
          <w:tcPr>
            <w:vMerge w:val="restart"/>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-675,385.11</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及应用系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统集成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服务行业）</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50"/>
        <w:gridCol w:w="1080"/>
        <w:gridCol w:w="941"/>
        <w:gridCol w:w="946"/>
        <w:gridCol w:w="941"/>
        <w:gridCol w:w="941"/>
        <w:gridCol w:w="946"/>
        <w:gridCol w:w="941"/>
        <w:gridCol w:w="811"/>
        <w:gridCol w:w="1080"/>
      </w:tblGrid>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陕西易联 众信息技 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务业（民生 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 及应用系 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2,227,751.1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681,772.13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313,155.34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-818,227.87</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北京尚洋 易捷信息 技术有限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 息技术服 务业（民生 服务行业）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 及应用系 统集成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13,018,626.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9,358,635.6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17,926,706.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5,263,743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6,300,500.90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3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大连易联众科技有限公司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成立该公司是为了进一步拓 展医疗卫生信息化领域相关 业务，以超募资金</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 投资的子公司。但是自</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月大连易联众成立后至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月，在大连市的业务 拓展没有取得预期进展。为避 免项目久拖不决，控制投资风 险，避免出现更大投资损失， 更好地维护公司和投资者的 利益，公司决定终止该募投项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陕西易联众信息技术有限公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扩展公司在陕西省的业务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以自有资金投资设立，持股</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01"/>
      <w:bookmarkEnd w:id="98"/>
      <w:bookmarkEnd w:id="99"/>
    </w:p>
    <w:p>
      <w:pPr>
        <w:pStyle w:val="Style26"/>
        <w:keepNext w:val="0"/>
        <w:keepLines w:val="0"/>
        <w:widowControl w:val="0"/>
        <w:shd w:val="clear" w:color="auto" w:fill="auto"/>
        <w:bidi w:val="0"/>
        <w:spacing w:before="0" w:after="380" w:line="311" w:lineRule="exact"/>
        <w:ind w:left="0" w:right="0"/>
        <w:jc w:val="left"/>
      </w:pPr>
      <w:r>
        <w:rPr>
          <w:color w:val="000000"/>
          <w:spacing w:val="0"/>
          <w:w w:val="100"/>
          <w:position w:val="0"/>
        </w:rPr>
        <w:t>无。</w:t>
      </w:r>
    </w:p>
    <w:p>
      <w:pPr>
        <w:pStyle w:val="Style28"/>
        <w:keepNext/>
        <w:keepLines/>
        <w:widowControl w:val="0"/>
        <w:shd w:val="clear" w:color="auto" w:fill="auto"/>
        <w:bidi w:val="0"/>
        <w:spacing w:before="0" w:after="2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二</w:t>
      </w:r>
      <w:bookmarkEnd w:id="104"/>
      <w:r>
        <w:rPr>
          <w:color w:val="000000"/>
          <w:spacing w:val="0"/>
          <w:w w:val="100"/>
          <w:position w:val="0"/>
        </w:rPr>
        <w:t>、公司未来发展的展望</w:t>
      </w:r>
      <w:bookmarkEnd w:id="102"/>
      <w:bookmarkEnd w:id="103"/>
      <w:bookmarkEnd w:id="105"/>
    </w:p>
    <w:p>
      <w:pPr>
        <w:pStyle w:val="Style26"/>
        <w:keepNext w:val="0"/>
        <w:keepLines w:val="0"/>
        <w:widowControl w:val="0"/>
        <w:shd w:val="clear" w:color="auto" w:fill="auto"/>
        <w:bidi w:val="0"/>
        <w:spacing w:before="0" w:after="0" w:line="311" w:lineRule="exact"/>
        <w:ind w:left="0" w:right="0" w:firstLine="320"/>
        <w:jc w:val="left"/>
      </w:pPr>
      <w:bookmarkStart w:id="106" w:name="bookmark106"/>
      <w:r>
        <w:rPr>
          <w:b/>
          <w:bCs/>
          <w:color w:val="000000"/>
          <w:spacing w:val="0"/>
          <w:w w:val="100"/>
          <w:position w:val="0"/>
        </w:rPr>
        <w:t>（</w:t>
      </w:r>
      <w:bookmarkEnd w:id="106"/>
      <w:r>
        <w:rPr>
          <w:b/>
          <w:bCs/>
          <w:color w:val="000000"/>
          <w:spacing w:val="0"/>
          <w:w w:val="100"/>
          <w:position w:val="0"/>
        </w:rPr>
        <w:t>一）行业格局和趋势</w:t>
      </w:r>
    </w:p>
    <w:p>
      <w:pPr>
        <w:pStyle w:val="Style26"/>
        <w:keepNext w:val="0"/>
        <w:keepLines w:val="0"/>
        <w:widowControl w:val="0"/>
        <w:shd w:val="clear" w:color="auto" w:fill="auto"/>
        <w:bidi w:val="0"/>
        <w:spacing w:before="0" w:after="0" w:line="311" w:lineRule="exact"/>
        <w:ind w:left="0" w:right="0"/>
        <w:jc w:val="left"/>
      </w:pPr>
      <w:r>
        <w:rPr>
          <w:color w:val="000000"/>
          <w:spacing w:val="0"/>
          <w:w w:val="100"/>
          <w:position w:val="0"/>
        </w:rPr>
        <w:t>民生信息化行业是一种新兴行业，正处于起步的阶段，是重要的朝阳产业。民生问题事关人民群众的根本利益和国家的 发展进步。保障和改善民生是政府工作的重要任务。随着民生问题的突出以及政府高度重视，运用信息化手段解决民生问题, 以信息化技术手段改善民生服务的呼声，催生出软件与民生相融合的民生信息化行业，并在多个民生应用领域具有广阔的市 场及发展前景。</w:t>
      </w:r>
    </w:p>
    <w:p>
      <w:pPr>
        <w:pStyle w:val="Style26"/>
        <w:keepNext w:val="0"/>
        <w:keepLines w:val="0"/>
        <w:widowControl w:val="0"/>
        <w:shd w:val="clear" w:color="auto" w:fill="auto"/>
        <w:bidi w:val="0"/>
        <w:spacing w:before="0" w:after="0" w:line="311" w:lineRule="exact"/>
        <w:ind w:left="0" w:right="0"/>
        <w:jc w:val="left"/>
      </w:pPr>
      <w:r>
        <w:rPr>
          <w:color w:val="000000"/>
          <w:spacing w:val="0"/>
          <w:w w:val="100"/>
          <w:position w:val="0"/>
        </w:rPr>
        <w:t>从政策层面来看，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期间，政府提出在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的主题下，积极采用各种信息化手段提升医疗、社保、教育保障 的能力，助力解决就业问题、农村问题等，制定了《国家重大信息化工程建设规划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2011-2015</w:t>
      </w:r>
      <w:r>
        <w:rPr>
          <w:color w:val="000000"/>
          <w:spacing w:val="0"/>
          <w:w w:val="100"/>
          <w:position w:val="0"/>
        </w:rPr>
        <w:t>）</w:t>
      </w:r>
      <w:r>
        <w:rPr>
          <w:color w:val="000000"/>
          <w:spacing w:val="0"/>
          <w:w w:val="100"/>
          <w:position w:val="0"/>
        </w:rPr>
        <w:t>》。同时在多个民生领域 制定了信息化发展专项规划，如《人力资源和社会保障信息化建设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的五年，可以说是自有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 年规划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以来民生领域投入最多的五年。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年中央财政用在与人民群众生活直接相关的教育、医疗卫生、社会保障和就业、 </w:t>
      </w:r>
      <w:r>
        <w:rPr>
          <w:color w:val="000000"/>
          <w:spacing w:val="0"/>
          <w:w w:val="100"/>
          <w:position w:val="0"/>
        </w:rPr>
        <w:t>保障性安居工程、文化方面的支出安排合计</w:t>
      </w:r>
      <w:r>
        <w:rPr>
          <w:rFonts w:ascii="Times New Roman" w:eastAsia="Times New Roman" w:hAnsi="Times New Roman" w:cs="Times New Roman"/>
          <w:color w:val="000000"/>
          <w:spacing w:val="0"/>
          <w:w w:val="100"/>
          <w:position w:val="0"/>
          <w:sz w:val="18"/>
          <w:szCs w:val="18"/>
        </w:rPr>
        <w:t>15,712.5</w:t>
      </w:r>
      <w:r>
        <w:rPr>
          <w:color w:val="000000"/>
          <w:spacing w:val="0"/>
          <w:w w:val="100"/>
          <w:position w:val="0"/>
        </w:rPr>
        <w:t>亿元，比上年预算数增长</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年政府工作报告指出，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着力提质 增效升级、持续改善民生。我们追求的发展，是提高质量效益、推进转型升级、改善人民生活的发展。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就业是民生之本。</w:t>
      </w:r>
      <w:r>
        <w:rPr>
          <w:color w:val="000000"/>
          <w:spacing w:val="0"/>
          <w:w w:val="100"/>
          <w:position w:val="0"/>
        </w:rPr>
        <w:t xml:space="preserve">...... </w:t>
      </w:r>
      <w:r>
        <w:rPr>
          <w:color w:val="000000"/>
          <w:spacing w:val="0"/>
          <w:w w:val="100"/>
          <w:position w:val="0"/>
        </w:rPr>
        <w:t>努力实现更加充分、更高质量就业，使劳动者生活更加体面、更有尊严。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社保是民生之基。</w:t>
      </w:r>
      <w:r>
        <w:rPr>
          <w:color w:val="000000"/>
          <w:spacing w:val="0"/>
          <w:w w:val="100"/>
          <w:position w:val="0"/>
        </w:rPr>
        <w:t>......</w:t>
      </w:r>
      <w:r>
        <w:rPr>
          <w:color w:val="000000"/>
          <w:spacing w:val="0"/>
          <w:w w:val="100"/>
          <w:position w:val="0"/>
        </w:rPr>
        <w:t>让每一个身处困境者都能 得到社会关爱和温暖。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年国家发改委主任徐绍史答中外记者提问时也指出，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中央预算内投资的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投向民生领域。</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这些，对于从事民生行业信息化领域的易联众来说，都是极好的发展机遇。</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从软件行业发展层面来看，在未来几年，加快软件服务业发展对于带动中国产业结构转型升级，实现从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国创造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转变，加快经济发展方式转变具有重要战略意义，软件服务业因而成为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期间重要的战略性产业。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月的国务院常务会议中，李克强总理强调，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必须加快实施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信息惠民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工程。建立公共信息服务平台，推进教育、医疗优质 资源共享，普及应用居民健康卡，加快就业信息全国联网。推进金融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卡在公共服务领域应用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等等。软件与民生相结合的 民生信息化行业，将成为新兴的发展领域，必然引来更多的软件企业与各方的关注与支持，成为又一创新型的朝阳产业，给 公司发展带来更大的外部推动力。</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从行业信息化建设层面来看，《人力资源和社会保障信息化建设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规划》明确指出，突出社会保障一卡通这一重 点，加强信息化工作的融合、信息化与业务工作的融合，推动信息化工作向统筹城乡、全国协调、功能全面转变，实现对业 务工作、服务人群、系统功能、网络应用的全覆盖。为公司已有项目优势的发挥以及社保卡、应用软件、云平台、终端等一 系列软硬件产品和技术的应用提供了市场空间，为公司业务的进一步拓展提供了机遇。在医疗卫生领域，深化医改，构建以 信息化手段为支撑的公平、有效、方便、快捷的医疗卫生服务体系，为公司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打造城市医疗卫生平台样板工程、推动省级医 疗卫生平台建设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的发展思路，提供了依据和契机。当前职业教育领域的信息化发展，如全国技工教育培训电子政务管理系 统的建设，以及国家职业教育信息化政策的支持，为我公司参与立足于职业教育民生云平台搭建和就业信息服务终端推广等 基础的职业技能培训数字化教学公共服务体系建设，继续深入职业培训领域的软硬件研发与推广，提供了方向指导和广阔的 市场空间。住房、轨道交通等民生领域也都在积极开展信息化建设。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年国务院先后颁布了《关于促进信息消费扩大内需 的若干意见》和《关于促进健康服务业发展的若干意见》政策文件，指出为加快推动信息消费持续增长，需要提升公共服务 信息化水平。</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从软件技术发展趋势来看，云计算已经明确写入国家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规划之中，将成为国家未来信息化战略中不可或缺的一部 分。国家发改委发布的《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国家政务信息化工程建设规划》鼓励采用云计算等新技术促进信息基础设施和信息资源共 享，培育多元化公共服务。云计算属于正在迅速发展中的前沿技术，一方面面向蓬勃发展中的服务于广大民众的我国电子政 务与社会信息化建设，机遇巨大；另一方面由于目前尚未有形成的健全统一的标准规范体系，在面向民生的公共服务体系信 息化建设中，其具体的商业模式尚需积极探索，逐步成熟，因此引入该技术，既是企业一个难得的发展机会，也需要经历一 个更充分的落实时间。</w:t>
      </w:r>
    </w:p>
    <w:p>
      <w:pPr>
        <w:pStyle w:val="Style26"/>
        <w:keepNext w:val="0"/>
        <w:keepLines w:val="0"/>
        <w:widowControl w:val="0"/>
        <w:shd w:val="clear" w:color="auto" w:fill="auto"/>
        <w:tabs>
          <w:tab w:pos="801" w:val="left"/>
        </w:tabs>
        <w:bidi w:val="0"/>
        <w:spacing w:before="0" w:after="0" w:line="312" w:lineRule="exact"/>
        <w:ind w:left="0" w:right="0" w:firstLine="320"/>
        <w:jc w:val="both"/>
      </w:pPr>
      <w:bookmarkStart w:id="107" w:name="bookmark107"/>
      <w:r>
        <w:rPr>
          <w:b/>
          <w:bCs/>
          <w:color w:val="000000"/>
          <w:spacing w:val="0"/>
          <w:w w:val="100"/>
          <w:position w:val="0"/>
        </w:rPr>
        <w:t>（</w:t>
      </w:r>
      <w:bookmarkEnd w:id="107"/>
      <w:r>
        <w:rPr>
          <w:b/>
          <w:bCs/>
          <w:color w:val="000000"/>
          <w:spacing w:val="0"/>
          <w:w w:val="100"/>
          <w:position w:val="0"/>
        </w:rPr>
        <w:t>二）</w:t>
        <w:tab/>
        <w:t>公司发展战略</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公司将继续致力于以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医疗卫生、社会保障、劳动就业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为核心的民生相关业务领域，在原有业务基础上，以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 术为依托，以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为媒介，将公司各应用软件系统、社保</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卡、读卡机具及民生服务自助终端等一系列软硬件产品有效 整合为全方位、立体化、综合性的产品服务网，同时面向政府、企业和社会公众等多重对象提供民生信息发布、就业服务、 教育培训、社会保障、医疗健康、城乡统筹、社区服务等全方位的民生信息服务，并通过金融平台与公司民生行业技术经验 的融合，面向社会公众提供市场化的民生信息服务和增值服务。</w:t>
      </w:r>
    </w:p>
    <w:p>
      <w:pPr>
        <w:pStyle w:val="Style26"/>
        <w:keepNext w:val="0"/>
        <w:keepLines w:val="0"/>
        <w:widowControl w:val="0"/>
        <w:shd w:val="clear" w:color="auto" w:fill="auto"/>
        <w:tabs>
          <w:tab w:pos="801" w:val="left"/>
        </w:tabs>
        <w:bidi w:val="0"/>
        <w:spacing w:before="0" w:after="0" w:line="312" w:lineRule="exact"/>
        <w:ind w:left="0" w:right="0" w:firstLine="320"/>
        <w:jc w:val="both"/>
      </w:pPr>
      <w:bookmarkStart w:id="108" w:name="bookmark108"/>
      <w:r>
        <w:rPr>
          <w:b/>
          <w:bCs/>
          <w:color w:val="000000"/>
          <w:spacing w:val="0"/>
          <w:w w:val="100"/>
          <w:position w:val="0"/>
        </w:rPr>
        <w:t>（</w:t>
      </w:r>
      <w:bookmarkEnd w:id="108"/>
      <w:r>
        <w:rPr>
          <w:b/>
          <w:bCs/>
          <w:color w:val="000000"/>
          <w:spacing w:val="0"/>
          <w:w w:val="100"/>
          <w:position w:val="0"/>
        </w:rPr>
        <w:t>三）</w:t>
        <w:tab/>
        <w:t>经营计划</w:t>
      </w:r>
    </w:p>
    <w:p>
      <w:pPr>
        <w:pStyle w:val="Style26"/>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年是公司发展升级的重要一年，公司将扎实做好基础铺垫，强化内部管理，顺应市场发展趋势，保证经营目标的完 成。重点做好以下工作（该经营计划并不构成公司对投资者的业绩承诺）：</w:t>
      </w:r>
    </w:p>
    <w:p>
      <w:pPr>
        <w:pStyle w:val="Style26"/>
        <w:keepNext w:val="0"/>
        <w:keepLines w:val="0"/>
        <w:widowControl w:val="0"/>
        <w:shd w:val="clear" w:color="auto" w:fill="auto"/>
        <w:bidi w:val="0"/>
        <w:spacing w:before="0" w:after="0" w:line="312" w:lineRule="exact"/>
        <w:ind w:left="0" w:right="0" w:firstLine="32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）继续加大研发投入，提升研发水平</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公司将在新产品研发上加大资金投入，通过扩大招聘规模、加大培养力度等手段，建立更高水平的创新研发队伍；规范 研发管理的各项流程，建立培养研发人员的长效机制，用研发建立起市场竞争的一面壁垒。在现有产品基础上，公司将通过 产品功能的升级、降低成本等形成竞争优势，加大金融社保卡和自助服务终端配套软件、省级集中平台、公共服务软件等产 品的研发力度，加强调研与市场分析，形成与决策部门、专家、用户的互动机制，通过管理水平提高实现产品生产的稳定性。</w:t>
      </w:r>
    </w:p>
    <w:p>
      <w:pPr>
        <w:pStyle w:val="Style26"/>
        <w:keepNext w:val="0"/>
        <w:keepLines w:val="0"/>
        <w:widowControl w:val="0"/>
        <w:shd w:val="clear" w:color="auto" w:fill="auto"/>
        <w:bidi w:val="0"/>
        <w:spacing w:before="0" w:after="0" w:line="312" w:lineRule="exact"/>
        <w:ind w:left="0" w:right="0" w:firstLine="46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）进一步增强市场开拓力度</w:t>
      </w:r>
    </w:p>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公司将努力打造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优势品牌，稳固延续原有项目，将已有成效的业务模式推广落地到新的市场，继续加大营销 力度，进一步完善高素质的销售团队，建立符合公司高速发展的销售管理制度和激励机制。公司将主动加强与各地人力资源 </w:t>
      </w:r>
      <w:r>
        <w:rPr>
          <w:color w:val="000000"/>
          <w:spacing w:val="0"/>
          <w:w w:val="100"/>
          <w:position w:val="0"/>
        </w:rPr>
        <w:t>和社会保障部门、公共事业部门等政府机构，医疗机构、药店、教育培训机构、参保企业等衍生服务机构，上下游企业、产 学研基地等的横向与纵向联系、配合与联合。</w:t>
      </w:r>
    </w:p>
    <w:p>
      <w:pPr>
        <w:pStyle w:val="Style26"/>
        <w:keepNext w:val="0"/>
        <w:keepLines w:val="0"/>
        <w:widowControl w:val="0"/>
        <w:shd w:val="clear" w:color="auto" w:fill="auto"/>
        <w:bidi w:val="0"/>
        <w:spacing w:before="0" w:after="0" w:line="312" w:lineRule="exact"/>
        <w:ind w:left="0" w:right="0" w:firstLine="320"/>
        <w:jc w:val="left"/>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）加强募投项目管理</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公司将继续加强募投项目管理。在募投项目的实施过程中，严格按照证监会和深交所的有关规定，规范实施。通过募投 项目的建设，提高公司综合竞争能力和盈利能力。对于超募部分资金，公司将严格按照证监会和深交所的有关规定，围绕主 业、合理规划、谨慎实施，在适当时机创建与主业密切相关并能有力促进主业发展的综合性投资开发公司，推动公司向更大 空间发展。</w:t>
      </w:r>
    </w:p>
    <w:p>
      <w:pPr>
        <w:pStyle w:val="Style26"/>
        <w:keepNext w:val="0"/>
        <w:keepLines w:val="0"/>
        <w:widowControl w:val="0"/>
        <w:shd w:val="clear" w:color="auto" w:fill="auto"/>
        <w:bidi w:val="0"/>
        <w:spacing w:before="0" w:after="0" w:line="312" w:lineRule="exact"/>
        <w:ind w:left="0" w:right="0" w:firstLine="46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）进一步完善制度建设</w:t>
      </w:r>
    </w:p>
    <w:p>
      <w:pPr>
        <w:pStyle w:val="Style26"/>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根据公司战略发展规划，对管理制度、规范进行进一步调整和动态更新。明确每个部门、岗位的职责，建立一整套内 部控制的规章制度，形成内部约束制度。根据组织目标确定相应的组织职能，根据组织职能确定机构设置，根据岗位职责确 定职位位置，确保机构明确，机构职位与人员职能相称，精简部门层次。确保人员素质与其职位相称，依据岗位职责确定人 员素质条件。</w:t>
      </w:r>
    </w:p>
    <w:p>
      <w:pPr>
        <w:pStyle w:val="Style26"/>
        <w:keepNext w:val="0"/>
        <w:keepLines w:val="0"/>
        <w:widowControl w:val="0"/>
        <w:shd w:val="clear" w:color="auto" w:fill="auto"/>
        <w:tabs>
          <w:tab w:pos="705" w:val="left"/>
        </w:tabs>
        <w:bidi w:val="0"/>
        <w:spacing w:before="0" w:after="0" w:line="312" w:lineRule="exact"/>
        <w:ind w:left="0" w:right="0" w:firstLine="32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重视高端人才引进及团队培养</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随着公司业务不断增多，业务范围逐步扩大，人力资源管理越来越重要。公司将进一步加强团队培养。主要从管理者定 位和团队成员定位的角度入手，融会贯通地讲解管理知识与技能，帮助员工掌握关键技巧和基本技术，从而全面提高管理效 率与水平。另外，重视高端人才的引进工作。设置多元化的人才引进渠道，人才的引进可采用自主推荐、高校建立战略合作 伙伴关系等方式。把职业培训视为一种投资，帮助员工制订职业生涯的发展规划，以求企业发展和员工个人发展的协调统一。</w:t>
      </w:r>
    </w:p>
    <w:p>
      <w:pPr>
        <w:pStyle w:val="Style26"/>
        <w:keepNext w:val="0"/>
        <w:keepLines w:val="0"/>
        <w:widowControl w:val="0"/>
        <w:shd w:val="clear" w:color="auto" w:fill="auto"/>
        <w:tabs>
          <w:tab w:pos="705" w:val="left"/>
        </w:tabs>
        <w:bidi w:val="0"/>
        <w:spacing w:before="0" w:after="0" w:line="312" w:lineRule="exact"/>
        <w:ind w:left="0" w:right="0" w:firstLine="32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加强企业文化建设</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企业价值观是企业文化的核心，决定企业的命脉，关系企业的兴衰。公司的发展不仅要实现物质价值，更需要文化价值, 要充分认识企业的最终目标是服务社会，实现社会价值最大化。让每一个员工都有发展的平台，注重员工培养，使其在工作 中能够实现自身价值，巩固团队稳定性，让每一位员工深切地感受到自己从事的工作，关系民生，责任重大。</w:t>
      </w:r>
    </w:p>
    <w:p>
      <w:pPr>
        <w:pStyle w:val="Style26"/>
        <w:keepNext w:val="0"/>
        <w:keepLines w:val="0"/>
        <w:widowControl w:val="0"/>
        <w:shd w:val="clear" w:color="auto" w:fill="auto"/>
        <w:tabs>
          <w:tab w:pos="705" w:val="left"/>
        </w:tabs>
        <w:bidi w:val="0"/>
        <w:spacing w:before="0" w:after="0" w:line="312" w:lineRule="exact"/>
        <w:ind w:left="0" w:right="0" w:firstLine="320"/>
        <w:jc w:val="left"/>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培育发展新业务</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公司将继续广泛开展项目调研，并科学决策超募资金投向。不断增强公司综合实力，培育新的增长点，提高公司抵御风 险的能力。</w:t>
      </w:r>
    </w:p>
    <w:p>
      <w:pPr>
        <w:pStyle w:val="Style26"/>
        <w:keepNext w:val="0"/>
        <w:keepLines w:val="0"/>
        <w:widowControl w:val="0"/>
        <w:shd w:val="clear" w:color="auto" w:fill="auto"/>
        <w:bidi w:val="0"/>
        <w:spacing w:before="0" w:after="0" w:line="312" w:lineRule="exact"/>
        <w:ind w:left="0" w:right="0" w:firstLine="320"/>
        <w:jc w:val="both"/>
      </w:pPr>
      <w:bookmarkStart w:id="116" w:name="bookmark116"/>
      <w:r>
        <w:rPr>
          <w:b/>
          <w:bCs/>
          <w:color w:val="000000"/>
          <w:spacing w:val="0"/>
          <w:w w:val="100"/>
          <w:position w:val="0"/>
        </w:rPr>
        <w:t>（</w:t>
      </w:r>
      <w:bookmarkEnd w:id="116"/>
      <w:r>
        <w:rPr>
          <w:b/>
          <w:bCs/>
          <w:color w:val="000000"/>
          <w:spacing w:val="0"/>
          <w:w w:val="100"/>
          <w:position w:val="0"/>
        </w:rPr>
        <w:t>四）可能面对的风险</w:t>
      </w:r>
    </w:p>
    <w:p>
      <w:pPr>
        <w:pStyle w:val="Style26"/>
        <w:keepNext w:val="0"/>
        <w:keepLines w:val="0"/>
        <w:widowControl w:val="0"/>
        <w:shd w:val="clear" w:color="auto" w:fill="auto"/>
        <w:tabs>
          <w:tab w:pos="705" w:val="left"/>
        </w:tabs>
        <w:bidi w:val="0"/>
        <w:spacing w:before="0" w:after="0" w:line="312" w:lineRule="exact"/>
        <w:ind w:left="0" w:right="0" w:firstLine="32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技术风险</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持续的技术及产品开发是公司不断发展壮大的基础。由于软件等信息技术类产品具有技术更新快、产品生命周期短的特 点，用户对软件及相关产品的功能要求不断提高，因此公司需要不断进行新技术、新产品的研发和升级。如果公司不能准确 把握技术、产品及市场的发展趋势，研发出符合市场需求的新产品，那么公司将丧失技术和市场优势，从而产生发展速度减 缓的风险。</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本公司拥有的系列核心技术在国内处于领先水平，是核心竞争力的关键构成要素。公司关键技术由相对独立的多个核心 技术研发小组掌握。公司已经采取了诸如核心技术人员持股、建立健全内部保密制度、申请专利及著作权保护、严格执行研 发全过程的规范化管理等措施防范技术风险，并且，公司核心技术体系完备，个别技术失密并不能造成公司核心技术体系的 失密。</w:t>
      </w:r>
    </w:p>
    <w:p>
      <w:pPr>
        <w:pStyle w:val="Style26"/>
        <w:keepNext w:val="0"/>
        <w:keepLines w:val="0"/>
        <w:widowControl w:val="0"/>
        <w:shd w:val="clear" w:color="auto" w:fill="auto"/>
        <w:tabs>
          <w:tab w:pos="705" w:val="left"/>
        </w:tabs>
        <w:bidi w:val="0"/>
        <w:spacing w:before="0" w:after="0" w:line="312" w:lineRule="exact"/>
        <w:ind w:left="0" w:right="0" w:firstLine="320"/>
        <w:jc w:val="left"/>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运营风险</w:t>
      </w:r>
    </w:p>
    <w:p>
      <w:pPr>
        <w:pStyle w:val="Style26"/>
        <w:keepNext w:val="0"/>
        <w:keepLines w:val="0"/>
        <w:widowControl w:val="0"/>
        <w:shd w:val="clear" w:color="auto" w:fill="auto"/>
        <w:bidi w:val="0"/>
        <w:spacing w:before="0" w:after="0" w:line="312" w:lineRule="exact"/>
        <w:ind w:left="0" w:right="0" w:firstLine="320"/>
        <w:jc w:val="left"/>
      </w:pPr>
      <w:r>
        <w:rPr>
          <w:color w:val="000000"/>
          <w:spacing w:val="0"/>
          <w:w w:val="100"/>
          <w:position w:val="0"/>
        </w:rPr>
        <w:t>随着公司业务的发展，公司的产品和服务类别更加丰富，客户范围不断扩大，这也对公司的运营能力提出了更大的挑战。 若公司在产品销售或售后服务方面处理问题不到位或者不尽完善，可能给公司的声誉带来一定的不利影响。</w:t>
      </w:r>
    </w:p>
    <w:p>
      <w:pPr>
        <w:pStyle w:val="Style26"/>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公司从产品销售到售后服务，已针对客户需求建立了较为完善的售后服务体系，树立了公司的品牌形象。</w:t>
      </w:r>
    </w:p>
    <w:p>
      <w:pPr>
        <w:pStyle w:val="Style26"/>
        <w:keepNext w:val="0"/>
        <w:keepLines w:val="0"/>
        <w:widowControl w:val="0"/>
        <w:shd w:val="clear" w:color="auto" w:fill="auto"/>
        <w:tabs>
          <w:tab w:pos="705" w:val="left"/>
        </w:tabs>
        <w:bidi w:val="0"/>
        <w:spacing w:before="0" w:after="0" w:line="312" w:lineRule="exact"/>
        <w:ind w:left="0" w:right="0" w:firstLine="320"/>
        <w:jc w:val="left"/>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市场风险</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近年来，民生行业呈加快发展的趋势。随着市场规模的不断扩大，市场竞争越发激烈。尽管公司在国内细分市场拥有明 显的竞争优势，市场竞争的风险仍可能对公司的产品和服务的价格、市场份额等产生不利影响。行业发展受国家政策影响， 民生行业信息化建设的速度放缓或者所面临的政策环境发生重大不利变化，将对公司经营产生直接影响。我国劳动和社会保 障信息化建设还存在各省发展不均衡的特点。大部分省份均从单一险种的建设开始起步，信息系统整体建设水平与各省建设 时间和财政投入有很大关系。公司属于创业型企业，考虑资金资源和规模有限，公司还无法在全国范围内进行大面积市场化 拓展。</w:t>
      </w:r>
    </w:p>
    <w:p>
      <w:pPr>
        <w:pStyle w:val="Style26"/>
        <w:keepNext w:val="0"/>
        <w:keepLines w:val="0"/>
        <w:widowControl w:val="0"/>
        <w:shd w:val="clear" w:color="auto" w:fill="auto"/>
        <w:bidi w:val="0"/>
        <w:spacing w:before="0" w:after="0" w:line="314" w:lineRule="exact"/>
        <w:ind w:left="0" w:right="0" w:firstLine="320"/>
        <w:jc w:val="both"/>
      </w:pPr>
      <w:r>
        <w:rPr>
          <w:color w:val="000000"/>
          <w:spacing w:val="0"/>
          <w:w w:val="100"/>
          <w:position w:val="0"/>
        </w:rPr>
        <w:t>目前福建省民生行业信息化在国内处于领先地位，公司作为福建省社保信息系统唯一的建设商，针对面临的市场风险， 充分利用社保平台建设及民生信息服务提供方面具备的优势及经验，建立完善的政策分析与监测机制，避免可能造成的风险。</w:t>
      </w:r>
    </w:p>
    <w:p>
      <w:pPr>
        <w:pStyle w:val="Style26"/>
        <w:keepNext w:val="0"/>
        <w:keepLines w:val="0"/>
        <w:widowControl w:val="0"/>
        <w:shd w:val="clear" w:color="auto" w:fill="auto"/>
        <w:tabs>
          <w:tab w:pos="750" w:val="left"/>
        </w:tabs>
        <w:bidi w:val="0"/>
        <w:spacing w:before="0" w:after="0" w:line="314" w:lineRule="exact"/>
        <w:ind w:left="0" w:right="0" w:firstLine="320"/>
        <w:jc w:val="both"/>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人力资源风险</w:t>
      </w:r>
    </w:p>
    <w:p>
      <w:pPr>
        <w:pStyle w:val="Style26"/>
        <w:keepNext w:val="0"/>
        <w:keepLines w:val="0"/>
        <w:widowControl w:val="0"/>
        <w:shd w:val="clear" w:color="auto" w:fill="auto"/>
        <w:bidi w:val="0"/>
        <w:spacing w:before="0" w:after="0" w:line="314" w:lineRule="exact"/>
        <w:ind w:left="0" w:right="0" w:firstLine="320"/>
        <w:jc w:val="both"/>
      </w:pPr>
      <w:r>
        <w:rPr>
          <w:color w:val="000000"/>
          <w:spacing w:val="0"/>
          <w:w w:val="100"/>
          <w:position w:val="0"/>
        </w:rPr>
        <w:t>软件企业一般都面临人员流动大、知识结构更新快的问题，行业内的市场竞争也越来越体现为对高素质人才的竞争。核 心骨干人员流失、无法吸引新的优秀人才，将对公司生产经营带来一定的影响。为了稳定公司的管理、技术和销售队伍，公 司通过提供有竞争力的薪酬、福利和建立公平的竞争晋升机制，提供全面、完善的培训计划，创造开放、协作的工作环境和 提倡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的企业文化来吸引、培养人才，公司核心骨干人员也持有公司股份，避免核心骨干人员的流失。</w:t>
      </w:r>
    </w:p>
    <w:p>
      <w:pPr>
        <w:pStyle w:val="Style26"/>
        <w:keepNext w:val="0"/>
        <w:keepLines w:val="0"/>
        <w:widowControl w:val="0"/>
        <w:shd w:val="clear" w:color="auto" w:fill="auto"/>
        <w:tabs>
          <w:tab w:pos="750" w:val="left"/>
        </w:tabs>
        <w:bidi w:val="0"/>
        <w:spacing w:before="0" w:after="0" w:line="314" w:lineRule="exact"/>
        <w:ind w:left="0" w:right="0" w:firstLine="320"/>
        <w:jc w:val="both"/>
      </w:pPr>
      <w:bookmarkStart w:id="121" w:name="bookmark121"/>
      <w:r>
        <w:rPr>
          <w:color w:val="000000"/>
          <w:spacing w:val="0"/>
          <w:w w:val="100"/>
          <w:position w:val="0"/>
        </w:rPr>
        <w:t>（</w:t>
      </w:r>
      <w:bookmarkEnd w:id="1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募集资金投资项目风险</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募集资金投资项目具有软件行业所特有的高投入、高收益和高风险的特点。尽管公司募集资金投向均是公司专注多年主 营业务的升级或必要延伸，但在项目建设及开发过程中，面临着技术开发的不确定性、技术替代、宏观政策变化、市场变化 等诸多风险，任何一项因素向不利于公司的方向转化，都有可能影响项目的投资效益。此外，也可能由于主、客观原因导致 项目实施延误，或项目在短时间内达不到原设计要求，因此，亦不排除公司在项目管理和组织实施中存在一定的风险。</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面对募集资金项目风险，公司将认真组织募集资金投资项目的实施，争取尽快投产，促进公司生产规模的扩大和设备技 术水平，增强公司行业的核心竞争力。</w:t>
      </w:r>
    </w:p>
    <w:p>
      <w:pPr>
        <w:pStyle w:val="Style26"/>
        <w:keepNext w:val="0"/>
        <w:keepLines w:val="0"/>
        <w:widowControl w:val="0"/>
        <w:shd w:val="clear" w:color="auto" w:fill="auto"/>
        <w:tabs>
          <w:tab w:pos="750" w:val="left"/>
        </w:tabs>
        <w:bidi w:val="0"/>
        <w:spacing w:before="0" w:after="0" w:line="314" w:lineRule="exact"/>
        <w:ind w:left="0" w:right="0" w:firstLine="320"/>
        <w:jc w:val="both"/>
      </w:pPr>
      <w:bookmarkStart w:id="122" w:name="bookmark122"/>
      <w:r>
        <w:rPr>
          <w:color w:val="000000"/>
          <w:spacing w:val="0"/>
          <w:w w:val="100"/>
          <w:position w:val="0"/>
        </w:rPr>
        <w:t>（</w:t>
      </w:r>
      <w:bookmarkEnd w:id="12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快速发展带来的管理风险</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自公司成立以来，主营业务一直保持较快的增长速度，公司成功上市后，公司的净资产规模将在目前的基础上进一步增 加。公司资产规模的扩大和人员增加对公司组织架构、管理体系提出新的和更高的要求。虽然公司的管理层在经营和管理快 速成长的企业方面有着丰富的经验，但仍需要不断调整，以适应市场要求和公司业务发展需要。</w:t>
      </w:r>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针对管理风险公司采取几个方面措施：（一）完善法人管理结构，规范公司运作体系，加强内部控制。（二）提高公司 管理层特别是核心团队的管理素质和决策能力，并不断完善激励机制，吸引高素质的职业管理人才。（三）管理层将积极探 索有效的经验管理模式，并聘请有关行业专家，协助公司完善管理体制。</w:t>
      </w:r>
    </w:p>
    <w:p>
      <w:pPr>
        <w:pStyle w:val="Style28"/>
        <w:keepNext/>
        <w:keepLines/>
        <w:widowControl w:val="0"/>
        <w:shd w:val="clear" w:color="auto" w:fill="auto"/>
        <w:tabs>
          <w:tab w:pos="576" w:val="left"/>
        </w:tabs>
        <w:bidi w:val="0"/>
        <w:spacing w:before="0" w:after="2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三</w:t>
      </w:r>
      <w:bookmarkEnd w:id="125"/>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23"/>
      <w:bookmarkEnd w:id="124"/>
      <w:bookmarkEnd w:id="126"/>
    </w:p>
    <w:p>
      <w:pPr>
        <w:pStyle w:val="Style26"/>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不适用。</w:t>
      </w:r>
    </w:p>
    <w:p>
      <w:pPr>
        <w:pStyle w:val="Style28"/>
        <w:keepNext/>
        <w:keepLines/>
        <w:widowControl w:val="0"/>
        <w:shd w:val="clear" w:color="auto" w:fill="auto"/>
        <w:tabs>
          <w:tab w:pos="576" w:val="left"/>
        </w:tabs>
        <w:bidi w:val="0"/>
        <w:spacing w:before="0" w:after="26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四</w:t>
      </w:r>
      <w:bookmarkEnd w:id="129"/>
      <w:r>
        <w:rPr>
          <w:color w:val="000000"/>
          <w:spacing w:val="0"/>
          <w:w w:val="100"/>
          <w:position w:val="0"/>
        </w:rPr>
        <w:t>、</w:t>
        <w:tab/>
        <w:t>董事会关于报告期会计政策、会计估计变更或重要前期差错更正的说明</w:t>
      </w:r>
      <w:bookmarkEnd w:id="127"/>
      <w:bookmarkEnd w:id="128"/>
      <w:bookmarkEnd w:id="130"/>
    </w:p>
    <w:p>
      <w:pPr>
        <w:pStyle w:val="Style26"/>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不适用。</w:t>
      </w:r>
    </w:p>
    <w:p>
      <w:pPr>
        <w:pStyle w:val="Style28"/>
        <w:keepNext/>
        <w:keepLines/>
        <w:widowControl w:val="0"/>
        <w:shd w:val="clear" w:color="auto" w:fill="auto"/>
        <w:tabs>
          <w:tab w:pos="576" w:val="left"/>
        </w:tabs>
        <w:bidi w:val="0"/>
        <w:spacing w:before="0" w:after="26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五</w:t>
      </w:r>
      <w:bookmarkEnd w:id="133"/>
      <w:r>
        <w:rPr>
          <w:color w:val="000000"/>
          <w:spacing w:val="0"/>
          <w:w w:val="100"/>
          <w:position w:val="0"/>
        </w:rPr>
        <w:t>、</w:t>
        <w:tab/>
        <w:t>公司利润分配及分红派息情况</w:t>
      </w:r>
      <w:bookmarkEnd w:id="131"/>
      <w:bookmarkEnd w:id="132"/>
      <w:bookmarkEnd w:id="134"/>
    </w:p>
    <w:p>
      <w:pPr>
        <w:pStyle w:val="Style2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报告期内利润分配政策特别是现金分红政策的制定、执行或调整情况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319" w:lineRule="exact"/>
        <w:ind w:left="0" w:right="0" w:firstLine="380"/>
        <w:jc w:val="left"/>
      </w:pPr>
      <w:r>
        <w:rPr>
          <w:color w:val="000000"/>
          <w:spacing w:val="0"/>
          <w:w w:val="100"/>
          <w:position w:val="0"/>
        </w:rPr>
        <w:t>报告期内，公司严格按照《公司章程》相关利润分配政策和审议程序实施利润分配方案，分红标准和分红比例明确清晰， 相关的决策程序和机制完备，相关的议案经董事会、监事会审议过后提交股东大会审议，并由独立董事发表独立意见，审议 通过后在规定时间内进行实施，切实保证了全体股东的利益。</w:t>
      </w:r>
    </w:p>
    <w:p>
      <w:pPr>
        <w:pStyle w:val="Style26"/>
        <w:keepNext w:val="0"/>
        <w:keepLines w:val="0"/>
        <w:widowControl w:val="0"/>
        <w:shd w:val="clear" w:color="auto" w:fill="auto"/>
        <w:bidi w:val="0"/>
        <w:spacing w:before="0" w:after="0" w:line="319"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日，公司第二届董事会第七次会议审议通过《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1,720</w:t>
      </w:r>
      <w:r>
        <w:rPr>
          <w:color w:val="000000"/>
          <w:spacing w:val="0"/>
          <w:w w:val="100"/>
          <w:position w:val="0"/>
        </w:rPr>
        <w:t>万元，剩余未分配利润 结转至下一年度。</w:t>
      </w:r>
    </w:p>
    <w:p>
      <w:pPr>
        <w:pStyle w:val="Style26"/>
        <w:keepNext w:val="0"/>
        <w:keepLines w:val="0"/>
        <w:widowControl w:val="0"/>
        <w:shd w:val="clear" w:color="auto" w:fill="auto"/>
        <w:bidi w:val="0"/>
        <w:spacing w:before="0" w:after="140" w:line="319"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年度利润分配预案》，同意董事会提出的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 度利润分配预案。</w:t>
      </w:r>
    </w:p>
    <w:p>
      <w:pPr>
        <w:pStyle w:val="Style26"/>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日，公司发布</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年度权益分派实施公告》，上述权益分派方案于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日实施完毕。</w:t>
      </w:r>
    </w:p>
    <w:p>
      <w:pPr>
        <w:pStyle w:val="Style26"/>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157" w:line="314" w:lineRule="exact"/>
        <w:ind w:left="0" w:right="0" w:firstLine="0"/>
        <w:jc w:val="center"/>
      </w:pPr>
      <w:r>
        <w:rPr>
          <w:color w:val="000000"/>
          <w:spacing w:val="0"/>
          <w:w w:val="100"/>
          <w:position w:val="0"/>
        </w:rPr>
        <w:t>现金分红政策的专项说明</w:t>
      </w:r>
      <w:r>
        <w:br w:type="page"/>
      </w:r>
    </w:p>
    <w:tbl>
      <w:tblPr>
        <w:tblOverlap w:val="never"/>
        <w:jc w:val="center"/>
        <w:tblLayout w:type="fixed"/>
      </w:tblPr>
      <w:tblGrid>
        <w:gridCol w:w="4229"/>
        <w:gridCol w:w="535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80" w:line="336"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85,882,317.63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经致同会计师事务所（特殊普通合伙）审计，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年度公司归属于母公司所有者的净利润为</w:t>
            </w:r>
            <w:r>
              <w:rPr>
                <w:rFonts w:ascii="Times New Roman" w:eastAsia="Times New Roman" w:hAnsi="Times New Roman" w:cs="Times New Roman"/>
                <w:color w:val="000000"/>
                <w:spacing w:val="0"/>
                <w:w w:val="100"/>
                <w:position w:val="0"/>
                <w:sz w:val="18"/>
                <w:szCs w:val="18"/>
              </w:rPr>
              <w:t>20,993,560.69</w:t>
            </w:r>
            <w:r>
              <w:rPr>
                <w:color w:val="000000"/>
                <w:spacing w:val="0"/>
                <w:w w:val="100"/>
                <w:position w:val="0"/>
              </w:rPr>
              <w:t>元，根据</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《公司法》和《公司章程》的有关规定，按照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2,099,356.07</w:t>
            </w:r>
            <w:r>
              <w:rPr>
                <w:color w:val="000000"/>
                <w:spacing w:val="0"/>
                <w:w w:val="100"/>
                <w:position w:val="0"/>
              </w:rPr>
              <w:t>元，剩 余未分配利润</w:t>
            </w:r>
            <w:r>
              <w:rPr>
                <w:rFonts w:ascii="Times New Roman" w:eastAsia="Times New Roman" w:hAnsi="Times New Roman" w:cs="Times New Roman"/>
                <w:color w:val="000000"/>
                <w:spacing w:val="0"/>
                <w:w w:val="100"/>
                <w:position w:val="0"/>
                <w:sz w:val="18"/>
                <w:szCs w:val="18"/>
              </w:rPr>
              <w:t>18,894,204.62</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sz w:val="18"/>
                <w:szCs w:val="18"/>
              </w:rPr>
              <w:t>84,188,113.01</w:t>
            </w:r>
            <w:r>
              <w:rPr>
                <w:color w:val="000000"/>
                <w:spacing w:val="0"/>
                <w:w w:val="100"/>
                <w:position w:val="0"/>
              </w:rPr>
              <w:t>元，减去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年派发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年度现金红利</w:t>
            </w:r>
            <w:r>
              <w:rPr>
                <w:rFonts w:ascii="Times New Roman" w:eastAsia="Times New Roman" w:hAnsi="Times New Roman" w:cs="Times New Roman"/>
                <w:color w:val="000000"/>
                <w:spacing w:val="0"/>
                <w:w w:val="100"/>
                <w:position w:val="0"/>
                <w:sz w:val="18"/>
                <w:szCs w:val="18"/>
              </w:rPr>
              <w:t xml:space="preserve">17,200,000.00 </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sz w:val="18"/>
                <w:szCs w:val="18"/>
              </w:rPr>
              <w:t>85,882,317.63</w:t>
            </w:r>
            <w:r>
              <w:rPr>
                <w:color w:val="000000"/>
                <w:spacing w:val="0"/>
                <w:w w:val="100"/>
                <w:position w:val="0"/>
              </w:rPr>
              <w:t>元。本年度利润分配预案为：以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1,720</w:t>
            </w:r>
            <w:r>
              <w:rPr>
                <w:color w:val="000000"/>
                <w:spacing w:val="0"/>
                <w:w w:val="100"/>
                <w:position w:val="0"/>
              </w:rPr>
              <w:t>万元， 剩余未分配利润结转至下一年度。</w:t>
            </w:r>
          </w:p>
        </w:tc>
      </w:tr>
    </w:tbl>
    <w:p>
      <w:pPr>
        <w:pStyle w:val="Style2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26"/>
        <w:keepNext w:val="0"/>
        <w:keepLines w:val="0"/>
        <w:widowControl w:val="0"/>
        <w:shd w:val="clear" w:color="auto" w:fill="auto"/>
        <w:tabs>
          <w:tab w:pos="708" w:val="left"/>
        </w:tabs>
        <w:bidi w:val="0"/>
        <w:spacing w:before="0" w:after="0" w:line="312" w:lineRule="exact"/>
        <w:ind w:left="0" w:right="0" w:firstLine="380"/>
        <w:jc w:val="both"/>
      </w:pPr>
      <w:bookmarkStart w:id="135" w:name="bookmark135"/>
      <w:r>
        <w:rPr>
          <w:rFonts w:ascii="Times New Roman" w:eastAsia="Times New Roman" w:hAnsi="Times New Roman" w:cs="Times New Roman"/>
          <w:color w:val="000000"/>
          <w:spacing w:val="0"/>
          <w:w w:val="100"/>
          <w:position w:val="0"/>
          <w:sz w:val="18"/>
          <w:szCs w:val="18"/>
        </w:rPr>
        <w:t>1</w:t>
      </w:r>
      <w:bookmarkEnd w:id="1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 税），合计派发现金红利</w:t>
      </w:r>
      <w:r>
        <w:rPr>
          <w:rFonts w:ascii="Times New Roman" w:eastAsia="Times New Roman" w:hAnsi="Times New Roman" w:cs="Times New Roman"/>
          <w:color w:val="000000"/>
          <w:spacing w:val="0"/>
          <w:w w:val="100"/>
          <w:position w:val="0"/>
          <w:sz w:val="18"/>
          <w:szCs w:val="18"/>
        </w:rPr>
        <w:t>1,720</w:t>
      </w:r>
      <w:r>
        <w:rPr>
          <w:color w:val="000000"/>
          <w:spacing w:val="0"/>
          <w:w w:val="100"/>
          <w:position w:val="0"/>
        </w:rPr>
        <w:t>万元，剩余未分配利润结转至下一年度。</w:t>
      </w:r>
    </w:p>
    <w:p>
      <w:pPr>
        <w:pStyle w:val="Style26"/>
        <w:keepNext w:val="0"/>
        <w:keepLines w:val="0"/>
        <w:widowControl w:val="0"/>
        <w:shd w:val="clear" w:color="auto" w:fill="auto"/>
        <w:tabs>
          <w:tab w:pos="708" w:val="left"/>
        </w:tabs>
        <w:bidi w:val="0"/>
        <w:spacing w:before="0" w:after="0" w:line="312" w:lineRule="exact"/>
        <w:ind w:left="0" w:right="0" w:firstLine="380"/>
        <w:jc w:val="both"/>
      </w:pPr>
      <w:bookmarkStart w:id="136" w:name="bookmark136"/>
      <w:r>
        <w:rPr>
          <w:rFonts w:ascii="Times New Roman" w:eastAsia="Times New Roman" w:hAnsi="Times New Roman" w:cs="Times New Roman"/>
          <w:color w:val="000000"/>
          <w:spacing w:val="0"/>
          <w:w w:val="100"/>
          <w:position w:val="0"/>
          <w:sz w:val="18"/>
          <w:szCs w:val="18"/>
        </w:rPr>
        <w:t>2</w:t>
      </w:r>
      <w:bookmarkEnd w:id="1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 税），合计派发现金红利</w:t>
      </w:r>
      <w:r>
        <w:rPr>
          <w:rFonts w:ascii="Times New Roman" w:eastAsia="Times New Roman" w:hAnsi="Times New Roman" w:cs="Times New Roman"/>
          <w:color w:val="000000"/>
          <w:spacing w:val="0"/>
          <w:w w:val="100"/>
          <w:position w:val="0"/>
          <w:sz w:val="18"/>
          <w:szCs w:val="18"/>
        </w:rPr>
        <w:t>1,720</w:t>
      </w:r>
      <w:r>
        <w:rPr>
          <w:color w:val="000000"/>
          <w:spacing w:val="0"/>
          <w:w w:val="100"/>
          <w:position w:val="0"/>
        </w:rPr>
        <w:t>万元，剩余未分配利润结转至下一年度。</w:t>
      </w:r>
    </w:p>
    <w:p>
      <w:pPr>
        <w:pStyle w:val="Style26"/>
        <w:keepNext w:val="0"/>
        <w:keepLines w:val="0"/>
        <w:widowControl w:val="0"/>
        <w:shd w:val="clear" w:color="auto" w:fill="auto"/>
        <w:tabs>
          <w:tab w:pos="717" w:val="left"/>
        </w:tabs>
        <w:bidi w:val="0"/>
        <w:spacing w:before="0" w:after="360" w:line="312" w:lineRule="exact"/>
        <w:ind w:left="0" w:right="0" w:firstLine="380"/>
        <w:jc w:val="both"/>
      </w:pPr>
      <w:bookmarkStart w:id="137" w:name="bookmark137"/>
      <w:r>
        <w:rPr>
          <w:rFonts w:ascii="Times New Roman" w:eastAsia="Times New Roman" w:hAnsi="Times New Roman" w:cs="Times New Roman"/>
          <w:color w:val="000000"/>
          <w:spacing w:val="0"/>
          <w:w w:val="100"/>
          <w:position w:val="0"/>
          <w:sz w:val="18"/>
          <w:szCs w:val="18"/>
        </w:rPr>
        <w:t>3</w:t>
      </w:r>
      <w:bookmarkEnd w:id="13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 税），合计派发现金红利</w:t>
      </w:r>
      <w:r>
        <w:rPr>
          <w:rFonts w:ascii="Times New Roman" w:eastAsia="Times New Roman" w:hAnsi="Times New Roman" w:cs="Times New Roman"/>
          <w:color w:val="000000"/>
          <w:spacing w:val="0"/>
          <w:w w:val="100"/>
          <w:position w:val="0"/>
          <w:sz w:val="18"/>
          <w:szCs w:val="18"/>
        </w:rPr>
        <w:t>1,720</w:t>
      </w:r>
      <w:r>
        <w:rPr>
          <w:color w:val="000000"/>
          <w:spacing w:val="0"/>
          <w:w w:val="100"/>
          <w:position w:val="0"/>
        </w:rPr>
        <w:t>万元，剩余未分配利润结转至下一年度。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公司近三年现金分红情况表</w:t>
      </w:r>
    </w:p>
    <w:p>
      <w:pPr>
        <w:pStyle w:val="Style26"/>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分红年度合并报表中归属于</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占合并报表中归属于上市公</w:t>
            </w:r>
          </w:p>
        </w:tc>
      </w:tr>
    </w:tbl>
    <w:p>
      <w:pPr>
        <w:widowControl w:val="0"/>
        <w:spacing w:line="1" w:lineRule="exact"/>
      </w:pPr>
    </w:p>
    <w:tbl>
      <w:tblPr>
        <w:tblOverlap w:val="never"/>
        <w:jc w:val="center"/>
        <w:tblLayout w:type="fixed"/>
      </w:tblPr>
      <w:tblGrid>
        <w:gridCol w:w="2395"/>
        <w:gridCol w:w="2390"/>
        <w:gridCol w:w="2395"/>
        <w:gridCol w:w="2400"/>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上市公司普通股股东的净利 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40,405,024.15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56,241,855.51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86,353,307.85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六</w:t>
      </w:r>
      <w:bookmarkEnd w:id="140"/>
      <w:r>
        <w:rPr>
          <w:color w:val="000000"/>
          <w:spacing w:val="0"/>
          <w:w w:val="100"/>
          <w:position w:val="0"/>
        </w:rPr>
        <w:t>、内幕信息知情人管理制度的建立和执行情况</w:t>
      </w:r>
      <w:bookmarkEnd w:id="138"/>
      <w:bookmarkEnd w:id="139"/>
      <w:bookmarkEnd w:id="141"/>
    </w:p>
    <w:p>
      <w:pPr>
        <w:pStyle w:val="Style26"/>
        <w:keepNext w:val="0"/>
        <w:keepLines w:val="0"/>
        <w:widowControl w:val="0"/>
        <w:shd w:val="clear" w:color="auto" w:fill="auto"/>
        <w:tabs>
          <w:tab w:pos="842" w:val="left"/>
        </w:tabs>
        <w:bidi w:val="0"/>
        <w:spacing w:before="0" w:after="0" w:line="312" w:lineRule="exact"/>
        <w:ind w:left="0" w:right="0" w:firstLine="320"/>
        <w:jc w:val="left"/>
      </w:pPr>
      <w:bookmarkStart w:id="142" w:name="bookmark142"/>
      <w:r>
        <w:rPr>
          <w:b/>
          <w:bCs/>
          <w:color w:val="000000"/>
          <w:spacing w:val="0"/>
          <w:w w:val="100"/>
          <w:position w:val="0"/>
        </w:rPr>
        <w:t>（</w:t>
      </w:r>
      <w:bookmarkEnd w:id="142"/>
      <w:r>
        <w:rPr>
          <w:b/>
          <w:bCs/>
          <w:color w:val="000000"/>
          <w:spacing w:val="0"/>
          <w:w w:val="100"/>
          <w:position w:val="0"/>
        </w:rPr>
        <w:t>一）</w:t>
        <w:tab/>
        <w:t>内幕信息知情人管理制度的建立</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为进一步规范公司内幕信息管理，加强内幕信息保密工作，维护公司信息披露的公开、公平、公正原则，保护广大投资 者的合法权益，</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日，公司第一届董事会第七次会议审议通过了《内幕信息知情人登记制度》。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根据《深圳证券交易所创业板股票上市规则》、《深圳证券交易所创业板上市公司规范运作指引》、《关于上市公司建立内 幕信息知情人登记管理制度的规定》等有关法律、法规、规范性文件对创业板上市公司的规定和要求，公司第一届董事会第 二十三次会议审议通过了《关于修订〈内幕信息知情人登记管理制度〉的议案》，同意将《内幕信息知情人登记制度》修改 为《内幕信息知情人登记管理制度》并作相应修订。</w:t>
      </w:r>
    </w:p>
    <w:p>
      <w:pPr>
        <w:pStyle w:val="Style26"/>
        <w:keepNext w:val="0"/>
        <w:keepLines w:val="0"/>
        <w:widowControl w:val="0"/>
        <w:shd w:val="clear" w:color="auto" w:fill="auto"/>
        <w:tabs>
          <w:tab w:pos="842" w:val="left"/>
        </w:tabs>
        <w:bidi w:val="0"/>
        <w:spacing w:before="0" w:after="0" w:line="312" w:lineRule="exact"/>
        <w:ind w:left="0" w:right="0" w:firstLine="320"/>
        <w:jc w:val="both"/>
      </w:pPr>
      <w:bookmarkStart w:id="143" w:name="bookmark143"/>
      <w:r>
        <w:rPr>
          <w:b/>
          <w:bCs/>
          <w:color w:val="000000"/>
          <w:spacing w:val="0"/>
          <w:w w:val="100"/>
          <w:position w:val="0"/>
        </w:rPr>
        <w:t>（</w:t>
      </w:r>
      <w:bookmarkEnd w:id="143"/>
      <w:r>
        <w:rPr>
          <w:b/>
          <w:bCs/>
          <w:color w:val="000000"/>
          <w:spacing w:val="0"/>
          <w:w w:val="100"/>
          <w:position w:val="0"/>
        </w:rPr>
        <w:t>二）</w:t>
        <w:tab/>
        <w:t>内幕信息知情人管理制度的执行情况</w:t>
      </w:r>
    </w:p>
    <w:p>
      <w:pPr>
        <w:pStyle w:val="Style26"/>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报告期内，公司严格执行内幕信息知情人登记管理制度，特别是在可能影响公司股价的重大敏感信息披露前，一方面控 制内幕信息知情人范围，对外报送涉及上市公司信息的报送时间均晚于公司业绩快报或公告的披露时间，另一方面积极展开 自查活动，目前未发现有内幕信息知情人在敏感期买卖公司股票的情况。</w:t>
      </w:r>
    </w:p>
    <w:p>
      <w:pPr>
        <w:pStyle w:val="Style26"/>
        <w:keepNext w:val="0"/>
        <w:keepLines w:val="0"/>
        <w:widowControl w:val="0"/>
        <w:shd w:val="clear" w:color="auto" w:fill="auto"/>
        <w:tabs>
          <w:tab w:pos="636" w:val="left"/>
        </w:tabs>
        <w:bidi w:val="0"/>
        <w:spacing w:before="0" w:after="0" w:line="360" w:lineRule="auto"/>
        <w:ind w:left="0" w:right="0" w:firstLine="320"/>
        <w:jc w:val="both"/>
      </w:pPr>
      <w:bookmarkStart w:id="144" w:name="bookmark144"/>
      <w:r>
        <w:rPr>
          <w:rFonts w:ascii="Times New Roman" w:eastAsia="Times New Roman" w:hAnsi="Times New Roman" w:cs="Times New Roman"/>
          <w:color w:val="000000"/>
          <w:spacing w:val="0"/>
          <w:w w:val="100"/>
          <w:position w:val="0"/>
          <w:sz w:val="18"/>
          <w:szCs w:val="18"/>
        </w:rPr>
        <w:t>1</w:t>
      </w:r>
      <w:bookmarkEnd w:id="144"/>
      <w:r>
        <w:rPr>
          <w:color w:val="000000"/>
          <w:spacing w:val="0"/>
          <w:w w:val="100"/>
          <w:position w:val="0"/>
        </w:rPr>
        <w:t>、</w:t>
        <w:tab/>
        <w:t>定期报告披露期间的信息保密工作</w:t>
      </w:r>
    </w:p>
    <w:p>
      <w:pPr>
        <w:pStyle w:val="Style26"/>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报告期内，公司严格执行内幕信息保密制度，严格规范信息传递流程，在定期报告披露期间，对于未公开信息，公司董 事会办公室都会严格控制知情人范围并组织相关内幕信息知情人填写《内幕信息知情人登记表》，如实、完整记录上述信息 在公开前的所有内幕信息知情人名单，以及知情人知悉内幕信息的时间。经公司董事会办公室核实无误后，按照相关法规规 定在向深交所和厦门证监局报送定期报告相关资料的同时报备内幕信息知情人登记情况。</w:t>
      </w:r>
    </w:p>
    <w:p>
      <w:pPr>
        <w:pStyle w:val="Style26"/>
        <w:keepNext w:val="0"/>
        <w:keepLines w:val="0"/>
        <w:widowControl w:val="0"/>
        <w:shd w:val="clear" w:color="auto" w:fill="auto"/>
        <w:tabs>
          <w:tab w:pos="655" w:val="left"/>
        </w:tabs>
        <w:bidi w:val="0"/>
        <w:spacing w:before="0" w:after="0" w:line="360" w:lineRule="auto"/>
        <w:ind w:left="0" w:right="0" w:firstLine="320"/>
        <w:jc w:val="both"/>
      </w:pPr>
      <w:bookmarkStart w:id="145" w:name="bookmark145"/>
      <w:r>
        <w:rPr>
          <w:rFonts w:ascii="Times New Roman" w:eastAsia="Times New Roman" w:hAnsi="Times New Roman" w:cs="Times New Roman"/>
          <w:color w:val="000000"/>
          <w:spacing w:val="0"/>
          <w:w w:val="100"/>
          <w:position w:val="0"/>
          <w:sz w:val="18"/>
          <w:szCs w:val="18"/>
        </w:rPr>
        <w:t>2</w:t>
      </w:r>
      <w:bookmarkEnd w:id="145"/>
      <w:r>
        <w:rPr>
          <w:color w:val="000000"/>
          <w:spacing w:val="0"/>
          <w:w w:val="100"/>
          <w:position w:val="0"/>
        </w:rPr>
        <w:t>、</w:t>
        <w:tab/>
        <w:t>投资者调研期间的信息保密工作</w:t>
      </w:r>
    </w:p>
    <w:p>
      <w:pPr>
        <w:pStyle w:val="Style26"/>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在定期报告及重大事项披露期间，公司尽量避免接待投资者调研，努力做好定期报告及重大事项披露期间的信息保密工 作。在日常接待投资者调研时，公司董事会办公室负责履行相关的信息保密工作程序。在进行调研前，要求机构或个人投资 者签署投资者调研承诺书，要求其在对外出具报告前知会公司董事会办公室，并保证相关内容客观、真实。在调研过程中， 董事会办公室人员认真做好相关调研记录，按照相关法规规定向深交所报备并在投资者互动平台披露调研记录。</w:t>
      </w:r>
    </w:p>
    <w:p>
      <w:pPr>
        <w:pStyle w:val="Style26"/>
        <w:keepNext w:val="0"/>
        <w:keepLines w:val="0"/>
        <w:widowControl w:val="0"/>
        <w:shd w:val="clear" w:color="auto" w:fill="auto"/>
        <w:tabs>
          <w:tab w:pos="655" w:val="left"/>
        </w:tabs>
        <w:bidi w:val="0"/>
        <w:spacing w:before="0" w:after="0" w:line="360" w:lineRule="auto"/>
        <w:ind w:left="0" w:right="0" w:firstLine="320"/>
        <w:jc w:val="both"/>
      </w:pPr>
      <w:bookmarkStart w:id="146" w:name="bookmark146"/>
      <w:r>
        <w:rPr>
          <w:rFonts w:ascii="Times New Roman" w:eastAsia="Times New Roman" w:hAnsi="Times New Roman" w:cs="Times New Roman"/>
          <w:color w:val="000000"/>
          <w:spacing w:val="0"/>
          <w:w w:val="100"/>
          <w:position w:val="0"/>
          <w:sz w:val="18"/>
          <w:szCs w:val="18"/>
        </w:rPr>
        <w:t>3</w:t>
      </w:r>
      <w:bookmarkEnd w:id="146"/>
      <w:r>
        <w:rPr>
          <w:color w:val="000000"/>
          <w:spacing w:val="0"/>
          <w:w w:val="100"/>
          <w:position w:val="0"/>
        </w:rPr>
        <w:t>、</w:t>
        <w:tab/>
        <w:t>其他重大事件的信息保密工作</w:t>
      </w:r>
    </w:p>
    <w:p>
      <w:pPr>
        <w:pStyle w:val="Style26"/>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在其他重大事项未披露前，公司及相关信息披露义务人采取保密措施，以保证信息处于可控范围。根据内幕信息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一事 一报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的原则，报备内幕信息知情人登记表。</w:t>
      </w:r>
    </w:p>
    <w:p>
      <w:pPr>
        <w:pStyle w:val="Style26"/>
        <w:keepNext w:val="0"/>
        <w:keepLines w:val="0"/>
        <w:widowControl w:val="0"/>
        <w:shd w:val="clear" w:color="auto" w:fill="auto"/>
        <w:tabs>
          <w:tab w:pos="842" w:val="left"/>
        </w:tabs>
        <w:bidi w:val="0"/>
        <w:spacing w:before="0" w:after="0" w:line="312" w:lineRule="exact"/>
        <w:ind w:left="0" w:right="0" w:firstLine="320"/>
        <w:jc w:val="both"/>
      </w:pPr>
      <w:bookmarkStart w:id="147" w:name="bookmark147"/>
      <w:r>
        <w:rPr>
          <w:b/>
          <w:bCs/>
          <w:color w:val="000000"/>
          <w:spacing w:val="0"/>
          <w:w w:val="100"/>
          <w:position w:val="0"/>
        </w:rPr>
        <w:t>（</w:t>
      </w:r>
      <w:bookmarkEnd w:id="147"/>
      <w:r>
        <w:rPr>
          <w:b/>
          <w:bCs/>
          <w:color w:val="000000"/>
          <w:spacing w:val="0"/>
          <w:w w:val="100"/>
          <w:position w:val="0"/>
        </w:rPr>
        <w:t>三）</w:t>
        <w:tab/>
        <w:t>报告期内自查内幕信息知情人涉嫌内幕交易以及监管部门的查处和整改情况</w:t>
      </w:r>
    </w:p>
    <w:p>
      <w:pPr>
        <w:pStyle w:val="Style26"/>
        <w:keepNext w:val="0"/>
        <w:keepLines w:val="0"/>
        <w:widowControl w:val="0"/>
        <w:shd w:val="clear" w:color="auto" w:fill="auto"/>
        <w:bidi w:val="0"/>
        <w:spacing w:before="0" w:after="380" w:line="312" w:lineRule="exact"/>
        <w:ind w:left="0" w:right="0" w:firstLine="320"/>
        <w:jc w:val="both"/>
      </w:pPr>
      <w:r>
        <w:rPr>
          <w:color w:val="000000"/>
          <w:spacing w:val="0"/>
          <w:w w:val="100"/>
          <w:position w:val="0"/>
        </w:rPr>
        <w:t>报告期内，公司董事、监事和高级管理人员以及其他相关内幕信息知情人严格遵守了《内幕信息知情人登记管理制度》， 未发现有内幕信息知情人利用内幕信息买卖本公司股份的情况。报告期内公司未发生受到监管部门查处和整改的情况。</w:t>
      </w:r>
    </w:p>
    <w:p>
      <w:pPr>
        <w:pStyle w:val="Style28"/>
        <w:keepNext/>
        <w:keepLines/>
        <w:widowControl w:val="0"/>
        <w:shd w:val="clear" w:color="auto" w:fill="auto"/>
        <w:bidi w:val="0"/>
        <w:spacing w:before="0" w:after="30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七</w:t>
      </w:r>
      <w:bookmarkEnd w:id="150"/>
      <w:r>
        <w:rPr>
          <w:color w:val="000000"/>
          <w:spacing w:val="0"/>
          <w:w w:val="100"/>
          <w:position w:val="0"/>
        </w:rPr>
        <w:t>、报告期内接待调研、沟通、采访等活动登记表</w:t>
      </w:r>
      <w:bookmarkEnd w:id="148"/>
      <w:bookmarkEnd w:id="149"/>
      <w:bookmarkEnd w:id="151"/>
    </w:p>
    <w:tbl>
      <w:tblPr>
        <w:tblOverlap w:val="never"/>
        <w:jc w:val="center"/>
        <w:tblLayout w:type="fixed"/>
      </w:tblPr>
      <w:tblGrid>
        <w:gridCol w:w="1498"/>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齐鲁证券：朱嘉；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、介绍公司的发展历程及</w:t>
            </w:r>
          </w:p>
        </w:tc>
      </w:tr>
    </w:tbl>
    <w:p>
      <w:pPr>
        <w:widowControl w:val="0"/>
        <w:spacing w:line="1" w:lineRule="exact"/>
      </w:pPr>
      <w:r>
        <w:br w:type="page"/>
      </w:r>
    </w:p>
    <w:tbl>
      <w:tblPr>
        <w:tblOverlap w:val="never"/>
        <w:jc w:val="center"/>
        <w:tblLayout w:type="fixed"/>
      </w:tblPr>
      <w:tblGrid>
        <w:gridCol w:w="1498"/>
        <w:gridCol w:w="1498"/>
        <w:gridCol w:w="1498"/>
        <w:gridCol w:w="1498"/>
        <w:gridCol w:w="1498"/>
        <w:gridCol w:w="2093"/>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工银瑞信：王烁杰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、介绍目前公 司自助一体机业务的推广 情况及优势；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、金保二期 对公司的积极影响；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 司社保卡业务的进展情 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年度公司经营 情况；</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、公司在行业中的 优势。</w:t>
            </w:r>
          </w:p>
        </w:tc>
      </w:tr>
      <w:tr>
        <w:trPr>
          <w:trHeight w:val="44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华创证券：高宏博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、公司在安徽等省份的社 保卡业务进展情况；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、目 前公司的发展趋势；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 司成立卡厂的原因及卡厂 产能；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、人力资源社会保 障自助服务一体机的推广 及使用情况；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、人力资源 社会保障自助一体机的技 术含量及市场空间；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 司医疗卫生领域的自助一 体机的优势；</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、介绍公司 民生服务及子公司中职动 力（北京）科技有限公司 的培训业务。</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申银万国：刘洋； 海富通基金：朱铭 杰、牟永宁、张扬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、今年公司的业务规划情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、公司社保卡业务的 进展情况；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、自助一体机 的市场及去年的销量；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公司民生服务业务今年的 规划情况；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、公司自助服 务一体机的优势。</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民生证券：李晶； 南方基金：黄俊、 罗安安;广发基金： 郑联盛；新华基 金：陈淋汐、李昱、 孔雪梅；申银万 国：周文文；财通 证券：马宏毅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、公司在医疗卫生领域的 业务情况介绍；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、介绍公 司目前的业务发展情况；</w:t>
            </w:r>
          </w:p>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、卡厂的产能利用率；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自助服务一体机的出资模 式、市场及主要优势；</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介绍公司的民生服务业 务。</w:t>
            </w:r>
          </w:p>
        </w:tc>
      </w:tr>
      <w:tr>
        <w:trPr>
          <w:trHeight w:val="22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汇丰晋信基金：陆</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文凯</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、介绍公司的发展历程及 主要业务；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、公司社保卡 业务的进展情况；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、金保 二期对公司的积极影响；</w:t>
            </w:r>
          </w:p>
          <w:p>
            <w:pPr>
              <w:pStyle w:val="Style19"/>
              <w:keepNext w:val="0"/>
              <w:keepLines w:val="0"/>
              <w:widowControl w:val="0"/>
              <w:shd w:val="clear" w:color="auto" w:fill="auto"/>
              <w:tabs>
                <w:tab w:pos="28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公司在行业中的优势；</w:t>
            </w:r>
          </w:p>
          <w:p>
            <w:pPr>
              <w:pStyle w:val="Style19"/>
              <w:keepNext w:val="0"/>
              <w:keepLines w:val="0"/>
              <w:widowControl w:val="0"/>
              <w:shd w:val="clear" w:color="auto" w:fill="auto"/>
              <w:tabs>
                <w:tab w:pos="26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自助服务一体机的市场 空间及主要优势；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、介绍</w:t>
            </w:r>
          </w:p>
        </w:tc>
      </w:tr>
    </w:tbl>
    <w:p>
      <w:pPr>
        <w:widowControl w:val="0"/>
        <w:spacing w:line="1" w:lineRule="exact"/>
      </w:pPr>
      <w:r>
        <w:br w:type="page"/>
      </w:r>
    </w:p>
    <w:tbl>
      <w:tblPr>
        <w:tblOverlap w:val="never"/>
        <w:jc w:val="center"/>
        <w:tblLayout w:type="fixed"/>
      </w:tblPr>
      <w:tblGrid>
        <w:gridCol w:w="1498"/>
        <w:gridCol w:w="1498"/>
        <w:gridCol w:w="1498"/>
        <w:gridCol w:w="1498"/>
        <w:gridCol w:w="1498"/>
        <w:gridCol w:w="209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公司民生服务规划。</w:t>
            </w:r>
          </w:p>
        </w:tc>
      </w:tr>
      <w:tr>
        <w:trPr>
          <w:trHeight w:val="25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财富证券：何晨、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杨伟、杜杨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、介绍公司上半年的业务 进展情况；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、公司社保卡 业务的进展情况；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 未来的发展规划；</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 民生服务业务今年的规划 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、公司自助服务一 体机的优势；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、公司募投 项目变动的具体情况。</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泽熙投资：赵忆波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、介绍公司上半年的业务 进展情况；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、公司社保卡 业务的进展情况；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、介绍 公司卡厂的产能利用率；</w:t>
            </w:r>
          </w:p>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、介绍公司自助一体机的 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、公司自助服务一 体机的市场空间；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、介绍 公司的民生服务规划。</w:t>
            </w: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宏源证券:王凤华、 李坤阳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、介绍公司发展沿革情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、公司参与发放社保 卡的原因；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、卡厂的产能 利用率；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、介绍公司的民 生服务规划；</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、公司在行 业内的竞争对手；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 的优势；</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、公司自助服务 一体机的市场空间。</w:t>
            </w:r>
          </w:p>
        </w:tc>
      </w:tr>
      <w:tr>
        <w:trPr>
          <w:trHeight w:val="3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民生证券：沈海兵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、公司的社保卡业务进展 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、公司成立卡厂的 原因及卡厂产能；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、人力 资源社会保障自助服务一 体机的市场空间及竞争对 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、介绍公司的民生服 务规划；</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、公司医疗卫生 领域的自助一体机的优 势；</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、介绍公司民生服务 及子公司中职动力（北京） 科技有限公司的培训业 务。</w:t>
            </w:r>
          </w:p>
        </w:tc>
      </w:tr>
      <w:tr>
        <w:trPr>
          <w:trHeight w:val="22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湘财证券：许荣聪</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、介绍公司的发展历程及 主要业务；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、介绍目前公 司自助一体机业务的推广 情况及优势；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、人力资源 社会保障自助服务一体机 的优势及市场空间、出资 模式；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、公司社保卡业务</w:t>
            </w:r>
          </w:p>
        </w:tc>
      </w:tr>
    </w:tbl>
    <w:p>
      <w:pPr>
        <w:widowControl w:val="0"/>
        <w:spacing w:line="1" w:lineRule="exact"/>
      </w:pPr>
      <w:r>
        <w:br w:type="page"/>
      </w:r>
    </w:p>
    <w:tbl>
      <w:tblPr>
        <w:tblOverlap w:val="never"/>
        <w:jc w:val="center"/>
        <w:tblLayout w:type="fixed"/>
      </w:tblPr>
      <w:tblGrid>
        <w:gridCol w:w="1498"/>
        <w:gridCol w:w="1498"/>
        <w:gridCol w:w="1498"/>
        <w:gridCol w:w="1498"/>
        <w:gridCol w:w="1498"/>
        <w:gridCol w:w="2093"/>
      </w:tblGrid>
      <w:tr>
        <w:trPr>
          <w:trHeight w:val="16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的进展情况；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公司的业绩情况；</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 的主要竞争对手及公司的 优势；</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、介绍公司的民生 服务规划。</w:t>
            </w:r>
          </w:p>
        </w:tc>
      </w:tr>
      <w:tr>
        <w:trPr>
          <w:trHeight w:val="35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华安基金：程锋； 鹏华基金：吴凡； 长城证券：寻赟； 农银汇理：韩林； 民生证券：李晶； 融通基金：张鹏； 海富通：吴庚辛； 天治基金：吴昊； 信达证券：肖金德、 边铁城；国泰基金： 王懿超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、介绍公司的发展历程及 主要业务；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、公司民生云 的特色；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、人力资源社会 保障自助服务一体机的推 广范围；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、介绍公司的医 疗卫生业务；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、公司主要 参与优势省份的社保卡业 务的原因；</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、介绍公司民 生服务及子公司中职动力 （北京）科技有限公司的 培训业务。</w:t>
            </w:r>
          </w:p>
        </w:tc>
      </w:tr>
      <w:tr>
        <w:trPr>
          <w:trHeight w:val="3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东兴证券:黄娟梅、 周雪钦、洪坑勇、 蔡志芳、陈丽、沈 悦明、李晨辉、郑 小书、李朝阳、林 天金；日信证券： 贾伟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、介绍公司的发展历程及 主要业务；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、在社保卡发 放中公司的主要角色；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公司的社保卡业务进展情 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、介绍公司卡厂的产 能利用率；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、人力资源社 会保障自助服务一体机的 优势及市场空间；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、介绍 公司的医疗卫生业务；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介绍公司的民生服务规 划；</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、公司的主要竞争对 手及公司的优势。</w:t>
            </w:r>
          </w:p>
        </w:tc>
      </w:tr>
      <w:tr>
        <w:trPr>
          <w:trHeight w:val="415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湘财证券：徐颢</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、介绍公司的发展历程及 主要业务；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、公司的社保 卡业务进展情况；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 成立卡厂的原因及卡厂产 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、公司医疗卫生领域 的自助一体机的优势；</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人力资源社会保障自助服 务一体机的推广情况及市 场空间；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、自助服务一体 机的竞争对手；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、介绍公 司的民生服务规划；</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 司与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合作的健康云创 新中心的主要模式。</w:t>
            </w:r>
          </w:p>
        </w:tc>
      </w:tr>
    </w:tbl>
    <w:p>
      <w:pPr>
        <w:pStyle w:val="Style8"/>
        <w:keepNext/>
        <w:keepLines/>
        <w:widowControl w:val="0"/>
        <w:shd w:val="clear" w:color="auto" w:fill="auto"/>
        <w:bidi w:val="0"/>
        <w:spacing w:before="0" w:after="560" w:line="240" w:lineRule="auto"/>
        <w:ind w:left="0" w:right="0" w:firstLine="0"/>
        <w:jc w:val="center"/>
      </w:pPr>
      <w:bookmarkStart w:id="152" w:name="bookmark152"/>
      <w:bookmarkStart w:id="153" w:name="bookmark153"/>
      <w:bookmarkStart w:id="154" w:name="bookmark154"/>
      <w:r>
        <w:rPr>
          <w:color w:val="000000"/>
          <w:spacing w:val="0"/>
          <w:w w:val="100"/>
          <w:position w:val="0"/>
        </w:rPr>
        <w:t>第五节重要事项</w:t>
      </w:r>
      <w:bookmarkEnd w:id="152"/>
      <w:bookmarkEnd w:id="153"/>
      <w:bookmarkEnd w:id="154"/>
    </w:p>
    <w:p>
      <w:pPr>
        <w:pStyle w:val="Style28"/>
        <w:keepNext/>
        <w:keepLines/>
        <w:widowControl w:val="0"/>
        <w:shd w:val="clear" w:color="auto" w:fill="auto"/>
        <w:tabs>
          <w:tab w:pos="522" w:val="left"/>
        </w:tabs>
        <w:bidi w:val="0"/>
        <w:spacing w:before="0" w:after="360" w:line="240" w:lineRule="auto"/>
        <w:ind w:left="0" w:right="0" w:firstLine="0"/>
        <w:jc w:val="left"/>
      </w:pPr>
      <w:bookmarkStart w:id="155" w:name="bookmark155"/>
      <w:bookmarkStart w:id="156" w:name="bookmark156"/>
      <w:bookmarkStart w:id="157" w:name="bookmark157"/>
      <w:bookmarkStart w:id="158" w:name="bookmark158"/>
      <w:bookmarkStart w:id="159" w:name="bookmark159"/>
      <w:r>
        <w:rPr>
          <w:color w:val="000000"/>
          <w:spacing w:val="0"/>
          <w:w w:val="100"/>
          <w:position w:val="0"/>
        </w:rPr>
        <w:t>一</w:t>
      </w:r>
      <w:bookmarkEnd w:id="158"/>
      <w:r>
        <w:rPr>
          <w:color w:val="000000"/>
          <w:spacing w:val="0"/>
          <w:w w:val="100"/>
          <w:position w:val="0"/>
        </w:rPr>
        <w:t>、</w:t>
        <w:tab/>
        <w:t>重大诉讼仲裁事项</w:t>
      </w:r>
      <w:bookmarkEnd w:id="156"/>
      <w:bookmarkEnd w:id="157"/>
      <w:bookmarkEnd w:id="159"/>
      <w:bookmarkEnd w:id="15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8"/>
        <w:keepNext/>
        <w:keepLines/>
        <w:widowControl w:val="0"/>
        <w:shd w:val="clear" w:color="auto" w:fill="auto"/>
        <w:tabs>
          <w:tab w:pos="522" w:val="left"/>
        </w:tabs>
        <w:bidi w:val="0"/>
        <w:spacing w:before="0" w:after="36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二</w:t>
      </w:r>
      <w:bookmarkEnd w:id="162"/>
      <w:r>
        <w:rPr>
          <w:color w:val="000000"/>
          <w:spacing w:val="0"/>
          <w:w w:val="100"/>
          <w:position w:val="0"/>
        </w:rPr>
        <w:t>、</w:t>
        <w:tab/>
        <w:t>上市公司发生控股股东及其关联方非经营性占用资金情况</w:t>
      </w:r>
      <w:bookmarkEnd w:id="160"/>
      <w:bookmarkEnd w:id="161"/>
      <w:bookmarkEnd w:id="16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预计偿还时 间(月份)</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期末合计值占期末净资产的比例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当期新增大股东及其附属企业非经 营性资金占用情况的原因、责任人追 究及董事会拟定采取措施的情况说 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未能按计划清偿非经营性资金占用 的原因、责任追究情况及董事会拟定 采取的措施说明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年度报告同日披露在中国证监会指定信息披露网站上的《关于公司 控股股东及其他关联方占用资金情况的专项说明》。</w:t>
            </w:r>
          </w:p>
        </w:tc>
      </w:tr>
    </w:tbl>
    <w:p>
      <w:pPr>
        <w:widowControl w:val="0"/>
        <w:spacing w:after="359" w:line="1" w:lineRule="exact"/>
      </w:pPr>
    </w:p>
    <w:p>
      <w:pPr>
        <w:pStyle w:val="Style28"/>
        <w:keepNext/>
        <w:keepLines/>
        <w:widowControl w:val="0"/>
        <w:shd w:val="clear" w:color="auto" w:fill="auto"/>
        <w:bidi w:val="0"/>
        <w:spacing w:before="0" w:after="2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三</w:t>
      </w:r>
      <w:bookmarkEnd w:id="166"/>
      <w:r>
        <w:rPr>
          <w:color w:val="000000"/>
          <w:spacing w:val="0"/>
          <w:w w:val="100"/>
          <w:position w:val="0"/>
        </w:rPr>
        <w:t>、破产重整相关事项</w:t>
      </w:r>
      <w:bookmarkEnd w:id="164"/>
      <w:bookmarkEnd w:id="165"/>
      <w:bookmarkEnd w:id="167"/>
    </w:p>
    <w:p>
      <w:pPr>
        <w:pStyle w:val="Style26"/>
        <w:keepNext w:val="0"/>
        <w:keepLines w:val="0"/>
        <w:widowControl w:val="0"/>
        <w:shd w:val="clear" w:color="auto" w:fill="auto"/>
        <w:bidi w:val="0"/>
        <w:spacing w:before="0" w:after="360" w:line="312" w:lineRule="exact"/>
        <w:ind w:left="360" w:right="0" w:firstLine="0"/>
        <w:jc w:val="left"/>
      </w:pPr>
      <w:r>
        <w:rPr>
          <w:color w:val="000000"/>
          <w:spacing w:val="0"/>
          <w:w w:val="100"/>
          <w:position w:val="0"/>
        </w:rPr>
        <w:t>不适用。 本年度公司无破产重整相关事项。</w:t>
      </w:r>
    </w:p>
    <w:p>
      <w:pPr>
        <w:pStyle w:val="Style28"/>
        <w:keepNext/>
        <w:keepLines/>
        <w:widowControl w:val="0"/>
        <w:shd w:val="clear" w:color="auto" w:fill="auto"/>
        <w:bidi w:val="0"/>
        <w:spacing w:before="0" w:after="36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四</w:t>
      </w:r>
      <w:bookmarkEnd w:id="170"/>
      <w:r>
        <w:rPr>
          <w:color w:val="000000"/>
          <w:spacing w:val="0"/>
          <w:w w:val="100"/>
          <w:position w:val="0"/>
        </w:rPr>
        <w:t>、资产交易事项</w:t>
      </w:r>
      <w:bookmarkEnd w:id="168"/>
      <w:bookmarkEnd w:id="169"/>
      <w:bookmarkEnd w:id="171"/>
    </w:p>
    <w:p>
      <w:pPr>
        <w:pStyle w:val="Style33"/>
        <w:keepNext/>
        <w:keepLines/>
        <w:widowControl w:val="0"/>
        <w:shd w:val="clear" w:color="auto" w:fill="auto"/>
        <w:bidi w:val="0"/>
        <w:spacing w:before="0" w:after="26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、收购资产情况</w:t>
      </w:r>
      <w:bookmarkEnd w:id="172"/>
      <w:bookmarkEnd w:id="173"/>
      <w:bookmarkEnd w:id="175"/>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不适用。</w:t>
      </w:r>
    </w:p>
    <w:p>
      <w:pPr>
        <w:pStyle w:val="Style26"/>
        <w:keepNext w:val="0"/>
        <w:keepLines w:val="0"/>
        <w:widowControl w:val="0"/>
        <w:shd w:val="clear" w:color="auto" w:fill="auto"/>
        <w:bidi w:val="0"/>
        <w:spacing w:before="0" w:after="360" w:line="312" w:lineRule="exact"/>
        <w:ind w:left="0" w:right="0"/>
        <w:jc w:val="left"/>
      </w:pPr>
      <w:r>
        <w:rPr>
          <w:color w:val="000000"/>
          <w:spacing w:val="0"/>
          <w:w w:val="100"/>
          <w:position w:val="0"/>
        </w:rPr>
        <w:t>本年度公司未发生收购资产情况。</w:t>
      </w:r>
    </w:p>
    <w:p>
      <w:pPr>
        <w:pStyle w:val="Style33"/>
        <w:keepNext/>
        <w:keepLines/>
        <w:widowControl w:val="0"/>
        <w:shd w:val="clear" w:color="auto" w:fill="auto"/>
        <w:tabs>
          <w:tab w:pos="368" w:val="left"/>
        </w:tabs>
        <w:bidi w:val="0"/>
        <w:spacing w:before="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w:t>
        <w:tab/>
        <w:t>出售资产情况</w:t>
      </w:r>
      <w:bookmarkEnd w:id="176"/>
      <w:bookmarkEnd w:id="177"/>
      <w:bookmarkEnd w:id="179"/>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本年度公司未发生出售资产情况。</w:t>
      </w:r>
    </w:p>
    <w:p>
      <w:pPr>
        <w:pStyle w:val="Style33"/>
        <w:keepNext/>
        <w:keepLines/>
        <w:widowControl w:val="0"/>
        <w:shd w:val="clear" w:color="auto" w:fill="auto"/>
        <w:tabs>
          <w:tab w:pos="368" w:val="left"/>
        </w:tabs>
        <w:bidi w:val="0"/>
        <w:spacing w:before="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企业合并情况</w:t>
      </w:r>
      <w:bookmarkEnd w:id="180"/>
      <w:bookmarkEnd w:id="181"/>
      <w:bookmarkEnd w:id="183"/>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本年度公司未发生企业合并情况。</w:t>
      </w:r>
    </w:p>
    <w:p>
      <w:pPr>
        <w:pStyle w:val="Style33"/>
        <w:keepNext/>
        <w:keepLines/>
        <w:widowControl w:val="0"/>
        <w:shd w:val="clear" w:color="auto" w:fill="auto"/>
        <w:tabs>
          <w:tab w:pos="368"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自资产重组报告书或收购出售资产公告刊登后，该事项的进展情况及对报告期经营成果与财务状况的影响</w:t>
      </w:r>
      <w:bookmarkEnd w:id="184"/>
      <w:bookmarkEnd w:id="185"/>
      <w:bookmarkEnd w:id="187"/>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不适用。</w:t>
      </w:r>
    </w:p>
    <w:p>
      <w:pPr>
        <w:pStyle w:val="Style28"/>
        <w:keepNext/>
        <w:keepLines/>
        <w:widowControl w:val="0"/>
        <w:shd w:val="clear" w:color="auto" w:fill="auto"/>
        <w:tabs>
          <w:tab w:pos="522" w:val="left"/>
        </w:tabs>
        <w:bidi w:val="0"/>
        <w:spacing w:before="0" w:after="38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五</w:t>
      </w:r>
      <w:bookmarkEnd w:id="190"/>
      <w:r>
        <w:rPr>
          <w:color w:val="000000"/>
          <w:spacing w:val="0"/>
          <w:w w:val="100"/>
          <w:position w:val="0"/>
        </w:rPr>
        <w:t>、</w:t>
        <w:tab/>
        <w:t>公司股权激励的实施情况及其影响</w:t>
      </w:r>
      <w:bookmarkEnd w:id="188"/>
      <w:bookmarkEnd w:id="189"/>
      <w:bookmarkEnd w:id="191"/>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不适用。</w:t>
      </w:r>
    </w:p>
    <w:p>
      <w:pPr>
        <w:pStyle w:val="Style28"/>
        <w:keepNext/>
        <w:keepLines/>
        <w:widowControl w:val="0"/>
        <w:shd w:val="clear" w:color="auto" w:fill="auto"/>
        <w:tabs>
          <w:tab w:pos="522" w:val="left"/>
        </w:tabs>
        <w:bidi w:val="0"/>
        <w:spacing w:before="0" w:after="38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六</w:t>
      </w:r>
      <w:bookmarkEnd w:id="194"/>
      <w:r>
        <w:rPr>
          <w:color w:val="000000"/>
          <w:spacing w:val="0"/>
          <w:w w:val="100"/>
          <w:position w:val="0"/>
        </w:rPr>
        <w:t>、</w:t>
        <w:tab/>
        <w:t>重大关联交易</w:t>
      </w:r>
      <w:bookmarkEnd w:id="192"/>
      <w:bookmarkEnd w:id="193"/>
      <w:bookmarkEnd w:id="195"/>
    </w:p>
    <w:p>
      <w:pPr>
        <w:pStyle w:val="Style33"/>
        <w:keepNext/>
        <w:keepLines/>
        <w:widowControl w:val="0"/>
        <w:shd w:val="clear" w:color="auto" w:fill="auto"/>
        <w:tabs>
          <w:tab w:pos="35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w:t>
        <w:tab/>
        <w:t>与日常经营相关的关联交易</w:t>
      </w:r>
      <w:bookmarkEnd w:id="196"/>
      <w:bookmarkEnd w:id="197"/>
      <w:bookmarkEnd w:id="199"/>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本年度公司未发生与日常经营相关的关联交易。</w:t>
      </w:r>
    </w:p>
    <w:p>
      <w:pPr>
        <w:pStyle w:val="Style33"/>
        <w:keepNext/>
        <w:keepLines/>
        <w:widowControl w:val="0"/>
        <w:shd w:val="clear" w:color="auto" w:fill="auto"/>
        <w:tabs>
          <w:tab w:pos="36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w:t>
        <w:tab/>
        <w:t>资产收购、出售发生的关联交易</w:t>
      </w:r>
      <w:bookmarkEnd w:id="200"/>
      <w:bookmarkEnd w:id="201"/>
      <w:bookmarkEnd w:id="203"/>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本年度公司未发生因资产收购、出售发生的关联交易。</w:t>
      </w:r>
    </w:p>
    <w:p>
      <w:pPr>
        <w:pStyle w:val="Style33"/>
        <w:keepNext/>
        <w:keepLines/>
        <w:widowControl w:val="0"/>
        <w:shd w:val="clear" w:color="auto" w:fill="auto"/>
        <w:tabs>
          <w:tab w:pos="36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共同对外投资的重大关联交易</w:t>
      </w:r>
      <w:bookmarkEnd w:id="204"/>
      <w:bookmarkEnd w:id="205"/>
      <w:bookmarkEnd w:id="207"/>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本年度公司未发生共同对外投资的重大关联交易。</w:t>
      </w:r>
    </w:p>
    <w:p>
      <w:pPr>
        <w:pStyle w:val="Style33"/>
        <w:keepNext/>
        <w:keepLines/>
        <w:widowControl w:val="0"/>
        <w:shd w:val="clear" w:color="auto" w:fill="auto"/>
        <w:tabs>
          <w:tab w:pos="368" w:val="left"/>
        </w:tabs>
        <w:bidi w:val="0"/>
        <w:spacing w:before="0" w:line="240"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4</w:t>
      </w:r>
      <w:bookmarkEnd w:id="210"/>
      <w:r>
        <w:rPr>
          <w:color w:val="000000"/>
          <w:spacing w:val="0"/>
          <w:w w:val="100"/>
          <w:position w:val="0"/>
        </w:rPr>
        <w:t>、</w:t>
        <w:tab/>
        <w:t>关联债权债务往来</w:t>
      </w:r>
      <w:bookmarkEnd w:id="208"/>
      <w:bookmarkEnd w:id="209"/>
      <w:bookmarkEnd w:id="211"/>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68" w:val="left"/>
        </w:tabs>
        <w:bidi w:val="0"/>
        <w:spacing w:before="0" w:line="240" w:lineRule="auto"/>
        <w:ind w:left="0" w:right="0" w:firstLine="0"/>
        <w:jc w:val="both"/>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5</w:t>
      </w:r>
      <w:bookmarkEnd w:id="214"/>
      <w:r>
        <w:rPr>
          <w:color w:val="000000"/>
          <w:spacing w:val="0"/>
          <w:w w:val="100"/>
          <w:position w:val="0"/>
        </w:rPr>
        <w:t>、</w:t>
        <w:tab/>
        <w:t>其他重大关联交易</w:t>
      </w:r>
      <w:bookmarkEnd w:id="212"/>
      <w:bookmarkEnd w:id="213"/>
      <w:bookmarkEnd w:id="215"/>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本年度公司未发生其他重大关联交易。</w:t>
      </w:r>
    </w:p>
    <w:p>
      <w:pPr>
        <w:pStyle w:val="Style28"/>
        <w:keepNext/>
        <w:keepLines/>
        <w:widowControl w:val="0"/>
        <w:shd w:val="clear" w:color="auto" w:fill="auto"/>
        <w:tabs>
          <w:tab w:pos="522"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七</w:t>
      </w:r>
      <w:bookmarkEnd w:id="218"/>
      <w:r>
        <w:rPr>
          <w:color w:val="000000"/>
          <w:spacing w:val="0"/>
          <w:w w:val="100"/>
          <w:position w:val="0"/>
        </w:rPr>
        <w:t>、</w:t>
        <w:tab/>
        <w:t>重大合同及其履行情况</w:t>
      </w:r>
      <w:bookmarkEnd w:id="216"/>
      <w:bookmarkEnd w:id="217"/>
      <w:bookmarkEnd w:id="219"/>
    </w:p>
    <w:p>
      <w:pPr>
        <w:pStyle w:val="Style33"/>
        <w:keepNext/>
        <w:keepLines/>
        <w:widowControl w:val="0"/>
        <w:shd w:val="clear" w:color="auto" w:fill="auto"/>
        <w:tabs>
          <w:tab w:pos="35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w:t>
        <w:tab/>
        <w:t>托管、承包、租赁事项情况</w:t>
      </w:r>
      <w:bookmarkEnd w:id="220"/>
      <w:bookmarkEnd w:id="221"/>
      <w:bookmarkEnd w:id="223"/>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本年度公司未发生托管、承包、租赁事项。</w:t>
      </w:r>
    </w:p>
    <w:p>
      <w:pPr>
        <w:pStyle w:val="Style33"/>
        <w:keepNext/>
        <w:keepLines/>
        <w:widowControl w:val="0"/>
        <w:shd w:val="clear" w:color="auto" w:fill="auto"/>
        <w:tabs>
          <w:tab w:pos="368"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w:t>
        <w:tab/>
        <w:t>担保情况</w:t>
      </w:r>
      <w:bookmarkEnd w:id="224"/>
      <w:bookmarkEnd w:id="225"/>
      <w:bookmarkEnd w:id="227"/>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本年度公司未发生担保事项。</w:t>
      </w:r>
    </w:p>
    <w:p>
      <w:pPr>
        <w:pStyle w:val="Style33"/>
        <w:keepNext/>
        <w:keepLines/>
        <w:widowControl w:val="0"/>
        <w:shd w:val="clear" w:color="auto" w:fill="auto"/>
        <w:tabs>
          <w:tab w:pos="368"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3</w:t>
      </w:r>
      <w:bookmarkEnd w:id="230"/>
      <w:r>
        <w:rPr>
          <w:color w:val="000000"/>
          <w:spacing w:val="0"/>
          <w:w w:val="100"/>
          <w:position w:val="0"/>
        </w:rPr>
        <w:t>、</w:t>
        <w:tab/>
        <w:t>委托理财、衍生品投资和委托贷款情况</w:t>
      </w:r>
      <w:bookmarkEnd w:id="228"/>
      <w:bookmarkEnd w:id="229"/>
      <w:bookmarkEnd w:id="231"/>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本年度公司未发生委托理财、衍生品投资和委托贷款情况。</w:t>
      </w:r>
    </w:p>
    <w:p>
      <w:pPr>
        <w:pStyle w:val="Style33"/>
        <w:keepNext/>
        <w:keepLines/>
        <w:widowControl w:val="0"/>
        <w:shd w:val="clear" w:color="auto" w:fill="auto"/>
        <w:tabs>
          <w:tab w:pos="368"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4</w:t>
      </w:r>
      <w:bookmarkEnd w:id="234"/>
      <w:r>
        <w:rPr>
          <w:color w:val="000000"/>
          <w:spacing w:val="0"/>
          <w:w w:val="100"/>
          <w:position w:val="0"/>
        </w:rPr>
        <w:t>、</w:t>
        <w:tab/>
        <w:t>其他重大合同</w:t>
      </w:r>
      <w:bookmarkEnd w:id="232"/>
      <w:bookmarkEnd w:id="233"/>
      <w:bookmarkEnd w:id="235"/>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28"/>
        <w:keepNext/>
        <w:keepLines/>
        <w:widowControl w:val="0"/>
        <w:shd w:val="clear" w:color="auto" w:fill="auto"/>
        <w:tabs>
          <w:tab w:pos="522" w:val="left"/>
        </w:tabs>
        <w:bidi w:val="0"/>
        <w:spacing w:before="0" w:after="38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八</w:t>
      </w:r>
      <w:bookmarkEnd w:id="238"/>
      <w:r>
        <w:rPr>
          <w:color w:val="000000"/>
          <w:spacing w:val="0"/>
          <w:w w:val="100"/>
          <w:position w:val="0"/>
        </w:rPr>
        <w:t>、</w:t>
        <w:tab/>
        <w:t>承诺事项履行情况</w:t>
      </w:r>
      <w:bookmarkEnd w:id="236"/>
      <w:bookmarkEnd w:id="237"/>
      <w:bookmarkEnd w:id="239"/>
    </w:p>
    <w:p>
      <w:pPr>
        <w:pStyle w:val="Style33"/>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40"/>
      <w:bookmarkEnd w:id="241"/>
      <w:bookmarkEnd w:id="243"/>
    </w:p>
    <w:tbl>
      <w:tblPr>
        <w:tblOverlap w:val="never"/>
        <w:jc w:val="center"/>
        <w:tblLayout w:type="fixed"/>
      </w:tblPr>
      <w:tblGrid>
        <w:gridCol w:w="3197"/>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古培坚、雷彪</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月内不转让或 者委托他人管 理本人直接或 者间接持有的 公开发行股票 前已发行的股 份，也不由公司 回购本人直接 或间接持有的 公司公开发行 股票前已发行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日，该承 诺已履行完毕。</w:t>
            </w:r>
          </w:p>
        </w:tc>
      </w:tr>
    </w:tbl>
    <w:p>
      <w:pPr>
        <w:widowControl w:val="0"/>
        <w:spacing w:line="1" w:lineRule="exact"/>
      </w:pPr>
      <w:r>
        <w:br w:type="page"/>
      </w:r>
    </w:p>
    <w:tbl>
      <w:tblPr>
        <w:tblOverlap w:val="never"/>
        <w:jc w:val="center"/>
        <w:tblLayout w:type="fixed"/>
      </w:tblPr>
      <w:tblGrid>
        <w:gridCol w:w="3197"/>
        <w:gridCol w:w="1277"/>
        <w:gridCol w:w="1277"/>
        <w:gridCol w:w="1277"/>
        <w:gridCol w:w="1277"/>
        <w:gridCol w:w="127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古培坚、雷彪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在担任公司董 事、高级管理人 员期间每年转 让的股份不超 过本人所持有 公司股份总数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；本人从 公司离职后半 年内，不得转让 本人所持有的 公司股份。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任职期限内及 离职后半年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日，承诺 人严格信守承 诺，未出现违反 该承诺的情况。</w:t>
            </w:r>
          </w:p>
        </w:tc>
      </w:tr>
      <w:tr>
        <w:trPr>
          <w:trHeight w:val="100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关于避免同业 竞争的承诺</w:t>
            </w:r>
            <w:r>
              <w:rPr>
                <w:color w:val="000000"/>
                <w:spacing w:val="0"/>
                <w:w w:val="100"/>
                <w:position w:val="0"/>
                <w:sz w:val="18"/>
                <w:szCs w:val="18"/>
              </w:rPr>
              <w:t>：</w:t>
            </w:r>
          </w:p>
          <w:p>
            <w:pPr>
              <w:pStyle w:val="Style19"/>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本人将不从 事与易联众相 同或相近的业 务，以避免对易 联众的生产经 营构成直接或 间接的竞争；保 证将努力促使 本人的其他控 股企业不直接 或间接从事、参 与或进行与易 联众的生产、经 营相竞争的任 何经营活动。</w:t>
            </w:r>
          </w:p>
          <w:p>
            <w:pPr>
              <w:pStyle w:val="Style19"/>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如本人及除 易联众以外本 人的其他控股 企业与易联众 之间存在有竞 争性同类业务， 由此在市场份 额、商业机会及 资源配置等方 面可能对易联 众带来不公平 的影响时，本人 及其除易联众 以外本人的其 他控股企业自</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日，承诺 人严格信守承 诺，未出现违反 该承诺的情况。</w:t>
            </w:r>
          </w:p>
        </w:tc>
      </w:tr>
    </w:tbl>
    <w:p>
      <w:pPr>
        <w:widowControl w:val="0"/>
        <w:spacing w:line="1" w:lineRule="exact"/>
      </w:pPr>
      <w:r>
        <w:br w:type="page"/>
      </w:r>
    </w:p>
    <w:tbl>
      <w:tblPr>
        <w:tblOverlap w:val="never"/>
        <w:jc w:val="center"/>
        <w:tblLayout w:type="fixed"/>
      </w:tblPr>
      <w:tblGrid>
        <w:gridCol w:w="3197"/>
        <w:gridCol w:w="1277"/>
        <w:gridCol w:w="1277"/>
        <w:gridCol w:w="1277"/>
        <w:gridCol w:w="1277"/>
        <w:gridCol w:w="1277"/>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愿放弃与易联 众的业务竞争。 自本承诺出具 之日起，本人承 诺，赔偿易联众 因本人违反本 承诺任何条款 而遭受或产生 的任何损失或 开支。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本承诺自出具 之日起不可撤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本人将不在中 国境内外直接 或间接从事或 参与任何在商 业上对易联众 构成竞争的业 务及活动或拥 有与易联众存 在竞争关系的 任何经济实体、 机构、经济组织 的权益；或以其 他任何形式取 得该经济实体、 机构、经济组织 的控制权； 本人如有出售 与易联众生产、 经营相关的任 何资产、业务或 权益，易联众均 享有优先购买 权；且本人保证 在出售或转让 有关资产或业 务时给予易联 众的条件不高 于本人或本人 控制的企业向 任何其他第三 人提供的条件；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日，承诺 人严格信守承 诺，未出现违反 该承诺的情况。 注：</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日起，雷彪 先生不再属于 持有公司股份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 东，具体情况详 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日在中 国证监会指定 信息披露网站 巨潮资讯</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 xml:space="preserve">) </w:t>
            </w:r>
            <w:r>
              <w:rPr>
                <w:color w:val="000000"/>
                <w:spacing w:val="0"/>
                <w:w w:val="100"/>
                <w:position w:val="0"/>
              </w:rPr>
              <w:t>披露的《关于持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 减持股份的提 示性公告》。</w:t>
            </w:r>
          </w:p>
        </w:tc>
      </w:tr>
    </w:tbl>
    <w:p>
      <w:pPr>
        <w:widowControl w:val="0"/>
        <w:spacing w:line="1" w:lineRule="exact"/>
      </w:pPr>
      <w:r>
        <w:br w:type="page"/>
      </w:r>
    </w:p>
    <w:tbl>
      <w:tblPr>
        <w:tblOverlap w:val="never"/>
        <w:jc w:val="center"/>
        <w:tblLayout w:type="fixed"/>
      </w:tblPr>
      <w:tblGrid>
        <w:gridCol w:w="3197"/>
        <w:gridCol w:w="1277"/>
        <w:gridCol w:w="1277"/>
        <w:gridCol w:w="1277"/>
        <w:gridCol w:w="1277"/>
        <w:gridCol w:w="1277"/>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本人愿意承担 因违反上述承 诺而给易联众 造成的全部经 济损失。本人在 不再持有易联 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及以上股 份及担任公司 高级管理人员 之前，本承诺为 有效之承诺。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古培坚、雷彪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若本公司因员 工缴纳的各项 社保及住房公 积金不符合规 定而承担任何 罚款或损失，本 人及其他股东 均承诺承担相 关连带责任，共 同为本公司补 缴各项社会保 险及住房公积 金、承担任何罚 款等一切可能 给本公司造成 的损失。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日，承诺 人严格信守承 诺，未出现违反 该承诺的情况</w:t>
            </w:r>
          </w:p>
        </w:tc>
      </w:tr>
      <w:tr>
        <w:trPr>
          <w:trHeight w:val="536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易联众信息技 术股份有限公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日，经公司第二 届董事会第五 次会议审议通 过，公司以超募 资金</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万元 用于购置福州 软件园动漫游 戏产业基地二 期</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研发楼， 同时承诺： 公司在最近</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个月内未进行 证券投资、委托 理财、衍生品投 资、与主营业务 不相关的创业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日，该承 诺已履行完毕。 公司严格信守 承诺，未出现违 反该承诺的情 况</w:t>
            </w:r>
          </w:p>
        </w:tc>
      </w:tr>
    </w:tbl>
    <w:p>
      <w:pPr>
        <w:widowControl w:val="0"/>
        <w:spacing w:line="1" w:lineRule="exact"/>
      </w:pPr>
      <w:r>
        <w:br w:type="page"/>
      </w:r>
    </w:p>
    <w:tbl>
      <w:tblPr>
        <w:tblOverlap w:val="never"/>
        <w:jc w:val="center"/>
        <w:tblLayout w:type="fixed"/>
      </w:tblPr>
      <w:tblGrid>
        <w:gridCol w:w="3197"/>
        <w:gridCol w:w="1277"/>
        <w:gridCol w:w="1277"/>
        <w:gridCol w:w="1277"/>
        <w:gridCol w:w="1277"/>
        <w:gridCol w:w="1277"/>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投资等高风险 投资。按照中国 证券监督管理 委员会和深圳 证券交易所的 有关规定，公司 承诺此次购置 研发楼主要用 于主营业务相 关的使用用途， 不用于出租、转 让。</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剩余超募资金， 公司将根据自 身发展规划及 实际生产经营 需求，按照中国 证券监督管理 委员会和深圳 证券交易所的 有关规定，围绕 主业、合理规 划，妥善安排使 用计划。公司在 实际使用超募 资金前，将履行 相应的董事会 或股东大会等 审议程序，并及 时披露。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易联众信息技 术股份有限公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日，经公司第二 届董事会第八 次会议审议通 过，公司以超募 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 永久补充流动 资金，同时承 诺：</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公司过去十二 个月内未进行 证券投资等高 风险投资，并承 诺未来十二个</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严格信守承诺， 未出现违反该 承诺的情况</w:t>
            </w:r>
          </w:p>
        </w:tc>
      </w:tr>
    </w:tbl>
    <w:p>
      <w:pPr>
        <w:widowControl w:val="0"/>
        <w:spacing w:line="1" w:lineRule="exact"/>
      </w:pPr>
      <w:r>
        <w:br w:type="page"/>
      </w:r>
    </w:p>
    <w:tbl>
      <w:tblPr>
        <w:tblOverlap w:val="never"/>
        <w:jc w:val="center"/>
        <w:tblLayout w:type="fixed"/>
      </w:tblPr>
      <w:tblGrid>
        <w:gridCol w:w="3197"/>
        <w:gridCol w:w="1277"/>
        <w:gridCol w:w="1277"/>
        <w:gridCol w:w="1277"/>
        <w:gridCol w:w="1277"/>
        <w:gridCol w:w="1277"/>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月内不进行证 券投资、委托理 财、衍生品投 资、创业投资等 高风险投资。剩 余超募资金，公 司将根据自身 发展规划及实 际生产经营需 求，按照中国证 券监督管理委 员会和深圳证 券交易所的有 关规定，围绕主 业、合理规划， 妥善安排其余 超募资金的使 用计划。公司在 实际使用超募 资金前，将履行 相应的董事会、 股东大会等审 议程序，并及时 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日起连续六 个月内通过证 券交易系统出 售持有的公司 股份不超过 </w:t>
            </w:r>
            <w:r>
              <w:rPr>
                <w:rFonts w:ascii="Times New Roman" w:eastAsia="Times New Roman" w:hAnsi="Times New Roman" w:cs="Times New Roman"/>
                <w:color w:val="000000"/>
                <w:spacing w:val="0"/>
                <w:w w:val="100"/>
                <w:position w:val="0"/>
                <w:sz w:val="18"/>
                <w:szCs w:val="18"/>
              </w:rPr>
              <w:t>1,532</w:t>
            </w:r>
            <w:r>
              <w:rPr>
                <w:color w:val="000000"/>
                <w:spacing w:val="0"/>
                <w:w w:val="100"/>
                <w:position w:val="0"/>
              </w:rPr>
              <w:t>万股。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日，承诺 人严格信守承 诺，未出现违反 该承诺的情况。</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3"/>
        <w:keepNext/>
        <w:keepLines/>
        <w:widowControl w:val="0"/>
        <w:shd w:val="clear" w:color="auto" w:fill="auto"/>
        <w:bidi w:val="0"/>
        <w:spacing w:before="0" w:line="326" w:lineRule="exact"/>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2</w:t>
      </w:r>
      <w:bookmarkEnd w:id="246"/>
      <w:r>
        <w:rPr>
          <w:color w:val="000000"/>
          <w:spacing w:val="0"/>
          <w:w w:val="100"/>
          <w:position w:val="0"/>
        </w:rPr>
        <w:t>、公司资产或项目存在盈利预测，且报告期仍处在盈利预测期间，公司就资产或项目达到原盈利预测及其原因 做出说明</w:t>
      </w:r>
      <w:bookmarkEnd w:id="244"/>
      <w:bookmarkEnd w:id="245"/>
      <w:bookmarkEnd w:id="247"/>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九</w:t>
      </w:r>
      <w:bookmarkEnd w:id="250"/>
      <w:r>
        <w:rPr>
          <w:color w:val="000000"/>
          <w:spacing w:val="0"/>
          <w:w w:val="100"/>
          <w:position w:val="0"/>
        </w:rPr>
        <w:t>、聘任、解聘会计师事务所情况</w:t>
      </w:r>
      <w:bookmarkEnd w:id="248"/>
      <w:bookmarkEnd w:id="249"/>
      <w:bookmarkEnd w:id="25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熊建益、朱丹丹</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1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60" w:line="331" w:lineRule="exact"/>
        <w:ind w:left="0" w:right="0" w:firstLine="0"/>
        <w:jc w:val="left"/>
      </w:pPr>
      <w:bookmarkStart w:id="252" w:name="bookmark252"/>
      <w:bookmarkStart w:id="253" w:name="bookmark253"/>
      <w:bookmarkStart w:id="254" w:name="bookmark254"/>
      <w:r>
        <w:rPr>
          <w:color w:val="000000"/>
          <w:spacing w:val="0"/>
          <w:w w:val="100"/>
          <w:position w:val="0"/>
        </w:rPr>
        <w:t>十、上市公司及其董事、监事、高级管理人员、公司股东、实际控制人和收购人处罚及整改 情况</w:t>
      </w:r>
      <w:bookmarkEnd w:id="252"/>
      <w:bookmarkEnd w:id="253"/>
      <w:bookmarkEnd w:id="254"/>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上市公司及其子公司是否被列入环保部门公布的污染严重企业名单</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上市公司及其子公司是否存在其他重大社会安全问题</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报告期内是否被行政处罚</w:t>
      </w:r>
    </w:p>
    <w:p>
      <w:pPr>
        <w:pStyle w:val="Style26"/>
        <w:keepNext w:val="0"/>
        <w:keepLines w:val="0"/>
        <w:widowControl w:val="0"/>
        <w:shd w:val="clear" w:color="auto" w:fill="auto"/>
        <w:bidi w:val="0"/>
        <w:spacing w:before="0" w:after="1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keepLines/>
        <w:widowControl w:val="0"/>
        <w:shd w:val="clear" w:color="auto" w:fill="auto"/>
        <w:bidi w:val="0"/>
        <w:spacing w:before="0" w:after="280" w:line="331" w:lineRule="exact"/>
        <w:ind w:left="0" w:right="0" w:firstLine="0"/>
        <w:jc w:val="left"/>
      </w:pPr>
      <w:bookmarkStart w:id="255" w:name="bookmark255"/>
      <w:bookmarkStart w:id="256" w:name="bookmark256"/>
      <w:bookmarkStart w:id="257" w:name="bookmark257"/>
      <w:r>
        <w:rPr>
          <w:color w:val="000000"/>
          <w:spacing w:val="0"/>
          <w:w w:val="100"/>
          <w:position w:val="0"/>
        </w:rPr>
        <w:t>十一、公司股东及其一致行动人在报告期提出或实施股份增持计划的情况</w:t>
      </w:r>
      <w:bookmarkEnd w:id="255"/>
      <w:bookmarkEnd w:id="256"/>
      <w:bookmarkEnd w:id="257"/>
    </w:p>
    <w:p>
      <w:pPr>
        <w:pStyle w:val="Style26"/>
        <w:keepNext w:val="0"/>
        <w:keepLines w:val="0"/>
        <w:widowControl w:val="0"/>
        <w:shd w:val="clear" w:color="auto" w:fill="auto"/>
        <w:bidi w:val="0"/>
        <w:spacing w:before="0" w:after="280" w:line="322" w:lineRule="exact"/>
        <w:ind w:left="0" w:right="0" w:firstLine="380"/>
        <w:jc w:val="left"/>
      </w:pPr>
      <w:r>
        <w:rPr>
          <w:color w:val="000000"/>
          <w:spacing w:val="0"/>
          <w:w w:val="100"/>
          <w:position w:val="0"/>
        </w:rPr>
        <w:t>无。</w:t>
      </w:r>
    </w:p>
    <w:p>
      <w:pPr>
        <w:pStyle w:val="Style28"/>
        <w:keepNext/>
        <w:keepLines/>
        <w:widowControl w:val="0"/>
        <w:shd w:val="clear" w:color="auto" w:fill="auto"/>
        <w:bidi w:val="0"/>
        <w:spacing w:before="0" w:after="280" w:line="331" w:lineRule="exact"/>
        <w:ind w:left="0" w:right="0" w:firstLine="0"/>
        <w:jc w:val="left"/>
      </w:pPr>
      <w:bookmarkStart w:id="258" w:name="bookmark258"/>
      <w:bookmarkStart w:id="259" w:name="bookmark259"/>
      <w:bookmarkStart w:id="260" w:name="bookmark260"/>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258"/>
      <w:bookmarkEnd w:id="259"/>
      <w:bookmarkEnd w:id="260"/>
    </w:p>
    <w:p>
      <w:pPr>
        <w:pStyle w:val="Style26"/>
        <w:keepNext w:val="0"/>
        <w:keepLines w:val="0"/>
        <w:widowControl w:val="0"/>
        <w:shd w:val="clear" w:color="auto" w:fill="auto"/>
        <w:bidi w:val="0"/>
        <w:spacing w:before="0" w:after="280" w:line="322" w:lineRule="exact"/>
        <w:ind w:left="0" w:right="0" w:firstLine="380"/>
        <w:jc w:val="left"/>
      </w:pPr>
      <w:r>
        <w:rPr>
          <w:color w:val="000000"/>
          <w:spacing w:val="0"/>
          <w:w w:val="100"/>
          <w:position w:val="0"/>
        </w:rPr>
        <w:t>无。</w:t>
      </w:r>
    </w:p>
    <w:p>
      <w:pPr>
        <w:pStyle w:val="Style28"/>
        <w:keepNext/>
        <w:keepLines/>
        <w:widowControl w:val="0"/>
        <w:shd w:val="clear" w:color="auto" w:fill="auto"/>
        <w:bidi w:val="0"/>
        <w:spacing w:before="0" w:after="280" w:line="331" w:lineRule="exact"/>
        <w:ind w:left="0" w:right="0" w:firstLine="0"/>
        <w:jc w:val="left"/>
      </w:pPr>
      <w:bookmarkStart w:id="261" w:name="bookmark261"/>
      <w:bookmarkStart w:id="262" w:name="bookmark262"/>
      <w:bookmarkStart w:id="263" w:name="bookmark263"/>
      <w:r>
        <w:rPr>
          <w:color w:val="000000"/>
          <w:spacing w:val="0"/>
          <w:w w:val="100"/>
          <w:position w:val="0"/>
        </w:rPr>
        <w:t>十三、违规对外担保情况</w:t>
      </w:r>
      <w:bookmarkEnd w:id="261"/>
      <w:bookmarkEnd w:id="262"/>
      <w:bookmarkEnd w:id="263"/>
    </w:p>
    <w:p>
      <w:pPr>
        <w:pStyle w:val="Style26"/>
        <w:keepNext w:val="0"/>
        <w:keepLines w:val="0"/>
        <w:widowControl w:val="0"/>
        <w:shd w:val="clear" w:color="auto" w:fill="auto"/>
        <w:bidi w:val="0"/>
        <w:spacing w:before="0" w:after="280" w:line="322" w:lineRule="exact"/>
        <w:ind w:left="0" w:right="0" w:firstLine="380"/>
        <w:jc w:val="left"/>
      </w:pPr>
      <w:r>
        <w:rPr>
          <w:color w:val="000000"/>
          <w:spacing w:val="0"/>
          <w:w w:val="100"/>
          <w:position w:val="0"/>
        </w:rPr>
        <w:t>无。</w:t>
      </w:r>
    </w:p>
    <w:p>
      <w:pPr>
        <w:pStyle w:val="Style28"/>
        <w:keepNext/>
        <w:keepLines/>
        <w:widowControl w:val="0"/>
        <w:shd w:val="clear" w:color="auto" w:fill="auto"/>
        <w:bidi w:val="0"/>
        <w:spacing w:before="0" w:after="280" w:line="331" w:lineRule="exact"/>
        <w:ind w:left="0" w:right="0" w:firstLine="0"/>
        <w:jc w:val="left"/>
      </w:pPr>
      <w:bookmarkStart w:id="264" w:name="bookmark264"/>
      <w:bookmarkStart w:id="265" w:name="bookmark265"/>
      <w:bookmarkStart w:id="266" w:name="bookmark266"/>
      <w:r>
        <w:rPr>
          <w:color w:val="000000"/>
          <w:spacing w:val="0"/>
          <w:w w:val="100"/>
          <w:position w:val="0"/>
        </w:rPr>
        <w:t>十四、年度报告披露后面临暂停上市和终止上市情况</w:t>
      </w:r>
      <w:bookmarkEnd w:id="264"/>
      <w:bookmarkEnd w:id="265"/>
      <w:bookmarkEnd w:id="266"/>
    </w:p>
    <w:p>
      <w:pPr>
        <w:pStyle w:val="Style26"/>
        <w:keepNext w:val="0"/>
        <w:keepLines w:val="0"/>
        <w:widowControl w:val="0"/>
        <w:shd w:val="clear" w:color="auto" w:fill="auto"/>
        <w:bidi w:val="0"/>
        <w:spacing w:before="0" w:after="280" w:line="322" w:lineRule="exact"/>
        <w:ind w:left="0" w:right="0" w:firstLine="380"/>
        <w:jc w:val="left"/>
      </w:pPr>
      <w:r>
        <w:rPr>
          <w:color w:val="000000"/>
          <w:spacing w:val="0"/>
          <w:w w:val="100"/>
          <w:position w:val="0"/>
        </w:rPr>
        <w:t>无。</w:t>
      </w:r>
    </w:p>
    <w:p>
      <w:pPr>
        <w:pStyle w:val="Style28"/>
        <w:keepNext/>
        <w:keepLines/>
        <w:widowControl w:val="0"/>
        <w:shd w:val="clear" w:color="auto" w:fill="auto"/>
        <w:bidi w:val="0"/>
        <w:spacing w:before="0" w:after="280" w:line="331" w:lineRule="exact"/>
        <w:ind w:left="0" w:right="0" w:firstLine="0"/>
        <w:jc w:val="left"/>
      </w:pPr>
      <w:bookmarkStart w:id="267" w:name="bookmark267"/>
      <w:bookmarkStart w:id="268" w:name="bookmark268"/>
      <w:bookmarkStart w:id="269" w:name="bookmark269"/>
      <w:r>
        <w:rPr>
          <w:color w:val="000000"/>
          <w:spacing w:val="0"/>
          <w:w w:val="100"/>
          <w:position w:val="0"/>
        </w:rPr>
        <w:t>十五、其他重大事项的说明</w:t>
      </w:r>
      <w:bookmarkEnd w:id="267"/>
      <w:bookmarkEnd w:id="268"/>
      <w:bookmarkEnd w:id="269"/>
    </w:p>
    <w:p>
      <w:pPr>
        <w:pStyle w:val="Style26"/>
        <w:keepNext w:val="0"/>
        <w:keepLines w:val="0"/>
        <w:widowControl w:val="0"/>
        <w:shd w:val="clear" w:color="auto" w:fill="auto"/>
        <w:bidi w:val="0"/>
        <w:spacing w:before="0" w:after="0" w:line="322" w:lineRule="exact"/>
        <w:ind w:left="0" w:right="0" w:firstLine="0"/>
        <w:jc w:val="left"/>
      </w:pPr>
      <w:bookmarkStart w:id="270" w:name="bookmark270"/>
      <w:r>
        <w:rPr>
          <w:rFonts w:ascii="Times New Roman" w:eastAsia="Times New Roman" w:hAnsi="Times New Roman" w:cs="Times New Roman"/>
          <w:color w:val="000000"/>
          <w:spacing w:val="0"/>
          <w:w w:val="100"/>
          <w:position w:val="0"/>
          <w:sz w:val="18"/>
          <w:szCs w:val="18"/>
        </w:rPr>
        <w:t>1</w:t>
      </w:r>
      <w:bookmarkEnd w:id="270"/>
      <w:r>
        <w:rPr>
          <w:color w:val="000000"/>
          <w:spacing w:val="0"/>
          <w:w w:val="100"/>
          <w:position w:val="0"/>
        </w:rPr>
        <w:t>、募集资金投资项目变动情况</w:t>
      </w:r>
    </w:p>
    <w:p>
      <w:pPr>
        <w:pStyle w:val="Style2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日，经公司第二届董事会第九次会议审议通过了《关于调整募集资金投资项目——研发中心平台建设及软 件升级产业化项目实施进度的议案》。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日，公司披露了《关于调整募集资金投资项目</w:t>
      </w:r>
      <w:r>
        <w:rPr>
          <w:rFonts w:ascii="Arial Unicode MS" w:eastAsia="Arial Unicode MS" w:hAnsi="Arial Unicode MS" w:cs="Arial Unicode MS"/>
          <w:color w:val="000000"/>
          <w:spacing w:val="0"/>
          <w:w w:val="100"/>
          <w:position w:val="0"/>
          <w:sz w:val="16"/>
          <w:szCs w:val="16"/>
        </w:rPr>
        <w:t>一一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发中心平台建设及 软件升级产业化项目实施进度的公告》。</w:t>
      </w:r>
    </w:p>
    <w:p>
      <w:pPr>
        <w:pStyle w:val="Style2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日，经公司第二届董事会第九次会议审议通过了《关于终止超募资金投资项目——大连易联众科技有限公 </w:t>
      </w:r>
      <w:r>
        <w:rPr>
          <w:color w:val="000000"/>
          <w:spacing w:val="0"/>
          <w:w w:val="100"/>
          <w:position w:val="0"/>
        </w:rPr>
        <w:t>司的议案》、《关于变更募集资金投资项目一运维体系及灾备服务平台项目投资内容的议案》。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日，公司披 露了《关于终止超募资金投资项目</w:t>
      </w:r>
      <w:r>
        <w:rPr>
          <w:color w:val="000000"/>
          <w:spacing w:val="0"/>
          <w:w w:val="100"/>
          <w:position w:val="0"/>
        </w:rPr>
        <w:t>一</w:t>
      </w:r>
      <w:r>
        <w:rPr>
          <w:color w:val="000000"/>
          <w:spacing w:val="0"/>
          <w:w w:val="100"/>
          <w:position w:val="0"/>
        </w:rPr>
        <w:t>大连易联众科技有限公司的公告》、《关于变更募集资金投资项目</w:t>
      </w:r>
      <w:r>
        <w:rPr>
          <w:color w:val="000000"/>
          <w:spacing w:val="0"/>
          <w:w w:val="100"/>
          <w:position w:val="0"/>
        </w:rPr>
        <w:t>一</w:t>
      </w:r>
      <w:r>
        <w:rPr>
          <w:color w:val="000000"/>
          <w:spacing w:val="0"/>
          <w:w w:val="100"/>
          <w:position w:val="0"/>
        </w:rPr>
        <w:t>运维体系及灾 备服务平台项目投资内容的公告》、《运维服务平台可行性研究报告》。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 审议通过了上述议案。</w:t>
      </w:r>
    </w:p>
    <w:p>
      <w:pPr>
        <w:pStyle w:val="Style26"/>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日，公司披露了《关于完成子公司注销登记的公告》，大连易联众的注销登记手续已办理完毕。</w:t>
      </w:r>
    </w:p>
    <w:p>
      <w:pPr>
        <w:pStyle w:val="Style26"/>
        <w:keepNext w:val="0"/>
        <w:keepLines w:val="0"/>
        <w:widowControl w:val="0"/>
        <w:shd w:val="clear" w:color="auto" w:fill="auto"/>
        <w:bidi w:val="0"/>
        <w:spacing w:before="0" w:after="100" w:line="320" w:lineRule="exact"/>
        <w:ind w:left="0" w:right="0" w:firstLine="380"/>
        <w:jc w:val="both"/>
      </w:pPr>
      <w:r>
        <w:rPr>
          <w:color w:val="000000"/>
          <w:spacing w:val="0"/>
          <w:w w:val="100"/>
          <w:position w:val="0"/>
        </w:rPr>
        <w:t>具体内容详见公司刊登在巨潮资讯网的相关公告。</w:t>
      </w:r>
    </w:p>
    <w:p>
      <w:pPr>
        <w:pStyle w:val="Style26"/>
        <w:keepNext w:val="0"/>
        <w:keepLines w:val="0"/>
        <w:widowControl w:val="0"/>
        <w:shd w:val="clear" w:color="auto" w:fill="auto"/>
        <w:bidi w:val="0"/>
        <w:spacing w:before="0" w:after="0" w:line="372" w:lineRule="auto"/>
        <w:ind w:left="0" w:right="0" w:firstLine="0"/>
        <w:jc w:val="left"/>
      </w:pPr>
      <w:bookmarkStart w:id="271" w:name="bookmark271"/>
      <w:r>
        <w:rPr>
          <w:rFonts w:ascii="Times New Roman" w:eastAsia="Times New Roman" w:hAnsi="Times New Roman" w:cs="Times New Roman"/>
          <w:color w:val="000000"/>
          <w:spacing w:val="0"/>
          <w:w w:val="100"/>
          <w:position w:val="0"/>
          <w:sz w:val="18"/>
          <w:szCs w:val="18"/>
        </w:rPr>
        <w:t>2</w:t>
      </w:r>
      <w:bookmarkEnd w:id="271"/>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合作建立健康云创新中心</w:t>
      </w:r>
    </w:p>
    <w:p>
      <w:pPr>
        <w:pStyle w:val="Style26"/>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日，公司与国际商业机器（中国）有限公司（简称</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color w:val="000000"/>
          <w:spacing w:val="0"/>
          <w:w w:val="100"/>
          <w:position w:val="0"/>
        </w:rPr>
        <w:t>签署了《联合行动协议》及其附件</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与易 联众共建健康云创新中心》，双方决定合作建立健康云创新中心，旨在应用信息技术创新进行健康管理的服务模式创新。</w:t>
      </w:r>
    </w:p>
    <w:p>
      <w:pPr>
        <w:pStyle w:val="Style26"/>
        <w:keepNext w:val="0"/>
        <w:keepLines w:val="0"/>
        <w:widowControl w:val="0"/>
        <w:shd w:val="clear" w:color="auto" w:fill="auto"/>
        <w:bidi w:val="0"/>
        <w:spacing w:before="0" w:after="380" w:line="320" w:lineRule="exact"/>
        <w:ind w:left="0" w:right="0" w:firstLine="380"/>
        <w:jc w:val="both"/>
      </w:pP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日在巨潮资讯网披露的《关于与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签署</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联合行动协议</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及其附件</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与易联众 共建健康云创新中心</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的公告》。</w:t>
      </w:r>
    </w:p>
    <w:p>
      <w:pPr>
        <w:pStyle w:val="Style28"/>
        <w:keepNext/>
        <w:keepLines/>
        <w:widowControl w:val="0"/>
        <w:shd w:val="clear" w:color="auto" w:fill="auto"/>
        <w:bidi w:val="0"/>
        <w:spacing w:before="0" w:after="260" w:line="240" w:lineRule="auto"/>
        <w:ind w:left="0" w:right="0" w:firstLine="0"/>
        <w:jc w:val="left"/>
      </w:pPr>
      <w:bookmarkStart w:id="272" w:name="bookmark272"/>
      <w:bookmarkStart w:id="273" w:name="bookmark273"/>
      <w:bookmarkStart w:id="274" w:name="bookmark274"/>
      <w:r>
        <w:rPr>
          <w:color w:val="000000"/>
          <w:spacing w:val="0"/>
          <w:w w:val="100"/>
          <w:position w:val="0"/>
        </w:rPr>
        <w:t>十六、控股子公司重要事项</w:t>
      </w:r>
      <w:bookmarkEnd w:id="272"/>
      <w:bookmarkEnd w:id="273"/>
      <w:bookmarkEnd w:id="274"/>
    </w:p>
    <w:p>
      <w:pPr>
        <w:pStyle w:val="Style26"/>
        <w:keepNext w:val="0"/>
        <w:keepLines w:val="0"/>
        <w:widowControl w:val="0"/>
        <w:shd w:val="clear" w:color="auto" w:fill="auto"/>
        <w:bidi w:val="0"/>
        <w:spacing w:before="0" w:after="180" w:line="320" w:lineRule="exact"/>
        <w:ind w:left="0" w:right="0" w:firstLine="380"/>
        <w:jc w:val="both"/>
        <w:sectPr>
          <w:footnotePr>
            <w:pos w:val="pageBottom"/>
            <w:numFmt w:val="decimal"/>
            <w:numRestart w:val="continuous"/>
          </w:footnotePr>
          <w:pgSz w:w="11900" w:h="16840"/>
          <w:pgMar w:top="1293" w:right="1067" w:bottom="1258" w:left="1061" w:header="0" w:footer="3" w:gutter="0"/>
          <w:cols w:space="720"/>
          <w:noEndnote/>
          <w:rtlGutter w:val="0"/>
          <w:docGrid w:linePitch="360"/>
        </w:sectPr>
      </w:pPr>
      <w:r>
        <w:rPr>
          <w:color w:val="000000"/>
          <w:spacing w:val="0"/>
          <w:w w:val="100"/>
          <w:position w:val="0"/>
        </w:rPr>
        <w:t>无。</w:t>
      </w:r>
    </w:p>
    <w:p>
      <w:pPr>
        <w:pStyle w:val="Style8"/>
        <w:keepNext/>
        <w:keepLines/>
        <w:widowControl w:val="0"/>
        <w:shd w:val="clear" w:color="auto" w:fill="auto"/>
        <w:bidi w:val="0"/>
        <w:spacing w:before="580" w:after="540" w:line="240" w:lineRule="auto"/>
        <w:ind w:left="0" w:right="0" w:firstLine="0"/>
        <w:jc w:val="center"/>
      </w:pPr>
      <w:bookmarkStart w:id="275" w:name="bookmark275"/>
      <w:bookmarkStart w:id="276" w:name="bookmark276"/>
      <w:bookmarkStart w:id="277" w:name="bookmark277"/>
      <w:r>
        <w:rPr>
          <w:color w:val="000000"/>
          <w:spacing w:val="0"/>
          <w:w w:val="100"/>
          <w:position w:val="0"/>
        </w:rPr>
        <w:t>第六节股份变动及股东情况</w:t>
      </w:r>
      <w:bookmarkEnd w:id="275"/>
      <w:bookmarkEnd w:id="276"/>
      <w:bookmarkEnd w:id="277"/>
    </w:p>
    <w:p>
      <w:pPr>
        <w:pStyle w:val="Style28"/>
        <w:keepNext/>
        <w:keepLines/>
        <w:widowControl w:val="0"/>
        <w:shd w:val="clear" w:color="auto" w:fill="auto"/>
        <w:bidi w:val="0"/>
        <w:spacing w:before="0" w:after="360" w:line="240" w:lineRule="auto"/>
        <w:ind w:left="0" w:right="0" w:firstLine="0"/>
        <w:jc w:val="both"/>
      </w:pPr>
      <w:bookmarkStart w:id="278" w:name="bookmark278"/>
      <w:bookmarkStart w:id="279" w:name="bookmark279"/>
      <w:bookmarkStart w:id="280" w:name="bookmark280"/>
      <w:bookmarkStart w:id="281" w:name="bookmark281"/>
      <w:bookmarkStart w:id="282" w:name="bookmark282"/>
      <w:r>
        <w:rPr>
          <w:color w:val="000000"/>
          <w:spacing w:val="0"/>
          <w:w w:val="100"/>
          <w:position w:val="0"/>
        </w:rPr>
        <w:t>一</w:t>
      </w:r>
      <w:bookmarkEnd w:id="281"/>
      <w:r>
        <w:rPr>
          <w:color w:val="000000"/>
          <w:spacing w:val="0"/>
          <w:w w:val="100"/>
          <w:position w:val="0"/>
        </w:rPr>
        <w:t>、股份变动情况</w:t>
      </w:r>
      <w:bookmarkEnd w:id="279"/>
      <w:bookmarkEnd w:id="280"/>
      <w:bookmarkEnd w:id="282"/>
      <w:bookmarkEnd w:id="278"/>
    </w:p>
    <w:p>
      <w:pPr>
        <w:pStyle w:val="Style33"/>
        <w:keepNext/>
        <w:keepLines/>
        <w:widowControl w:val="0"/>
        <w:shd w:val="clear" w:color="auto" w:fill="auto"/>
        <w:bidi w:val="0"/>
        <w:spacing w:before="0" w:after="360" w:line="240" w:lineRule="auto"/>
        <w:ind w:left="0" w:right="0" w:firstLine="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、股份变动情况</w:t>
      </w:r>
      <w:bookmarkEnd w:id="283"/>
      <w:bookmarkEnd w:id="284"/>
      <w:bookmarkEnd w:id="28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1022"/>
        <w:gridCol w:w="845"/>
        <w:gridCol w:w="571"/>
        <w:gridCol w:w="494"/>
        <w:gridCol w:w="850"/>
        <w:gridCol w:w="1133"/>
        <w:gridCol w:w="1066"/>
        <w:gridCol w:w="994"/>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 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80,358,700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80,358,700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80,358,700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91,641,300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91,641,300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24,108,700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tabs>
          <w:tab w:pos="699" w:val="left"/>
        </w:tabs>
        <w:bidi w:val="0"/>
        <w:spacing w:before="0" w:after="0" w:line="326" w:lineRule="exact"/>
        <w:ind w:left="0" w:right="0" w:firstLine="380"/>
        <w:jc w:val="both"/>
      </w:pPr>
      <w:bookmarkStart w:id="287" w:name="bookmark287"/>
      <w:r>
        <w:rPr>
          <w:rFonts w:ascii="Times New Roman" w:eastAsia="Times New Roman" w:hAnsi="Times New Roman" w:cs="Times New Roman"/>
          <w:color w:val="000000"/>
          <w:spacing w:val="0"/>
          <w:w w:val="100"/>
          <w:position w:val="0"/>
          <w:sz w:val="18"/>
          <w:szCs w:val="18"/>
        </w:rPr>
        <w:t>1</w:t>
      </w:r>
      <w:bookmarkEnd w:id="28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年首个交易日，中国证券登记结算有限公司深圳分公司根据公司董事、监事和高级管理人员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 持公司股份重新计算本年度可转让股份法定额度，其余部分作为高管锁定股份进行锁定。</w:t>
      </w:r>
    </w:p>
    <w:p>
      <w:pPr>
        <w:pStyle w:val="Style26"/>
        <w:keepNext w:val="0"/>
        <w:keepLines w:val="0"/>
        <w:widowControl w:val="0"/>
        <w:shd w:val="clear" w:color="auto" w:fill="auto"/>
        <w:bidi w:val="0"/>
        <w:spacing w:before="0" w:after="0" w:line="319" w:lineRule="exact"/>
        <w:ind w:left="0" w:right="0" w:firstLine="380"/>
        <w:jc w:val="both"/>
      </w:pPr>
      <w:bookmarkStart w:id="288" w:name="bookmark288"/>
      <w:r>
        <w:rPr>
          <w:rFonts w:ascii="Times New Roman" w:eastAsia="Times New Roman" w:hAnsi="Times New Roman" w:cs="Times New Roman"/>
          <w:color w:val="000000"/>
          <w:spacing w:val="0"/>
          <w:w w:val="100"/>
          <w:position w:val="0"/>
          <w:sz w:val="18"/>
          <w:szCs w:val="18"/>
        </w:rPr>
        <w:t>2</w:t>
      </w:r>
      <w:bookmarkEnd w:id="288"/>
      <w:r>
        <w:rPr>
          <w:color w:val="000000"/>
          <w:spacing w:val="0"/>
          <w:w w:val="100"/>
          <w:position w:val="0"/>
        </w:rPr>
        <w:t>、 公司股东古培坚先生、雷彪先生、黄晓晖先生持有的首次公开发行前已发行股份于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日解除限售，解除 限售的股份数量为</w:t>
      </w:r>
      <w:r>
        <w:rPr>
          <w:rFonts w:ascii="Times New Roman" w:eastAsia="Times New Roman" w:hAnsi="Times New Roman" w:cs="Times New Roman"/>
          <w:color w:val="000000"/>
          <w:spacing w:val="0"/>
          <w:w w:val="100"/>
          <w:position w:val="0"/>
          <w:sz w:val="18"/>
          <w:szCs w:val="18"/>
        </w:rPr>
        <w:t>7,552</w:t>
      </w:r>
      <w:r>
        <w:rPr>
          <w:color w:val="000000"/>
          <w:spacing w:val="0"/>
          <w:w w:val="100"/>
          <w:position w:val="0"/>
        </w:rPr>
        <w:t>万股。其中古培坚先生、雷彪先生首次公开发行前已发行股份解除限售后，</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作为高管锁定股份 进行锁定。</w:t>
      </w:r>
    </w:p>
    <w:p>
      <w:pPr>
        <w:pStyle w:val="Style26"/>
        <w:keepNext w:val="0"/>
        <w:keepLines w:val="0"/>
        <w:widowControl w:val="0"/>
        <w:shd w:val="clear" w:color="auto" w:fill="auto"/>
        <w:tabs>
          <w:tab w:pos="723" w:val="left"/>
        </w:tabs>
        <w:bidi w:val="0"/>
        <w:spacing w:before="0" w:after="0" w:line="312" w:lineRule="exact"/>
        <w:ind w:left="0" w:right="0" w:firstLine="380"/>
        <w:jc w:val="both"/>
      </w:pPr>
      <w:bookmarkStart w:id="289" w:name="bookmark289"/>
      <w:r>
        <w:rPr>
          <w:rFonts w:ascii="Times New Roman" w:eastAsia="Times New Roman" w:hAnsi="Times New Roman" w:cs="Times New Roman"/>
          <w:color w:val="000000"/>
          <w:spacing w:val="0"/>
          <w:w w:val="100"/>
          <w:position w:val="0"/>
          <w:sz w:val="18"/>
          <w:szCs w:val="18"/>
        </w:rPr>
        <w:t>3</w:t>
      </w:r>
      <w:bookmarkEnd w:id="289"/>
      <w:r>
        <w:rPr>
          <w:color w:val="000000"/>
          <w:spacing w:val="0"/>
          <w:w w:val="100"/>
          <w:position w:val="0"/>
        </w:rPr>
        <w:t>、</w:t>
        <w:tab/>
        <w:t>原董事会秘书郑仁贵先生于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日离职，其所持有的本公司股份自为其申报离职日起锁定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日起全部解除锁定。</w:t>
      </w:r>
    </w:p>
    <w:p>
      <w:pPr>
        <w:pStyle w:val="Style26"/>
        <w:keepNext w:val="0"/>
        <w:keepLines w:val="0"/>
        <w:widowControl w:val="0"/>
        <w:shd w:val="clear" w:color="auto" w:fill="auto"/>
        <w:bidi w:val="0"/>
        <w:spacing w:before="0" w:after="0" w:line="353" w:lineRule="exact"/>
        <w:ind w:left="0" w:right="0" w:firstLine="0"/>
        <w:jc w:val="both"/>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股份变动的过户情况</w:t>
      </w:r>
    </w:p>
    <w:p>
      <w:pPr>
        <w:pStyle w:val="Style26"/>
        <w:keepNext w:val="0"/>
        <w:keepLines w:val="0"/>
        <w:widowControl w:val="0"/>
        <w:shd w:val="clear" w:color="auto" w:fill="auto"/>
        <w:bidi w:val="0"/>
        <w:spacing w:before="0" w:after="0" w:line="35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53"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0" w:line="35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53" w:lineRule="exact"/>
        <w:ind w:left="0" w:right="0" w:firstLine="0"/>
        <w:jc w:val="both"/>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60" w:line="35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40" w:line="240" w:lineRule="auto"/>
        <w:ind w:left="0" w:right="0" w:firstLine="0"/>
        <w:jc w:val="both"/>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、限售股份变动情况</w:t>
      </w:r>
      <w:bookmarkEnd w:id="290"/>
      <w:bookmarkEnd w:id="291"/>
      <w:bookmarkEnd w:id="293"/>
    </w:p>
    <w:p>
      <w:pPr>
        <w:pStyle w:val="Style26"/>
        <w:keepNext w:val="0"/>
        <w:keepLines w:val="0"/>
        <w:widowControl w:val="0"/>
        <w:shd w:val="clear" w:color="auto" w:fill="auto"/>
        <w:bidi w:val="0"/>
        <w:spacing w:before="0" w:after="180" w:line="353" w:lineRule="exact"/>
        <w:ind w:left="0" w:right="180" w:firstLine="0"/>
        <w:jc w:val="right"/>
      </w:pPr>
      <w:r>
        <w:rPr>
          <w:color w:val="000000"/>
          <w:spacing w:val="0"/>
          <w:w w:val="100"/>
          <w:position w:val="0"/>
        </w:rPr>
        <w:t>单位：股</w:t>
      </w: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61,280,000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61,280,000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首发承诺、高管 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日解除首发承诺 限售，之后每年 按照上年末持有 股份数的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首发承诺、高管 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日解除首发承诺 限售，之后每年 按照上年末持有 股份数的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郑仁贵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1,913,700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离职，离职高管 锁定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80,358,700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77,748,700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二</w:t>
      </w:r>
      <w:bookmarkEnd w:id="296"/>
      <w:r>
        <w:rPr>
          <w:color w:val="000000"/>
          <w:spacing w:val="0"/>
          <w:w w:val="100"/>
          <w:position w:val="0"/>
        </w:rPr>
        <w:t>、证券发行与上市情况</w:t>
      </w:r>
      <w:bookmarkEnd w:id="294"/>
      <w:bookmarkEnd w:id="295"/>
      <w:bookmarkEnd w:id="297"/>
    </w:p>
    <w:p>
      <w:pPr>
        <w:pStyle w:val="Style33"/>
        <w:keepNext/>
        <w:keepLines/>
        <w:widowControl w:val="0"/>
        <w:shd w:val="clear" w:color="auto" w:fill="auto"/>
        <w:tabs>
          <w:tab w:pos="358" w:val="left"/>
        </w:tabs>
        <w:bidi w:val="0"/>
        <w:spacing w:before="0" w:after="36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w:t>
        <w:tab/>
        <w:t>报告期内证券发行情况</w:t>
      </w:r>
      <w:bookmarkEnd w:id="298"/>
      <w:bookmarkEnd w:id="299"/>
      <w:bookmarkEnd w:id="301"/>
    </w:p>
    <w:p>
      <w:pPr>
        <w:pStyle w:val="Style26"/>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6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w:t>
        <w:tab/>
        <w:t>公司股份总数及股东结构的变动、公司资产和负债结构的变动情况说明</w:t>
      </w:r>
      <w:bookmarkEnd w:id="302"/>
      <w:bookmarkEnd w:id="303"/>
      <w:bookmarkEnd w:id="305"/>
    </w:p>
    <w:p>
      <w:pPr>
        <w:pStyle w:val="Style26"/>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三</w:t>
      </w:r>
      <w:bookmarkEnd w:id="308"/>
      <w:r>
        <w:rPr>
          <w:color w:val="000000"/>
          <w:spacing w:val="0"/>
          <w:w w:val="100"/>
          <w:position w:val="0"/>
        </w:rPr>
        <w:t>、股东和实际控制人情况</w:t>
      </w:r>
      <w:bookmarkEnd w:id="306"/>
      <w:bookmarkEnd w:id="307"/>
      <w:bookmarkEnd w:id="309"/>
    </w:p>
    <w:p>
      <w:pPr>
        <w:pStyle w:val="Style33"/>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、公司股东数量及持股情况</w:t>
      </w:r>
      <w:bookmarkEnd w:id="310"/>
      <w:bookmarkEnd w:id="311"/>
      <w:bookmarkEnd w:id="313"/>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363"/>
        <w:gridCol w:w="1368"/>
        <w:gridCol w:w="864"/>
        <w:gridCol w:w="946"/>
        <w:gridCol w:w="850"/>
        <w:gridCol w:w="994"/>
        <w:gridCol w:w="989"/>
        <w:gridCol w:w="835"/>
        <w:gridCol w:w="1378"/>
      </w:tblGrid>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tabs>
                <w:tab w:pos="6404" w:val="left"/>
              </w:tabs>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4,228</w:t>
            </w: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6,801</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持股比例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19"/>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 条件的股份 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古培坚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雷彪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华宝信托有限责 任公司一时节好 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号集合资金 信托信托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6,439,929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6439929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6,439,929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东吴基金一农业 银行一东吴一鼎 利</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号分级股 票型资产管理计 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5,160,100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中融国际信托有 限公司一融金</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号资金信托合同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4,900,699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4900699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4,900,699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浙江恒顺投资有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2,185,500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中海信托股份有 限公司一中海一 浦江之星</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 集合资金信托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财通基金公司一 兴业一新安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 资产管理计划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1,933,550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1933550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1,933,550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中海信托股份有 限公司一中海一 浦江之星</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号 集合资金信托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西部信托有限公 司一西部信托</w:t>
            </w:r>
            <w:r>
              <w:rPr>
                <w:rFonts w:ascii="Times New Roman" w:eastAsia="Times New Roman" w:hAnsi="Times New Roman" w:cs="Times New Roman"/>
                <w:color w:val="000000"/>
                <w:spacing w:val="0"/>
                <w:w w:val="100"/>
                <w:position w:val="0"/>
                <w:sz w:val="18"/>
                <w:szCs w:val="18"/>
              </w:rPr>
              <w:t>.</w:t>
            </w:r>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稳健人生系列伞 形结构化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期证 券投资集合资金 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1,927,717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1927717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1,927,717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tc>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731"/>
        <w:gridCol w:w="4109"/>
        <w:gridCol w:w="1368"/>
        <w:gridCol w:w="1378"/>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古培坚为公司控股股东，任公司董事长、法定代表人；雷彪任公司董事、总经理。 古培坚、雷彪所持有的公司股份均为公司首次发行股票并上市时持有。截至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日，股东古培坚、雷彪之间除在本公司任职外，无关联关系，无一致行动约定。 古培坚、雷彪分别与上述其他股东之间无关联关系，无一致行动约定。公司未知其他股 东之间是否存在关联关系，也未知是否属于一致行动人。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华宝信托有限责任公司一时节好 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号集合资金信托信托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6,439,929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东吴基金一农业银行一东吴一鼎 利</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号分级股票型资产管理计划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5,160,100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中融国际信托有限公司一融金</w:t>
            </w:r>
            <w:r>
              <w:rPr>
                <w:rFonts w:ascii="Times New Roman" w:eastAsia="Times New Roman" w:hAnsi="Times New Roman" w:cs="Times New Roman"/>
                <w:color w:val="000000"/>
                <w:spacing w:val="0"/>
                <w:w w:val="100"/>
                <w:position w:val="0"/>
                <w:sz w:val="18"/>
                <w:szCs w:val="18"/>
              </w:rPr>
              <w:t xml:space="preserve">37 </w:t>
            </w:r>
            <w:r>
              <w:rPr>
                <w:color w:val="000000"/>
                <w:spacing w:val="0"/>
                <w:w w:val="100"/>
                <w:position w:val="0"/>
              </w:rPr>
              <w:t>号资金信托合同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4,900,699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浙江恒顺投资有限公司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2,185,500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中海信托股份有限公司一中海一 浦江之星</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号集合资金信托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2,170,000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财通基金公司一兴业一新安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号资 产管理计划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1,933,550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中海信托股份有限公司一中海一 浦江之星</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号集合资金信托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1,930,000</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西部信托有限公司一西部信托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 健人生系列伞形结构化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期证券投 资集合资金信托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1,927,717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中国银行一嘉实主题精选混合型 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1,790,000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夏宁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1,702,433</w:t>
            </w: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公司未知上述前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名无限售条件股东之间是否存在关联关系，也未知是否属于一 致行动人。</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参与融资融券业务股东情况说明</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公司股东夏宁通过普通证券账户持有公司股份</w:t>
            </w:r>
            <w:r>
              <w:rPr>
                <w:rFonts w:ascii="Times New Roman" w:eastAsia="Times New Roman" w:hAnsi="Times New Roman" w:cs="Times New Roman"/>
                <w:color w:val="000000"/>
                <w:spacing w:val="0"/>
                <w:w w:val="100"/>
                <w:position w:val="0"/>
                <w:sz w:val="18"/>
                <w:szCs w:val="18"/>
              </w:rPr>
              <w:t>223,119</w:t>
            </w:r>
            <w:r>
              <w:rPr>
                <w:color w:val="000000"/>
                <w:spacing w:val="0"/>
                <w:w w:val="100"/>
                <w:position w:val="0"/>
              </w:rPr>
              <w:t>股，通过中信建设证券股份 有限公司客户信用交易担保证券账户持有公司股份</w:t>
            </w:r>
            <w:r>
              <w:rPr>
                <w:rFonts w:ascii="Times New Roman" w:eastAsia="Times New Roman" w:hAnsi="Times New Roman" w:cs="Times New Roman"/>
                <w:color w:val="000000"/>
                <w:spacing w:val="0"/>
                <w:w w:val="100"/>
                <w:position w:val="0"/>
                <w:sz w:val="18"/>
                <w:szCs w:val="18"/>
              </w:rPr>
              <w:t>1,479,314</w:t>
            </w:r>
            <w:r>
              <w:rPr>
                <w:color w:val="000000"/>
                <w:spacing w:val="0"/>
                <w:w w:val="100"/>
                <w:position w:val="0"/>
              </w:rPr>
              <w:t xml:space="preserve">股，合计持有公司股份 </w:t>
            </w:r>
            <w:r>
              <w:rPr>
                <w:rFonts w:ascii="Times New Roman" w:eastAsia="Times New Roman" w:hAnsi="Times New Roman" w:cs="Times New Roman"/>
                <w:color w:val="000000"/>
                <w:spacing w:val="0"/>
                <w:w w:val="100"/>
                <w:position w:val="0"/>
                <w:sz w:val="18"/>
                <w:szCs w:val="18"/>
              </w:rPr>
              <w:t xml:space="preserve">1,702,433 </w:t>
            </w:r>
            <w:r>
              <w:rPr>
                <w:color w:val="000000"/>
                <w:spacing w:val="0"/>
                <w:w w:val="100"/>
                <w:position w:val="0"/>
              </w:rPr>
              <w:t>股。</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否</w:t>
      </w:r>
      <w:r>
        <w:br w:type="page"/>
      </w:r>
    </w:p>
    <w:p>
      <w:pPr>
        <w:pStyle w:val="Style33"/>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、公司控股股东情况</w:t>
      </w:r>
      <w:bookmarkEnd w:id="314"/>
      <w:bookmarkEnd w:id="315"/>
      <w:bookmarkEnd w:id="317"/>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第七节董事、监事、高级管理人员和员工情况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现任董事、监事、 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年的主要工作经历匚</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、公司实际控制人情况</w:t>
      </w:r>
      <w:bookmarkEnd w:id="318"/>
      <w:bookmarkEnd w:id="319"/>
      <w:bookmarkEnd w:id="321"/>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226"/>
        <w:gridCol w:w="2227"/>
        <w:gridCol w:w="41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第七节董事、监事、高级管理人员和员工情况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现任董事、监事、 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370705" cy="18224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4370705" cy="1822450"/>
                    </a:xfrm>
                    <a:prstGeom prst="rect"/>
                  </pic:spPr>
                </pic:pic>
              </a:graphicData>
            </a:graphic>
          </wp:inline>
        </w:drawing>
      </w:r>
    </w:p>
    <w:p>
      <w:pPr>
        <w:widowControl w:val="0"/>
        <w:spacing w:after="139" w:line="1" w:lineRule="exact"/>
      </w:pPr>
    </w:p>
    <w:p>
      <w:pPr>
        <w:pStyle w:val="Style47"/>
        <w:keepNext w:val="0"/>
        <w:keepLines w:val="0"/>
        <w:widowControl w:val="0"/>
        <w:shd w:val="clear" w:color="auto" w:fill="auto"/>
        <w:bidi w:val="0"/>
        <w:spacing w:before="0" w:after="0"/>
        <w:ind w:left="0" w:right="0" w:firstLine="0"/>
        <w:jc w:val="left"/>
      </w:pPr>
      <w:r>
        <w:rPr>
          <w:color w:val="000000"/>
          <w:spacing w:val="0"/>
          <w:w w:val="100"/>
          <w:position w:val="0"/>
          <w:sz w:val="24"/>
          <w:szCs w:val="24"/>
        </w:rPr>
        <w:t>实际控制人通过信托或其他资产管理方式控制公司</w:t>
      </w:r>
    </w:p>
    <w:p>
      <w:pPr>
        <w:pStyle w:val="Style26"/>
        <w:keepNext w:val="0"/>
        <w:keepLines w:val="0"/>
        <w:widowControl w:val="0"/>
        <w:shd w:val="clear" w:color="auto" w:fill="auto"/>
        <w:bidi w:val="0"/>
        <w:spacing w:before="0" w:after="38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4</w:t>
      </w:r>
      <w:bookmarkEnd w:id="32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22"/>
      <w:bookmarkEnd w:id="323"/>
      <w:bookmarkEnd w:id="325"/>
    </w:p>
    <w:p>
      <w:pPr>
        <w:pStyle w:val="Style26"/>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无。</w:t>
      </w:r>
      <w:r>
        <w:br w:type="page"/>
      </w:r>
    </w:p>
    <w:p>
      <w:pPr>
        <w:pStyle w:val="Style33"/>
        <w:keepNext/>
        <w:keepLines/>
        <w:widowControl w:val="0"/>
        <w:shd w:val="clear" w:color="auto" w:fill="auto"/>
        <w:bidi w:val="0"/>
        <w:spacing w:before="0" w:after="34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5</w:t>
      </w:r>
      <w:bookmarkEnd w:id="328"/>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26"/>
      <w:bookmarkEnd w:id="327"/>
      <w:bookmarkEnd w:id="329"/>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持有的限售条件股份数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r>
    </w:tbl>
    <w:p>
      <w:pPr>
        <w:spacing w:lineRule="exact" w:line="1"/>
        <w:rPr>
          <w:sz w:val="2"/>
          <w:szCs w:val="2"/>
        </w:rPr>
      </w:pPr>
      <w:r>
        <w:br w:type="page"/>
      </w:r>
    </w:p>
    <w:p>
      <w:pPr>
        <w:pStyle w:val="Style8"/>
        <w:keepNext/>
        <w:keepLines/>
        <w:widowControl w:val="0"/>
        <w:shd w:val="clear" w:color="auto" w:fill="auto"/>
        <w:bidi w:val="0"/>
        <w:spacing w:before="0" w:after="540" w:line="240" w:lineRule="auto"/>
        <w:ind w:left="0" w:right="0" w:firstLine="0"/>
        <w:jc w:val="center"/>
      </w:pPr>
      <w:bookmarkStart w:id="330" w:name="bookmark330"/>
      <w:bookmarkStart w:id="331" w:name="bookmark331"/>
      <w:bookmarkStart w:id="332" w:name="bookmark332"/>
      <w:r>
        <w:rPr>
          <w:color w:val="000000"/>
          <w:spacing w:val="0"/>
          <w:w w:val="100"/>
          <w:position w:val="0"/>
        </w:rPr>
        <w:t>第七节 董事、监事、高级管理人员和员工情况</w:t>
      </w:r>
      <w:bookmarkEnd w:id="330"/>
      <w:bookmarkEnd w:id="331"/>
      <w:bookmarkEnd w:id="332"/>
    </w:p>
    <w:p>
      <w:pPr>
        <w:pStyle w:val="Style28"/>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bookmarkStart w:id="336" w:name="bookmark336"/>
      <w:bookmarkStart w:id="337" w:name="bookmark337"/>
      <w:r>
        <w:rPr>
          <w:color w:val="000000"/>
          <w:spacing w:val="0"/>
          <w:w w:val="100"/>
          <w:position w:val="0"/>
        </w:rPr>
        <w:t>一</w:t>
      </w:r>
      <w:bookmarkEnd w:id="336"/>
      <w:r>
        <w:rPr>
          <w:color w:val="000000"/>
          <w:spacing w:val="0"/>
          <w:w w:val="100"/>
          <w:position w:val="0"/>
        </w:rPr>
        <w:t>、董事、监事和高级管理人员持股变动</w:t>
      </w:r>
      <w:bookmarkEnd w:id="334"/>
      <w:bookmarkEnd w:id="335"/>
      <w:bookmarkEnd w:id="337"/>
      <w:bookmarkEnd w:id="333"/>
    </w:p>
    <w:p>
      <w:pPr>
        <w:pStyle w:val="Style33"/>
        <w:keepNext/>
        <w:keepLines/>
        <w:widowControl w:val="0"/>
        <w:shd w:val="clear" w:color="auto" w:fill="auto"/>
        <w:bidi w:val="0"/>
        <w:spacing w:before="0" w:after="32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、持股情况</w:t>
      </w:r>
      <w:bookmarkEnd w:id="338"/>
      <w:bookmarkEnd w:id="339"/>
      <w:bookmarkEnd w:id="341"/>
    </w:p>
    <w:tbl>
      <w:tblPr>
        <w:tblOverlap w:val="never"/>
        <w:jc w:val="center"/>
        <w:tblLayout w:type="fixed"/>
      </w:tblPr>
      <w:tblGrid>
        <w:gridCol w:w="686"/>
        <w:gridCol w:w="677"/>
        <w:gridCol w:w="686"/>
        <w:gridCol w:w="682"/>
        <w:gridCol w:w="682"/>
        <w:gridCol w:w="682"/>
        <w:gridCol w:w="686"/>
        <w:gridCol w:w="682"/>
        <w:gridCol w:w="686"/>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邢文祥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雷锐生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黄邦杰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财务总</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86"/>
        <w:gridCol w:w="677"/>
        <w:gridCol w:w="686"/>
        <w:gridCol w:w="682"/>
        <w:gridCol w:w="682"/>
        <w:gridCol w:w="682"/>
        <w:gridCol w:w="686"/>
        <w:gridCol w:w="682"/>
        <w:gridCol w:w="686"/>
        <w:gridCol w:w="682"/>
        <w:gridCol w:w="686"/>
        <w:gridCol w:w="682"/>
        <w:gridCol w:w="686"/>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副总经 理、董 事会秘 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、持有股票期权情况</w:t>
      </w:r>
      <w:bookmarkEnd w:id="342"/>
      <w:bookmarkEnd w:id="343"/>
      <w:bookmarkEnd w:id="345"/>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28"/>
        <w:keepNext/>
        <w:keepLines/>
        <w:widowControl w:val="0"/>
        <w:shd w:val="clear" w:color="auto" w:fill="auto"/>
        <w:bidi w:val="0"/>
        <w:spacing w:before="0" w:after="28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二</w:t>
      </w:r>
      <w:bookmarkEnd w:id="348"/>
      <w:r>
        <w:rPr>
          <w:color w:val="000000"/>
          <w:spacing w:val="0"/>
          <w:w w:val="100"/>
          <w:position w:val="0"/>
        </w:rPr>
        <w:t>、任职情况</w:t>
      </w:r>
      <w:bookmarkEnd w:id="346"/>
      <w:bookmarkEnd w:id="347"/>
      <w:bookmarkEnd w:id="349"/>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6"/>
        <w:keepNext w:val="0"/>
        <w:keepLines w:val="0"/>
        <w:widowControl w:val="0"/>
        <w:shd w:val="clear" w:color="auto" w:fill="auto"/>
        <w:bidi w:val="0"/>
        <w:spacing w:before="0" w:after="40" w:line="312" w:lineRule="exact"/>
        <w:ind w:left="0" w:right="0" w:firstLine="380"/>
        <w:jc w:val="both"/>
      </w:pPr>
      <w:bookmarkStart w:id="350" w:name="bookmark350"/>
      <w:r>
        <w:rPr>
          <w:rFonts w:ascii="Times New Roman" w:eastAsia="Times New Roman" w:hAnsi="Times New Roman" w:cs="Times New Roman"/>
          <w:color w:val="000000"/>
          <w:spacing w:val="0"/>
          <w:w w:val="100"/>
          <w:position w:val="0"/>
          <w:sz w:val="18"/>
          <w:szCs w:val="18"/>
        </w:rPr>
        <w:t>1</w:t>
      </w:r>
      <w:bookmarkEnd w:id="350"/>
      <w:r>
        <w:rPr>
          <w:color w:val="000000"/>
          <w:spacing w:val="0"/>
          <w:w w:val="100"/>
          <w:position w:val="0"/>
        </w:rPr>
        <w:t>、公司现任董事</w:t>
      </w:r>
    </w:p>
    <w:p>
      <w:pPr>
        <w:pStyle w:val="Style26"/>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公司现任董事会由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名，任期三年，董事会成员简历如下：</w:t>
      </w:r>
    </w:p>
    <w:p>
      <w:pPr>
        <w:pStyle w:val="Style26"/>
        <w:keepNext w:val="0"/>
        <w:keepLines w:val="0"/>
        <w:widowControl w:val="0"/>
        <w:shd w:val="clear" w:color="auto" w:fill="auto"/>
        <w:bidi w:val="0"/>
        <w:spacing w:before="0" w:after="380" w:line="311" w:lineRule="exact"/>
        <w:ind w:left="0" w:right="0" w:firstLine="380"/>
        <w:jc w:val="both"/>
      </w:pPr>
      <w:bookmarkStart w:id="351" w:name="bookmark351"/>
      <w:r>
        <w:rPr>
          <w:rFonts w:ascii="Times New Roman" w:eastAsia="Times New Roman" w:hAnsi="Times New Roman" w:cs="Times New Roman"/>
          <w:color w:val="000000"/>
          <w:spacing w:val="0"/>
          <w:w w:val="100"/>
          <w:position w:val="0"/>
          <w:sz w:val="18"/>
          <w:szCs w:val="18"/>
        </w:rPr>
        <w:t>1</w:t>
      </w:r>
      <w:bookmarkEnd w:id="351"/>
      <w:r>
        <w:rPr>
          <w:color w:val="000000"/>
          <w:spacing w:val="0"/>
          <w:w w:val="100"/>
          <w:position w:val="0"/>
        </w:rPr>
        <w:t>） 古培坚，男，生于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月，中国国籍，无永久境外居留权，研究生学历，工程师。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月毕业于东北重型机 械学院，机械制造专业，获学士学位、学历。</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月，毕业于华侨大学精密机械专业，获硕士学位、学历；</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月，任福建实达电脑集团股份有限公司部门主管、总裁助理、副总裁；</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月，任实达科技（控股） 有限公司执行董事；</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月，任优能数码科技（控股）有限公司副总裁，福建西岸网讯科技有限公司副总 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月，任银创控股有限公司执行董事；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月，任本公司执行董事；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月，任本公司董事、董事长。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月任本公司第一届董事会董事、董事长。现任本公司第二届董事会董 事、董事长，任期为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6"/>
        <w:keepNext w:val="0"/>
        <w:keepLines w:val="0"/>
        <w:widowControl w:val="0"/>
        <w:shd w:val="clear" w:color="auto" w:fill="auto"/>
        <w:tabs>
          <w:tab w:pos="658" w:val="left"/>
        </w:tabs>
        <w:bidi w:val="0"/>
        <w:spacing w:before="0" w:after="0" w:line="312" w:lineRule="exact"/>
        <w:ind w:left="0" w:right="0" w:firstLine="380"/>
        <w:jc w:val="both"/>
      </w:pPr>
      <w:bookmarkStart w:id="352" w:name="bookmark352"/>
      <w:r>
        <w:rPr>
          <w:rFonts w:ascii="Times New Roman" w:eastAsia="Times New Roman" w:hAnsi="Times New Roman" w:cs="Times New Roman"/>
          <w:color w:val="000000"/>
          <w:spacing w:val="0"/>
          <w:w w:val="100"/>
          <w:position w:val="0"/>
          <w:sz w:val="18"/>
          <w:szCs w:val="18"/>
        </w:rPr>
        <w:t>2</w:t>
      </w:r>
      <w:bookmarkEnd w:id="352"/>
      <w:r>
        <w:rPr>
          <w:color w:val="000000"/>
          <w:spacing w:val="0"/>
          <w:w w:val="100"/>
          <w:position w:val="0"/>
        </w:rPr>
        <w:t>）</w:t>
        <w:tab/>
        <w:t>雷彪，男，生于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月，中国国籍，无永久境外居留权，硕士研究生毕业，高级工程师。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月，毕业于厦 门大学计算机软件专业，获本科学位、学历；</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月，任福建省税务局三明市税务局计算中心负责人；</w:t>
      </w:r>
      <w:r>
        <w:rPr>
          <w:rFonts w:ascii="Times New Roman" w:eastAsia="Times New Roman" w:hAnsi="Times New Roman" w:cs="Times New Roman"/>
          <w:color w:val="000000"/>
          <w:spacing w:val="0"/>
          <w:w w:val="100"/>
          <w:position w:val="0"/>
          <w:sz w:val="18"/>
          <w:szCs w:val="18"/>
        </w:rPr>
        <w:t xml:space="preserve">1994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月，任厦门市巨龙软件工程有限公司副总经理；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年，在香港公开大学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研究生课程班，取 得硕士学位；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月，任公司副总经理、总经理；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月，任公司监事；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月，任本公司总经理。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月任本公司第一届董事会董事、总经理。现任本公司第二届董事会董事、总 经理，任期为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6"/>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雷彪先生曾获得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中国百名优秀企业家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年获得厦门市首届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十大杰出创业青年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提名奖；</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年获得厦门市政 府授予的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厦门市拔尖人才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年作为项目设计者，所研发的项目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厦门市金保工程信息平台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获得厦门市科技进步二 等奖；</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改革开放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年中国企业管理成就奖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、中国民营企业领袖年会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及中国改革开放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周年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创新人 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年作为项目设计者，所研发的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厦门市金保工程信息平台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获得福建省科技进步三等奖等多项奖项；</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年被评为 成就十年</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2010-2011</w:t>
      </w:r>
      <w:r>
        <w:rPr>
          <w:color w:val="000000"/>
          <w:spacing w:val="0"/>
          <w:w w:val="100"/>
          <w:position w:val="0"/>
        </w:rPr>
        <w:t>年度中国软件和信息服务十大领军人物；</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第三届中国企业自主创新十大人物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p>
    <w:p>
      <w:pPr>
        <w:pStyle w:val="Style26"/>
        <w:keepNext w:val="0"/>
        <w:keepLines w:val="0"/>
        <w:widowControl w:val="0"/>
        <w:shd w:val="clear" w:color="auto" w:fill="auto"/>
        <w:tabs>
          <w:tab w:pos="678" w:val="left"/>
        </w:tabs>
        <w:bidi w:val="0"/>
        <w:spacing w:before="0" w:after="280" w:line="319" w:lineRule="exact"/>
        <w:ind w:left="0" w:right="0" w:firstLine="380"/>
        <w:jc w:val="both"/>
      </w:pPr>
      <w:bookmarkStart w:id="353" w:name="bookmark353"/>
      <w:r>
        <w:rPr>
          <w:rFonts w:ascii="Times New Roman" w:eastAsia="Times New Roman" w:hAnsi="Times New Roman" w:cs="Times New Roman"/>
          <w:color w:val="000000"/>
          <w:spacing w:val="0"/>
          <w:w w:val="100"/>
          <w:position w:val="0"/>
          <w:sz w:val="18"/>
          <w:szCs w:val="18"/>
        </w:rPr>
        <w:t>3</w:t>
      </w:r>
      <w:bookmarkEnd w:id="353"/>
      <w:r>
        <w:rPr>
          <w:color w:val="000000"/>
          <w:spacing w:val="0"/>
          <w:w w:val="100"/>
          <w:position w:val="0"/>
        </w:rPr>
        <w:t>）</w:t>
        <w:tab/>
        <w:t>张曦，男，生于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月，中国国籍，中国香港永久居民。</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月，毕业于厦门大学国际贸易系获学士学位。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年至今，任北京京发置业有限公司董事长。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年年度股东大会审议通过当选为本公司第二届董 事会董事，任期自股东大会通过之日起至第二届董事会届满之日止。</w:t>
      </w:r>
    </w:p>
    <w:p>
      <w:pPr>
        <w:pStyle w:val="Style26"/>
        <w:keepNext w:val="0"/>
        <w:keepLines w:val="0"/>
        <w:widowControl w:val="0"/>
        <w:shd w:val="clear" w:color="auto" w:fill="auto"/>
        <w:bidi w:val="0"/>
        <w:spacing w:before="0" w:after="300" w:line="312" w:lineRule="exact"/>
        <w:ind w:left="0" w:right="0" w:firstLine="380"/>
        <w:jc w:val="both"/>
      </w:pPr>
      <w:bookmarkStart w:id="354" w:name="bookmark354"/>
      <w:r>
        <w:rPr>
          <w:rFonts w:ascii="Times New Roman" w:eastAsia="Times New Roman" w:hAnsi="Times New Roman" w:cs="Times New Roman"/>
          <w:color w:val="000000"/>
          <w:spacing w:val="0"/>
          <w:w w:val="100"/>
          <w:position w:val="0"/>
          <w:sz w:val="18"/>
          <w:szCs w:val="18"/>
        </w:rPr>
        <w:t>4</w:t>
      </w:r>
      <w:bookmarkEnd w:id="354"/>
      <w:r>
        <w:rPr>
          <w:color w:val="000000"/>
          <w:spacing w:val="0"/>
          <w:w w:val="100"/>
          <w:position w:val="0"/>
        </w:rPr>
        <w:t>） 童斌，男，生于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月，中国国籍，无永久境外居留权，大学本科。</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月，毕业于厦门大学微生物学专业。 </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月，任福州海天装潢装修有限公司总经理。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月，任漳州亚太天隆房地产开发有限公 </w:t>
      </w:r>
      <w:r>
        <w:rPr>
          <w:color w:val="000000"/>
          <w:spacing w:val="0"/>
          <w:w w:val="100"/>
          <w:position w:val="0"/>
        </w:rPr>
        <w:t>司董事，总经理；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月，任漳州龙苑房地产开发有限公司董事、副总经理；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月，任重 庆骏树置业有限公司董事、副总经理。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月至今，任福建新华都置业有限公司董事、执行总经理（原明升（福建）置 业有限公司于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月更名为福建新华都置业有限公司）。现任公司第二届董事会董事，任期为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6"/>
        <w:keepNext w:val="0"/>
        <w:keepLines w:val="0"/>
        <w:widowControl w:val="0"/>
        <w:shd w:val="clear" w:color="auto" w:fill="auto"/>
        <w:bidi w:val="0"/>
        <w:spacing w:before="0" w:after="300" w:line="313" w:lineRule="exact"/>
        <w:ind w:left="0" w:right="0" w:firstLine="380"/>
        <w:jc w:val="left"/>
      </w:pPr>
      <w:bookmarkStart w:id="355" w:name="bookmark355"/>
      <w:r>
        <w:rPr>
          <w:rFonts w:ascii="Times New Roman" w:eastAsia="Times New Roman" w:hAnsi="Times New Roman" w:cs="Times New Roman"/>
          <w:color w:val="000000"/>
          <w:spacing w:val="0"/>
          <w:w w:val="100"/>
          <w:position w:val="0"/>
          <w:sz w:val="18"/>
          <w:szCs w:val="18"/>
        </w:rPr>
        <w:t>5</w:t>
      </w:r>
      <w:bookmarkEnd w:id="355"/>
      <w:r>
        <w:rPr>
          <w:color w:val="000000"/>
          <w:spacing w:val="0"/>
          <w:w w:val="100"/>
          <w:position w:val="0"/>
        </w:rPr>
        <w:t>） 宁家骏：男，生于</w:t>
      </w:r>
      <w:r>
        <w:rPr>
          <w:rFonts w:ascii="Times New Roman" w:eastAsia="Times New Roman" w:hAnsi="Times New Roman" w:cs="Times New Roman"/>
          <w:color w:val="000000"/>
          <w:spacing w:val="0"/>
          <w:w w:val="100"/>
          <w:position w:val="0"/>
          <w:sz w:val="18"/>
          <w:szCs w:val="18"/>
        </w:rPr>
        <w:t>1945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月，中国国籍，无永久境外居留权，研究生学历，高级工程师，研究员。</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1968 </w:t>
      </w:r>
      <w:r>
        <w:rPr>
          <w:color w:val="000000"/>
          <w:spacing w:val="0"/>
          <w:w w:val="100"/>
          <w:position w:val="0"/>
        </w:rPr>
        <w:t>年，在南开大学数学系就读，获学士学位；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 xml:space="preserve">年，在北京航空航天大学计算机应用与科学专业就读，获硕士学位； </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月，任冶金部</w:t>
      </w:r>
      <w:r>
        <w:rPr>
          <w:rFonts w:ascii="Times New Roman" w:eastAsia="Times New Roman" w:hAnsi="Times New Roman" w:cs="Times New Roman"/>
          <w:color w:val="000000"/>
          <w:spacing w:val="0"/>
          <w:w w:val="100"/>
          <w:position w:val="0"/>
          <w:sz w:val="18"/>
          <w:szCs w:val="18"/>
        </w:rPr>
        <w:t>304</w:t>
      </w:r>
      <w:r>
        <w:rPr>
          <w:color w:val="000000"/>
          <w:spacing w:val="0"/>
          <w:w w:val="100"/>
          <w:position w:val="0"/>
        </w:rPr>
        <w:t>厂技术员；</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年，任宁夏机械研究所助理工程师；</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 宁夏回族自治区信息中心主任、工程师；</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年任中国政法大学计算中心主任、高级工程师；</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 任国家信息中心首席工程师，自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年至今任国家信息中心专家委员会主任，中国计算机用户协会副理事长。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月任公司第一届董事会独立董事。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月至今任北京中科金财股份有限公司独立董事。现任公司第二届董事会独 立董事，任期为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6"/>
        <w:keepNext w:val="0"/>
        <w:keepLines w:val="0"/>
        <w:widowControl w:val="0"/>
        <w:shd w:val="clear" w:color="auto" w:fill="auto"/>
        <w:tabs>
          <w:tab w:pos="658" w:val="left"/>
        </w:tabs>
        <w:bidi w:val="0"/>
        <w:spacing w:before="0" w:after="300" w:line="312" w:lineRule="exact"/>
        <w:ind w:left="0" w:right="0" w:firstLine="380"/>
        <w:jc w:val="left"/>
      </w:pPr>
      <w:bookmarkStart w:id="356" w:name="bookmark356"/>
      <w:r>
        <w:rPr>
          <w:rFonts w:ascii="Times New Roman" w:eastAsia="Times New Roman" w:hAnsi="Times New Roman" w:cs="Times New Roman"/>
          <w:color w:val="000000"/>
          <w:spacing w:val="0"/>
          <w:w w:val="100"/>
          <w:position w:val="0"/>
          <w:sz w:val="18"/>
          <w:szCs w:val="18"/>
        </w:rPr>
        <w:t>6</w:t>
      </w:r>
      <w:bookmarkEnd w:id="356"/>
      <w:r>
        <w:rPr>
          <w:color w:val="000000"/>
          <w:spacing w:val="0"/>
          <w:w w:val="100"/>
          <w:position w:val="0"/>
        </w:rPr>
        <w:t>）</w:t>
        <w:tab/>
        <w:t>卢永华：男，生于</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月，中国国籍，无永久境外居留权，会计学博士，教授。</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月，在厦 门大学会计学专业就读，获学士学位；</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月厦门大学会计系毕业留校后一直从事会计教学、科研工作；期间于</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月获得厦门大学会计系硕士学位；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月获厦门大学管理学博士学位。历任厦门大学会计系助教、厦门大学会计系讲师、 厦门大学会计系副教授、厦门大学会计系党总支副书记、厦门大学会计系副主任，现任厦门大学会计系教授，研究生导师。 卢永华先生兼任片仔癀药业股份有限公司独立董事、厦门信达股份有限公司独立董事、厦门合兴包装印刷股份有限公司独立 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月，任本公司第一届董事会独立董事，现任公司第二届董事会独立董事，任期为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 年。</w:t>
      </w:r>
    </w:p>
    <w:p>
      <w:pPr>
        <w:pStyle w:val="Style26"/>
        <w:keepNext w:val="0"/>
        <w:keepLines w:val="0"/>
        <w:widowControl w:val="0"/>
        <w:shd w:val="clear" w:color="auto" w:fill="auto"/>
        <w:tabs>
          <w:tab w:pos="663" w:val="left"/>
        </w:tabs>
        <w:bidi w:val="0"/>
        <w:spacing w:before="0" w:after="300" w:line="313" w:lineRule="exact"/>
        <w:ind w:left="0" w:right="0" w:firstLine="380"/>
        <w:jc w:val="left"/>
      </w:pPr>
      <w:bookmarkStart w:id="357" w:name="bookmark357"/>
      <w:r>
        <w:rPr>
          <w:rFonts w:ascii="Times New Roman" w:eastAsia="Times New Roman" w:hAnsi="Times New Roman" w:cs="Times New Roman"/>
          <w:color w:val="000000"/>
          <w:spacing w:val="0"/>
          <w:w w:val="100"/>
          <w:position w:val="0"/>
          <w:sz w:val="18"/>
          <w:szCs w:val="18"/>
        </w:rPr>
        <w:t>7</w:t>
      </w:r>
      <w:bookmarkEnd w:id="357"/>
      <w:r>
        <w:rPr>
          <w:color w:val="000000"/>
          <w:spacing w:val="0"/>
          <w:w w:val="100"/>
          <w:position w:val="0"/>
        </w:rPr>
        <w:t>）</w:t>
        <w:tab/>
        <w:t>邢文祥：男，生于</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月，中国国籍，无永久境外居留权，中国哲学博士，教授。</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月，就读 辽宁大学哲学专业，获学士学位；</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月，就读辽宁大学国民经济管理专业，获硕士学业；</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月，就读河北大学中国哲学专业，获博士学位。历任辽宁青年干部学院团委书记、学校办公室主任；中共沈阳市委宣传 部副处长；沈阳金杯客车制造有限公司党委书记、第一副总经理；共青团沈阳市委书记；沈阳市沈河区政府区长；沈阳市政 府副秘书长；亿达集团有限公司总裁；成都理工大学教授；中国地质大学教授；中央财经大学宣传部长、新闻中心主任；现 任中央财经大学教授。邢文祥先生现兼任澳门城市大学教授、福建龙马环卫装备股份有限公司独立董事。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月起任公 司第二届董事会独立董事，任期为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6"/>
        <w:keepNext w:val="0"/>
        <w:keepLines w:val="0"/>
        <w:widowControl w:val="0"/>
        <w:shd w:val="clear" w:color="auto" w:fill="auto"/>
        <w:bidi w:val="0"/>
        <w:spacing w:before="0" w:after="0" w:line="312" w:lineRule="exact"/>
        <w:ind w:left="0" w:right="0" w:firstLine="380"/>
        <w:jc w:val="left"/>
      </w:pPr>
      <w:bookmarkStart w:id="358" w:name="bookmark358"/>
      <w:r>
        <w:rPr>
          <w:rFonts w:ascii="Times New Roman" w:eastAsia="Times New Roman" w:hAnsi="Times New Roman" w:cs="Times New Roman"/>
          <w:color w:val="000000"/>
          <w:spacing w:val="0"/>
          <w:w w:val="100"/>
          <w:position w:val="0"/>
          <w:sz w:val="18"/>
          <w:szCs w:val="18"/>
        </w:rPr>
        <w:t>2</w:t>
      </w:r>
      <w:bookmarkEnd w:id="358"/>
      <w:r>
        <w:rPr>
          <w:color w:val="000000"/>
          <w:spacing w:val="0"/>
          <w:w w:val="100"/>
          <w:position w:val="0"/>
        </w:rPr>
        <w:t>、公司现任监事</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公司第二届监事会由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w:t>
      </w:r>
    </w:p>
    <w:p>
      <w:pPr>
        <w:pStyle w:val="Style26"/>
        <w:keepNext w:val="0"/>
        <w:keepLines w:val="0"/>
        <w:widowControl w:val="0"/>
        <w:shd w:val="clear" w:color="auto" w:fill="auto"/>
        <w:tabs>
          <w:tab w:pos="658" w:val="left"/>
        </w:tabs>
        <w:bidi w:val="0"/>
        <w:spacing w:before="0" w:after="300" w:line="312" w:lineRule="exact"/>
        <w:ind w:left="0" w:right="0" w:firstLine="380"/>
        <w:jc w:val="left"/>
      </w:pPr>
      <w:bookmarkStart w:id="359" w:name="bookmark359"/>
      <w:r>
        <w:rPr>
          <w:rFonts w:ascii="Times New Roman" w:eastAsia="Times New Roman" w:hAnsi="Times New Roman" w:cs="Times New Roman"/>
          <w:color w:val="000000"/>
          <w:spacing w:val="0"/>
          <w:w w:val="100"/>
          <w:position w:val="0"/>
          <w:sz w:val="18"/>
          <w:szCs w:val="18"/>
        </w:rPr>
        <w:t>1</w:t>
      </w:r>
      <w:bookmarkEnd w:id="359"/>
      <w:r>
        <w:rPr>
          <w:color w:val="000000"/>
          <w:spacing w:val="0"/>
          <w:w w:val="100"/>
          <w:position w:val="0"/>
        </w:rPr>
        <w:t>）</w:t>
        <w:tab/>
        <w:t>陈星：男，生于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月，中国国籍，本科学历，无永久境外居留权。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月，在福州大学机械系 就读；</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月，在福州大学管理系就读；</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月，任厦门源益电力发展有限公司经理；</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月，任厦门翔鹭化纤有限公司专员；</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月，任厦门景明商贸有限公司董事；</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月至今，任云南时代英捷投资有限公司董事、总经理。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月，任公司第一届监事会主席，现任公司第二届 监事会主席，任期为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6"/>
        <w:keepNext w:val="0"/>
        <w:keepLines w:val="0"/>
        <w:widowControl w:val="0"/>
        <w:shd w:val="clear" w:color="auto" w:fill="auto"/>
        <w:tabs>
          <w:tab w:pos="658" w:val="left"/>
        </w:tabs>
        <w:bidi w:val="0"/>
        <w:spacing w:before="0" w:after="300" w:line="312" w:lineRule="exact"/>
        <w:ind w:left="0" w:right="0" w:firstLine="380"/>
        <w:jc w:val="left"/>
      </w:pPr>
      <w:bookmarkStart w:id="360" w:name="bookmark360"/>
      <w:r>
        <w:rPr>
          <w:rFonts w:ascii="Times New Roman" w:eastAsia="Times New Roman" w:hAnsi="Times New Roman" w:cs="Times New Roman"/>
          <w:color w:val="000000"/>
          <w:spacing w:val="0"/>
          <w:w w:val="100"/>
          <w:position w:val="0"/>
          <w:sz w:val="18"/>
          <w:szCs w:val="18"/>
        </w:rPr>
        <w:t>2</w:t>
      </w:r>
      <w:bookmarkEnd w:id="360"/>
      <w:r>
        <w:rPr>
          <w:color w:val="000000"/>
          <w:spacing w:val="0"/>
          <w:w w:val="100"/>
          <w:position w:val="0"/>
        </w:rPr>
        <w:t>）</w:t>
        <w:tab/>
        <w:t>雷锐生：男，生于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月，中国国籍，研究生学历，无永久境外居留权，工程师。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 厦门大学计算机科学系助教、系团总支书；</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月，任厦门大学计算机与系统科学系讲师，校团系副书记; </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月，在英国德蒙特福大学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DeMontfort University</w:t>
      </w:r>
      <w:r>
        <w:rPr>
          <w:color w:val="000000"/>
          <w:spacing w:val="0"/>
          <w:w w:val="100"/>
          <w:position w:val="0"/>
        </w:rPr>
        <w:t>）学习，获工商管理专业硕士学位；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月，任厦门大学新技术开发研究所副所长（其间，</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月兼任厦门高校电子信息技术有限公司常务副 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月，任厦门大学信息科技与技术学院工程师；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月至今，任厦门大学嘉庚学院副院 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月，任公司第一届监事会监事，现任公司第二届监事会监事，任期为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6"/>
        <w:keepNext w:val="0"/>
        <w:keepLines w:val="0"/>
        <w:widowControl w:val="0"/>
        <w:shd w:val="clear" w:color="auto" w:fill="auto"/>
        <w:tabs>
          <w:tab w:pos="308" w:val="left"/>
        </w:tabs>
        <w:bidi w:val="0"/>
        <w:spacing w:before="0" w:after="420" w:line="312" w:lineRule="exact"/>
        <w:ind w:left="0" w:right="0" w:firstLine="380"/>
        <w:jc w:val="left"/>
      </w:pPr>
      <w:bookmarkStart w:id="361" w:name="bookmark361"/>
      <w:r>
        <w:rPr>
          <w:rFonts w:ascii="Times New Roman" w:eastAsia="Times New Roman" w:hAnsi="Times New Roman" w:cs="Times New Roman"/>
          <w:color w:val="000000"/>
          <w:spacing w:val="0"/>
          <w:w w:val="100"/>
          <w:position w:val="0"/>
          <w:sz w:val="18"/>
          <w:szCs w:val="18"/>
        </w:rPr>
        <w:t>3</w:t>
      </w:r>
      <w:bookmarkEnd w:id="361"/>
      <w:r>
        <w:rPr>
          <w:color w:val="000000"/>
          <w:spacing w:val="0"/>
          <w:w w:val="100"/>
          <w:position w:val="0"/>
        </w:rPr>
        <w:t>）</w:t>
        <w:tab/>
        <w:t>黄邦杰，男，生于</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月，中国国籍，专科学历，无境外永久居留权。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月至今就职于易联众信息技术股 </w:t>
      </w:r>
      <w:r>
        <w:rPr>
          <w:color w:val="000000"/>
          <w:spacing w:val="0"/>
          <w:w w:val="100"/>
          <w:position w:val="0"/>
        </w:rPr>
        <w:t>份有限公司行政部，现任公司行政部副总经理</w:t>
      </w:r>
      <w:r>
        <w:rPr>
          <w:rFonts w:ascii="Tahoma" w:eastAsia="Tahoma" w:hAnsi="Tahoma" w:cs="Tahoma"/>
          <w:color w:val="000000"/>
          <w:spacing w:val="0"/>
          <w:w w:val="100"/>
          <w:position w:val="0"/>
          <w:sz w:val="16"/>
          <w:szCs w:val="16"/>
        </w:rPr>
        <w:t xml:space="preserve">o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月任公司第一届监事会职工代表监事，现任公司第二届 监事会职工代表监事，任期为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月起三年。</w:t>
      </w:r>
    </w:p>
    <w:p>
      <w:pPr>
        <w:pStyle w:val="Style26"/>
        <w:keepNext w:val="0"/>
        <w:keepLines w:val="0"/>
        <w:widowControl w:val="0"/>
        <w:shd w:val="clear" w:color="auto" w:fill="auto"/>
        <w:bidi w:val="0"/>
        <w:spacing w:before="0" w:after="0" w:line="360" w:lineRule="auto"/>
        <w:ind w:left="0" w:right="0" w:firstLine="380"/>
        <w:jc w:val="both"/>
      </w:pPr>
      <w:bookmarkStart w:id="362" w:name="bookmark362"/>
      <w:r>
        <w:rPr>
          <w:rFonts w:ascii="Times New Roman" w:eastAsia="Times New Roman" w:hAnsi="Times New Roman" w:cs="Times New Roman"/>
          <w:color w:val="000000"/>
          <w:spacing w:val="0"/>
          <w:w w:val="100"/>
          <w:position w:val="0"/>
          <w:sz w:val="18"/>
          <w:szCs w:val="18"/>
        </w:rPr>
        <w:t>3</w:t>
      </w:r>
      <w:bookmarkEnd w:id="362"/>
      <w:r>
        <w:rPr>
          <w:color w:val="000000"/>
          <w:spacing w:val="0"/>
          <w:w w:val="100"/>
          <w:position w:val="0"/>
        </w:rPr>
        <w:t>、高级管理人员</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公司高级管理人员均已经公司第二届董事会聘任。</w:t>
      </w:r>
    </w:p>
    <w:p>
      <w:pPr>
        <w:pStyle w:val="Style26"/>
        <w:keepNext w:val="0"/>
        <w:keepLines w:val="0"/>
        <w:widowControl w:val="0"/>
        <w:shd w:val="clear" w:color="auto" w:fill="auto"/>
        <w:tabs>
          <w:tab w:pos="681" w:val="left"/>
        </w:tabs>
        <w:bidi w:val="0"/>
        <w:spacing w:before="0" w:after="300" w:line="315" w:lineRule="exact"/>
        <w:ind w:left="0" w:right="0" w:firstLine="380"/>
        <w:jc w:val="both"/>
      </w:pPr>
      <w:bookmarkStart w:id="363" w:name="bookmark363"/>
      <w:r>
        <w:rPr>
          <w:rFonts w:ascii="Times New Roman" w:eastAsia="Times New Roman" w:hAnsi="Times New Roman" w:cs="Times New Roman"/>
          <w:color w:val="000000"/>
          <w:spacing w:val="0"/>
          <w:w w:val="100"/>
          <w:position w:val="0"/>
          <w:sz w:val="18"/>
          <w:szCs w:val="18"/>
        </w:rPr>
        <w:t>1</w:t>
      </w:r>
      <w:bookmarkEnd w:id="363"/>
      <w:r>
        <w:rPr>
          <w:color w:val="000000"/>
          <w:spacing w:val="0"/>
          <w:w w:val="100"/>
          <w:position w:val="0"/>
        </w:rPr>
        <w:t>）</w:t>
        <w:tab/>
        <w:t>雷彪：公司总经理，简历详见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、公司现任董事</w:t>
      </w:r>
    </w:p>
    <w:p>
      <w:pPr>
        <w:pStyle w:val="Style26"/>
        <w:keepNext w:val="0"/>
        <w:keepLines w:val="0"/>
        <w:widowControl w:val="0"/>
        <w:shd w:val="clear" w:color="auto" w:fill="auto"/>
        <w:bidi w:val="0"/>
        <w:spacing w:before="0" w:after="300" w:line="312" w:lineRule="exact"/>
        <w:ind w:left="0" w:right="0" w:firstLine="380"/>
        <w:jc w:val="both"/>
      </w:pPr>
      <w:bookmarkStart w:id="364" w:name="bookmark364"/>
      <w:r>
        <w:rPr>
          <w:rFonts w:ascii="Times New Roman" w:eastAsia="Times New Roman" w:hAnsi="Times New Roman" w:cs="Times New Roman"/>
          <w:color w:val="000000"/>
          <w:spacing w:val="0"/>
          <w:w w:val="100"/>
          <w:position w:val="0"/>
          <w:sz w:val="18"/>
          <w:szCs w:val="18"/>
        </w:rPr>
        <w:t>2</w:t>
      </w:r>
      <w:bookmarkEnd w:id="364"/>
      <w:r>
        <w:rPr>
          <w:color w:val="000000"/>
          <w:spacing w:val="0"/>
          <w:w w:val="100"/>
          <w:position w:val="0"/>
        </w:rPr>
        <w:t>） 吴文飞：男，生于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月，中国国籍，本科毕业，无永久境外居留权，高级工程师。</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 厦门大学控制科学专业就读本科；</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月，在厦门自来水公司工作；</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月，任厦门市巨龙 软件工程有限公司副总经理；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月，任公司副总经理。现任公司副总经理。</w:t>
      </w:r>
    </w:p>
    <w:p>
      <w:pPr>
        <w:pStyle w:val="Style26"/>
        <w:keepNext w:val="0"/>
        <w:keepLines w:val="0"/>
        <w:widowControl w:val="0"/>
        <w:shd w:val="clear" w:color="auto" w:fill="auto"/>
        <w:tabs>
          <w:tab w:pos="690" w:val="left"/>
        </w:tabs>
        <w:bidi w:val="0"/>
        <w:spacing w:before="0" w:after="300" w:line="312" w:lineRule="exact"/>
        <w:ind w:left="0" w:right="0" w:firstLine="380"/>
        <w:jc w:val="both"/>
      </w:pPr>
      <w:bookmarkStart w:id="365" w:name="bookmark365"/>
      <w:r>
        <w:rPr>
          <w:rFonts w:ascii="Times New Roman" w:eastAsia="Times New Roman" w:hAnsi="Times New Roman" w:cs="Times New Roman"/>
          <w:color w:val="000000"/>
          <w:spacing w:val="0"/>
          <w:w w:val="100"/>
          <w:position w:val="0"/>
          <w:sz w:val="18"/>
          <w:szCs w:val="18"/>
        </w:rPr>
        <w:t>3</w:t>
      </w:r>
      <w:bookmarkEnd w:id="365"/>
      <w:r>
        <w:rPr>
          <w:color w:val="000000"/>
          <w:spacing w:val="0"/>
          <w:w w:val="100"/>
          <w:position w:val="0"/>
        </w:rPr>
        <w:t>）</w:t>
        <w:tab/>
        <w:t>黄文灿：男，生于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月，中国国籍，硕士研究生毕业，无永久境外居留权，高级工程师。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 就职于航天航空部计算机和仿真技术研究所；</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年，任厦门市巨龙软件工程有限公司副总工程师；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月，任公司总工程师、副总经理。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月，任公司副总经理、技术总监。现任公司副总经理。</w:t>
      </w:r>
    </w:p>
    <w:p>
      <w:pPr>
        <w:pStyle w:val="Style26"/>
        <w:keepNext w:val="0"/>
        <w:keepLines w:val="0"/>
        <w:widowControl w:val="0"/>
        <w:shd w:val="clear" w:color="auto" w:fill="auto"/>
        <w:tabs>
          <w:tab w:pos="671" w:val="left"/>
        </w:tabs>
        <w:bidi w:val="0"/>
        <w:spacing w:before="0" w:after="300" w:line="315" w:lineRule="exact"/>
        <w:ind w:left="0" w:right="0" w:firstLine="380"/>
        <w:jc w:val="both"/>
      </w:pPr>
      <w:bookmarkStart w:id="366" w:name="bookmark366"/>
      <w:r>
        <w:rPr>
          <w:rFonts w:ascii="Times New Roman" w:eastAsia="Times New Roman" w:hAnsi="Times New Roman" w:cs="Times New Roman"/>
          <w:color w:val="000000"/>
          <w:spacing w:val="0"/>
          <w:w w:val="100"/>
          <w:position w:val="0"/>
          <w:sz w:val="18"/>
          <w:szCs w:val="18"/>
        </w:rPr>
        <w:t>4</w:t>
      </w:r>
      <w:bookmarkEnd w:id="366"/>
      <w:r>
        <w:rPr>
          <w:color w:val="000000"/>
          <w:spacing w:val="0"/>
          <w:w w:val="100"/>
          <w:position w:val="0"/>
        </w:rPr>
        <w:t>）</w:t>
        <w:tab/>
        <w:t>陈东红：男，生于</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月，中国国籍，厦门大学、厦门国家会计学院会计硕士专业研究生，无永久境外居留权。 </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月任厦门市审计局审计员，</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月，任厦门厦信实业集团有限公司计财部副经理；</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月任厦门中威敬贤会计师事务所有限公司主任会计师。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月至今任本公司财务管理部总经理。现任公 司财务总监。</w:t>
      </w:r>
    </w:p>
    <w:p>
      <w:pPr>
        <w:pStyle w:val="Style26"/>
        <w:keepNext w:val="0"/>
        <w:keepLines w:val="0"/>
        <w:widowControl w:val="0"/>
        <w:shd w:val="clear" w:color="auto" w:fill="auto"/>
        <w:tabs>
          <w:tab w:pos="680" w:val="left"/>
        </w:tabs>
        <w:bidi w:val="0"/>
        <w:spacing w:before="0" w:after="360" w:line="312" w:lineRule="exact"/>
        <w:ind w:left="0" w:right="0" w:firstLine="380"/>
        <w:jc w:val="both"/>
      </w:pPr>
      <w:bookmarkStart w:id="367" w:name="bookmark367"/>
      <w:r>
        <w:rPr>
          <w:rFonts w:ascii="Times New Roman" w:eastAsia="Times New Roman" w:hAnsi="Times New Roman" w:cs="Times New Roman"/>
          <w:color w:val="000000"/>
          <w:spacing w:val="0"/>
          <w:w w:val="100"/>
          <w:position w:val="0"/>
          <w:sz w:val="18"/>
          <w:szCs w:val="18"/>
        </w:rPr>
        <w:t>5</w:t>
      </w:r>
      <w:bookmarkEnd w:id="367"/>
      <w:r>
        <w:rPr>
          <w:color w:val="000000"/>
          <w:spacing w:val="0"/>
          <w:w w:val="100"/>
          <w:position w:val="0"/>
        </w:rPr>
        <w:t>）</w:t>
        <w:tab/>
        <w:t>施建安：男，生于</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月，中国国籍，无永久境外居留权，本科学历，高级工程师。毕业于厦门大学计算机系， 获学士学位、学历。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年任实达巨龙信息技术有限公司软件开发部门副经理、经理，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年任安徽实达系统软件 有限公司副总经理，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年起任本公司福建本部副总经理、常务副总经理，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年起至今任本公司研发管理部总经理。现任 公司技术总监。</w:t>
      </w:r>
    </w:p>
    <w:p>
      <w:pPr>
        <w:pStyle w:val="Style26"/>
        <w:keepNext w:val="0"/>
        <w:keepLines w:val="0"/>
        <w:widowControl w:val="0"/>
        <w:shd w:val="clear" w:color="auto" w:fill="auto"/>
        <w:tabs>
          <w:tab w:pos="676" w:val="left"/>
        </w:tabs>
        <w:bidi w:val="0"/>
        <w:spacing w:before="0" w:after="0" w:line="316" w:lineRule="exact"/>
        <w:ind w:left="0" w:right="0" w:firstLine="380"/>
        <w:jc w:val="both"/>
      </w:pPr>
      <w:bookmarkStart w:id="368" w:name="bookmark368"/>
      <w:r>
        <w:rPr>
          <w:rFonts w:ascii="Times New Roman" w:eastAsia="Times New Roman" w:hAnsi="Times New Roman" w:cs="Times New Roman"/>
          <w:color w:val="000000"/>
          <w:spacing w:val="0"/>
          <w:w w:val="100"/>
          <w:position w:val="0"/>
          <w:sz w:val="18"/>
          <w:szCs w:val="18"/>
        </w:rPr>
        <w:t>6</w:t>
      </w:r>
      <w:bookmarkEnd w:id="368"/>
      <w:r>
        <w:rPr>
          <w:color w:val="000000"/>
          <w:spacing w:val="0"/>
          <w:w w:val="100"/>
          <w:position w:val="0"/>
        </w:rPr>
        <w:t>）</w:t>
        <w:tab/>
        <w:t>李虹海：男，生于</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月，中国国籍，中国香港永久居民。</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月，毕业于上海交通大学计算机科学技 术专业，获学士学位、学历；</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月，任广州邮电通信设备有限公司项目经理，部门经理；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月，任香港中鹏科技有限公司总经理；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月，广州海达信息有限公司总工程师。</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月任实达科技（控股）有限公司部门经理，客户总监；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月至今，任本公司医疗卫生信息化业 务主管，投资部总经理。现任公司董事会秘书。</w:t>
      </w:r>
    </w:p>
    <w:p>
      <w:pPr>
        <w:pStyle w:val="Style26"/>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北京京发置业有限公司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福建新华都置业有限公司（原明升（福 建）置业有限公司于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月更名为 福建新华都置业有限公司）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董事、执行总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国家信息中心专家委员会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北京中科金财股份有限公司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会计系教授、 研究生导师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片仔癀药业股份有限公司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厦门信达股份有限公司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厦门合兴包装印刷股份有限公司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邢文祥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邢文祥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澳门城市大学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邢文祥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福建龙马环卫装备股份有限公司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云南时代英捷投资有限公司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雷锐生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厦门大学嘉庚学院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福州易联众软件系统开发有限公司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北京尚洋易捷信息技术有限公司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both"/>
      </w:pPr>
      <w:bookmarkStart w:id="369" w:name="bookmark369"/>
      <w:bookmarkStart w:id="370" w:name="bookmark370"/>
      <w:bookmarkStart w:id="371" w:name="bookmark371"/>
      <w:bookmarkStart w:id="372" w:name="bookmark372"/>
      <w:r>
        <w:rPr>
          <w:color w:val="000000"/>
          <w:spacing w:val="0"/>
          <w:w w:val="100"/>
          <w:position w:val="0"/>
        </w:rPr>
        <w:t>三</w:t>
      </w:r>
      <w:bookmarkEnd w:id="371"/>
      <w:r>
        <w:rPr>
          <w:color w:val="000000"/>
          <w:spacing w:val="0"/>
          <w:w w:val="100"/>
          <w:position w:val="0"/>
        </w:rPr>
        <w:t>、董事、监事、高级管理人员报酬情况</w:t>
      </w:r>
      <w:bookmarkEnd w:id="369"/>
      <w:bookmarkEnd w:id="370"/>
      <w:bookmarkEnd w:id="372"/>
    </w:p>
    <w:tbl>
      <w:tblPr>
        <w:tblOverlap w:val="never"/>
        <w:jc w:val="center"/>
        <w:tblLayout w:type="fixed"/>
      </w:tblPr>
      <w:tblGrid>
        <w:gridCol w:w="3600"/>
        <w:gridCol w:w="5981"/>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公司董事、监事报酬由股东大会决定，高级管理人员报酬由董事会决定。 在公司担任职务的董事、监事、高级管理人员报酬由公司支付，在公司担任 职务的董事、监事不另外支付津贴。独立董事、外部董事、外部监事津贴依 据股东大会决议支付，独立董事、外部董事、外部监事会务费据实报销。</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参与公司经营的董事、高级管理人员年薪总收入由基本薪酬和考核薪酬 组成。其中，基本薪酬占年薪总收入的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；其余</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作为考核薪酬进行考 核。独立董事、外部董事、外部监事津贴依据市场水平并按照责、权、利一 致的原则确定。</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年度全体董事、监事、高级管理人员实际支付报酬</w:t>
            </w:r>
            <w:r>
              <w:rPr>
                <w:rFonts w:ascii="Times New Roman" w:eastAsia="Times New Roman" w:hAnsi="Times New Roman" w:cs="Times New Roman"/>
                <w:color w:val="000000"/>
                <w:spacing w:val="0"/>
                <w:w w:val="100"/>
                <w:position w:val="0"/>
                <w:sz w:val="18"/>
                <w:szCs w:val="18"/>
              </w:rPr>
              <w:t>334.20</w:t>
            </w:r>
            <w:r>
              <w:rPr>
                <w:color w:val="000000"/>
                <w:spacing w:val="0"/>
                <w:w w:val="100"/>
                <w:position w:val="0"/>
              </w:rPr>
              <w:t>万元。</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195"/>
        <w:gridCol w:w="1195"/>
        <w:gridCol w:w="1200"/>
        <w:gridCol w:w="1195"/>
        <w:gridCol w:w="1195"/>
        <w:gridCol w:w="1205"/>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宁家骏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邢文祥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雷锐生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黄邦杰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公司董事、监事、高级管理人员报告期内被授予的股权激励情况</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2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四</w:t>
      </w:r>
      <w:bookmarkEnd w:id="375"/>
      <w:r>
        <w:rPr>
          <w:color w:val="000000"/>
          <w:spacing w:val="0"/>
          <w:w w:val="100"/>
          <w:position w:val="0"/>
        </w:rPr>
        <w:t>、公司董事、监事、高级管理人员变动情况</w:t>
      </w:r>
      <w:bookmarkEnd w:id="373"/>
      <w:bookmarkEnd w:id="374"/>
      <w:bookmarkEnd w:id="376"/>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五</w:t>
      </w:r>
      <w:bookmarkEnd w:id="379"/>
      <w:r>
        <w:rPr>
          <w:color w:val="000000"/>
          <w:spacing w:val="0"/>
          <w:w w:val="100"/>
          <w:position w:val="0"/>
        </w:rPr>
        <w:t>、报告期核心技术团队或关键技术人员变动情况（非董事、监事、高级管理人员）</w:t>
      </w:r>
      <w:bookmarkEnd w:id="377"/>
      <w:bookmarkEnd w:id="378"/>
      <w:bookmarkEnd w:id="380"/>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报告期内公司核心技术团队或关键技术人员无变动。</w:t>
      </w:r>
    </w:p>
    <w:p>
      <w:pPr>
        <w:pStyle w:val="Style28"/>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六</w:t>
      </w:r>
      <w:bookmarkEnd w:id="383"/>
      <w:r>
        <w:rPr>
          <w:color w:val="000000"/>
          <w:spacing w:val="0"/>
          <w:w w:val="100"/>
          <w:position w:val="0"/>
        </w:rPr>
        <w:t>、公司员工情况</w:t>
      </w:r>
      <w:bookmarkEnd w:id="381"/>
      <w:bookmarkEnd w:id="382"/>
      <w:bookmarkEnd w:id="384"/>
    </w:p>
    <w:p>
      <w:pPr>
        <w:pStyle w:val="Style16"/>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日，公司共有在册员工</w:t>
      </w:r>
      <w:r>
        <w:rPr>
          <w:rFonts w:ascii="Times New Roman" w:eastAsia="Times New Roman" w:hAnsi="Times New Roman" w:cs="Times New Roman"/>
          <w:color w:val="000000"/>
          <w:spacing w:val="0"/>
          <w:w w:val="100"/>
          <w:position w:val="0"/>
          <w:sz w:val="18"/>
          <w:szCs w:val="18"/>
        </w:rPr>
        <w:t>1212</w:t>
      </w:r>
      <w:r>
        <w:rPr>
          <w:color w:val="000000"/>
          <w:spacing w:val="0"/>
          <w:w w:val="100"/>
          <w:position w:val="0"/>
        </w:rPr>
        <w:t>人，员工专业结构、受教育程度及年龄分布情况如下:</w:t>
      </w:r>
    </w:p>
    <w:tbl>
      <w:tblPr>
        <w:tblOverlap w:val="never"/>
        <w:jc w:val="left"/>
        <w:tblLayout w:type="fixed"/>
      </w:tblPr>
      <w:tblGrid>
        <w:gridCol w:w="2578"/>
        <w:gridCol w:w="2693"/>
        <w:gridCol w:w="3269"/>
      </w:tblGrid>
      <w:tr>
        <w:trPr>
          <w:trHeight w:val="346" w:hRule="exact"/>
        </w:trPr>
        <w:tc>
          <w:tcPr>
            <w:gridSpan w:val="3"/>
            <w:tcBorders>
              <w:top w:val="single" w:sz="4"/>
              <w:left w:val="single" w:sz="4"/>
              <w:righ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（一）员工专业结构</w:t>
            </w:r>
          </w:p>
        </w:tc>
      </w:tr>
      <w:tr>
        <w:trPr>
          <w:trHeight w:val="355"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岗位类别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19.06%</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技术员工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47.61%</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营销人员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7.51%</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10.48%</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行政后勤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11.22%</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w:t>
            </w:r>
          </w:p>
        </w:tc>
      </w:tr>
      <w:tr>
        <w:trPr>
          <w:trHeight w:val="350"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36" w:hRule="exact"/>
        </w:trPr>
        <w:tc>
          <w:tcPr>
            <w:gridSpan w:val="3"/>
            <w:tcBorders>
              <w:top w:val="single" w:sz="4"/>
              <w:left w:val="single" w:sz="4"/>
              <w:righ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（二）员工受教育程度</w:t>
            </w:r>
          </w:p>
        </w:tc>
      </w:tr>
      <w:tr>
        <w:trPr>
          <w:trHeight w:val="350"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员工受教育程度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32"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56.02%</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30.12%</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50"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gridSpan w:val="3"/>
            <w:tcBorders>
              <w:top w:val="single" w:sz="4"/>
              <w:left w:val="single" w:sz="4"/>
              <w:righ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（三）员工年龄分布</w:t>
            </w:r>
          </w:p>
        </w:tc>
      </w:tr>
      <w:tr>
        <w:trPr>
          <w:trHeight w:val="346"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32"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岁以下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27.48%</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25-30</w:t>
            </w:r>
            <w:r>
              <w:rPr>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41.75%</w:t>
            </w:r>
          </w:p>
        </w:tc>
      </w:tr>
      <w:tr>
        <w:trPr>
          <w:trHeight w:val="42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30-35 </w:t>
            </w:r>
            <w:r>
              <w:rPr>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15.10%</w:t>
            </w:r>
          </w:p>
        </w:tc>
      </w:tr>
      <w:tr>
        <w:trPr>
          <w:trHeight w:val="437" w:hRule="exact"/>
        </w:trPr>
        <w:tc>
          <w:tcPr>
            <w:tcBorders>
              <w:top w:val="single" w:sz="4"/>
              <w:left w:val="single" w:sz="4"/>
              <w:bottom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8.25%</w:t>
            </w:r>
          </w:p>
        </w:tc>
      </w:tr>
    </w:tbl>
    <w:p>
      <w:pPr>
        <w:spacing w:lineRule="exact" w:line="1"/>
        <w:rPr>
          <w:sz w:val="2"/>
          <w:szCs w:val="2"/>
        </w:rPr>
      </w:pPr>
      <w:r>
        <w:br w:type="page"/>
      </w:r>
    </w:p>
    <w:tbl>
      <w:tblPr>
        <w:tblOverlap w:val="never"/>
        <w:jc w:val="left"/>
        <w:tblLayout w:type="fixed"/>
      </w:tblPr>
      <w:tblGrid>
        <w:gridCol w:w="2578"/>
        <w:gridCol w:w="2693"/>
        <w:gridCol w:w="3269"/>
      </w:tblGrid>
      <w:tr>
        <w:trPr>
          <w:trHeight w:val="437" w:hRule="exact"/>
        </w:trPr>
        <w:tc>
          <w:tcPr>
            <w:tcBorders>
              <w:top w:val="single" w:sz="4"/>
              <w:left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7.43%</w:t>
            </w:r>
          </w:p>
        </w:tc>
      </w:tr>
      <w:tr>
        <w:trPr>
          <w:trHeight w:val="355" w:hRule="exact"/>
        </w:trPr>
        <w:tc>
          <w:tcPr>
            <w:tcBorders>
              <w:top w:val="single" w:sz="4"/>
              <w:left w:val="single" w:sz="4"/>
              <w:bottom w:val="single" w:sz="4"/>
            </w:tcBorders>
            <w:shd w:val="clear" w:color="auto" w:fill="A6A6A6"/>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16"/>
        <w:keepNext w:val="0"/>
        <w:keepLines w:val="0"/>
        <w:widowControl w:val="0"/>
        <w:shd w:val="clear" w:color="auto" w:fill="auto"/>
        <w:bidi w:val="0"/>
        <w:spacing w:before="0" w:after="0" w:line="240" w:lineRule="auto"/>
        <w:ind w:left="82" w:right="0" w:firstLine="0"/>
        <w:jc w:val="left"/>
        <w:sectPr>
          <w:footnotePr>
            <w:pos w:val="pageBottom"/>
            <w:numFmt w:val="decimal"/>
            <w:numRestart w:val="continuous"/>
          </w:footnotePr>
          <w:pgSz w:w="11900" w:h="16840"/>
          <w:pgMar w:top="1383" w:right="1033" w:bottom="1589" w:left="1017" w:header="0" w:footer="3" w:gutter="0"/>
          <w:cols w:space="720"/>
          <w:noEndnote/>
          <w:rtlGutter w:val="0"/>
          <w:docGrid w:linePitch="360"/>
        </w:sectPr>
      </w:pPr>
      <w:r>
        <w:rPr>
          <w:b/>
          <w:bCs/>
          <w:color w:val="000000"/>
          <w:spacing w:val="0"/>
          <w:w w:val="100"/>
          <w:position w:val="0"/>
        </w:rPr>
        <w:t>（四）公司没有需要承担费用的退休人员</w:t>
      </w:r>
    </w:p>
    <w:p>
      <w:pPr>
        <w:pStyle w:val="Style8"/>
        <w:keepNext/>
        <w:keepLines/>
        <w:widowControl w:val="0"/>
        <w:shd w:val="clear" w:color="auto" w:fill="auto"/>
        <w:bidi w:val="0"/>
        <w:spacing w:before="560" w:after="560" w:line="240" w:lineRule="auto"/>
        <w:ind w:left="0" w:right="0" w:firstLine="0"/>
        <w:jc w:val="center"/>
      </w:pPr>
      <w:bookmarkStart w:id="385" w:name="bookmark385"/>
      <w:bookmarkStart w:id="386" w:name="bookmark386"/>
      <w:bookmarkStart w:id="387" w:name="bookmark387"/>
      <w:r>
        <w:rPr>
          <w:color w:val="000000"/>
          <w:spacing w:val="0"/>
          <w:w w:val="100"/>
          <w:position w:val="0"/>
        </w:rPr>
        <w:t>第八节公司治理</w:t>
      </w:r>
      <w:bookmarkEnd w:id="385"/>
      <w:bookmarkEnd w:id="386"/>
      <w:bookmarkEnd w:id="387"/>
    </w:p>
    <w:p>
      <w:pPr>
        <w:pStyle w:val="Style28"/>
        <w:keepNext/>
        <w:keepLines/>
        <w:widowControl w:val="0"/>
        <w:shd w:val="clear" w:color="auto" w:fill="auto"/>
        <w:bidi w:val="0"/>
        <w:spacing w:before="0" w:after="260" w:line="240" w:lineRule="auto"/>
        <w:ind w:left="0" w:right="0" w:firstLine="0"/>
        <w:jc w:val="left"/>
      </w:pPr>
      <w:bookmarkStart w:id="388" w:name="bookmark388"/>
      <w:bookmarkStart w:id="389" w:name="bookmark389"/>
      <w:bookmarkStart w:id="390" w:name="bookmark390"/>
      <w:bookmarkStart w:id="391" w:name="bookmark391"/>
      <w:bookmarkStart w:id="392" w:name="bookmark392"/>
      <w:r>
        <w:rPr>
          <w:color w:val="000000"/>
          <w:spacing w:val="0"/>
          <w:w w:val="100"/>
          <w:position w:val="0"/>
        </w:rPr>
        <w:t>一</w:t>
      </w:r>
      <w:bookmarkEnd w:id="391"/>
      <w:r>
        <w:rPr>
          <w:color w:val="000000"/>
          <w:spacing w:val="0"/>
          <w:w w:val="100"/>
          <w:position w:val="0"/>
        </w:rPr>
        <w:t>、公司治理的基本状况</w:t>
      </w:r>
      <w:bookmarkEnd w:id="389"/>
      <w:bookmarkEnd w:id="390"/>
      <w:bookmarkEnd w:id="392"/>
      <w:bookmarkEnd w:id="388"/>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报告期内，公司严格按照《公司法》、《证券法》、《上市公司治理准则》、《深圳证券交易所创业板股票上市规则》、</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《深圳证券交易所创业板上市公司规范运作指引》等法律、法规和中国证监会有关法律法规等的要求，不断完善公司的法人 治理结构，建立健全公司内部管理和控制制度，持续深入开展公司治理活动，促进了公司规范运作，提高了公司治理水平。 截至报告期末，公司实际状况符合《上市公司治理准则》和《深圳证券交易所创业板上市公司规范运作指引》的要求，不存 在尚未解决的治理问题。</w:t>
      </w:r>
    </w:p>
    <w:p>
      <w:pPr>
        <w:pStyle w:val="Style26"/>
        <w:keepNext w:val="0"/>
        <w:keepLines w:val="0"/>
        <w:widowControl w:val="0"/>
        <w:shd w:val="clear" w:color="auto" w:fill="auto"/>
        <w:tabs>
          <w:tab w:pos="888" w:val="left"/>
        </w:tabs>
        <w:bidi w:val="0"/>
        <w:spacing w:before="0" w:after="0" w:line="314" w:lineRule="exact"/>
        <w:ind w:left="0" w:right="0" w:firstLine="380"/>
        <w:jc w:val="left"/>
      </w:pPr>
      <w:bookmarkStart w:id="393" w:name="bookmark393"/>
      <w:r>
        <w:rPr>
          <w:color w:val="000000"/>
          <w:spacing w:val="0"/>
          <w:w w:val="100"/>
          <w:position w:val="0"/>
        </w:rPr>
        <w:t>（</w:t>
      </w:r>
      <w:bookmarkEnd w:id="393"/>
      <w:r>
        <w:rPr>
          <w:color w:val="000000"/>
          <w:spacing w:val="0"/>
          <w:w w:val="100"/>
          <w:position w:val="0"/>
        </w:rPr>
        <w:t>一）</w:t>
        <w:tab/>
        <w:t>关于股东和股东大会</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公司严格按照《上市公司股东大会准则》、《公司章程》、《股东大会议事规则》等规定和要求，规范地召集、召开股 东大会，平等对待所有股东，并尽力为股东参加股东大会提供便利，使其充分行使股东权利。</w:t>
      </w:r>
    </w:p>
    <w:p>
      <w:pPr>
        <w:pStyle w:val="Style26"/>
        <w:keepNext w:val="0"/>
        <w:keepLines w:val="0"/>
        <w:widowControl w:val="0"/>
        <w:shd w:val="clear" w:color="auto" w:fill="auto"/>
        <w:tabs>
          <w:tab w:pos="888" w:val="left"/>
        </w:tabs>
        <w:bidi w:val="0"/>
        <w:spacing w:before="0" w:after="0" w:line="314" w:lineRule="exact"/>
        <w:ind w:left="0" w:right="0" w:firstLine="380"/>
        <w:jc w:val="left"/>
      </w:pPr>
      <w:bookmarkStart w:id="394" w:name="bookmark394"/>
      <w:r>
        <w:rPr>
          <w:color w:val="000000"/>
          <w:spacing w:val="0"/>
          <w:w w:val="100"/>
          <w:position w:val="0"/>
        </w:rPr>
        <w:t>（</w:t>
      </w:r>
      <w:bookmarkEnd w:id="394"/>
      <w:r>
        <w:rPr>
          <w:color w:val="000000"/>
          <w:spacing w:val="0"/>
          <w:w w:val="100"/>
          <w:position w:val="0"/>
        </w:rPr>
        <w:t>二）</w:t>
        <w:tab/>
        <w:t>公司与控股股东</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公司控股股东为自然人古培坚先生。古培坚先生在公司担任董事长职务，严格规范自己的行为，没有超越股东大会直接 或间接干预公司的决策和经营活动。公司拥有独立完整的业务和自主经营能力，在业务、人员、资产、机构、财务上独立于 控股股东，公司董事会、监事会和内部机构独立运作。</w:t>
      </w:r>
    </w:p>
    <w:p>
      <w:pPr>
        <w:pStyle w:val="Style26"/>
        <w:keepNext w:val="0"/>
        <w:keepLines w:val="0"/>
        <w:widowControl w:val="0"/>
        <w:shd w:val="clear" w:color="auto" w:fill="auto"/>
        <w:tabs>
          <w:tab w:pos="888" w:val="left"/>
        </w:tabs>
        <w:bidi w:val="0"/>
        <w:spacing w:before="0" w:after="0" w:line="314" w:lineRule="exact"/>
        <w:ind w:left="0" w:right="0" w:firstLine="380"/>
        <w:jc w:val="left"/>
      </w:pPr>
      <w:bookmarkStart w:id="395" w:name="bookmark395"/>
      <w:r>
        <w:rPr>
          <w:color w:val="000000"/>
          <w:spacing w:val="0"/>
          <w:w w:val="100"/>
          <w:position w:val="0"/>
        </w:rPr>
        <w:t>（</w:t>
      </w:r>
      <w:bookmarkEnd w:id="395"/>
      <w:r>
        <w:rPr>
          <w:color w:val="000000"/>
          <w:spacing w:val="0"/>
          <w:w w:val="100"/>
          <w:position w:val="0"/>
        </w:rPr>
        <w:t>三）</w:t>
        <w:tab/>
        <w:t>关于董事和董事会</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名，董事会的人数及人员构成符合法律、法规和《公司章程》的要求。各位董事 能够依据《董事会议事规则》、《独立董事工作制度》、《深圳证券交易所创业板上市公司规范运作指引》等开展工作，出 席董事会和股东大会，勤勉尽责地履行职务和义务，同时积极参加相关培训，熟悉相关法律法规。各董事严格审议相关议案, 保证了公司相关事项的科学决策。</w:t>
      </w:r>
    </w:p>
    <w:p>
      <w:pPr>
        <w:pStyle w:val="Style26"/>
        <w:keepNext w:val="0"/>
        <w:keepLines w:val="0"/>
        <w:widowControl w:val="0"/>
        <w:shd w:val="clear" w:color="auto" w:fill="auto"/>
        <w:tabs>
          <w:tab w:pos="888" w:val="left"/>
        </w:tabs>
        <w:bidi w:val="0"/>
        <w:spacing w:before="0" w:after="0" w:line="314" w:lineRule="exact"/>
        <w:ind w:left="0" w:right="0" w:firstLine="380"/>
        <w:jc w:val="left"/>
      </w:pPr>
      <w:bookmarkStart w:id="396" w:name="bookmark396"/>
      <w:r>
        <w:rPr>
          <w:color w:val="000000"/>
          <w:spacing w:val="0"/>
          <w:w w:val="100"/>
          <w:position w:val="0"/>
        </w:rPr>
        <w:t>（</w:t>
      </w:r>
      <w:bookmarkEnd w:id="396"/>
      <w:r>
        <w:rPr>
          <w:color w:val="000000"/>
          <w:spacing w:val="0"/>
          <w:w w:val="100"/>
          <w:position w:val="0"/>
        </w:rPr>
        <w:t>四）</w:t>
        <w:tab/>
        <w:t>关于监事和监事会</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名，监事会的人数及人员构成符合法律、法规的要求。各位监事能够按照《监事 会议事规则》的要求，认真履行自己的职责，对公司重大事项、财务状况以及董事、高管人员履行职责的合法合规性进行监 督。</w:t>
      </w:r>
    </w:p>
    <w:p>
      <w:pPr>
        <w:pStyle w:val="Style26"/>
        <w:keepNext w:val="0"/>
        <w:keepLines w:val="0"/>
        <w:widowControl w:val="0"/>
        <w:shd w:val="clear" w:color="auto" w:fill="auto"/>
        <w:tabs>
          <w:tab w:pos="888" w:val="left"/>
        </w:tabs>
        <w:bidi w:val="0"/>
        <w:spacing w:before="0" w:after="0" w:line="314" w:lineRule="exact"/>
        <w:ind w:left="0" w:right="0" w:firstLine="380"/>
        <w:jc w:val="left"/>
      </w:pPr>
      <w:bookmarkStart w:id="397" w:name="bookmark397"/>
      <w:r>
        <w:rPr>
          <w:color w:val="000000"/>
          <w:spacing w:val="0"/>
          <w:w w:val="100"/>
          <w:position w:val="0"/>
        </w:rPr>
        <w:t>（</w:t>
      </w:r>
      <w:bookmarkEnd w:id="397"/>
      <w:r>
        <w:rPr>
          <w:color w:val="000000"/>
          <w:spacing w:val="0"/>
          <w:w w:val="100"/>
          <w:position w:val="0"/>
        </w:rPr>
        <w:t>五）</w:t>
        <w:tab/>
        <w:t>关于独立董事制度运作情况</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名。报告期内，公司独立董事严格按照有关法律、法规、《公司章程》及《独立董事工作制度》勤勉尽 职的履行职责，对需要独立董事发表意见的事项均发表了独立意见，对公司内部控制制度及公司发展提出许多意见和建议， 对完善公司治理结构和规范公司运作发挥了积极作用。</w:t>
      </w:r>
    </w:p>
    <w:p>
      <w:pPr>
        <w:pStyle w:val="Style26"/>
        <w:keepNext w:val="0"/>
        <w:keepLines w:val="0"/>
        <w:widowControl w:val="0"/>
        <w:shd w:val="clear" w:color="auto" w:fill="auto"/>
        <w:tabs>
          <w:tab w:pos="888" w:val="left"/>
        </w:tabs>
        <w:bidi w:val="0"/>
        <w:spacing w:before="0" w:after="0" w:line="314" w:lineRule="exact"/>
        <w:ind w:left="0" w:right="0" w:firstLine="380"/>
        <w:jc w:val="left"/>
      </w:pPr>
      <w:bookmarkStart w:id="398" w:name="bookmark398"/>
      <w:r>
        <w:rPr>
          <w:color w:val="000000"/>
          <w:spacing w:val="0"/>
          <w:w w:val="100"/>
          <w:position w:val="0"/>
        </w:rPr>
        <w:t>（</w:t>
      </w:r>
      <w:bookmarkEnd w:id="398"/>
      <w:r>
        <w:rPr>
          <w:color w:val="000000"/>
          <w:spacing w:val="0"/>
          <w:w w:val="100"/>
          <w:position w:val="0"/>
        </w:rPr>
        <w:t>六）</w:t>
        <w:tab/>
        <w:t>关于董事会秘书制度运行情况</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报告期内，公司董事会秘书一直按照有关法律、法规和《公司章程》的规定认真履行其职责，做好信息披露，认真对待 各方投资者，做好投资者接待工作，及时回复互动平台投资者提问，积极参加各监管机构组织的相关培训。</w:t>
      </w:r>
    </w:p>
    <w:p>
      <w:pPr>
        <w:pStyle w:val="Style26"/>
        <w:keepNext w:val="0"/>
        <w:keepLines w:val="0"/>
        <w:widowControl w:val="0"/>
        <w:shd w:val="clear" w:color="auto" w:fill="auto"/>
        <w:tabs>
          <w:tab w:pos="888" w:val="left"/>
        </w:tabs>
        <w:bidi w:val="0"/>
        <w:spacing w:before="0" w:after="0" w:line="314" w:lineRule="exact"/>
        <w:ind w:left="0" w:right="0" w:firstLine="380"/>
        <w:jc w:val="left"/>
      </w:pPr>
      <w:bookmarkStart w:id="399" w:name="bookmark399"/>
      <w:r>
        <w:rPr>
          <w:color w:val="000000"/>
          <w:spacing w:val="0"/>
          <w:w w:val="100"/>
          <w:position w:val="0"/>
        </w:rPr>
        <w:t>（</w:t>
      </w:r>
      <w:bookmarkEnd w:id="399"/>
      <w:r>
        <w:rPr>
          <w:color w:val="000000"/>
          <w:spacing w:val="0"/>
          <w:w w:val="100"/>
          <w:position w:val="0"/>
        </w:rPr>
        <w:t>七）</w:t>
        <w:tab/>
        <w:t>关于内幕信息知情人管理制度执行情况</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报告期内，公司为加强对内幕信息知情人管理，维护公司及全体股东的合法权益，修订了《公司内幕信息知情人登记管 理制度》，从制度层面加强内幕信息的管理。公司董事会办公室是公司信息披露、内幕信息登记备案的日常办事机构，并负 责公司内幕信息的监管工作，确保各部门对内幕信息的即时反馈，严格执行内幕信息知情人登记备案手续，及时向证券监管 部门报送规范格式的《内幕信息知情人登记表》。</w:t>
      </w:r>
    </w:p>
    <w:p>
      <w:pPr>
        <w:pStyle w:val="Style26"/>
        <w:keepNext w:val="0"/>
        <w:keepLines w:val="0"/>
        <w:widowControl w:val="0"/>
        <w:shd w:val="clear" w:color="auto" w:fill="auto"/>
        <w:tabs>
          <w:tab w:pos="888" w:val="left"/>
        </w:tabs>
        <w:bidi w:val="0"/>
        <w:spacing w:before="0" w:after="40" w:line="314" w:lineRule="exact"/>
        <w:ind w:left="0" w:right="0" w:firstLine="380"/>
        <w:jc w:val="left"/>
      </w:pPr>
      <w:bookmarkStart w:id="400" w:name="bookmark400"/>
      <w:r>
        <w:rPr>
          <w:color w:val="000000"/>
          <w:spacing w:val="0"/>
          <w:w w:val="100"/>
          <w:position w:val="0"/>
        </w:rPr>
        <w:t>（</w:t>
      </w:r>
      <w:bookmarkEnd w:id="400"/>
      <w:r>
        <w:rPr>
          <w:color w:val="000000"/>
          <w:spacing w:val="0"/>
          <w:w w:val="100"/>
          <w:position w:val="0"/>
        </w:rPr>
        <w:t>八）</w:t>
        <w:tab/>
        <w:t>绩效评价与激励约束机制情况</w:t>
      </w:r>
    </w:p>
    <w:p>
      <w:pPr>
        <w:pStyle w:val="Style26"/>
        <w:keepNext w:val="0"/>
        <w:keepLines w:val="0"/>
        <w:widowControl w:val="0"/>
        <w:shd w:val="clear" w:color="auto" w:fill="auto"/>
        <w:bidi w:val="0"/>
        <w:spacing w:before="0" w:after="140" w:line="309" w:lineRule="exact"/>
        <w:ind w:left="0" w:right="0" w:firstLine="380"/>
        <w:jc w:val="left"/>
      </w:pPr>
      <w:r>
        <w:rPr>
          <w:color w:val="000000"/>
          <w:spacing w:val="0"/>
          <w:w w:val="100"/>
          <w:position w:val="0"/>
        </w:rPr>
        <w:t>董事会下设的薪酬与考核委员会负责对公司的董事、高级管理人员进行考核，建立并逐步完善公正、透明的绩效评价标 准和激励约束机制。《公司章程》明确规定了高级管理人员的履职行为、权限和职责，高级管理人员的聘任公开、透明，符 合有关法律、法规的规定。参与公司经营管理的董事、高级管理人员年薪总收入由基本薪酬和考核薪酬组成。其中，基本薪 酬占年薪总收入的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；其余</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作为考核薪酬进行考核。现有绩效评价标准和激励约束机制符合公司的发展情况。</w:t>
      </w:r>
      <w:r>
        <w:br w:type="page"/>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二</w:t>
      </w:r>
      <w:bookmarkEnd w:id="403"/>
      <w:r>
        <w:rPr>
          <w:color w:val="000000"/>
          <w:spacing w:val="0"/>
          <w:w w:val="100"/>
          <w:position w:val="0"/>
        </w:rPr>
        <w:t>、报告期内召开的年度股东大会和临时股东大会的有关情况</w:t>
      </w:r>
      <w:bookmarkEnd w:id="401"/>
      <w:bookmarkEnd w:id="402"/>
      <w:bookmarkEnd w:id="404"/>
    </w:p>
    <w:p>
      <w:pPr>
        <w:pStyle w:val="Style33"/>
        <w:keepNext/>
        <w:keepLines/>
        <w:widowControl w:val="0"/>
        <w:shd w:val="clear" w:color="auto" w:fill="auto"/>
        <w:bidi w:val="0"/>
        <w:spacing w:before="0" w:after="32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、本报告期年度股东大会情况</w:t>
      </w:r>
      <w:bookmarkEnd w:id="405"/>
      <w:bookmarkEnd w:id="406"/>
      <w:bookmarkEnd w:id="408"/>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widowControl w:val="0"/>
        <w:spacing w:after="3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、本报告期临时股东大会情况</w:t>
      </w:r>
    </w:p>
    <w:tbl>
      <w:tblPr>
        <w:tblOverlap w:val="never"/>
        <w:jc w:val="center"/>
        <w:tblLayout w:type="fixed"/>
      </w:tblPr>
      <w:tblGrid>
        <w:gridCol w:w="2395"/>
        <w:gridCol w:w="1579"/>
        <w:gridCol w:w="2976"/>
        <w:gridCol w:w="263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会议决议刊登的信息披露日期</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三</w:t>
      </w:r>
      <w:bookmarkEnd w:id="411"/>
      <w:r>
        <w:rPr>
          <w:color w:val="000000"/>
          <w:spacing w:val="0"/>
          <w:w w:val="100"/>
          <w:position w:val="0"/>
        </w:rPr>
        <w:t>、报告期董事会召开情况</w:t>
      </w:r>
      <w:bookmarkEnd w:id="409"/>
      <w:bookmarkEnd w:id="410"/>
      <w:bookmarkEnd w:id="412"/>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第二届董事会第六次会议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第二届董事会第七次会议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第二届董事会第八次会议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第二届董事会第九次会议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om. cn</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om. cn</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om. cn</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四</w:t>
      </w:r>
      <w:bookmarkEnd w:id="415"/>
      <w:r>
        <w:rPr>
          <w:color w:val="000000"/>
          <w:spacing w:val="0"/>
          <w:w w:val="100"/>
          <w:position w:val="0"/>
        </w:rPr>
        <w:t>、年度报告重大差错责任追究制度的建立与执行情况</w:t>
      </w:r>
      <w:bookmarkEnd w:id="413"/>
      <w:bookmarkEnd w:id="414"/>
      <w:bookmarkEnd w:id="416"/>
    </w:p>
    <w:p>
      <w:pPr>
        <w:pStyle w:val="Style26"/>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公司已经根据《证券法》、《会计法》、《上市公司信息披露管理办法》、《上市公司治理准则》和《深圳证券交易所 创业板股票上市规则》等法律法规的规定，制定了《年报信息披露重大差错责任追究制度》，该制度的制定在进一步健全公 司的信息披露管理制度，提高公司规范运作水平，增强信息披露的真实性、准确性、完整性和及时性，提高年报信息披露的 质量和透明度方面起到了促进作用。报告期内，公司未发生重大会计差错更正、重大遗漏信息补充以及业绩预告修正等情况。</w:t>
      </w:r>
    </w:p>
    <w:p>
      <w:pPr>
        <w:pStyle w:val="Style28"/>
        <w:keepNext/>
        <w:keepLines/>
        <w:widowControl w:val="0"/>
        <w:shd w:val="clear" w:color="auto" w:fill="auto"/>
        <w:bidi w:val="0"/>
        <w:spacing w:before="0" w:after="26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五</w:t>
      </w:r>
      <w:bookmarkEnd w:id="419"/>
      <w:r>
        <w:rPr>
          <w:color w:val="000000"/>
          <w:spacing w:val="0"/>
          <w:w w:val="100"/>
          <w:position w:val="0"/>
        </w:rPr>
        <w:t>、监事会工作情况</w:t>
      </w:r>
      <w:bookmarkEnd w:id="417"/>
      <w:bookmarkEnd w:id="418"/>
      <w:bookmarkEnd w:id="420"/>
    </w:p>
    <w:p>
      <w:pPr>
        <w:pStyle w:val="Style2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监事会在报告期内的监督活动是否发现公司存在风险</w:t>
      </w:r>
    </w:p>
    <w:p>
      <w:pPr>
        <w:pStyle w:val="Style26"/>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公司监事会对报告期内的监督事项无异议。</w:t>
      </w:r>
    </w:p>
    <w:p>
      <w:pPr>
        <w:pStyle w:val="Style8"/>
        <w:keepNext/>
        <w:keepLines/>
        <w:widowControl w:val="0"/>
        <w:shd w:val="clear" w:color="auto" w:fill="auto"/>
        <w:bidi w:val="0"/>
        <w:spacing w:before="0" w:after="560" w:line="240" w:lineRule="auto"/>
        <w:ind w:left="0" w:right="0" w:firstLine="0"/>
        <w:jc w:val="center"/>
      </w:pPr>
      <w:bookmarkStart w:id="421" w:name="bookmark421"/>
      <w:bookmarkStart w:id="422" w:name="bookmark422"/>
      <w:bookmarkStart w:id="423" w:name="bookmark423"/>
      <w:r>
        <w:rPr>
          <w:color w:val="000000"/>
          <w:spacing w:val="0"/>
          <w:w w:val="100"/>
          <w:position w:val="0"/>
        </w:rPr>
        <w:t>第九节财务报告</w:t>
      </w:r>
      <w:bookmarkEnd w:id="421"/>
      <w:bookmarkEnd w:id="422"/>
      <w:bookmarkEnd w:id="423"/>
    </w:p>
    <w:p>
      <w:pPr>
        <w:pStyle w:val="Style28"/>
        <w:keepNext/>
        <w:keepLines/>
        <w:widowControl w:val="0"/>
        <w:shd w:val="clear" w:color="auto" w:fill="auto"/>
        <w:bidi w:val="0"/>
        <w:spacing w:before="0" w:after="300" w:line="240" w:lineRule="auto"/>
        <w:ind w:left="0" w:right="0" w:firstLine="260"/>
        <w:jc w:val="both"/>
      </w:pPr>
      <w:bookmarkStart w:id="424" w:name="bookmark424"/>
      <w:bookmarkStart w:id="425" w:name="bookmark425"/>
      <w:bookmarkStart w:id="426" w:name="bookmark426"/>
      <w:bookmarkStart w:id="427" w:name="bookmark427"/>
      <w:r>
        <w:rPr>
          <w:color w:val="000000"/>
          <w:spacing w:val="0"/>
          <w:w w:val="100"/>
          <w:position w:val="0"/>
        </w:rPr>
        <w:t>、审计报告</w:t>
      </w:r>
      <w:bookmarkEnd w:id="425"/>
      <w:bookmarkEnd w:id="426"/>
      <w:bookmarkEnd w:id="427"/>
      <w:bookmarkEnd w:id="42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350ZA0969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熊建益、朱丹丹</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99" w:line="1" w:lineRule="exact"/>
      </w:pPr>
    </w:p>
    <w:p>
      <w:pPr>
        <w:pStyle w:val="Style26"/>
        <w:keepNext w:val="0"/>
        <w:keepLines w:val="0"/>
        <w:widowControl w:val="0"/>
        <w:shd w:val="clear" w:color="auto" w:fill="auto"/>
        <w:bidi w:val="0"/>
        <w:spacing w:before="0" w:after="100" w:line="310" w:lineRule="exact"/>
        <w:ind w:left="0" w:right="0" w:firstLine="0"/>
        <w:jc w:val="both"/>
      </w:pPr>
      <w:r>
        <w:rPr>
          <w:b/>
          <w:bCs/>
          <w:color w:val="000000"/>
          <w:spacing w:val="0"/>
          <w:w w:val="100"/>
          <w:position w:val="0"/>
        </w:rPr>
        <w:t>易联众信息技术股份有限公司全体股东：</w:t>
      </w:r>
    </w:p>
    <w:p>
      <w:pPr>
        <w:pStyle w:val="Style26"/>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我们审计了后附的易联众信息技术股份有限公司（以下简称易联众公司）财务报表，包括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 司资产负债表，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年度的合并及公司利润表、合并及公司现金流量表、合并及公司股东权益变动表以及财务报表附注。</w:t>
      </w:r>
    </w:p>
    <w:p>
      <w:pPr>
        <w:pStyle w:val="Style26"/>
        <w:keepNext w:val="0"/>
        <w:keepLines w:val="0"/>
        <w:widowControl w:val="0"/>
        <w:shd w:val="clear" w:color="auto" w:fill="auto"/>
        <w:tabs>
          <w:tab w:pos="820" w:val="left"/>
        </w:tabs>
        <w:bidi w:val="0"/>
        <w:spacing w:before="0" w:after="100" w:line="310" w:lineRule="exact"/>
        <w:ind w:left="0" w:right="0" w:firstLine="380"/>
        <w:jc w:val="both"/>
      </w:pPr>
      <w:bookmarkStart w:id="428" w:name="bookmark428"/>
      <w:r>
        <w:rPr>
          <w:b/>
          <w:bCs/>
          <w:color w:val="000000"/>
          <w:spacing w:val="0"/>
          <w:w w:val="100"/>
          <w:position w:val="0"/>
        </w:rPr>
        <w:t>一</w:t>
      </w:r>
      <w:bookmarkEnd w:id="428"/>
      <w:r>
        <w:rPr>
          <w:b/>
          <w:bCs/>
          <w:color w:val="000000"/>
          <w:spacing w:val="0"/>
          <w:w w:val="100"/>
          <w:position w:val="0"/>
        </w:rPr>
        <w:t>、</w:t>
        <w:tab/>
        <w:t>管理层对财务报表的责任</w:t>
      </w:r>
    </w:p>
    <w:p>
      <w:pPr>
        <w:pStyle w:val="Style26"/>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编制和公允列报财务报表是易联众公司管理层的责任，这种责任包括：（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6"/>
        <w:keepNext w:val="0"/>
        <w:keepLines w:val="0"/>
        <w:widowControl w:val="0"/>
        <w:shd w:val="clear" w:color="auto" w:fill="auto"/>
        <w:tabs>
          <w:tab w:pos="820" w:val="left"/>
        </w:tabs>
        <w:bidi w:val="0"/>
        <w:spacing w:before="0" w:after="100" w:line="310" w:lineRule="exact"/>
        <w:ind w:left="0" w:right="0" w:firstLine="380"/>
        <w:jc w:val="both"/>
      </w:pPr>
      <w:bookmarkStart w:id="429" w:name="bookmark429"/>
      <w:r>
        <w:rPr>
          <w:b/>
          <w:bCs/>
          <w:color w:val="000000"/>
          <w:spacing w:val="0"/>
          <w:w w:val="100"/>
          <w:position w:val="0"/>
        </w:rPr>
        <w:t>二</w:t>
      </w:r>
      <w:bookmarkEnd w:id="429"/>
      <w:r>
        <w:rPr>
          <w:b/>
          <w:bCs/>
          <w:color w:val="000000"/>
          <w:spacing w:val="0"/>
          <w:w w:val="100"/>
          <w:position w:val="0"/>
        </w:rPr>
        <w:t>、</w:t>
        <w:tab/>
        <w:t>注册会计师的责任</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w:t>
      </w:r>
      <w:r>
        <w:rPr>
          <w:i/>
          <w:iCs/>
          <w:color w:val="000000"/>
          <w:spacing w:val="0"/>
          <w:w w:val="100"/>
          <w:position w:val="0"/>
        </w:rPr>
        <w:t>。</w:t>
      </w:r>
      <w:r>
        <w:rPr>
          <w:color w:val="000000"/>
          <w:spacing w:val="0"/>
          <w:w w:val="100"/>
          <w:position w:val="0"/>
        </w:rPr>
        <w:t>审计工作还包括评价管理层选用会 计政策的恰当性和作出会计估计的合理性，以及评价财务报表的总体列报。</w:t>
      </w:r>
    </w:p>
    <w:p>
      <w:pPr>
        <w:pStyle w:val="Style26"/>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我们相信，我们获取的审计证据是充分、适当的，为发表审计意见提供了基础。</w:t>
      </w:r>
    </w:p>
    <w:p>
      <w:pPr>
        <w:pStyle w:val="Style26"/>
        <w:keepNext w:val="0"/>
        <w:keepLines w:val="0"/>
        <w:widowControl w:val="0"/>
        <w:shd w:val="clear" w:color="auto" w:fill="auto"/>
        <w:tabs>
          <w:tab w:pos="825" w:val="left"/>
        </w:tabs>
        <w:bidi w:val="0"/>
        <w:spacing w:before="0" w:after="100" w:line="310" w:lineRule="exact"/>
        <w:ind w:left="0" w:right="0" w:firstLine="380"/>
        <w:jc w:val="both"/>
      </w:pPr>
      <w:bookmarkStart w:id="430" w:name="bookmark430"/>
      <w:r>
        <w:rPr>
          <w:b/>
          <w:bCs/>
          <w:color w:val="000000"/>
          <w:spacing w:val="0"/>
          <w:w w:val="100"/>
          <w:position w:val="0"/>
        </w:rPr>
        <w:t>三</w:t>
      </w:r>
      <w:bookmarkEnd w:id="430"/>
      <w:r>
        <w:rPr>
          <w:b/>
          <w:bCs/>
          <w:color w:val="000000"/>
          <w:spacing w:val="0"/>
          <w:w w:val="100"/>
          <w:position w:val="0"/>
        </w:rPr>
        <w:t>、</w:t>
        <w:tab/>
        <w:t>审计意见</w:t>
      </w:r>
    </w:p>
    <w:p>
      <w:pPr>
        <w:pStyle w:val="Style26"/>
        <w:keepNext w:val="0"/>
        <w:keepLines w:val="0"/>
        <w:widowControl w:val="0"/>
        <w:shd w:val="clear" w:color="auto" w:fill="auto"/>
        <w:bidi w:val="0"/>
        <w:spacing w:before="0" w:after="860" w:line="307" w:lineRule="exact"/>
        <w:ind w:left="0" w:right="0" w:firstLine="380"/>
        <w:jc w:val="both"/>
      </w:pPr>
      <w:r>
        <w:rPr>
          <w:color w:val="000000"/>
          <w:spacing w:val="0"/>
          <w:w w:val="100"/>
          <w:position w:val="0"/>
        </w:rPr>
        <w:t>我们认为，易联众公司财务报表在所有重大方面按照企业会计准则的规定编制，公允反映了易联众公司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年度的合并及公司经营成果和合并及公司现金流量。</w:t>
      </w:r>
    </w:p>
    <w:p>
      <w:pPr>
        <w:pStyle w:val="Style26"/>
        <w:keepNext w:val="0"/>
        <w:keepLines w:val="0"/>
        <w:widowControl w:val="0"/>
        <w:shd w:val="clear" w:color="auto" w:fill="auto"/>
        <w:tabs>
          <w:tab w:pos="4498" w:val="left"/>
        </w:tabs>
        <w:bidi w:val="0"/>
        <w:spacing w:before="0" w:after="0" w:line="310" w:lineRule="exact"/>
        <w:ind w:left="0" w:right="0" w:firstLine="0"/>
        <w:jc w:val="both"/>
      </w:pPr>
      <w:r>
        <w:rPr>
          <w:color w:val="000000"/>
          <w:spacing w:val="0"/>
          <w:w w:val="100"/>
          <w:position w:val="0"/>
        </w:rPr>
        <w:t>致同会计师事务所</w:t>
        <w:tab/>
        <w:t>中国注册会计师：熊建益</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（特殊普通合伙）</w:t>
      </w:r>
    </w:p>
    <w:p>
      <w:pPr>
        <w:pStyle w:val="Style26"/>
        <w:keepNext w:val="0"/>
        <w:keepLines w:val="0"/>
        <w:widowControl w:val="0"/>
        <w:shd w:val="clear" w:color="auto" w:fill="auto"/>
        <w:bidi w:val="0"/>
        <w:spacing w:before="0" w:after="420" w:line="310" w:lineRule="exact"/>
        <w:ind w:left="4540" w:right="0" w:firstLine="0"/>
        <w:jc w:val="both"/>
      </w:pPr>
      <w:r>
        <w:rPr>
          <w:color w:val="000000"/>
          <w:spacing w:val="0"/>
          <w:w w:val="100"/>
          <w:position w:val="0"/>
        </w:rPr>
        <w:t>中国注册会计师：朱丹丹</w:t>
      </w:r>
    </w:p>
    <w:p>
      <w:pPr>
        <w:pStyle w:val="Style26"/>
        <w:keepNext w:val="0"/>
        <w:keepLines w:val="0"/>
        <w:widowControl w:val="0"/>
        <w:shd w:val="clear" w:color="auto" w:fill="auto"/>
        <w:tabs>
          <w:tab w:pos="4498" w:val="left"/>
        </w:tabs>
        <w:bidi w:val="0"/>
        <w:spacing w:before="0" w:after="100" w:line="310" w:lineRule="exact"/>
        <w:ind w:left="0" w:right="0" w:firstLine="38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二。一四年四月十七日</w:t>
      </w:r>
      <w:r>
        <w:br w:type="page"/>
      </w:r>
    </w:p>
    <w:p>
      <w:pPr>
        <w:pStyle w:val="Style28"/>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r>
        <w:rPr>
          <w:color w:val="000000"/>
          <w:spacing w:val="0"/>
          <w:w w:val="100"/>
          <w:position w:val="0"/>
        </w:rPr>
        <w:t>二、财务报表</w:t>
      </w:r>
      <w:bookmarkEnd w:id="431"/>
      <w:bookmarkEnd w:id="432"/>
      <w:bookmarkEnd w:id="43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、合并资产负债表</w:t>
      </w:r>
      <w:bookmarkEnd w:id="434"/>
      <w:bookmarkEnd w:id="435"/>
      <w:bookmarkEnd w:id="43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编制单位：易联众信息技术股份有限公司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392,227,331.53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416,603,863.15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191,320,769.62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187,412,019.87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10,964,426.14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2,674,240.89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2,500,856.47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1,796,496.57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5,876,383.50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5,262,397.73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57,726,393.89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46,344,427.93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7,004,451.56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667,838,863.21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660,093,446.14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3,519,980.33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1,378,116.88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95,563,654.98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65,141,940.58</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25,178,437.00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5,937,557.23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4,482,892.56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17,502,729.64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3,772,423.59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4,338,969.97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8,586,540.46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5,018,662.94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141,103,928.92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99,317,977.24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808,942,792.13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759,411,423.38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2,126,804.14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62,867,560.14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73,718,459.74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45,501,212.16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21,852,609.62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15,365,356.47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11,308,347.76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10,866,098.74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-344,544.49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2,889,491.76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1,157,718.63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333,333.33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137,837,114.86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109,837,676.34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8,699,166.80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53,333.33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8,752,500.13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144,528,781.66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118,590,176.47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292,196,667.26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292,196,667.26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15,642,479.75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13,543,123.68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173,882,730.66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152,777,062.58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653,721,877.67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630,516,853.52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10,692,132.80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10,304,393.39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664,414,010.47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640,821,246.91</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808,942,792.13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759,411,423.38</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4" behindDoc="0" locked="0" layoutInCell="1" allowOverlap="1">
                <wp:simplePos x="0" y="0"/>
                <wp:positionH relativeFrom="page">
                  <wp:posOffset>706120</wp:posOffset>
                </wp:positionH>
                <wp:positionV relativeFrom="margin">
                  <wp:posOffset>6836410</wp:posOffset>
                </wp:positionV>
                <wp:extent cx="1054735" cy="149225"/>
                <wp:wrapTopAndBottom/>
                <wp:docPr id="19" name="Shape 1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wps:txbx>
                      <wps:bodyPr wrap="none" lIns="0" tIns="0" rIns="0" bIns="0">
                        <a:noAutoFit/>
                      </wps:bodyPr>
                    </wps:wsp>
                  </a:graphicData>
                </a:graphic>
              </wp:anchor>
            </w:drawing>
          </mc:Choice>
          <mc:Fallback>
            <w:pict>
              <v:shape id="_x0000_s1045" type="#_x0000_t202" style="position:absolute;margin-left:55.600000000000001pt;margin-top:538.29999999999995pt;width:83.049999999999997pt;height:11.75pt;z-index:-125829369;mso-wrap-distance-left:9.pt;mso-wrap-distance-top:11.pt;mso-wrap-distance-right:405.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v:textbox>
                <w10:wrap type="topAndBottom" anchorx="page" anchory="margin"/>
              </v:shape>
            </w:pict>
          </mc:Fallback>
        </mc:AlternateContent>
      </w:r>
      <w:r>
        <mc:AlternateContent>
          <mc:Choice Requires="wps">
            <w:drawing>
              <wp:anchor distT="139700" distB="0" distL="2293620" distR="2519045" simplePos="0" relativeHeight="125829386" behindDoc="0" locked="0" layoutInCell="1" allowOverlap="1">
                <wp:simplePos x="0" y="0"/>
                <wp:positionH relativeFrom="page">
                  <wp:posOffset>2885440</wp:posOffset>
                </wp:positionH>
                <wp:positionV relativeFrom="margin">
                  <wp:posOffset>6836410</wp:posOffset>
                </wp:positionV>
                <wp:extent cx="1505585" cy="149225"/>
                <wp:wrapTopAndBottom/>
                <wp:docPr id="21" name="Shape 2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47" type="#_x0000_t202" style="position:absolute;margin-left:227.20000000000002pt;margin-top:538.29999999999995pt;width:118.55pt;height:11.75pt;z-index:-125829367;mso-wrap-distance-left:180.59999999999999pt;mso-wrap-distance-top:11.pt;mso-wrap-distance-right:198.3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v:textbox>
                <w10:wrap type="topAndBottom" anchorx="page" anchory="margin"/>
              </v:shape>
            </w:pict>
          </mc:Fallback>
        </mc:AlternateContent>
      </w:r>
      <w:r>
        <mc:AlternateContent>
          <mc:Choice Requires="wps">
            <w:drawing>
              <wp:anchor distT="139700" distB="0" distL="4918075" distR="113665" simplePos="0" relativeHeight="125829388" behindDoc="0" locked="0" layoutInCell="1" allowOverlap="1">
                <wp:simplePos x="0" y="0"/>
                <wp:positionH relativeFrom="page">
                  <wp:posOffset>5509895</wp:posOffset>
                </wp:positionH>
                <wp:positionV relativeFrom="margin">
                  <wp:posOffset>6836410</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wps:txbx>
                      <wps:bodyPr wrap="none" lIns="0" tIns="0" rIns="0" bIns="0">
                        <a:noAutoFit/>
                      </wps:bodyPr>
                    </wps:wsp>
                  </a:graphicData>
                </a:graphic>
              </wp:anchor>
            </w:drawing>
          </mc:Choice>
          <mc:Fallback>
            <w:pict>
              <v:shape id="_x0000_s1049" type="#_x0000_t202" style="position:absolute;margin-left:433.85000000000002pt;margin-top:538.29999999999995pt;width:101.3pt;height:11.75pt;z-index:-125829365;mso-wrap-distance-left:387.25pt;mso-wrap-distance-top:11.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v:textbox>
                <w10:wrap type="topAndBottom" anchorx="page" anchory="margin"/>
              </v:shape>
            </w:pict>
          </mc:Fallback>
        </mc:AlternateContent>
      </w: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、母公司资产负债表</w:t>
      </w:r>
      <w:bookmarkEnd w:id="438"/>
      <w:bookmarkEnd w:id="439"/>
      <w:bookmarkEnd w:id="441"/>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编制单位：易联众信息技术股份有限公司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275,733,566.79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274,762,319.78</w:t>
            </w:r>
          </w:p>
        </w:tc>
      </w:tr>
    </w:tbl>
    <w:p>
      <w:pPr>
        <w:widowControl w:val="0"/>
        <w:spacing w:line="1" w:lineRule="exact"/>
      </w:pPr>
      <w:r>
        <w:br w:type="page"/>
      </w:r>
    </w:p>
    <w:tbl>
      <w:tblPr>
        <w:tblOverlap w:val="never"/>
        <w:jc w:val="center"/>
        <w:tblLayout w:type="fixed"/>
      </w:tblPr>
      <w:tblGrid>
        <w:gridCol w:w="2966"/>
        <w:gridCol w:w="3302"/>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104,341,345.95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113,697,412.41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10,759,377.30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1,258,548.84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2,475,692.60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1,720,623.52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5,015,287.14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4,950,041.76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34,125,635.70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36,743,456.53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3,705,309.98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436,253,742.35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433,132,402.84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125,275,960.20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146,083,789.89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89,745,160.89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60,505,273.21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25,052,413.19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5,759,193.10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4,303,049.97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17,208,934.41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3,296,208.14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3,775,346.51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3,465,966.37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2,893,834.92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251,138,758.76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236,226,372.04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687,392,501.11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669,358,774.88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9215" simplePos="0" relativeHeight="125829390" behindDoc="0" locked="0" layoutInCell="1" allowOverlap="1">
                <wp:simplePos x="0" y="0"/>
                <wp:positionH relativeFrom="page">
                  <wp:posOffset>727075</wp:posOffset>
                </wp:positionH>
                <wp:positionV relativeFrom="margin">
                  <wp:posOffset>8622665</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wps:txbx>
                      <wps:bodyPr wrap="none" lIns="0" tIns="0" rIns="0" bIns="0">
                        <a:noAutoFit/>
                      </wps:bodyPr>
                    </wps:wsp>
                  </a:graphicData>
                </a:graphic>
              </wp:anchor>
            </w:drawing>
          </mc:Choice>
          <mc:Fallback>
            <w:pict>
              <v:shape id="_x0000_s1051" type="#_x0000_t202" style="position:absolute;margin-left:57.25pt;margin-top:678.95000000000005pt;width:83.049999999999997pt;height:11.75pt;z-index:-125829363;mso-wrap-distance-left:9.pt;mso-wrap-distance-top:11.pt;mso-wrap-distance-right:405.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v:textbox>
                <w10:wrap type="topAndBottom" anchorx="page" anchory="margin"/>
              </v:shape>
            </w:pict>
          </mc:Fallback>
        </mc:AlternateContent>
      </w:r>
      <w:r>
        <mc:AlternateContent>
          <mc:Choice Requires="wps">
            <w:drawing>
              <wp:anchor distT="139700" distB="0" distL="2293620" distR="2519045" simplePos="0" relativeHeight="125829392" behindDoc="0" locked="0" layoutInCell="1" allowOverlap="1">
                <wp:simplePos x="0" y="0"/>
                <wp:positionH relativeFrom="page">
                  <wp:posOffset>2906395</wp:posOffset>
                </wp:positionH>
                <wp:positionV relativeFrom="margin">
                  <wp:posOffset>8622665</wp:posOffset>
                </wp:positionV>
                <wp:extent cx="1505585" cy="149225"/>
                <wp:wrapTopAndBottom/>
                <wp:docPr id="27" name="Shape 2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53" type="#_x0000_t202" style="position:absolute;margin-left:228.84999999999999pt;margin-top:678.95000000000005pt;width:118.55pt;height:11.75pt;z-index:-125829361;mso-wrap-distance-left:180.59999999999999pt;mso-wrap-distance-top:11.pt;mso-wrap-distance-right:198.3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v:textbox>
                <w10:wrap type="topAndBottom" anchorx="page" anchory="margin"/>
              </v:shape>
            </w:pict>
          </mc:Fallback>
        </mc:AlternateContent>
      </w:r>
      <w:r>
        <mc:AlternateContent>
          <mc:Choice Requires="wps">
            <w:drawing>
              <wp:anchor distT="139700" distB="0" distL="4918075" distR="113665" simplePos="0" relativeHeight="125829394" behindDoc="0" locked="0" layoutInCell="1" allowOverlap="1">
                <wp:simplePos x="0" y="0"/>
                <wp:positionH relativeFrom="page">
                  <wp:posOffset>5530850</wp:posOffset>
                </wp:positionH>
                <wp:positionV relativeFrom="margin">
                  <wp:posOffset>8622665</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wps:txbx>
                      <wps:bodyPr wrap="none" lIns="0" tIns="0" rIns="0" bIns="0">
                        <a:noAutoFit/>
                      </wps:bodyPr>
                    </wps:wsp>
                  </a:graphicData>
                </a:graphic>
              </wp:anchor>
            </w:drawing>
          </mc:Choice>
          <mc:Fallback>
            <w:pict>
              <v:shape id="_x0000_s1055" type="#_x0000_t202" style="position:absolute;margin-left:435.5pt;margin-top:678.95000000000005pt;width:101.3pt;height:11.75pt;z-index:-125829359;mso-wrap-distance-left:387.25pt;mso-wrap-distance-top:11.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v:textbox>
                <w10:wrap type="topAndBottom" anchorx="page" anchory="margin"/>
              </v:shape>
            </w:pict>
          </mc:Fallback>
        </mc:AlternateContent>
      </w:r>
    </w:p>
    <w:tbl>
      <w:tblPr>
        <w:tblOverlap w:val="never"/>
        <w:jc w:val="center"/>
        <w:tblLayout w:type="fixed"/>
      </w:tblPr>
      <w:tblGrid>
        <w:gridCol w:w="2966"/>
        <w:gridCol w:w="3302"/>
        <w:gridCol w:w="3312"/>
      </w:tblGrid>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2,126,804.14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74,364,954.96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73,421,876.25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27,700,620.36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13,655,553.96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6,845,548.99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5,659,081.65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1,843,524.70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-171,085.91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1,038,329.77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795,531.14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111,807,041.04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95,506,042.17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6,691,666.80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8,699,166.80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53,333.33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6,691,666.80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8,752,500.13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118,498,707.84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104,258,542.30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295,368,995.89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295,368,995.89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15,642,479.75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13,543,123.68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85,882,317.63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84,188,113.01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568,893,793.27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565,100,232.58</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687,392,501.11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669,358,774.88</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3</w:t>
      </w:r>
      <w:bookmarkEnd w:id="444"/>
      <w:r>
        <w:rPr>
          <w:color w:val="000000"/>
          <w:spacing w:val="0"/>
          <w:w w:val="100"/>
          <w:position w:val="0"/>
        </w:rPr>
        <w:t>、合并利润表</w:t>
      </w:r>
      <w:bookmarkEnd w:id="442"/>
      <w:bookmarkEnd w:id="443"/>
      <w:bookmarkEnd w:id="44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编制单位：易联众信息技术股份有限公司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279,797,747.85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279,797,747.85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268,440,301.97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229,176,863.02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149,192,461.19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147,221,533.74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2,901,853.39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4,783,322.61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25,597,849.21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14,204,834.75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91,437,225.70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61,110,570.29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-6,980,172.06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-6,877,047.53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6,291,084.54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8,733,649.16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2,141,863.45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626,116.88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920"/>
              <w:jc w:val="both"/>
            </w:pPr>
            <w:r>
              <w:rPr>
                <w:color w:val="000000"/>
                <w:spacing w:val="0"/>
                <w:w w:val="100"/>
                <w:position w:val="0"/>
              </w:rPr>
              <w:t>其中：对联营企业和合营</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2,141,863.45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626,116.88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34,631,402.14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51,247,001.71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12,696,090.69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19,601,152.50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98,908.69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138,470.37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91,788.07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63,257.34</w:t>
            </w: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47,228,584.14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70,709,683.84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8,885,820.58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12,564,151.02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38,342,763.56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58,145,532.82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40,405,024.15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56,241,855.51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-2,062,260.59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1,903,677.31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38,342,763.56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58,145,532.82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40,405,024.15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56,241,855.51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-2,062,260.59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1,903,677.31</w:t>
            </w:r>
          </w:p>
        </w:tc>
      </w:tr>
    </w:tbl>
    <w:p>
      <w:pPr>
        <w:pStyle w:val="Style33"/>
        <w:keepNext/>
        <w:keepLines/>
        <w:widowControl w:val="0"/>
        <w:shd w:val="clear" w:color="auto" w:fill="auto"/>
        <w:bidi w:val="0"/>
        <w:spacing w:before="0" w:after="420" w:line="240" w:lineRule="auto"/>
        <w:ind w:left="0" w:right="0" w:firstLine="0"/>
        <w:jc w:val="left"/>
      </w:pPr>
      <w:r>
        <mc:AlternateContent>
          <mc:Choice Requires="wps">
            <w:drawing>
              <wp:anchor distT="139700" distB="0" distL="114300" distR="5149215" simplePos="0" relativeHeight="125829396" behindDoc="0" locked="0" layoutInCell="1" allowOverlap="1">
                <wp:simplePos x="0" y="0"/>
                <wp:positionH relativeFrom="page">
                  <wp:posOffset>706120</wp:posOffset>
                </wp:positionH>
                <wp:positionV relativeFrom="margin">
                  <wp:posOffset>4398010</wp:posOffset>
                </wp:positionV>
                <wp:extent cx="1054735" cy="149225"/>
                <wp:wrapTopAndBottom/>
                <wp:docPr id="31" name="Shape 3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wps:txbx>
                      <wps:bodyPr wrap="none" lIns="0" tIns="0" rIns="0" bIns="0">
                        <a:noAutoFit/>
                      </wps:bodyPr>
                    </wps:wsp>
                  </a:graphicData>
                </a:graphic>
              </wp:anchor>
            </w:drawing>
          </mc:Choice>
          <mc:Fallback>
            <w:pict>
              <v:shape id="_x0000_s1057" type="#_x0000_t202" style="position:absolute;margin-left:55.600000000000001pt;margin-top:346.30000000000001pt;width:83.049999999999997pt;height:11.75pt;z-index:-125829357;mso-wrap-distance-left:9.pt;mso-wrap-distance-top:11.pt;mso-wrap-distance-right:405.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v:textbox>
                <w10:wrap type="topAndBottom" anchorx="page" anchory="margin"/>
              </v:shape>
            </w:pict>
          </mc:Fallback>
        </mc:AlternateContent>
      </w:r>
      <w:r>
        <mc:AlternateContent>
          <mc:Choice Requires="wps">
            <w:drawing>
              <wp:anchor distT="139700" distB="0" distL="2293620" distR="2519045" simplePos="0" relativeHeight="125829398" behindDoc="0" locked="0" layoutInCell="1" allowOverlap="1">
                <wp:simplePos x="0" y="0"/>
                <wp:positionH relativeFrom="page">
                  <wp:posOffset>2885440</wp:posOffset>
                </wp:positionH>
                <wp:positionV relativeFrom="margin">
                  <wp:posOffset>4398010</wp:posOffset>
                </wp:positionV>
                <wp:extent cx="1505585" cy="149225"/>
                <wp:wrapTopAndBottom/>
                <wp:docPr id="33" name="Shape 3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59" type="#_x0000_t202" style="position:absolute;margin-left:227.20000000000002pt;margin-top:346.30000000000001pt;width:118.55pt;height:11.75pt;z-index:-125829355;mso-wrap-distance-left:180.59999999999999pt;mso-wrap-distance-top:11.pt;mso-wrap-distance-right:198.3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v:textbox>
                <w10:wrap type="topAndBottom" anchorx="page" anchory="margin"/>
              </v:shape>
            </w:pict>
          </mc:Fallback>
        </mc:AlternateContent>
      </w:r>
      <w:r>
        <mc:AlternateContent>
          <mc:Choice Requires="wps">
            <w:drawing>
              <wp:anchor distT="139700" distB="0" distL="4918075" distR="113665" simplePos="0" relativeHeight="125829400" behindDoc="0" locked="0" layoutInCell="1" allowOverlap="1">
                <wp:simplePos x="0" y="0"/>
                <wp:positionH relativeFrom="page">
                  <wp:posOffset>5509895</wp:posOffset>
                </wp:positionH>
                <wp:positionV relativeFrom="margin">
                  <wp:posOffset>4398010</wp:posOffset>
                </wp:positionV>
                <wp:extent cx="1286510" cy="149225"/>
                <wp:wrapTopAndBottom/>
                <wp:docPr id="35" name="Shape 3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wps:txbx>
                      <wps:bodyPr wrap="none" lIns="0" tIns="0" rIns="0" bIns="0">
                        <a:noAutoFit/>
                      </wps:bodyPr>
                    </wps:wsp>
                  </a:graphicData>
                </a:graphic>
              </wp:anchor>
            </w:drawing>
          </mc:Choice>
          <mc:Fallback>
            <w:pict>
              <v:shape id="_x0000_s1061" type="#_x0000_t202" style="position:absolute;margin-left:433.85000000000002pt;margin-top:346.30000000000001pt;width:101.3pt;height:11.75pt;z-index:-125829353;mso-wrap-distance-left:387.25pt;mso-wrap-distance-top:11.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v:textbox>
                <w10:wrap type="topAndBottom" anchorx="page" anchory="margin"/>
              </v:shape>
            </w:pict>
          </mc:Fallback>
        </mc:AlternateContent>
      </w: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4</w:t>
      </w:r>
      <w:bookmarkEnd w:id="448"/>
      <w:r>
        <w:rPr>
          <w:color w:val="000000"/>
          <w:spacing w:val="0"/>
          <w:w w:val="100"/>
          <w:position w:val="0"/>
        </w:rPr>
        <w:t>、母公司利润表</w:t>
      </w:r>
      <w:bookmarkEnd w:id="446"/>
      <w:bookmarkEnd w:id="447"/>
      <w:bookmarkEnd w:id="44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编制单位：易联众信息技术股份有限公司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172,049,805.05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160,108,179.81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106,206,874.69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109,120,276.20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1,136,812.61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2,083,719.94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4,229,038.22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5,279,034.34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45,159,669.34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33,845,921.10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-5,224,796.67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-6,379,330.17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3,814,209.60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6,327,810.02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1,213,157.10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626,989.89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2,141,863.45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626,989.89</w:t>
            </w:r>
          </w:p>
        </w:tc>
      </w:tr>
    </w:tbl>
    <w:p>
      <w:pPr>
        <w:widowControl w:val="0"/>
        <w:spacing w:line="1" w:lineRule="exact"/>
      </w:pPr>
      <w:r>
        <w:br w:type="page"/>
      </w:r>
    </w:p>
    <w:tbl>
      <w:tblPr>
        <w:tblOverlap w:val="never"/>
        <w:jc w:val="center"/>
        <w:tblLayout w:type="fixed"/>
      </w:tblPr>
      <w:tblGrid>
        <w:gridCol w:w="2966"/>
        <w:gridCol w:w="3302"/>
        <w:gridCol w:w="3312"/>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17,941,154.36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10,457,738.27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6,155,379.37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16,999,288.75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52,083.31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44,708.31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24,038,363.21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27,404,943.71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3,044,802.52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5,567,442.42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20,993,560.69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21,837,501.29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20,993,560.69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21,837,501.29</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02" behindDoc="0" locked="0" layoutInCell="1" allowOverlap="1">
                <wp:simplePos x="0" y="0"/>
                <wp:positionH relativeFrom="page">
                  <wp:posOffset>706120</wp:posOffset>
                </wp:positionH>
                <wp:positionV relativeFrom="margin">
                  <wp:posOffset>3749040</wp:posOffset>
                </wp:positionV>
                <wp:extent cx="1054735" cy="149225"/>
                <wp:wrapTopAndBottom/>
                <wp:docPr id="37" name="Shape 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wps:txbx>
                      <wps:bodyPr wrap="none" lIns="0" tIns="0" rIns="0" bIns="0">
                        <a:noAutoFit/>
                      </wps:bodyPr>
                    </wps:wsp>
                  </a:graphicData>
                </a:graphic>
              </wp:anchor>
            </w:drawing>
          </mc:Choice>
          <mc:Fallback>
            <w:pict>
              <v:shape id="_x0000_s1063" type="#_x0000_t202" style="position:absolute;margin-left:55.600000000000001pt;margin-top:295.19999999999999pt;width:83.049999999999997pt;height:11.75pt;z-index:-125829351;mso-wrap-distance-left:9.pt;mso-wrap-distance-top:12.pt;mso-wrap-distance-right:405.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v:textbox>
                <w10:wrap type="topAndBottom" anchorx="page" anchory="margin"/>
              </v:shape>
            </w:pict>
          </mc:Fallback>
        </mc:AlternateContent>
      </w:r>
      <w:r>
        <mc:AlternateContent>
          <mc:Choice Requires="wps">
            <w:drawing>
              <wp:anchor distT="152400" distB="0" distL="2293620" distR="2519045" simplePos="0" relativeHeight="125829404" behindDoc="0" locked="0" layoutInCell="1" allowOverlap="1">
                <wp:simplePos x="0" y="0"/>
                <wp:positionH relativeFrom="page">
                  <wp:posOffset>2885440</wp:posOffset>
                </wp:positionH>
                <wp:positionV relativeFrom="margin">
                  <wp:posOffset>3749040</wp:posOffset>
                </wp:positionV>
                <wp:extent cx="1505585" cy="149225"/>
                <wp:wrapTopAndBottom/>
                <wp:docPr id="39" name="Shape 3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65" type="#_x0000_t202" style="position:absolute;margin-left:227.20000000000002pt;margin-top:295.19999999999999pt;width:118.55pt;height:11.75pt;z-index:-125829349;mso-wrap-distance-left:180.59999999999999pt;mso-wrap-distance-top:12.pt;mso-wrap-distance-right:198.3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主管会计工作负责人：陈东红</w:t>
                      </w:r>
                    </w:p>
                  </w:txbxContent>
                </v:textbox>
                <w10:wrap type="topAndBottom" anchorx="page" anchory="margin"/>
              </v:shape>
            </w:pict>
          </mc:Fallback>
        </mc:AlternateContent>
      </w:r>
      <w:r>
        <mc:AlternateContent>
          <mc:Choice Requires="wps">
            <w:drawing>
              <wp:anchor distT="152400" distB="0" distL="4918075" distR="113665" simplePos="0" relativeHeight="125829406" behindDoc="0" locked="0" layoutInCell="1" allowOverlap="1">
                <wp:simplePos x="0" y="0"/>
                <wp:positionH relativeFrom="page">
                  <wp:posOffset>5509895</wp:posOffset>
                </wp:positionH>
                <wp:positionV relativeFrom="margin">
                  <wp:posOffset>3749040</wp:posOffset>
                </wp:positionV>
                <wp:extent cx="1286510" cy="149225"/>
                <wp:wrapTopAndBottom/>
                <wp:docPr id="41" name="Shape 4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wps:txbx>
                      <wps:bodyPr wrap="none" lIns="0" tIns="0" rIns="0" bIns="0">
                        <a:noAutoFit/>
                      </wps:bodyPr>
                    </wps:wsp>
                  </a:graphicData>
                </a:graphic>
              </wp:anchor>
            </w:drawing>
          </mc:Choice>
          <mc:Fallback>
            <w:pict>
              <v:shape id="_x0000_s1067" type="#_x0000_t202" style="position:absolute;margin-left:433.85000000000002pt;margin-top:295.19999999999999pt;width:101.3pt;height:11.75pt;z-index:-125829347;mso-wrap-distance-left:387.25pt;mso-wrap-distance-top:12.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v:textbox>
                <w10:wrap type="topAndBottom" anchorx="page" anchory="margin"/>
              </v:shape>
            </w:pict>
          </mc:Fallback>
        </mc:AlternateContent>
      </w: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5</w:t>
      </w:r>
      <w:bookmarkEnd w:id="452"/>
      <w:r>
        <w:rPr>
          <w:color w:val="000000"/>
          <w:spacing w:val="0"/>
          <w:w w:val="100"/>
          <w:position w:val="0"/>
        </w:rPr>
        <w:t>、合并现金流量表</w:t>
      </w:r>
      <w:bookmarkEnd w:id="450"/>
      <w:bookmarkEnd w:id="451"/>
      <w:bookmarkEnd w:id="45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编制单位：易联众信息技术股份有限公司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352, </w:t>
            </w:r>
            <w:r>
              <w:rPr>
                <w:rFonts w:ascii="Times New Roman" w:eastAsia="Times New Roman" w:hAnsi="Times New Roman" w:cs="Times New Roman"/>
                <w:color w:val="000000"/>
                <w:spacing w:val="0"/>
                <w:w w:val="100"/>
                <w:position w:val="0"/>
                <w:sz w:val="18"/>
                <w:szCs w:val="18"/>
              </w:rPr>
              <w:t>508,917.78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308,266,609.32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7,842,913.70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10,687,943.44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26,815,257.56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20,396,442.16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387,167,089.04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339,350,994.92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180,146,396.55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142,236,985.56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86,134,168.38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66,127,005.19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37,210,931.11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44,619,376.97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53,154,968.07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35,026,800.38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356,646,464.11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288,010,168.10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30,520,624.93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51,340,826.82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38,267,774.25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52,596.94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12,552,596.94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38,275,649.25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46,743,570.31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25,108,314.43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19,006,000.00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57,197,489.72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103,941,060.03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44,114,314.43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-91,388,463.09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-5,838,665.18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2,342,500.00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2,007,500.08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17,776,183.18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17,907,982.52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1,063,402.07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19,783,683.18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20,978,884.67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-17,333,683.18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-18,636,384.67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-78,201,521.34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26,865,776.97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285,782,533.85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258,916,756.88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207,581,012.51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285,782,533.85</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08" behindDoc="0" locked="0" layoutInCell="1" allowOverlap="1">
                <wp:simplePos x="0" y="0"/>
                <wp:positionH relativeFrom="page">
                  <wp:posOffset>706120</wp:posOffset>
                </wp:positionH>
                <wp:positionV relativeFrom="margin">
                  <wp:posOffset>4879975</wp:posOffset>
                </wp:positionV>
                <wp:extent cx="1054735" cy="149225"/>
                <wp:wrapTopAndBottom/>
                <wp:docPr id="43" name="Shape 4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wps:txbx>
                      <wps:bodyPr wrap="none" lIns="0" tIns="0" rIns="0" bIns="0">
                        <a:noAutoFit/>
                      </wps:bodyPr>
                    </wps:wsp>
                  </a:graphicData>
                </a:graphic>
              </wp:anchor>
            </w:drawing>
          </mc:Choice>
          <mc:Fallback>
            <w:pict>
              <v:shape id="_x0000_s1069" type="#_x0000_t202" style="position:absolute;margin-left:55.600000000000001pt;margin-top:384.25pt;width:83.049999999999997pt;height:11.75pt;z-index:-125829345;mso-wrap-distance-left:9.pt;mso-wrap-distance-top:12.pt;mso-wrap-distance-right:405.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v:textbox>
                <w10:wrap type="topAndBottom" anchorx="page" anchory="margin"/>
              </v:shape>
            </w:pict>
          </mc:Fallback>
        </mc:AlternateContent>
      </w:r>
      <w:r>
        <mc:AlternateContent>
          <mc:Choice Requires="wps">
            <w:drawing>
              <wp:anchor distT="152400" distB="0" distL="2293620" distR="2519045" simplePos="0" relativeHeight="125829410" behindDoc="0" locked="0" layoutInCell="1" allowOverlap="1">
                <wp:simplePos x="0" y="0"/>
                <wp:positionH relativeFrom="page">
                  <wp:posOffset>2885440</wp:posOffset>
                </wp:positionH>
                <wp:positionV relativeFrom="margin">
                  <wp:posOffset>4879975</wp:posOffset>
                </wp:positionV>
                <wp:extent cx="1505585" cy="149225"/>
                <wp:wrapTopAndBottom/>
                <wp:docPr id="45" name="Shape 4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71" type="#_x0000_t202" style="position:absolute;margin-left:227.20000000000002pt;margin-top:384.25pt;width:118.55pt;height:11.75pt;z-index:-125829343;mso-wrap-distance-left:180.59999999999999pt;mso-wrap-distance-top:12.pt;mso-wrap-distance-right:198.3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v:textbox>
                <w10:wrap type="topAndBottom" anchorx="page" anchory="margin"/>
              </v:shape>
            </w:pict>
          </mc:Fallback>
        </mc:AlternateContent>
      </w:r>
      <w:r>
        <mc:AlternateContent>
          <mc:Choice Requires="wps">
            <w:drawing>
              <wp:anchor distT="152400" distB="0" distL="4918075" distR="113665" simplePos="0" relativeHeight="125829412" behindDoc="0" locked="0" layoutInCell="1" allowOverlap="1">
                <wp:simplePos x="0" y="0"/>
                <wp:positionH relativeFrom="page">
                  <wp:posOffset>5509895</wp:posOffset>
                </wp:positionH>
                <wp:positionV relativeFrom="margin">
                  <wp:posOffset>4879975</wp:posOffset>
                </wp:positionV>
                <wp:extent cx="1286510" cy="149225"/>
                <wp:wrapTopAndBottom/>
                <wp:docPr id="47" name="Shape 4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wps:txbx>
                      <wps:bodyPr wrap="none" lIns="0" tIns="0" rIns="0" bIns="0">
                        <a:noAutoFit/>
                      </wps:bodyPr>
                    </wps:wsp>
                  </a:graphicData>
                </a:graphic>
              </wp:anchor>
            </w:drawing>
          </mc:Choice>
          <mc:Fallback>
            <w:pict>
              <v:shape id="_x0000_s1073" type="#_x0000_t202" style="position:absolute;margin-left:433.85000000000002pt;margin-top:384.25pt;width:101.3pt;height:11.75pt;z-index:-125829341;mso-wrap-distance-left:387.25pt;mso-wrap-distance-top:12.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v:textbox>
                <w10:wrap type="topAndBottom" anchorx="page" anchory="margin"/>
              </v:shape>
            </w:pict>
          </mc:Fallback>
        </mc:AlternateContent>
      </w: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6</w:t>
      </w:r>
      <w:bookmarkEnd w:id="456"/>
      <w:r>
        <w:rPr>
          <w:color w:val="000000"/>
          <w:spacing w:val="0"/>
          <w:w w:val="100"/>
          <w:position w:val="0"/>
        </w:rPr>
        <w:t>、母公司现金流量表</w:t>
      </w:r>
      <w:bookmarkEnd w:id="454"/>
      <w:bookmarkEnd w:id="455"/>
      <w:bookmarkEnd w:id="45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编制单位：易联众信息技术股份有限公司</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228,138,606.12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238,438,280.05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3,028,646.04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9,345,888.75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15,472,279.00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32,887,050.66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246,639,531.16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280,671,219.46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135,930,374.22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118,109,484.75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34,152,281.53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31,064,777.53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15,159,365.88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21,966,503.43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18,418,591.87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27,703,958.30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203,660,613.50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198,844,724.01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42,978,917.66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81,826,495.45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38,252,316.28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26,070,986.79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26,082,785.40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38,255,991.28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44,256,772.87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22,881,677.78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95,157,200.00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55,197,489.72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103,504,262.59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118,038,877.78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-77,421,477.19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-79,782,886.50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1,342,500.00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1,342,500.00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2,007,500.08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17,776,183.18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17,907,982.52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1,063,402.07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19,783,683.18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20,978,884.67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-19,783,683.18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-19,636,384.67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-54,226,242.71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-17,592,775.72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156,440,990.48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174,033,766.20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102,214,747.77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156,440,990.48</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414" behindDoc="0" locked="0" layoutInCell="1" allowOverlap="1">
                <wp:simplePos x="0" y="0"/>
                <wp:positionH relativeFrom="page">
                  <wp:posOffset>699770</wp:posOffset>
                </wp:positionH>
                <wp:positionV relativeFrom="paragraph">
                  <wp:posOffset>0</wp:posOffset>
                </wp:positionV>
                <wp:extent cx="1054735" cy="149225"/>
                <wp:wrapTopAndBottom/>
                <wp:docPr id="49" name="Shape 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wps:txbx>
                      <wps:bodyPr wrap="none" lIns="0" tIns="0" rIns="0" bIns="0">
                        <a:noAutoFit/>
                      </wps:bodyPr>
                    </wps:wsp>
                  </a:graphicData>
                </a:graphic>
              </wp:anchor>
            </w:drawing>
          </mc:Choice>
          <mc:Fallback>
            <w:pict>
              <v:shape id="_x0000_s1075" type="#_x0000_t202" style="position:absolute;margin-left:55.100000000000001pt;margin-top:0;width:83.049999999999997pt;height:11.75pt;z-index:-125829339;mso-wrap-distance-left:0;mso-wrap-distance-right:0;mso-wrap-distance-bottom:1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v:textbox>
                <w10:wrap type="topAndBottom" anchorx="page"/>
              </v:shape>
            </w:pict>
          </mc:Fallback>
        </mc:AlternateContent>
      </w:r>
      <w:r>
        <mc:AlternateContent>
          <mc:Choice Requires="wps">
            <w:drawing>
              <wp:anchor distT="0" distB="165100" distL="0" distR="0" simplePos="0" relativeHeight="125829416" behindDoc="0" locked="0" layoutInCell="1" allowOverlap="1">
                <wp:simplePos x="0" y="0"/>
                <wp:positionH relativeFrom="page">
                  <wp:posOffset>2879090</wp:posOffset>
                </wp:positionH>
                <wp:positionV relativeFrom="paragraph">
                  <wp:posOffset>0</wp:posOffset>
                </wp:positionV>
                <wp:extent cx="1505585" cy="149225"/>
                <wp:wrapTopAndBottom/>
                <wp:docPr id="51" name="Shape 5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77" type="#_x0000_t202" style="position:absolute;margin-left:226.70000000000002pt;margin-top:0;width:118.55pt;height:11.75pt;z-index:-125829337;mso-wrap-distance-left:0;mso-wrap-distance-right:0;mso-wrap-distance-bottom:1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主管会计工作负责人：陈东红</w:t>
                      </w:r>
                    </w:p>
                  </w:txbxContent>
                </v:textbox>
                <w10:wrap type="topAndBottom" anchorx="page"/>
              </v:shape>
            </w:pict>
          </mc:Fallback>
        </mc:AlternateContent>
      </w:r>
      <w:r>
        <mc:AlternateContent>
          <mc:Choice Requires="wps">
            <w:drawing>
              <wp:anchor distT="0" distB="165100" distL="0" distR="0" simplePos="0" relativeHeight="125829418" behindDoc="0" locked="0" layoutInCell="1" allowOverlap="1">
                <wp:simplePos x="0" y="0"/>
                <wp:positionH relativeFrom="page">
                  <wp:posOffset>5503545</wp:posOffset>
                </wp:positionH>
                <wp:positionV relativeFrom="paragraph">
                  <wp:posOffset>0</wp:posOffset>
                </wp:positionV>
                <wp:extent cx="1286510" cy="149225"/>
                <wp:wrapTopAndBottom/>
                <wp:docPr id="53" name="Shape 5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wps:txbx>
                      <wps:bodyPr wrap="none" lIns="0" tIns="0" rIns="0" bIns="0">
                        <a:noAutoFit/>
                      </wps:bodyPr>
                    </wps:wsp>
                  </a:graphicData>
                </a:graphic>
              </wp:anchor>
            </w:drawing>
          </mc:Choice>
          <mc:Fallback>
            <w:pict>
              <v:shape id="_x0000_s1079" type="#_x0000_t202" style="position:absolute;margin-left:433.35000000000002pt;margin-top:0;width:101.3pt;height:11.75pt;z-index:-125829335;mso-wrap-distance-left:0;mso-wrap-distance-right:0;mso-wrap-distance-bottom:1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v:textbox>
                <w10:wrap type="topAndBottom" anchorx="page"/>
              </v:shape>
            </w:pict>
          </mc:Fallback>
        </mc:AlternateContent>
      </w:r>
    </w:p>
    <w:p>
      <w:pPr>
        <w:pStyle w:val="Style33"/>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7</w:t>
      </w:r>
      <w:bookmarkEnd w:id="460"/>
      <w:r>
        <w:rPr>
          <w:color w:val="000000"/>
          <w:spacing w:val="0"/>
          <w:w w:val="100"/>
          <w:position w:val="0"/>
        </w:rPr>
        <w:t>、合并所有者权益变动表</w:t>
      </w:r>
      <w:bookmarkEnd w:id="458"/>
      <w:bookmarkEnd w:id="459"/>
      <w:bookmarkEnd w:id="46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编制单位：易联众信息技术股份有限公司 </w:t>
      </w: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10,304,39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640,821,24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667.26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062.58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10,304,39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640,821,24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667.26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062.58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r>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387,739.4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23,592,763</w:t>
            </w:r>
          </w:p>
        </w:tc>
      </w:tr>
      <w:tr>
        <w:trPr>
          <w:trHeight w:val="350" w:hRule="exact"/>
        </w:trPr>
        <w:tc>
          <w:tcPr>
            <w:tcBorders>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4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38,342,763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38,342,763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4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4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-17,200,</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292,196,</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173,882,</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10,692,13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664,414,01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292,196,</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115,918,</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7,400,716</w:t>
            </w:r>
          </w:p>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598,875,71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292,196,</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115,918,</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7,400,716</w:t>
            </w:r>
          </w:p>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598,875,71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36,858,1</w:t>
            </w:r>
          </w:p>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2,903,677</w:t>
            </w:r>
          </w:p>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41,945,532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56,241,8</w:t>
            </w:r>
          </w:p>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1,903,677</w:t>
            </w:r>
          </w:p>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58,145,532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56,241,8</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1,903,677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58,145,532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-19,383,</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292,196,</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152,777,</w:t>
            </w:r>
          </w:p>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10,304,39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640,821,24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420" behindDoc="0" locked="0" layoutInCell="1" allowOverlap="1">
                <wp:simplePos x="0" y="0"/>
                <wp:positionH relativeFrom="page">
                  <wp:posOffset>706120</wp:posOffset>
                </wp:positionH>
                <wp:positionV relativeFrom="margin">
                  <wp:posOffset>7342505</wp:posOffset>
                </wp:positionV>
                <wp:extent cx="1054735" cy="149225"/>
                <wp:wrapTopAndBottom/>
                <wp:docPr id="55" name="Shape 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wps:txbx>
                      <wps:bodyPr wrap="none" lIns="0" tIns="0" rIns="0" bIns="0">
                        <a:noAutoFit/>
                      </wps:bodyPr>
                    </wps:wsp>
                  </a:graphicData>
                </a:graphic>
              </wp:anchor>
            </w:drawing>
          </mc:Choice>
          <mc:Fallback>
            <w:pict>
              <v:shape id="_x0000_s1081" type="#_x0000_t202" style="position:absolute;margin-left:55.600000000000001pt;margin-top:578.14999999999998pt;width:83.049999999999997pt;height:11.75pt;z-index:-125829333;mso-wrap-distance-left:9.pt;mso-wrap-distance-top:11.pt;mso-wrap-distance-right:405.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法定代表人：古培坚</w:t>
                      </w:r>
                    </w:p>
                  </w:txbxContent>
                </v:textbox>
                <w10:wrap type="topAndBottom" anchorx="page" anchory="margin"/>
              </v:shape>
            </w:pict>
          </mc:Fallback>
        </mc:AlternateContent>
      </w:r>
      <w:r>
        <mc:AlternateContent>
          <mc:Choice Requires="wps">
            <w:drawing>
              <wp:anchor distT="139700" distB="0" distL="2293620" distR="2519045" simplePos="0" relativeHeight="125829422" behindDoc="0" locked="0" layoutInCell="1" allowOverlap="1">
                <wp:simplePos x="0" y="0"/>
                <wp:positionH relativeFrom="page">
                  <wp:posOffset>2885440</wp:posOffset>
                </wp:positionH>
                <wp:positionV relativeFrom="margin">
                  <wp:posOffset>7342505</wp:posOffset>
                </wp:positionV>
                <wp:extent cx="1505585" cy="149225"/>
                <wp:wrapTopAndBottom/>
                <wp:docPr id="57" name="Shape 5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83" type="#_x0000_t202" style="position:absolute;margin-left:227.20000000000002pt;margin-top:578.14999999999998pt;width:118.55pt;height:11.75pt;z-index:-125829331;mso-wrap-distance-left:180.59999999999999pt;mso-wrap-distance-top:11.pt;mso-wrap-distance-right:198.3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v:textbox>
                <w10:wrap type="topAndBottom" anchorx="page" anchory="margin"/>
              </v:shape>
            </w:pict>
          </mc:Fallback>
        </mc:AlternateContent>
      </w:r>
      <w:r>
        <mc:AlternateContent>
          <mc:Choice Requires="wps">
            <w:drawing>
              <wp:anchor distT="139700" distB="0" distL="4918075" distR="113665" simplePos="0" relativeHeight="125829424" behindDoc="0" locked="0" layoutInCell="1" allowOverlap="1">
                <wp:simplePos x="0" y="0"/>
                <wp:positionH relativeFrom="page">
                  <wp:posOffset>5509895</wp:posOffset>
                </wp:positionH>
                <wp:positionV relativeFrom="margin">
                  <wp:posOffset>7342505</wp:posOffset>
                </wp:positionV>
                <wp:extent cx="1286510" cy="149225"/>
                <wp:wrapTopAndBottom/>
                <wp:docPr id="59" name="Shape 5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wps:txbx>
                      <wps:bodyPr wrap="none" lIns="0" tIns="0" rIns="0" bIns="0">
                        <a:noAutoFit/>
                      </wps:bodyPr>
                    </wps:wsp>
                  </a:graphicData>
                </a:graphic>
              </wp:anchor>
            </w:drawing>
          </mc:Choice>
          <mc:Fallback>
            <w:pict>
              <v:shape id="_x0000_s1085" type="#_x0000_t202" style="position:absolute;margin-left:433.85000000000002pt;margin-top:578.14999999999998pt;width:101.3pt;height:11.75pt;z-index:-125829329;mso-wrap-distance-left:387.25pt;mso-wrap-distance-top:11.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会计机构负责人：尤泽祥</w:t>
                      </w:r>
                    </w:p>
                  </w:txbxContent>
                </v:textbox>
                <w10:wrap type="topAndBottom" anchorx="page" anchory="margin"/>
              </v:shape>
            </w:pict>
          </mc:Fallback>
        </mc:AlternateContent>
      </w: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8</w:t>
      </w:r>
      <w:bookmarkEnd w:id="464"/>
      <w:r>
        <w:rPr>
          <w:color w:val="000000"/>
          <w:spacing w:val="0"/>
          <w:w w:val="100"/>
          <w:position w:val="0"/>
        </w:rPr>
        <w:t>、母公司所有者权益变动表</w:t>
      </w:r>
      <w:bookmarkEnd w:id="462"/>
      <w:bookmarkEnd w:id="463"/>
      <w:bookmarkEnd w:id="46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编制单位：易联众信息技术股份有限公司</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82"/>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295,368,99</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13,543,123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84,188,113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565,100,23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295,368,99</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13,543,123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84,188,113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565,100,23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2,099,356.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1,694,204.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3,793,560.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20,993,560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20,993,560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20,993,560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20,993,560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2,099,356.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-19,299,35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2,099,356.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-2,099,356.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295,368,99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15,642,479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85,882,317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568,893,79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295,368,99</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11,359,373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81,734,361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560,462,73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295,368,99</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11,359,373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81,734,361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560,462,73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2,183,750.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2,453,751.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4,637,501.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21,837,501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21,837,501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21,837,501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21,837,501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2,183,750.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-19,383,75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2,183,750.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-2,183,750.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295,368,99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13,543,123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84,188,113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565,100,23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bl>
    <w:p>
      <w:pPr>
        <w:widowControl w:val="0"/>
        <w:spacing w:after="239" w:line="1" w:lineRule="exact"/>
      </w:pPr>
    </w:p>
    <w:p>
      <w:pPr>
        <w:pStyle w:val="Style26"/>
        <w:keepNext w:val="0"/>
        <w:keepLines w:val="0"/>
        <w:widowControl w:val="0"/>
        <w:shd w:val="clear" w:color="auto" w:fill="auto"/>
        <w:tabs>
          <w:tab w:pos="3408" w:val="left"/>
          <w:tab w:pos="7550" w:val="left"/>
        </w:tabs>
        <w:bidi w:val="0"/>
        <w:spacing w:before="0" w:after="380" w:line="312" w:lineRule="exact"/>
        <w:ind w:left="0" w:right="0" w:firstLine="0"/>
        <w:jc w:val="left"/>
      </w:pPr>
      <w:r>
        <w:rPr>
          <w:color w:val="000000"/>
          <w:spacing w:val="0"/>
          <w:w w:val="100"/>
          <w:position w:val="0"/>
        </w:rPr>
        <w:t>法定代表人：古培坚</w:t>
        <w:tab/>
        <w:t>主管会计工作负责人：陈东红</w:t>
        <w:tab/>
        <w:t>会计机构负责人：尤泽祥</w:t>
      </w:r>
    </w:p>
    <w:p>
      <w:pPr>
        <w:pStyle w:val="Style28"/>
        <w:keepNext/>
        <w:keepLines/>
        <w:widowControl w:val="0"/>
        <w:shd w:val="clear" w:color="auto" w:fill="auto"/>
        <w:bidi w:val="0"/>
        <w:spacing w:before="0" w:after="240" w:line="240" w:lineRule="auto"/>
        <w:ind w:left="0" w:right="0" w:firstLine="0"/>
        <w:jc w:val="left"/>
      </w:pPr>
      <w:bookmarkStart w:id="466" w:name="bookmark466"/>
      <w:bookmarkStart w:id="467" w:name="bookmark467"/>
      <w:bookmarkStart w:id="468" w:name="bookmark468"/>
      <w:r>
        <w:rPr>
          <w:color w:val="000000"/>
          <w:spacing w:val="0"/>
          <w:w w:val="100"/>
          <w:position w:val="0"/>
        </w:rPr>
        <w:t>三、公司基本情况</w:t>
      </w:r>
      <w:bookmarkEnd w:id="466"/>
      <w:bookmarkEnd w:id="467"/>
      <w:bookmarkEnd w:id="468"/>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易联众信息技术股份有限公司（以下简称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）系由实达科技（福建）软件系统集团有限公司依法整体变更设立， 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日取得厦门市工商行政管理局核发的</w:t>
      </w:r>
      <w:r>
        <w:rPr>
          <w:rFonts w:ascii="Times New Roman" w:eastAsia="Times New Roman" w:hAnsi="Times New Roman" w:cs="Times New Roman"/>
          <w:color w:val="000000"/>
          <w:spacing w:val="0"/>
          <w:w w:val="100"/>
          <w:position w:val="0"/>
          <w:sz w:val="18"/>
          <w:szCs w:val="18"/>
        </w:rPr>
        <w:t>350298200002795</w:t>
      </w:r>
      <w:r>
        <w:rPr>
          <w:color w:val="000000"/>
          <w:spacing w:val="0"/>
          <w:w w:val="100"/>
          <w:position w:val="0"/>
        </w:rPr>
        <w:t xml:space="preserve">号《企业法人营业执照》。设立时本公司股本总额为 </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元，注册资本为人民币</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[2010]890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文《关于核准易联众信息技术股份有限公司首次公 开发行股票并在创业板上市的批复》核准，本公司向社会公开发行人民币普通股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 深圳证券交易所创业板上市交易（股票简称为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易联众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，股票代码为</w:t>
      </w:r>
      <w:r>
        <w:rPr>
          <w:rFonts w:ascii="Times New Roman" w:eastAsia="Times New Roman" w:hAnsi="Times New Roman" w:cs="Times New Roman"/>
          <w:color w:val="000000"/>
          <w:spacing w:val="0"/>
          <w:w w:val="100"/>
          <w:position w:val="0"/>
          <w:sz w:val="18"/>
          <w:szCs w:val="18"/>
        </w:rPr>
        <w:t>“300096”</w:t>
      </w:r>
      <w:r>
        <w:rPr>
          <w:color w:val="000000"/>
          <w:spacing w:val="0"/>
          <w:w w:val="100"/>
          <w:position w:val="0"/>
        </w:rPr>
        <w:t>），发行后注册资本变更为人民币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 根据本公司于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年第二次临时股东大会决议，本公司办理了变更注册资本的工商变更登记手续，注 册资本由人民币</w:t>
      </w:r>
      <w:r>
        <w:rPr>
          <w:rFonts w:ascii="Times New Roman" w:eastAsia="Times New Roman" w:hAnsi="Times New Roman" w:cs="Times New Roman"/>
          <w:color w:val="000000"/>
          <w:spacing w:val="0"/>
          <w:w w:val="100"/>
          <w:position w:val="0"/>
          <w:sz w:val="18"/>
          <w:szCs w:val="18"/>
        </w:rPr>
        <w:t>6,400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年度股东大会决议通过的《公司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年度利润分配及资本公积金转增股本的议案》，本公司于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日以本公司总股本</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股。资本公积转增股本后，本公司总股本为 </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月本公司完成了变更注册资本的工商变更登记手续，取得了厦门市工商行政管理局换发的 </w:t>
      </w:r>
      <w:r>
        <w:rPr>
          <w:rFonts w:ascii="Times New Roman" w:eastAsia="Times New Roman" w:hAnsi="Times New Roman" w:cs="Times New Roman"/>
          <w:color w:val="000000"/>
          <w:spacing w:val="0"/>
          <w:w w:val="100"/>
          <w:position w:val="0"/>
          <w:sz w:val="18"/>
          <w:szCs w:val="18"/>
        </w:rPr>
        <w:t>350298200002795</w:t>
      </w:r>
      <w:r>
        <w:rPr>
          <w:color w:val="000000"/>
          <w:spacing w:val="0"/>
          <w:w w:val="100"/>
          <w:position w:val="0"/>
        </w:rPr>
        <w:t>号《企业法人营业执照》，本公司的注册资本由人民币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年第二次临时股东大会审议通过的《关于修改〈公司章程〉增加经营范围的议案》，本公司决定增加公 司经营范围，增加的内容为：研发、设计、生产智能卡、银行卡；销售智能卡。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月本公司完成了工商变更登记手续, 取得了厦门市工商行政管理局换发的</w:t>
      </w:r>
      <w:r>
        <w:rPr>
          <w:rFonts w:ascii="Times New Roman" w:eastAsia="Times New Roman" w:hAnsi="Times New Roman" w:cs="Times New Roman"/>
          <w:color w:val="000000"/>
          <w:spacing w:val="0"/>
          <w:w w:val="100"/>
          <w:position w:val="0"/>
          <w:sz w:val="18"/>
          <w:szCs w:val="18"/>
        </w:rPr>
        <w:t>350298200002795</w:t>
      </w:r>
      <w:r>
        <w:rPr>
          <w:color w:val="000000"/>
          <w:spacing w:val="0"/>
          <w:w w:val="100"/>
          <w:position w:val="0"/>
        </w:rPr>
        <w:t>号《企业法人营业执照》，本公司现行的经营范围包括：研发、设计、 生产智能卡、银行卡；销售智能卡；开发、生产计算机软件、硬件、应用系统集成网络通信产品，提供相关的技术咨询、技 术培训及技术服务；网络工程、综合布线；从事技术、货物进出口，但国家限定公司经营或者禁止进口的商品和技术除外（不 含境内分销）。</w:t>
      </w:r>
    </w:p>
    <w:p>
      <w:pPr>
        <w:pStyle w:val="Style2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本公司注册地址为：厦门市软件园二期观日路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室。</w:t>
      </w:r>
    </w:p>
    <w:p>
      <w:pPr>
        <w:pStyle w:val="Style2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法定代表人：古培坚。</w:t>
      </w:r>
    </w:p>
    <w:p>
      <w:pPr>
        <w:pStyle w:val="Style26"/>
        <w:keepNext w:val="0"/>
        <w:keepLines w:val="0"/>
        <w:widowControl w:val="0"/>
        <w:shd w:val="clear" w:color="auto" w:fill="auto"/>
        <w:bidi w:val="0"/>
        <w:spacing w:before="0" w:after="240" w:line="312" w:lineRule="exact"/>
        <w:ind w:left="0" w:right="0" w:firstLine="300"/>
        <w:jc w:val="left"/>
      </w:pPr>
      <w:r>
        <w:rPr>
          <w:color w:val="000000"/>
          <w:spacing w:val="0"/>
          <w:w w:val="100"/>
          <w:position w:val="0"/>
        </w:rPr>
        <w:t>本公司实际控制人及控股股东：古培坚。</w:t>
      </w:r>
    </w:p>
    <w:p>
      <w:pPr>
        <w:pStyle w:val="Style28"/>
        <w:keepNext/>
        <w:keepLines/>
        <w:widowControl w:val="0"/>
        <w:shd w:val="clear" w:color="auto" w:fill="auto"/>
        <w:bidi w:val="0"/>
        <w:spacing w:before="0" w:after="380" w:line="240" w:lineRule="auto"/>
        <w:ind w:left="0" w:right="0" w:firstLine="0"/>
        <w:jc w:val="both"/>
      </w:pPr>
      <w:bookmarkStart w:id="469" w:name="bookmark469"/>
      <w:bookmarkStart w:id="470" w:name="bookmark470"/>
      <w:bookmarkStart w:id="471" w:name="bookmark471"/>
      <w:bookmarkStart w:id="472" w:name="bookmark472"/>
      <w:r>
        <w:rPr>
          <w:color w:val="000000"/>
          <w:spacing w:val="0"/>
          <w:w w:val="100"/>
          <w:position w:val="0"/>
        </w:rPr>
        <w:t>四</w:t>
      </w:r>
      <w:bookmarkEnd w:id="471"/>
      <w:r>
        <w:rPr>
          <w:color w:val="000000"/>
          <w:spacing w:val="0"/>
          <w:w w:val="100"/>
          <w:position w:val="0"/>
        </w:rPr>
        <w:t>、公司主要会计政策、会计估计和前期差错</w:t>
      </w:r>
      <w:bookmarkEnd w:id="469"/>
      <w:bookmarkEnd w:id="470"/>
      <w:bookmarkEnd w:id="472"/>
    </w:p>
    <w:p>
      <w:pPr>
        <w:pStyle w:val="Style33"/>
        <w:keepNext/>
        <w:keepLines/>
        <w:widowControl w:val="0"/>
        <w:shd w:val="clear" w:color="auto" w:fill="auto"/>
        <w:tabs>
          <w:tab w:pos="358" w:val="left"/>
        </w:tabs>
        <w:bidi w:val="0"/>
        <w:spacing w:before="0" w:after="260" w:line="240" w:lineRule="auto"/>
        <w:ind w:left="0" w:right="0" w:firstLine="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w:t>
        <w:tab/>
        <w:t>财务报表的编制基础</w:t>
      </w:r>
      <w:bookmarkEnd w:id="473"/>
      <w:bookmarkEnd w:id="474"/>
      <w:bookmarkEnd w:id="476"/>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本财务报表按照财政部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月颁布的《企业会计准则</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基本准则》和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项具体会计准则及其应用指南、解释及其他 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）编制。此外，本公司还按照中国证监会《公开发行证券的公司信息披露编报规则第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Arial Unicode MS" w:eastAsia="Arial Unicode MS" w:hAnsi="Arial Unicode MS" w:cs="Arial Unicode MS"/>
          <w:color w:val="000000"/>
          <w:spacing w:val="0"/>
          <w:w w:val="100"/>
          <w:position w:val="0"/>
          <w:sz w:val="16"/>
          <w:szCs w:val="16"/>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年修订）披露有关财务信息。</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本财务报表以持续经营为基础列报。</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本公司会计核算以权责发生制为基础。本财务报表均以历史成本为计量基础。资产如果发生减值，则按照相关规定计提 相应的减值准备。</w:t>
      </w:r>
    </w:p>
    <w:p>
      <w:pPr>
        <w:pStyle w:val="Style33"/>
        <w:keepNext/>
        <w:keepLines/>
        <w:widowControl w:val="0"/>
        <w:shd w:val="clear" w:color="auto" w:fill="auto"/>
        <w:tabs>
          <w:tab w:pos="368" w:val="left"/>
        </w:tabs>
        <w:bidi w:val="0"/>
        <w:spacing w:before="0" w:after="26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w:t>
        <w:tab/>
        <w:t>遵循企业会计准则的声明</w:t>
      </w:r>
      <w:bookmarkEnd w:id="477"/>
      <w:bookmarkEnd w:id="478"/>
      <w:bookmarkEnd w:id="480"/>
    </w:p>
    <w:p>
      <w:pPr>
        <w:pStyle w:val="Style26"/>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 的合并及公司经营成果和合并及公司现金流量等有关信息。</w:t>
      </w:r>
    </w:p>
    <w:p>
      <w:pPr>
        <w:pStyle w:val="Style33"/>
        <w:keepNext/>
        <w:keepLines/>
        <w:widowControl w:val="0"/>
        <w:shd w:val="clear" w:color="auto" w:fill="auto"/>
        <w:tabs>
          <w:tab w:pos="368" w:val="left"/>
        </w:tabs>
        <w:bidi w:val="0"/>
        <w:spacing w:before="0" w:after="26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w:t>
        <w:tab/>
        <w:t>会计期间</w:t>
      </w:r>
      <w:bookmarkEnd w:id="481"/>
      <w:bookmarkEnd w:id="482"/>
      <w:bookmarkEnd w:id="484"/>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68" w:val="left"/>
        </w:tabs>
        <w:bidi w:val="0"/>
        <w:spacing w:before="0" w:after="260" w:line="240" w:lineRule="auto"/>
        <w:ind w:left="0" w:right="0" w:firstLine="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w:t>
        <w:tab/>
        <w:t>记账本位币</w:t>
      </w:r>
      <w:bookmarkEnd w:id="485"/>
      <w:bookmarkEnd w:id="486"/>
      <w:bookmarkEnd w:id="488"/>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本公司以人民币为记账本位币。</w:t>
      </w:r>
    </w:p>
    <w:p>
      <w:pPr>
        <w:pStyle w:val="Style33"/>
        <w:keepNext/>
        <w:keepLines/>
        <w:widowControl w:val="0"/>
        <w:shd w:val="clear" w:color="auto" w:fill="auto"/>
        <w:tabs>
          <w:tab w:pos="368" w:val="left"/>
        </w:tabs>
        <w:bidi w:val="0"/>
        <w:spacing w:before="0" w:line="240" w:lineRule="auto"/>
        <w:ind w:left="0" w:right="0" w:firstLine="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w:t>
        <w:tab/>
        <w:t>同一控制下和非同一控制下企业合并的会计处理方法</w:t>
      </w:r>
      <w:bookmarkEnd w:id="489"/>
      <w:bookmarkEnd w:id="490"/>
      <w:bookmarkEnd w:id="492"/>
    </w:p>
    <w:p>
      <w:pPr>
        <w:pStyle w:val="Style33"/>
        <w:keepNext/>
        <w:keepLines/>
        <w:widowControl w:val="0"/>
        <w:shd w:val="clear" w:color="auto" w:fill="auto"/>
        <w:tabs>
          <w:tab w:pos="478" w:val="left"/>
        </w:tabs>
        <w:bidi w:val="0"/>
        <w:spacing w:before="0" w:after="260" w:line="240" w:lineRule="auto"/>
        <w:ind w:left="0" w:right="0" w:firstLine="0"/>
        <w:jc w:val="both"/>
      </w:pPr>
      <w:bookmarkStart w:id="489" w:name="bookmark489"/>
      <w:bookmarkStart w:id="490" w:name="bookmark490"/>
      <w:bookmarkStart w:id="493" w:name="bookmark493"/>
      <w:bookmarkStart w:id="494" w:name="bookmark494"/>
      <w:r>
        <w:rPr>
          <w:color w:val="000000"/>
          <w:spacing w:val="0"/>
          <w:w w:val="100"/>
          <w:position w:val="0"/>
        </w:rPr>
        <w:t>（</w:t>
      </w:r>
      <w:bookmarkEnd w:id="49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89"/>
      <w:bookmarkEnd w:id="490"/>
      <w:bookmarkEnd w:id="494"/>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对于同一控制下的企业合并，合并方在合并中取得的被合并方的资产、负债，除因会计政策不同而进行的调整以外，按 合并日被合并方的原账面价值计量。合并对价的账面价值（或发行股份面值总额）与合并中取得的净资产账面价值的差额调 整资本公积（股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资本溢价），资本公积（股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资本溢价）不足冲减的，调整留存收益。</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为进行企业合并发生的直接相关费用于发生时计入当期损益。</w:t>
      </w:r>
    </w:p>
    <w:p>
      <w:pPr>
        <w:pStyle w:val="Style33"/>
        <w:keepNext/>
        <w:keepLines/>
        <w:widowControl w:val="0"/>
        <w:shd w:val="clear" w:color="auto" w:fill="auto"/>
        <w:tabs>
          <w:tab w:pos="478" w:val="left"/>
        </w:tabs>
        <w:bidi w:val="0"/>
        <w:spacing w:before="0" w:after="260" w:line="240" w:lineRule="auto"/>
        <w:ind w:left="0" w:right="0" w:firstLine="0"/>
        <w:jc w:val="both"/>
      </w:pPr>
      <w:bookmarkStart w:id="495" w:name="bookmark495"/>
      <w:bookmarkStart w:id="496" w:name="bookmark496"/>
      <w:bookmarkStart w:id="497" w:name="bookmark497"/>
      <w:bookmarkStart w:id="498" w:name="bookmark498"/>
      <w:r>
        <w:rPr>
          <w:color w:val="000000"/>
          <w:spacing w:val="0"/>
          <w:w w:val="100"/>
          <w:position w:val="0"/>
        </w:rPr>
        <w:t>（</w:t>
      </w:r>
      <w:bookmarkEnd w:id="497"/>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95"/>
      <w:bookmarkEnd w:id="496"/>
      <w:bookmarkEnd w:id="498"/>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对于非同一控制下的企业合并，合并成本为本公司在购买日为取得对被购买方的控制权而付出的资产、发生或承担的负 债以及发行的权益性证券的公允价值。在购买日，本公司取得的被购买方的资产、负债及或有负债按公允价值确认。</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本公司对合并成本大于合并中取得的被购买方可辨认净资产公允价值份额的差额，确认为商誉，按成本扣除累计减值准 备进行后续计量；对合并成本小于合并中取得的被购买方可辨认净资产公允价值份额的差额，经复核后计入当期损益。</w:t>
      </w:r>
    </w:p>
    <w:p>
      <w:pPr>
        <w:pStyle w:val="Style26"/>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通过多次交易分步实现非同一控制下的企业合并的，在合并财务报表中，合并成本为购买日支付的对价与购买日之前已 经持有的被购买方的股权在购买日的公允价值之和。对于购买日之前已经持有的被购买方的股权，按照购买日的公允价值进 行重新计量，公允价值与其账面价值之间的差额计入当期投资收益；购买日之前已经持有的被购买方的股权涉及其他综合收 益的，与其相关的其他综合收益转为购买日当期投资收益。</w:t>
      </w:r>
    </w:p>
    <w:p>
      <w:pPr>
        <w:pStyle w:val="Style33"/>
        <w:keepNext/>
        <w:keepLines/>
        <w:widowControl w:val="0"/>
        <w:shd w:val="clear" w:color="auto" w:fill="auto"/>
        <w:tabs>
          <w:tab w:pos="360"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6</w:t>
      </w:r>
      <w:bookmarkEnd w:id="501"/>
      <w:r>
        <w:rPr>
          <w:color w:val="000000"/>
          <w:spacing w:val="0"/>
          <w:w w:val="100"/>
          <w:position w:val="0"/>
        </w:rPr>
        <w:t>、</w:t>
        <w:tab/>
        <w:t>分步处置股权至丧失控制权相关的具体会计政策</w:t>
      </w:r>
      <w:bookmarkEnd w:id="499"/>
      <w:bookmarkEnd w:id="500"/>
      <w:bookmarkEnd w:id="502"/>
    </w:p>
    <w:p>
      <w:pPr>
        <w:pStyle w:val="Style33"/>
        <w:keepNext/>
        <w:keepLines/>
        <w:widowControl w:val="0"/>
        <w:shd w:val="clear" w:color="auto" w:fill="auto"/>
        <w:tabs>
          <w:tab w:pos="475" w:val="left"/>
        </w:tabs>
        <w:bidi w:val="0"/>
        <w:spacing w:before="0" w:line="240" w:lineRule="auto"/>
        <w:ind w:left="0" w:right="0" w:firstLine="0"/>
        <w:jc w:val="left"/>
      </w:pPr>
      <w:bookmarkStart w:id="499" w:name="bookmark499"/>
      <w:bookmarkStart w:id="500" w:name="bookmark500"/>
      <w:bookmarkStart w:id="503" w:name="bookmark503"/>
      <w:bookmarkStart w:id="504" w:name="bookmark504"/>
      <w:r>
        <w:rPr>
          <w:color w:val="000000"/>
          <w:spacing w:val="0"/>
          <w:w w:val="100"/>
          <w:position w:val="0"/>
        </w:rPr>
        <w:t>（</w:t>
      </w:r>
      <w:bookmarkEnd w:id="50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499"/>
      <w:bookmarkEnd w:id="500"/>
      <w:bookmarkEnd w:id="504"/>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33"/>
        <w:keepNext/>
        <w:keepLines/>
        <w:widowControl w:val="0"/>
        <w:shd w:val="clear" w:color="auto" w:fill="auto"/>
        <w:tabs>
          <w:tab w:pos="475" w:val="left"/>
        </w:tabs>
        <w:bidi w:val="0"/>
        <w:spacing w:before="0" w:after="26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w:t>
      </w:r>
      <w:bookmarkEnd w:id="50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05"/>
      <w:bookmarkEnd w:id="506"/>
      <w:bookmarkEnd w:id="508"/>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33"/>
        <w:keepNext/>
        <w:keepLines/>
        <w:widowControl w:val="0"/>
        <w:shd w:val="clear" w:color="auto" w:fill="auto"/>
        <w:tabs>
          <w:tab w:pos="471" w:val="left"/>
        </w:tabs>
        <w:bidi w:val="0"/>
        <w:spacing w:before="0" w:after="26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09"/>
      <w:bookmarkEnd w:id="510"/>
      <w:bookmarkEnd w:id="512"/>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33"/>
        <w:keepNext/>
        <w:keepLines/>
        <w:widowControl w:val="0"/>
        <w:shd w:val="clear" w:color="auto" w:fill="auto"/>
        <w:tabs>
          <w:tab w:pos="355"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7</w:t>
      </w:r>
      <w:bookmarkEnd w:id="515"/>
      <w:r>
        <w:rPr>
          <w:color w:val="000000"/>
          <w:spacing w:val="0"/>
          <w:w w:val="100"/>
          <w:position w:val="0"/>
        </w:rPr>
        <w:t>、</w:t>
        <w:tab/>
        <w:t>合并财务报表的编制方法</w:t>
      </w:r>
      <w:bookmarkEnd w:id="513"/>
      <w:bookmarkEnd w:id="514"/>
      <w:bookmarkEnd w:id="516"/>
    </w:p>
    <w:p>
      <w:pPr>
        <w:pStyle w:val="Style33"/>
        <w:keepNext/>
        <w:keepLines/>
        <w:widowControl w:val="0"/>
        <w:shd w:val="clear" w:color="auto" w:fill="auto"/>
        <w:bidi w:val="0"/>
        <w:spacing w:before="0" w:after="260" w:line="240" w:lineRule="auto"/>
        <w:ind w:left="0" w:right="0" w:firstLine="0"/>
        <w:jc w:val="left"/>
      </w:pPr>
      <w:bookmarkStart w:id="513" w:name="bookmark513"/>
      <w:bookmarkStart w:id="514" w:name="bookmark514"/>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13"/>
      <w:bookmarkEnd w:id="514"/>
      <w:bookmarkEnd w:id="518"/>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合并财务报表的合并范围包括本公司及全部子公司。</w:t>
      </w:r>
    </w:p>
    <w:p>
      <w:pPr>
        <w:pStyle w:val="Style26"/>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本公司合并财务报表以本公司和子公司的财务报表为基础，根据其他有关资料，按照权益法调整对子公司的长期股权投 资后，由本公司编制。在编制合并财务报表时，本公司和子公司的会计政策和会计期间要求保持一致，公司间的重大交易和 往来余额予以抵销。</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在报告期内因同一控制下企业合并增加的子公司，本公司将该子公司合并当期年初至报告年末的收入、费用、利润纳入 合并利润表，将其现金流量纳入合并现金流量表；因非同一控制下企业合并增加的子公司，本公司将该子公司购买日至报告 年末的收入、费用、利润纳入合并利润表，将其现金流量纳入合并现金流量表。</w:t>
      </w:r>
    </w:p>
    <w:p>
      <w:pPr>
        <w:pStyle w:val="Style26"/>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子公司的股东权益中不属于本公司所拥有的部分作为少数股东权益在合并资产负债表中股东权益项下单独列示。子公司 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 的亏损超过了少数股东在该子公司年初所有者权益中所享有的份额，其余额仍冲减少数股东权益。</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对于购买子公司少数股权或因处置部分股权投资但没有丧失对该子公司控制权的交易，作为权益性交易核算，调整归属 于母公司所有者权益和少数股东权益的账面价值以反映其在子公司中相关权益的变化。少数股东权益的调整额与支付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 对价的公允价值之间的差额调整资本公积，资本公积不足冲减的，调整留存收益。</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因处置部分股权投资或其他原因丧失了对原有子公司控制权的，剩余股权按照其在丧失控制权日的公允价值进行重新计 量；处置股权取得的对价与剩余股权公允价值之和，减去按原持股比例计算应享有原子公司自购买日开始持续计算的净资产 的份额之间的差额，计入丧失控制权当期的投资收益；与原有子公司股权投资相关的其他综合收益，在丧失控制权时转为当 期投资收益。</w:t>
      </w:r>
    </w:p>
    <w:p>
      <w:pPr>
        <w:pStyle w:val="Style26"/>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处置对子公司股权投资直至丧失控制权的各项交易属于一揽子交易的，在丧失控制权之前每一次处置价款与处置投资对 应的享有该子公司净资产份额的差额，在合并财务报表中确认为其他综合收益，在丧失控制权时一并转入丧失控制权当期的 损益。</w:t>
      </w:r>
    </w:p>
    <w:p>
      <w:pPr>
        <w:pStyle w:val="Style33"/>
        <w:keepNext/>
        <w:keepLines/>
        <w:widowControl w:val="0"/>
        <w:shd w:val="clear" w:color="auto" w:fill="auto"/>
        <w:bidi w:val="0"/>
        <w:spacing w:before="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19"/>
      <w:bookmarkEnd w:id="520"/>
      <w:bookmarkEnd w:id="522"/>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26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8</w:t>
      </w:r>
      <w:bookmarkEnd w:id="525"/>
      <w:r>
        <w:rPr>
          <w:color w:val="000000"/>
          <w:spacing w:val="0"/>
          <w:w w:val="100"/>
          <w:position w:val="0"/>
        </w:rPr>
        <w:t>、</w:t>
        <w:tab/>
        <w:t>现金及现金等价物的确定标准</w:t>
      </w:r>
      <w:bookmarkEnd w:id="523"/>
      <w:bookmarkEnd w:id="524"/>
      <w:bookmarkEnd w:id="526"/>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现金是指库存现金以及可以随时用于支付的存款。现金等价物，是指本公司持有的期限短、流动性强、易于转换为已知 金额现金、价值变动风险很小的投资。</w:t>
      </w:r>
    </w:p>
    <w:p>
      <w:pPr>
        <w:pStyle w:val="Style33"/>
        <w:keepNext/>
        <w:keepLines/>
        <w:widowControl w:val="0"/>
        <w:shd w:val="clear" w:color="auto" w:fill="auto"/>
        <w:tabs>
          <w:tab w:pos="368"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9</w:t>
      </w:r>
      <w:bookmarkEnd w:id="529"/>
      <w:r>
        <w:rPr>
          <w:color w:val="000000"/>
          <w:spacing w:val="0"/>
          <w:w w:val="100"/>
          <w:position w:val="0"/>
        </w:rPr>
        <w:t>、</w:t>
        <w:tab/>
        <w:t>外币业务和外币报表折算</w:t>
      </w:r>
      <w:bookmarkEnd w:id="527"/>
      <w:bookmarkEnd w:id="528"/>
      <w:bookmarkEnd w:id="530"/>
    </w:p>
    <w:p>
      <w:pPr>
        <w:pStyle w:val="Style33"/>
        <w:keepNext/>
        <w:keepLines/>
        <w:widowControl w:val="0"/>
        <w:shd w:val="clear" w:color="auto" w:fill="auto"/>
        <w:tabs>
          <w:tab w:pos="478" w:val="left"/>
        </w:tabs>
        <w:bidi w:val="0"/>
        <w:spacing w:before="0" w:after="260" w:line="240" w:lineRule="auto"/>
        <w:ind w:left="0" w:right="0" w:firstLine="0"/>
        <w:jc w:val="left"/>
      </w:pPr>
      <w:bookmarkStart w:id="527" w:name="bookmark527"/>
      <w:bookmarkStart w:id="528" w:name="bookmark528"/>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27"/>
      <w:bookmarkEnd w:id="528"/>
      <w:bookmarkEnd w:id="532"/>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本公司发生外币业务，按交易发生日的即期汇率折算为记账本位币金额。</w:t>
      </w:r>
    </w:p>
    <w:p>
      <w:pPr>
        <w:pStyle w:val="Style26"/>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33"/>
        <w:keepNext/>
        <w:keepLines/>
        <w:widowControl w:val="0"/>
        <w:shd w:val="clear" w:color="auto" w:fill="auto"/>
        <w:tabs>
          <w:tab w:pos="478" w:val="left"/>
        </w:tabs>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33"/>
      <w:bookmarkEnd w:id="534"/>
      <w:bookmarkEnd w:id="536"/>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459" w:val="left"/>
        </w:tabs>
        <w:bidi w:val="0"/>
        <w:spacing w:before="0" w:after="26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537"/>
      <w:bookmarkEnd w:id="538"/>
      <w:bookmarkEnd w:id="540"/>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金融工具是指形成一个企业的金融资产，并形成其他单位的金融负债或权益工具的合同。</w:t>
      </w:r>
    </w:p>
    <w:p>
      <w:pPr>
        <w:pStyle w:val="Style33"/>
        <w:keepNext/>
        <w:keepLines/>
        <w:widowControl w:val="0"/>
        <w:shd w:val="clear" w:color="auto" w:fill="auto"/>
        <w:tabs>
          <w:tab w:pos="478" w:val="left"/>
        </w:tabs>
        <w:bidi w:val="0"/>
        <w:spacing w:before="0" w:after="26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41"/>
      <w:bookmarkEnd w:id="542"/>
      <w:bookmarkEnd w:id="544"/>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本公司的金融资产于初始确认时分为以下四类：以公允价值计量且其变动计入当期损益的金融资产、持有至到期投资、 贷款和应收款项、可供出售金融资产。金融资产在初始确认时以公允价值计量。对于以公允价值计量且其变动计入当期损益 的金融资产，相关交易费用直接计入当期损益，其他类别的金融资产相关交易费用计入其初始确认金额。</w:t>
      </w:r>
    </w:p>
    <w:p>
      <w:pPr>
        <w:pStyle w:val="Style33"/>
        <w:keepNext/>
        <w:keepLines/>
        <w:widowControl w:val="0"/>
        <w:shd w:val="clear" w:color="auto" w:fill="auto"/>
        <w:tabs>
          <w:tab w:pos="478" w:val="left"/>
        </w:tabs>
        <w:bidi w:val="0"/>
        <w:spacing w:before="0" w:after="26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45"/>
      <w:bookmarkEnd w:id="546"/>
      <w:bookmarkEnd w:id="548"/>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以公允价值计量且其变动计入当期损益的金融资产</w:t>
      </w:r>
    </w:p>
    <w:p>
      <w:pPr>
        <w:pStyle w:val="Style26"/>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以公允价值计量且其变动计入当期损益的金融资产，包括交易性金融资产和初始确认时指定为以公允价值计量且其变动 计入当期损益的金融资产。对于此类金融资产，采用公允价值进行后续计量，公允价值变动形成的利得或损失以及与该等金 融资产相关的股利和利息收入计入当期损益。</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持有至到期投资</w:t>
      </w:r>
    </w:p>
    <w:p>
      <w:pPr>
        <w:pStyle w:val="Style26"/>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 xml:space="preserve">持有至到期投资，是指到期日固定、回收金额固定或可确定，且本公司有明确意图和能力持有至到期的非衍生金融资产。 持有至到期投资采用实际利率法，按照摊余成本进行后续计量，其终止确认、发生减值或摊销产生的利得或损失，均计入当 </w:t>
      </w:r>
      <w:r>
        <w:rPr>
          <w:color w:val="000000"/>
          <w:spacing w:val="0"/>
          <w:w w:val="100"/>
          <w:position w:val="0"/>
        </w:rPr>
        <w:t>期损益。</w:t>
      </w:r>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应收款项</w:t>
      </w:r>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应收款项，是指在活跃市场中没有报价、回收金额固定或可确定的非衍生金融资产，包括应收账款和其他应收款等。应 收款项采用实际利率法，按摊余成本进行后续计量，在终止确认、发生减值或摊销时产生的利得或损失，计入当期损益。</w:t>
      </w:r>
    </w:p>
    <w:p>
      <w:pPr>
        <w:pStyle w:val="Style26"/>
        <w:keepNext w:val="0"/>
        <w:keepLines w:val="0"/>
        <w:widowControl w:val="0"/>
        <w:shd w:val="clear" w:color="auto" w:fill="auto"/>
        <w:bidi w:val="0"/>
        <w:spacing w:before="0" w:after="200" w:line="312" w:lineRule="exact"/>
        <w:ind w:left="0" w:right="0"/>
        <w:jc w:val="left"/>
      </w:pPr>
      <w:r>
        <w:rPr>
          <w:color w:val="000000"/>
          <w:spacing w:val="0"/>
          <w:w w:val="100"/>
          <w:position w:val="0"/>
        </w:rPr>
        <w:t>可供出售金融资产</w:t>
      </w:r>
    </w:p>
    <w:p>
      <w:pPr>
        <w:pStyle w:val="Style26"/>
        <w:keepNext w:val="0"/>
        <w:keepLines w:val="0"/>
        <w:widowControl w:val="0"/>
        <w:shd w:val="clear" w:color="auto" w:fill="auto"/>
        <w:bidi w:val="0"/>
        <w:spacing w:before="0" w:after="200" w:line="312" w:lineRule="exact"/>
        <w:ind w:left="0" w:right="0"/>
        <w:jc w:val="left"/>
      </w:pPr>
      <w:r>
        <w:rPr>
          <w:color w:val="000000"/>
          <w:spacing w:val="0"/>
          <w:w w:val="100"/>
          <w:position w:val="0"/>
        </w:rPr>
        <w:t>可供出售金融资产，是指初始确认时即指定为可供出售的非衍生金融资产，以及除上述金融资产类别以外的金融资产。 可供出售金融资产采用公允价值进行后续计量，其折溢价采用实际利率法摊销并确认为利息收入。除减值损失及外币货币性 金融资产的汇兑差额确认为当期损益外，可供出售金融资产的公允价值变动确认为其他综合收益并计入资本公积，在该金融 资产终止确认时转出，计入当期损益。与可供出售金融资产相关的股利或利息收入，计入当期损益。</w:t>
      </w:r>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以公允价值计量且其变动计入当期损益的金融负债</w:t>
      </w:r>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其他金融负债</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33"/>
        <w:keepNext/>
        <w:keepLines/>
        <w:widowControl w:val="0"/>
        <w:shd w:val="clear" w:color="auto" w:fill="auto"/>
        <w:tabs>
          <w:tab w:pos="477" w:val="left"/>
        </w:tabs>
        <w:bidi w:val="0"/>
        <w:spacing w:before="0" w:after="2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49"/>
      <w:bookmarkEnd w:id="550"/>
      <w:bookmarkEnd w:id="552"/>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金融资产转移，是指将金融资产让与或交付给该金融资产发行方以外的另一方（转入方）。</w:t>
      </w:r>
    </w:p>
    <w:p>
      <w:pPr>
        <w:pStyle w:val="Style26"/>
        <w:keepNext w:val="0"/>
        <w:keepLines w:val="0"/>
        <w:widowControl w:val="0"/>
        <w:shd w:val="clear" w:color="auto" w:fill="auto"/>
        <w:bidi w:val="0"/>
        <w:spacing w:before="0" w:after="200" w:line="317" w:lineRule="exact"/>
        <w:ind w:left="0" w:right="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33"/>
        <w:keepNext/>
        <w:keepLines/>
        <w:widowControl w:val="0"/>
        <w:shd w:val="clear" w:color="auto" w:fill="auto"/>
        <w:tabs>
          <w:tab w:pos="477" w:val="left"/>
        </w:tabs>
        <w:bidi w:val="0"/>
        <w:spacing w:before="0" w:after="28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53"/>
      <w:bookmarkEnd w:id="554"/>
      <w:bookmarkEnd w:id="556"/>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金融负债的现时义务全部或部分已经解除的，终止确认该金融负债或其一部分。本公司（债务人）与债权人之间签订协 议，以承担新金融负债方式替换现存金融负债，且新金融负债与现存金融负债的合同条款实质上不同的，终止确认现存金融 负债，并同时确认新金融负债。</w:t>
      </w:r>
    </w:p>
    <w:p>
      <w:pPr>
        <w:pStyle w:val="Style33"/>
        <w:keepNext/>
        <w:keepLines/>
        <w:widowControl w:val="0"/>
        <w:shd w:val="clear" w:color="auto" w:fill="auto"/>
        <w:tabs>
          <w:tab w:pos="477" w:val="left"/>
        </w:tabs>
        <w:bidi w:val="0"/>
        <w:spacing w:before="0" w:after="28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57"/>
      <w:bookmarkEnd w:id="558"/>
      <w:bookmarkEnd w:id="560"/>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存在活跃市场的金融资产或金融负债，本公司将活跃市场中的现行出价或现行要价用于确定其公允价值。</w:t>
      </w:r>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金融工具不存在活跃市场的，本公司采用估值技术确定其公允价值。采用估值技术得出的结果，反映估值日在公平交易 </w:t>
      </w:r>
      <w:r>
        <w:rPr>
          <w:color w:val="000000"/>
          <w:spacing w:val="0"/>
          <w:w w:val="100"/>
          <w:position w:val="0"/>
        </w:rPr>
        <w:t>中可能采用的交易价格。估值技术包括参考熟悉情况并自愿交易的各方最近进行的市场交易中使用的价格、参照实质上相同 的其他金融工具的当前公允价值、现金流量折现法和期权定价模型等。</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本公司选择市场参与者普遍认同，且被以往市场实际交易价格验证具有可靠性的估值技术确定金融工具的公允价值。采 用估值技术确定金融工具的公允价值时,本公司尽可能使用市场参与者在金融工具定价时考虑的所有市场参数和相同金融工 具当前市场的可观察到的交易价格来测试估值技术的有效性。</w:t>
      </w:r>
    </w:p>
    <w:p>
      <w:pPr>
        <w:pStyle w:val="Style33"/>
        <w:keepNext/>
        <w:keepLines/>
        <w:widowControl w:val="0"/>
        <w:shd w:val="clear" w:color="auto" w:fill="auto"/>
        <w:tabs>
          <w:tab w:pos="442" w:val="left"/>
        </w:tabs>
        <w:bidi w:val="0"/>
        <w:spacing w:before="0" w:after="28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61"/>
      <w:bookmarkEnd w:id="562"/>
      <w:bookmarkEnd w:id="564"/>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本公司于资产负债表日对金融资产的账面价值进行检查，有客观证据表明该金融资产发生减值的，计提减值准备。表明 金融资产发生减值的客观证据，是指金融资产初始确认后实际发生的、对该金融资产的预计未来现金流量有影响，且企业能 够对该影响进行可靠计量的事项。</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以摊余成本计量的金融资产</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如果有客观证据表明该金融资产发生减值，则将该金融资产的账面价值减记至预计未来现金流量（不包括尚未发生的未 来信用损失）现值，减记金额计入当期损益。预计未来现金流量现值，按照该金融资产原实际利率折现确定，并考虑相关担 保物的价值。</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对单项金额重大的金融资产单独进行减值测试，如有客观证据表明其已发生减值，确认减值损失，计入当期损益。对单 项金额不重大的金融资产，包括在具有类似信用风险特征的金融资产组合中进行减值测试。单独测试未发生减值的金融资产 （包括单项金额重大和不重大的金融资产），包括在具有类似信用风险特征的金融资产组合中再进行减值测试。已单项确认 减值损失的金融资产，不包括在具有类似信用风险特征的金融资产组合中进行减值测试。</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本公司对以摊余成本计量的金融资产确认减值损失后，如有客观证据表明该金融资产价值已恢复，且客观上与确认该损 失后发生的事项有关，原确认的减值损失予以转回，计入当期损益。但是，该转回后的账面价值不超过假定不计提减值准备 情况下该金融资产在转回日的摊余成本。</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可供出售金融资产</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如果有客观证据表明该金融资产发生减值，原直接计入资本公积的因公允价值下降形成的累计损失，予以转出，计入当 期损益。该转出的累计损失，为可供出售金融资产的初始取得成本扣除已收回本金和已摊销金额、当前公允价值和原已计入 损益的减值损失后的余额。</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事项有关的，原确认的减值损失予以转回，计入当期损益。可供出售权益工具投资发生的减值损失，不通过损益转回。</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以成本计量的金融资产</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的衍生金融资产发生减值时，将该金融资产的账面价值，与按照类似金融资产当时市场收益率对未来现金流量折现确定的现 值之间的差额，确认为减值损失，计入当期损益。发生的减值损失一经确认，不得转回。</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各类可供出售金融资产减值的各项认定标准</w:t>
      </w:r>
    </w:p>
    <w:p>
      <w:pPr>
        <w:pStyle w:val="Style33"/>
        <w:keepNext/>
        <w:keepLines/>
        <w:widowControl w:val="0"/>
        <w:shd w:val="clear" w:color="auto" w:fill="auto"/>
        <w:tabs>
          <w:tab w:pos="442" w:val="left"/>
        </w:tabs>
        <w:bidi w:val="0"/>
        <w:spacing w:before="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565"/>
      <w:bookmarkEnd w:id="566"/>
      <w:bookmarkEnd w:id="568"/>
    </w:p>
    <w:p>
      <w:pPr>
        <w:pStyle w:val="Style26"/>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无。</w:t>
      </w:r>
      <w:r>
        <w:br w:type="page"/>
      </w:r>
    </w:p>
    <w:p>
      <w:pPr>
        <w:pStyle w:val="Style33"/>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69"/>
      <w:bookmarkEnd w:id="570"/>
      <w:bookmarkEnd w:id="572"/>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应收款项包括应收账款、其他应收款。</w:t>
      </w:r>
    </w:p>
    <w:p>
      <w:pPr>
        <w:pStyle w:val="Style33"/>
        <w:keepNext/>
        <w:keepLines/>
        <w:widowControl w:val="0"/>
        <w:shd w:val="clear" w:color="auto" w:fill="auto"/>
        <w:bidi w:val="0"/>
        <w:spacing w:before="0" w:after="32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73"/>
      <w:bookmarkEnd w:id="574"/>
      <w:bookmarkEnd w:id="576"/>
    </w:p>
    <w:tbl>
      <w:tblPr>
        <w:tblOverlap w:val="never"/>
        <w:jc w:val="center"/>
        <w:tblLayout w:type="fixed"/>
      </w:tblPr>
      <w:tblGrid>
        <w:gridCol w:w="5059"/>
        <w:gridCol w:w="452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年末余额达到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万元）以上的应收款项为 单项金额重大的应收款项。</w:t>
            </w:r>
          </w:p>
        </w:tc>
      </w:tr>
      <w:tr>
        <w:trPr>
          <w:trHeight w:val="134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对于单项金额重大的应收款项单独进行减值测试，有客观 证据表明发生了减值，根据其未来现金流量现值低于其账 面价值的差额计提坏账准备。单项金额重大经单独测试未 发生减值的应收款项，再按组合计提坏账准备。</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w:t>
      </w:r>
      <w:bookmarkEnd w:id="579"/>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577"/>
      <w:bookmarkEnd w:id="578"/>
      <w:bookmarkEnd w:id="580"/>
    </w:p>
    <w:tbl>
      <w:tblPr>
        <w:tblOverlap w:val="never"/>
        <w:jc w:val="center"/>
        <w:tblLayout w:type="fixed"/>
      </w:tblPr>
      <w:tblGrid>
        <w:gridCol w:w="2602"/>
        <w:gridCol w:w="2189"/>
        <w:gridCol w:w="479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账龄状态</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关联方关系</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581"/>
      <w:bookmarkEnd w:id="582"/>
      <w:bookmarkEnd w:id="584"/>
    </w:p>
    <w:tbl>
      <w:tblPr>
        <w:tblOverlap w:val="never"/>
        <w:jc w:val="center"/>
        <w:tblLayout w:type="fixed"/>
      </w:tblPr>
      <w:tblGrid>
        <w:gridCol w:w="3360"/>
        <w:gridCol w:w="622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单个欠款单位金额在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万元以下，但有证据表明难以收回的应收款项</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根据其未来现金流量现值低于其账面价值的差额计提坏账准备</w:t>
            </w:r>
          </w:p>
        </w:tc>
      </w:tr>
    </w:tbl>
    <w:p>
      <w:pPr>
        <w:pStyle w:val="Style33"/>
        <w:keepNext/>
        <w:keepLines/>
        <w:widowControl w:val="0"/>
        <w:shd w:val="clear" w:color="auto" w:fill="auto"/>
        <w:tabs>
          <w:tab w:pos="459" w:val="left"/>
        </w:tabs>
        <w:bidi w:val="0"/>
        <w:spacing w:before="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585"/>
      <w:bookmarkEnd w:id="586"/>
      <w:bookmarkEnd w:id="588"/>
    </w:p>
    <w:p>
      <w:pPr>
        <w:pStyle w:val="Style33"/>
        <w:keepNext/>
        <w:keepLines/>
        <w:widowControl w:val="0"/>
        <w:shd w:val="clear" w:color="auto" w:fill="auto"/>
        <w:tabs>
          <w:tab w:pos="478" w:val="left"/>
        </w:tabs>
        <w:bidi w:val="0"/>
        <w:spacing w:before="0" w:after="280" w:line="240" w:lineRule="auto"/>
        <w:ind w:left="0" w:right="0" w:firstLine="0"/>
        <w:jc w:val="left"/>
      </w:pPr>
      <w:bookmarkStart w:id="585" w:name="bookmark585"/>
      <w:bookmarkStart w:id="586" w:name="bookmark586"/>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85"/>
      <w:bookmarkEnd w:id="586"/>
      <w:bookmarkEnd w:id="590"/>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本公司存货分为原材料、在产品、周转材料和库存商品等。</w:t>
      </w:r>
    </w:p>
    <w:p>
      <w:pPr>
        <w:pStyle w:val="Style33"/>
        <w:keepNext/>
        <w:keepLines/>
        <w:widowControl w:val="0"/>
        <w:shd w:val="clear" w:color="auto" w:fill="auto"/>
        <w:tabs>
          <w:tab w:pos="478" w:val="left"/>
        </w:tabs>
        <w:bidi w:val="0"/>
        <w:spacing w:before="0" w:after="2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91"/>
      <w:bookmarkEnd w:id="592"/>
      <w:bookmarkEnd w:id="594"/>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计价方法：加权平均法</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本公司存货取得时按实际成本计价。原材料、在产品、周转材料和库存商品等发出时采用月末一次加权平均法计价。</w:t>
      </w:r>
    </w:p>
    <w:p>
      <w:pPr>
        <w:pStyle w:val="Style33"/>
        <w:keepNext/>
        <w:keepLines/>
        <w:widowControl w:val="0"/>
        <w:shd w:val="clear" w:color="auto" w:fill="auto"/>
        <w:tabs>
          <w:tab w:pos="478" w:val="left"/>
        </w:tabs>
        <w:bidi w:val="0"/>
        <w:spacing w:before="0" w:after="28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95"/>
      <w:bookmarkEnd w:id="596"/>
      <w:bookmarkEnd w:id="598"/>
    </w:p>
    <w:p>
      <w:pPr>
        <w:pStyle w:val="Style2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存货可变现净值是按存货的估计售价减去至完工时估计将要发生的成本、估计的销售费用以及相关税费后的金额。在确 定存货的可变现净值时，以取得的确凿证据为基础，同时考虑持有存货的目的以及资产负债表日后事项的影响。</w:t>
      </w:r>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资产负债表日，存货成本高于其可变现净值的，计提存货跌价准备。本公司通常按照单个存货项目计提存货跌价准备， 资产负债表日，以前减记存货价值的影响因素已经消失的，存货跌价准备在原已计提的金额内转回。</w:t>
      </w:r>
    </w:p>
    <w:p>
      <w:pPr>
        <w:pStyle w:val="Style33"/>
        <w:keepNext/>
        <w:keepLines/>
        <w:widowControl w:val="0"/>
        <w:shd w:val="clear" w:color="auto" w:fill="auto"/>
        <w:tabs>
          <w:tab w:pos="478" w:val="left"/>
        </w:tabs>
        <w:bidi w:val="0"/>
        <w:spacing w:before="0" w:after="2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99"/>
      <w:bookmarkEnd w:id="600"/>
      <w:bookmarkEnd w:id="602"/>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盘存制度：永续盘存制</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本公司存货盘存制度采用永续盘存制。</w:t>
      </w:r>
    </w:p>
    <w:p>
      <w:pPr>
        <w:pStyle w:val="Style33"/>
        <w:keepNext/>
        <w:keepLines/>
        <w:widowControl w:val="0"/>
        <w:shd w:val="clear" w:color="auto" w:fill="auto"/>
        <w:tabs>
          <w:tab w:pos="478" w:val="left"/>
        </w:tabs>
        <w:bidi w:val="0"/>
        <w:spacing w:before="0" w:after="28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03"/>
      <w:bookmarkEnd w:id="604"/>
      <w:bookmarkEnd w:id="606"/>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摊销方法：一次摊销法</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本公司周转材料领用时采用一次转销法摊销。</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包装物</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摊销方法：一次摊销法</w:t>
      </w:r>
    </w:p>
    <w:p>
      <w:pPr>
        <w:pStyle w:val="Style33"/>
        <w:keepNext/>
        <w:keepLines/>
        <w:widowControl w:val="0"/>
        <w:shd w:val="clear" w:color="auto" w:fill="auto"/>
        <w:tabs>
          <w:tab w:pos="459" w:val="left"/>
        </w:tabs>
        <w:bidi w:val="0"/>
        <w:spacing w:before="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607"/>
      <w:bookmarkEnd w:id="608"/>
      <w:bookmarkEnd w:id="610"/>
    </w:p>
    <w:p>
      <w:pPr>
        <w:pStyle w:val="Style33"/>
        <w:keepNext/>
        <w:keepLines/>
        <w:widowControl w:val="0"/>
        <w:shd w:val="clear" w:color="auto" w:fill="auto"/>
        <w:tabs>
          <w:tab w:pos="478" w:val="left"/>
        </w:tabs>
        <w:bidi w:val="0"/>
        <w:spacing w:before="0" w:after="280" w:line="240" w:lineRule="auto"/>
        <w:ind w:left="0" w:right="0" w:firstLine="0"/>
        <w:jc w:val="left"/>
      </w:pPr>
      <w:bookmarkStart w:id="607" w:name="bookmark607"/>
      <w:bookmarkStart w:id="608" w:name="bookmark608"/>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07"/>
      <w:bookmarkEnd w:id="608"/>
      <w:bookmarkEnd w:id="612"/>
    </w:p>
    <w:p>
      <w:pPr>
        <w:pStyle w:val="Style26"/>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本公司长期股权投资在取得时按投资成本计量。投资成本一般为取得该项投资而付出的资产、发生或承担的负债以及发 行的权益性证券的公允价值，并包括直接相关费用。但同一控制下的企业合并形成的长期股权投资，其投资成本为合并日取 得的被合并方所有者权益的账面价值份额。</w:t>
      </w:r>
    </w:p>
    <w:p>
      <w:pPr>
        <w:pStyle w:val="Style33"/>
        <w:keepNext/>
        <w:keepLines/>
        <w:widowControl w:val="0"/>
        <w:shd w:val="clear" w:color="auto" w:fill="auto"/>
        <w:tabs>
          <w:tab w:pos="478" w:val="left"/>
        </w:tabs>
        <w:bidi w:val="0"/>
        <w:spacing w:before="0" w:after="28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13"/>
      <w:bookmarkEnd w:id="614"/>
      <w:bookmarkEnd w:id="616"/>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 xml:space="preserve">本公司能够对被投资单位实施控制的长期股权投资，以及对被投资单位不具有共同控制或重大影响，且在活跃市场中没 有报价、公允价值不能可靠计量的长期股权投资采用成本法核算；对被投资单位具有共同控制或重大影响的长期股权投资， </w:t>
      </w:r>
      <w:r>
        <w:rPr>
          <w:color w:val="000000"/>
          <w:spacing w:val="0"/>
          <w:w w:val="100"/>
          <w:position w:val="0"/>
        </w:rPr>
        <w:t>采用权益法核算。采用成本法核算的长期股权投资，除取得投资时实际支付的价款或对价中包含的已宣告但尚未发放的现金 股利或利润外，被投资单位宣告分派的现金股利或利润，确认为投资收益计入当期损益。本公司长期股权投资采用权益法核 算时，对长期股权投资的投资成本大于投资时应享有被投资单位可辨认净资产公允价值份额的，不调整长期股权投资的投资 成本；对长期股权投资的投资成本小于投资时应享有被投资单位可辨认净资产公允价值份额的，对长期股权投资的账面价值 进行调整，差额计入投资当期的损益。本公司在按权益法对长期股权投资进行核算时，先对被投资单位的净利润进行取得投 资时被投资单位各项可辨认资产等的公允价值、会计政策和会计期间方面的调整，再按应享有或应分担的被投资单位的净损 益份额确认当期投资损益。本公司与联营企业及合营企业之间发生的未实现内部交易损益按照持股比例计算归属于本公司的 部分，在抵销基础上确认投资损益。</w:t>
      </w:r>
    </w:p>
    <w:p>
      <w:pPr>
        <w:pStyle w:val="Style33"/>
        <w:keepNext/>
        <w:keepLines/>
        <w:widowControl w:val="0"/>
        <w:shd w:val="clear" w:color="auto" w:fill="auto"/>
        <w:tabs>
          <w:tab w:pos="418" w:val="left"/>
        </w:tabs>
        <w:bidi w:val="0"/>
        <w:spacing w:before="0" w:after="280" w:line="240" w:lineRule="auto"/>
        <w:ind w:left="0" w:right="0" w:firstLine="0"/>
        <w:jc w:val="both"/>
      </w:pPr>
      <w:bookmarkStart w:id="617" w:name="bookmark617"/>
      <w:bookmarkStart w:id="618" w:name="bookmark618"/>
      <w:bookmarkStart w:id="619" w:name="bookmark619"/>
      <w:bookmarkStart w:id="620" w:name="bookmark620"/>
      <w:r>
        <w:rPr>
          <w:color w:val="000000"/>
          <w:spacing w:val="0"/>
          <w:w w:val="100"/>
          <w:position w:val="0"/>
        </w:rPr>
        <w:t>（</w:t>
      </w:r>
      <w:bookmarkEnd w:id="61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17"/>
      <w:bookmarkEnd w:id="618"/>
      <w:bookmarkEnd w:id="620"/>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共同控制是指按照合同约定对某项经济活动所共有的控制，仅在与该项经济活动相关的重要财务和经营决策需要分享控 制权的投资方一致同意时存在。其中，控制是指有权决定一个企业的财务和经营政策，并能据以从该企业的经营活动中获取 利益。重大影响是指对一个企业的财务和经营政策有参与决策的权力，但并不能够控制或者与其他方一起共同控制这些政策 的制定。在确定能否对被投资单位实施控制或施加重大影响时，已考虑投资企业和其他方持有的被投资单位当期可转换公司 债券、当期可执行认股权证等潜在表决权因素。当本公司直接或通过子公司间接拥有被投资单位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 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的表决权股份时，除非有明确证据表明该种情况下不能参与被投资单位的生产经营决策，不形成重大影响外，均确 定对被投资单位具有重大影响；本公司拥有被投资单位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（不含）以下的表决权股份，一般不认为对被投资单位具有重 大影响，除非有明确证据表明该种情况下能够参与被投资单位的生产经营决策，形成重大影响。</w:t>
      </w:r>
    </w:p>
    <w:p>
      <w:pPr>
        <w:pStyle w:val="Style33"/>
        <w:keepNext/>
        <w:keepLines/>
        <w:widowControl w:val="0"/>
        <w:shd w:val="clear" w:color="auto" w:fill="auto"/>
        <w:tabs>
          <w:tab w:pos="418" w:val="left"/>
        </w:tabs>
        <w:bidi w:val="0"/>
        <w:spacing w:before="0" w:after="28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21"/>
      <w:bookmarkEnd w:id="622"/>
      <w:bookmarkEnd w:id="624"/>
    </w:p>
    <w:p>
      <w:pPr>
        <w:pStyle w:val="Style26"/>
        <w:keepNext w:val="0"/>
        <w:keepLines w:val="0"/>
        <w:widowControl w:val="0"/>
        <w:shd w:val="clear" w:color="auto" w:fill="auto"/>
        <w:bidi w:val="0"/>
        <w:spacing w:before="0" w:after="40" w:line="322" w:lineRule="exact"/>
        <w:ind w:left="0" w:right="0"/>
        <w:jc w:val="left"/>
      </w:pPr>
      <w:r>
        <w:rPr>
          <w:color w:val="000000"/>
          <w:spacing w:val="0"/>
          <w:w w:val="100"/>
          <w:position w:val="0"/>
        </w:rPr>
        <w:t>本公司对子公司、联营企业和合营企业的长期股权投资、固定资产、在建工程、无形资产（存货、递延所得税资产除外） 的资产减值，按以下方法确定：</w:t>
      </w:r>
    </w:p>
    <w:p>
      <w:pPr>
        <w:pStyle w:val="Style26"/>
        <w:keepNext w:val="0"/>
        <w:keepLines w:val="0"/>
        <w:widowControl w:val="0"/>
        <w:shd w:val="clear" w:color="auto" w:fill="auto"/>
        <w:bidi w:val="0"/>
        <w:spacing w:before="0" w:after="40" w:line="312" w:lineRule="exact"/>
        <w:ind w:left="0" w:right="0"/>
        <w:jc w:val="left"/>
      </w:pPr>
      <w:r>
        <w:rPr>
          <w:color w:val="000000"/>
          <w:spacing w:val="0"/>
          <w:w w:val="100"/>
          <w:position w:val="0"/>
        </w:rPr>
        <w:t>本公司于资产负债表日判断资产是否存在可能发生减值的迹象，存在减值迹象的，本公司将估计其可收回金额，进行减 值测试。对因企业合并所形成的商誉、使用寿命不确定的无形资产和尚未达到可使用状态的无形资产无论是否存在减值迹象, 每年都进行减值测试。</w:t>
      </w:r>
    </w:p>
    <w:p>
      <w:pPr>
        <w:pStyle w:val="Style26"/>
        <w:keepNext w:val="0"/>
        <w:keepLines w:val="0"/>
        <w:widowControl w:val="0"/>
        <w:shd w:val="clear" w:color="auto" w:fill="auto"/>
        <w:bidi w:val="0"/>
        <w:spacing w:before="0" w:after="40" w:line="312" w:lineRule="exact"/>
        <w:ind w:left="0" w:right="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6"/>
        <w:keepNext w:val="0"/>
        <w:keepLines w:val="0"/>
        <w:widowControl w:val="0"/>
        <w:shd w:val="clear" w:color="auto" w:fill="auto"/>
        <w:bidi w:val="0"/>
        <w:spacing w:before="0" w:after="40" w:line="307" w:lineRule="exact"/>
        <w:ind w:left="0" w:right="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资产减值损失一经确认，在以后会计期间不再转回。</w:t>
      </w:r>
    </w:p>
    <w:p>
      <w:pPr>
        <w:pStyle w:val="Style33"/>
        <w:keepNext/>
        <w:keepLines/>
        <w:widowControl w:val="0"/>
        <w:shd w:val="clear" w:color="auto" w:fill="auto"/>
        <w:tabs>
          <w:tab w:pos="399" w:val="left"/>
        </w:tabs>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bookmarkEnd w:id="627"/>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625"/>
      <w:bookmarkEnd w:id="626"/>
      <w:bookmarkEnd w:id="628"/>
    </w:p>
    <w:p>
      <w:pPr>
        <w:pStyle w:val="Style33"/>
        <w:keepNext/>
        <w:keepLines/>
        <w:widowControl w:val="0"/>
        <w:shd w:val="clear" w:color="auto" w:fill="auto"/>
        <w:tabs>
          <w:tab w:pos="399" w:val="left"/>
        </w:tabs>
        <w:bidi w:val="0"/>
        <w:spacing w:before="0" w:line="240" w:lineRule="auto"/>
        <w:ind w:left="0" w:right="0" w:firstLine="0"/>
        <w:jc w:val="left"/>
      </w:pPr>
      <w:bookmarkStart w:id="625" w:name="bookmark625"/>
      <w:bookmarkStart w:id="626" w:name="bookmark626"/>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625"/>
      <w:bookmarkEnd w:id="626"/>
      <w:bookmarkEnd w:id="630"/>
    </w:p>
    <w:p>
      <w:pPr>
        <w:pStyle w:val="Style33"/>
        <w:keepNext/>
        <w:keepLines/>
        <w:widowControl w:val="0"/>
        <w:shd w:val="clear" w:color="auto" w:fill="auto"/>
        <w:bidi w:val="0"/>
        <w:spacing w:before="0" w:after="220" w:line="240" w:lineRule="auto"/>
        <w:ind w:left="0" w:right="0" w:firstLine="0"/>
        <w:jc w:val="left"/>
      </w:pPr>
      <w:bookmarkStart w:id="625" w:name="bookmark625"/>
      <w:bookmarkStart w:id="626" w:name="bookmark626"/>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625"/>
      <w:bookmarkEnd w:id="626"/>
      <w:bookmarkEnd w:id="632"/>
    </w:p>
    <w:p>
      <w:pPr>
        <w:pStyle w:val="Style26"/>
        <w:keepNext w:val="0"/>
        <w:keepLines w:val="0"/>
        <w:widowControl w:val="0"/>
        <w:shd w:val="clear" w:color="auto" w:fill="auto"/>
        <w:bidi w:val="0"/>
        <w:spacing w:before="0" w:after="280" w:line="353" w:lineRule="exact"/>
        <w:ind w:left="360" w:right="0" w:firstLine="0"/>
        <w:jc w:val="left"/>
      </w:pPr>
      <w:r>
        <w:rPr>
          <w:color w:val="000000"/>
          <w:spacing w:val="0"/>
          <w:w w:val="100"/>
          <w:position w:val="0"/>
        </w:rPr>
        <w:t>本公司固定资产是指为生产商品、提供劳务、出租或经营管理而持有的，使用寿命超过一个会计年度的有形资产。 与该固定资产有关的经济利益很可能流入企业，并且该固定资产的成本能够可靠地计量时，固定资产才能予以确认。 本公司固定资产按照取得时的实际成本进行初始计量。</w:t>
      </w:r>
    </w:p>
    <w:p>
      <w:pPr>
        <w:pStyle w:val="Style33"/>
        <w:keepNext/>
        <w:keepLines/>
        <w:widowControl w:val="0"/>
        <w:shd w:val="clear" w:color="auto" w:fill="auto"/>
        <w:tabs>
          <w:tab w:pos="478" w:val="left"/>
        </w:tabs>
        <w:bidi w:val="0"/>
        <w:spacing w:before="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33"/>
      <w:bookmarkEnd w:id="634"/>
      <w:bookmarkEnd w:id="636"/>
    </w:p>
    <w:p>
      <w:pPr>
        <w:pStyle w:val="Style26"/>
        <w:keepNext w:val="0"/>
        <w:keepLines w:val="0"/>
        <w:widowControl w:val="0"/>
        <w:shd w:val="clear" w:color="auto" w:fill="auto"/>
        <w:bidi w:val="0"/>
        <w:spacing w:before="0" w:after="380" w:line="317" w:lineRule="exact"/>
        <w:ind w:left="0" w:right="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2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37"/>
      <w:bookmarkEnd w:id="638"/>
      <w:bookmarkEnd w:id="640"/>
    </w:p>
    <w:p>
      <w:pPr>
        <w:pStyle w:val="Style26"/>
        <w:keepNext w:val="0"/>
        <w:keepLines w:val="0"/>
        <w:widowControl w:val="0"/>
        <w:shd w:val="clear" w:color="auto" w:fill="auto"/>
        <w:bidi w:val="0"/>
        <w:spacing w:before="0" w:after="580" w:line="317" w:lineRule="exact"/>
        <w:ind w:left="0" w:right="0"/>
        <w:jc w:val="both"/>
      </w:pPr>
      <w:r>
        <w:rPr>
          <w:color w:val="000000"/>
          <w:spacing w:val="0"/>
          <w:w w:val="100"/>
          <w:position w:val="0"/>
        </w:rPr>
        <w:t>本公司采用年限平均法计提折旧。固定资产自达到预定可使用状态时开始计提折旧，终止确认时或划分为持有待售非流 动资产时停止计提折旧。在不考虑减值准备的情况下，按固定资产类别、预计使用寿命和预计残值。</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15.83%</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33"/>
        <w:keepNext/>
        <w:keepLines/>
        <w:widowControl w:val="0"/>
        <w:shd w:val="clear" w:color="auto" w:fill="auto"/>
        <w:tabs>
          <w:tab w:pos="478" w:val="left"/>
        </w:tabs>
        <w:bidi w:val="0"/>
        <w:spacing w:before="0" w:after="26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641"/>
      <w:bookmarkEnd w:id="642"/>
      <w:bookmarkEnd w:id="644"/>
    </w:p>
    <w:p>
      <w:pPr>
        <w:pStyle w:val="Style26"/>
        <w:keepNext w:val="0"/>
        <w:keepLines w:val="0"/>
        <w:widowControl w:val="0"/>
        <w:shd w:val="clear" w:color="auto" w:fill="auto"/>
        <w:bidi w:val="0"/>
        <w:spacing w:before="0" w:after="200" w:line="314" w:lineRule="exact"/>
        <w:ind w:left="0" w:right="0"/>
        <w:jc w:val="left"/>
      </w:pPr>
      <w:r>
        <w:rPr>
          <w:color w:val="000000"/>
          <w:spacing w:val="0"/>
          <w:w w:val="100"/>
          <w:position w:val="0"/>
        </w:rPr>
        <w:t>本公司于资产负债表日判断资产是否存在可能发生减值的迹象，存在减值迹象的，本公司将估计其可收回金额，进行减 值测试。对因企业合并所形成的商誉、使用寿命不确定的无形资产和尚未达到可使用状态的无形资产无论是否存在减值迹象, 每年都进行减值测试。</w:t>
      </w:r>
    </w:p>
    <w:p>
      <w:pPr>
        <w:pStyle w:val="Style26"/>
        <w:keepNext w:val="0"/>
        <w:keepLines w:val="0"/>
        <w:widowControl w:val="0"/>
        <w:shd w:val="clear" w:color="auto" w:fill="auto"/>
        <w:bidi w:val="0"/>
        <w:spacing w:before="0" w:after="200" w:line="312" w:lineRule="exact"/>
        <w:ind w:left="0" w:right="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6"/>
        <w:keepNext w:val="0"/>
        <w:keepLines w:val="0"/>
        <w:widowControl w:val="0"/>
        <w:shd w:val="clear" w:color="auto" w:fill="auto"/>
        <w:bidi w:val="0"/>
        <w:spacing w:before="0" w:after="200" w:line="307" w:lineRule="exact"/>
        <w:ind w:left="0" w:right="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资产减值损失一经确认，在以后会计期间不再转回。</w:t>
      </w:r>
    </w:p>
    <w:p>
      <w:pPr>
        <w:pStyle w:val="Style33"/>
        <w:keepNext/>
        <w:keepLines/>
        <w:widowControl w:val="0"/>
        <w:shd w:val="clear" w:color="auto" w:fill="auto"/>
        <w:tabs>
          <w:tab w:pos="478" w:val="left"/>
        </w:tabs>
        <w:bidi w:val="0"/>
        <w:spacing w:before="0" w:after="260" w:line="240" w:lineRule="auto"/>
        <w:ind w:left="0" w:right="0" w:firstLine="0"/>
        <w:jc w:val="both"/>
      </w:pPr>
      <w:bookmarkStart w:id="645" w:name="bookmark645"/>
      <w:bookmarkStart w:id="646" w:name="bookmark646"/>
      <w:bookmarkStart w:id="647" w:name="bookmark647"/>
      <w:bookmarkStart w:id="648" w:name="bookmark648"/>
      <w:r>
        <w:rPr>
          <w:color w:val="000000"/>
          <w:spacing w:val="0"/>
          <w:w w:val="100"/>
          <w:position w:val="0"/>
        </w:rPr>
        <w:t>（</w:t>
      </w:r>
      <w:bookmarkEnd w:id="647"/>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645"/>
      <w:bookmarkEnd w:id="646"/>
      <w:bookmarkEnd w:id="648"/>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每年年度终了，本公司对固定资产的使用寿命、预计净残值和折旧方法进行复核。</w:t>
      </w:r>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使用寿命预计数与原先估计数有差异的，调整固定资产使用寿命；预计净残值预计数与原先估计数有差异的，调整预计 净残值。</w:t>
      </w:r>
    </w:p>
    <w:p>
      <w:pPr>
        <w:pStyle w:val="Style26"/>
        <w:keepNext w:val="0"/>
        <w:keepLines w:val="0"/>
        <w:widowControl w:val="0"/>
        <w:shd w:val="clear" w:color="auto" w:fill="auto"/>
        <w:bidi w:val="0"/>
        <w:spacing w:before="0" w:after="200" w:line="312" w:lineRule="exact"/>
        <w:ind w:left="0" w:right="0"/>
        <w:jc w:val="both"/>
      </w:pPr>
      <w:r>
        <w:rPr>
          <w:color w:val="000000"/>
          <w:spacing w:val="0"/>
          <w:w w:val="100"/>
          <w:position w:val="0"/>
        </w:rPr>
        <w:t>大修理费用</w:t>
      </w:r>
    </w:p>
    <w:p>
      <w:pPr>
        <w:pStyle w:val="Style26"/>
        <w:keepNext w:val="0"/>
        <w:keepLines w:val="0"/>
        <w:widowControl w:val="0"/>
        <w:shd w:val="clear" w:color="auto" w:fill="auto"/>
        <w:bidi w:val="0"/>
        <w:spacing w:before="0" w:after="260" w:line="312" w:lineRule="exact"/>
        <w:ind w:left="0" w:right="0"/>
        <w:jc w:val="both"/>
      </w:pPr>
      <w:r>
        <w:rPr>
          <w:color w:val="000000"/>
          <w:spacing w:val="0"/>
          <w:w w:val="100"/>
          <w:position w:val="0"/>
        </w:rPr>
        <w:t>本公司对固定资产进行定期检查发生的大修理费用，有确凿证据表明符合固定资产确认条件的部分，计入固定资产成本， 不符合固定资产确认条件的计入当期损益。固定资产在定期大修理间隔期间，照提折旧。</w:t>
      </w:r>
    </w:p>
    <w:p>
      <w:pPr>
        <w:pStyle w:val="Style33"/>
        <w:keepNext/>
        <w:keepLines/>
        <w:widowControl w:val="0"/>
        <w:shd w:val="clear" w:color="auto" w:fill="auto"/>
        <w:tabs>
          <w:tab w:pos="459" w:val="left"/>
        </w:tabs>
        <w:bidi w:val="0"/>
        <w:spacing w:before="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649"/>
      <w:bookmarkEnd w:id="650"/>
      <w:bookmarkEnd w:id="652"/>
    </w:p>
    <w:p>
      <w:pPr>
        <w:pStyle w:val="Style33"/>
        <w:keepNext/>
        <w:keepLines/>
        <w:widowControl w:val="0"/>
        <w:shd w:val="clear" w:color="auto" w:fill="auto"/>
        <w:tabs>
          <w:tab w:pos="478" w:val="left"/>
        </w:tabs>
        <w:bidi w:val="0"/>
        <w:spacing w:before="0" w:after="280" w:line="240" w:lineRule="auto"/>
        <w:ind w:left="0" w:right="0" w:firstLine="0"/>
        <w:jc w:val="left"/>
      </w:pPr>
      <w:bookmarkStart w:id="649" w:name="bookmark649"/>
      <w:bookmarkStart w:id="650" w:name="bookmark650"/>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49"/>
      <w:bookmarkEnd w:id="650"/>
      <w:bookmarkEnd w:id="654"/>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33"/>
        <w:keepNext/>
        <w:keepLines/>
        <w:widowControl w:val="0"/>
        <w:shd w:val="clear" w:color="auto" w:fill="auto"/>
        <w:tabs>
          <w:tab w:pos="478" w:val="left"/>
        </w:tabs>
        <w:bidi w:val="0"/>
        <w:spacing w:before="0" w:after="28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55"/>
      <w:bookmarkEnd w:id="656"/>
      <w:bookmarkEnd w:id="658"/>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在建工程在达到预定可使用状态时转入固定资产。</w:t>
      </w:r>
    </w:p>
    <w:p>
      <w:pPr>
        <w:pStyle w:val="Style33"/>
        <w:keepNext/>
        <w:keepLines/>
        <w:widowControl w:val="0"/>
        <w:shd w:val="clear" w:color="auto" w:fill="auto"/>
        <w:tabs>
          <w:tab w:pos="478" w:val="left"/>
        </w:tabs>
        <w:bidi w:val="0"/>
        <w:spacing w:before="0" w:after="28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59"/>
      <w:bookmarkEnd w:id="660"/>
      <w:bookmarkEnd w:id="662"/>
    </w:p>
    <w:p>
      <w:pPr>
        <w:pStyle w:val="Style2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本公司于资产负债表日判断资产是否存在可能发生减值的迹象，存在减值迹象的，本公司将估计其可收回金额，进行减 值测试。对因企业合并所形成的商誉、使用寿命不确定的无形资产和尚未达到可使用状态的无形资产无论是否存在减值迹象, 每年都进行减值测试。</w:t>
      </w:r>
    </w:p>
    <w:p>
      <w:pPr>
        <w:pStyle w:val="Style2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6"/>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资产减值损失一经确认，在以后会计期间不再转回。</w:t>
      </w:r>
    </w:p>
    <w:p>
      <w:pPr>
        <w:pStyle w:val="Style33"/>
        <w:keepNext/>
        <w:keepLines/>
        <w:widowControl w:val="0"/>
        <w:shd w:val="clear" w:color="auto" w:fill="auto"/>
        <w:tabs>
          <w:tab w:pos="459" w:val="left"/>
        </w:tabs>
        <w:bidi w:val="0"/>
        <w:spacing w:before="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663"/>
      <w:bookmarkEnd w:id="664"/>
      <w:bookmarkEnd w:id="666"/>
    </w:p>
    <w:p>
      <w:pPr>
        <w:pStyle w:val="Style33"/>
        <w:keepNext/>
        <w:keepLines/>
        <w:widowControl w:val="0"/>
        <w:shd w:val="clear" w:color="auto" w:fill="auto"/>
        <w:tabs>
          <w:tab w:pos="478" w:val="left"/>
        </w:tabs>
        <w:bidi w:val="0"/>
        <w:spacing w:before="0" w:after="280" w:line="240" w:lineRule="auto"/>
        <w:ind w:left="0" w:right="0" w:firstLine="0"/>
        <w:jc w:val="left"/>
      </w:pPr>
      <w:bookmarkStart w:id="663" w:name="bookmark663"/>
      <w:bookmarkStart w:id="664" w:name="bookmark664"/>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63"/>
      <w:bookmarkEnd w:id="664"/>
      <w:bookmarkEnd w:id="668"/>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他借款费用，在发生时根据其发生额确认为费用，计入当期损益。借款费用同时满足下列条件的，开始资本化：</w:t>
      </w:r>
    </w:p>
    <w:p>
      <w:pPr>
        <w:pStyle w:val="Style26"/>
        <w:keepNext w:val="0"/>
        <w:keepLines w:val="0"/>
        <w:widowControl w:val="0"/>
        <w:numPr>
          <w:ilvl w:val="0"/>
          <w:numId w:val="1"/>
        </w:numPr>
        <w:shd w:val="clear" w:color="auto" w:fill="auto"/>
        <w:tabs>
          <w:tab w:pos="723" w:val="left"/>
        </w:tabs>
        <w:bidi w:val="0"/>
        <w:spacing w:before="0" w:after="200" w:line="312" w:lineRule="exact"/>
        <w:ind w:left="0" w:right="0" w:firstLine="380"/>
        <w:jc w:val="both"/>
      </w:pPr>
      <w:bookmarkStart w:id="669" w:name="bookmark669"/>
      <w:bookmarkEnd w:id="669"/>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26"/>
        <w:keepNext w:val="0"/>
        <w:keepLines w:val="0"/>
        <w:widowControl w:val="0"/>
        <w:numPr>
          <w:ilvl w:val="0"/>
          <w:numId w:val="1"/>
        </w:numPr>
        <w:shd w:val="clear" w:color="auto" w:fill="auto"/>
        <w:tabs>
          <w:tab w:pos="753" w:val="left"/>
        </w:tabs>
        <w:bidi w:val="0"/>
        <w:spacing w:before="0" w:after="200" w:line="312" w:lineRule="exact"/>
        <w:ind w:left="0" w:right="0" w:firstLine="380"/>
        <w:jc w:val="both"/>
      </w:pPr>
      <w:bookmarkStart w:id="670" w:name="bookmark670"/>
      <w:bookmarkEnd w:id="670"/>
      <w:r>
        <w:rPr>
          <w:color w:val="000000"/>
          <w:spacing w:val="0"/>
          <w:w w:val="100"/>
          <w:position w:val="0"/>
        </w:rPr>
        <w:t>借款费用已经发生；</w:t>
      </w:r>
    </w:p>
    <w:p>
      <w:pPr>
        <w:pStyle w:val="Style26"/>
        <w:keepNext w:val="0"/>
        <w:keepLines w:val="0"/>
        <w:widowControl w:val="0"/>
        <w:numPr>
          <w:ilvl w:val="0"/>
          <w:numId w:val="1"/>
        </w:numPr>
        <w:shd w:val="clear" w:color="auto" w:fill="auto"/>
        <w:tabs>
          <w:tab w:pos="753" w:val="left"/>
        </w:tabs>
        <w:bidi w:val="0"/>
        <w:spacing w:before="0" w:after="380" w:line="312" w:lineRule="exact"/>
        <w:ind w:left="0" w:right="0" w:firstLine="380"/>
        <w:jc w:val="both"/>
      </w:pPr>
      <w:bookmarkStart w:id="671" w:name="bookmark671"/>
      <w:bookmarkEnd w:id="671"/>
      <w:r>
        <w:rPr>
          <w:color w:val="000000"/>
          <w:spacing w:val="0"/>
          <w:w w:val="100"/>
          <w:position w:val="0"/>
        </w:rPr>
        <w:t>为使资产达到预定可使用或者可销售状态所必要的购建或者生产活动已经开始。</w:t>
      </w:r>
    </w:p>
    <w:p>
      <w:pPr>
        <w:pStyle w:val="Style33"/>
        <w:keepNext/>
        <w:keepLines/>
        <w:widowControl w:val="0"/>
        <w:shd w:val="clear" w:color="auto" w:fill="auto"/>
        <w:tabs>
          <w:tab w:pos="478" w:val="left"/>
        </w:tabs>
        <w:bidi w:val="0"/>
        <w:spacing w:before="0" w:after="28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72"/>
      <w:bookmarkEnd w:id="673"/>
      <w:bookmarkEnd w:id="675"/>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本公司购建或者生产符合资本化条件的资产达到预定可使用或者可销售状态时，借款费用停止资本化。在符合资本化条 件的资产达到预定可使用或者可销售状态之后所发生的借款费用，在发生时根据其发生额确认为费用，计入当期损益。</w:t>
      </w:r>
    </w:p>
    <w:p>
      <w:pPr>
        <w:pStyle w:val="Style33"/>
        <w:keepNext/>
        <w:keepLines/>
        <w:widowControl w:val="0"/>
        <w:shd w:val="clear" w:color="auto" w:fill="auto"/>
        <w:tabs>
          <w:tab w:pos="478" w:val="left"/>
        </w:tabs>
        <w:bidi w:val="0"/>
        <w:spacing w:before="0" w:after="28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76"/>
      <w:bookmarkEnd w:id="677"/>
      <w:bookmarkEnd w:id="679"/>
    </w:p>
    <w:p>
      <w:pPr>
        <w:pStyle w:val="Style26"/>
        <w:keepNext w:val="0"/>
        <w:keepLines w:val="0"/>
        <w:widowControl w:val="0"/>
        <w:shd w:val="clear" w:color="auto" w:fill="auto"/>
        <w:bidi w:val="0"/>
        <w:spacing w:before="0" w:after="280" w:line="317" w:lineRule="exact"/>
        <w:ind w:left="0" w:right="0" w:firstLine="38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正常中断期间的借款费用继续资本化。</w:t>
      </w:r>
    </w:p>
    <w:p>
      <w:pPr>
        <w:pStyle w:val="Style33"/>
        <w:keepNext/>
        <w:keepLines/>
        <w:widowControl w:val="0"/>
        <w:shd w:val="clear" w:color="auto" w:fill="auto"/>
        <w:bidi w:val="0"/>
        <w:spacing w:before="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680"/>
      <w:bookmarkEnd w:id="681"/>
      <w:bookmarkEnd w:id="683"/>
    </w:p>
    <w:p>
      <w:pPr>
        <w:pStyle w:val="Style26"/>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3"/>
        <w:keepNext/>
        <w:keepLines/>
        <w:widowControl w:val="0"/>
        <w:shd w:val="clear" w:color="auto" w:fill="auto"/>
        <w:tabs>
          <w:tab w:pos="459" w:val="left"/>
        </w:tabs>
        <w:bidi w:val="0"/>
        <w:spacing w:before="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684"/>
      <w:bookmarkEnd w:id="685"/>
      <w:bookmarkEnd w:id="687"/>
    </w:p>
    <w:p>
      <w:pPr>
        <w:pStyle w:val="Style26"/>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3"/>
        <w:keepNext/>
        <w:keepLines/>
        <w:widowControl w:val="0"/>
        <w:shd w:val="clear" w:color="auto" w:fill="auto"/>
        <w:tabs>
          <w:tab w:pos="459" w:val="left"/>
        </w:tabs>
        <w:bidi w:val="0"/>
        <w:spacing w:before="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688"/>
      <w:bookmarkEnd w:id="689"/>
      <w:bookmarkEnd w:id="691"/>
    </w:p>
    <w:p>
      <w:pPr>
        <w:pStyle w:val="Style26"/>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692"/>
      <w:bookmarkEnd w:id="693"/>
      <w:bookmarkEnd w:id="695"/>
    </w:p>
    <w:p>
      <w:pPr>
        <w:pStyle w:val="Style33"/>
        <w:keepNext/>
        <w:keepLines/>
        <w:widowControl w:val="0"/>
        <w:shd w:val="clear" w:color="auto" w:fill="auto"/>
        <w:tabs>
          <w:tab w:pos="478" w:val="left"/>
        </w:tabs>
        <w:bidi w:val="0"/>
        <w:spacing w:before="0" w:line="240" w:lineRule="auto"/>
        <w:ind w:left="0" w:right="0" w:firstLine="0"/>
        <w:jc w:val="left"/>
      </w:pPr>
      <w:bookmarkStart w:id="692" w:name="bookmark692"/>
      <w:bookmarkStart w:id="693" w:name="bookmark693"/>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692"/>
      <w:bookmarkEnd w:id="693"/>
      <w:bookmarkEnd w:id="697"/>
    </w:p>
    <w:p>
      <w:pPr>
        <w:pStyle w:val="Style26"/>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本公司无形资产为计算机软件。</w:t>
      </w:r>
    </w:p>
    <w:p>
      <w:pPr>
        <w:pStyle w:val="Style33"/>
        <w:keepNext/>
        <w:keepLines/>
        <w:widowControl w:val="0"/>
        <w:shd w:val="clear" w:color="auto" w:fill="auto"/>
        <w:tabs>
          <w:tab w:pos="478"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698"/>
      <w:bookmarkEnd w:id="699"/>
      <w:bookmarkEnd w:id="701"/>
    </w:p>
    <w:p>
      <w:pPr>
        <w:pStyle w:val="Style26"/>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 式的，采用直线法摊销。</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478" w:val="left"/>
        </w:tabs>
        <w:bidi w:val="0"/>
        <w:spacing w:before="0" w:after="26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w:t>
      </w:r>
      <w:bookmarkEnd w:id="704"/>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02"/>
      <w:bookmarkEnd w:id="703"/>
      <w:bookmarkEnd w:id="705"/>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使用寿命不确定的无形资产，不作摊销。</w:t>
      </w:r>
    </w:p>
    <w:p>
      <w:pPr>
        <w:pStyle w:val="Style33"/>
        <w:keepNext/>
        <w:keepLines/>
        <w:widowControl w:val="0"/>
        <w:shd w:val="clear" w:color="auto" w:fill="auto"/>
        <w:tabs>
          <w:tab w:pos="478" w:val="left"/>
        </w:tabs>
        <w:bidi w:val="0"/>
        <w:spacing w:before="0" w:after="26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06"/>
      <w:bookmarkEnd w:id="707"/>
      <w:bookmarkEnd w:id="709"/>
    </w:p>
    <w:p>
      <w:pPr>
        <w:pStyle w:val="Style26"/>
        <w:keepNext w:val="0"/>
        <w:keepLines w:val="0"/>
        <w:widowControl w:val="0"/>
        <w:shd w:val="clear" w:color="auto" w:fill="auto"/>
        <w:bidi w:val="0"/>
        <w:spacing w:before="0" w:after="220" w:line="314" w:lineRule="exact"/>
        <w:ind w:left="0" w:right="0" w:firstLine="380"/>
        <w:jc w:val="left"/>
      </w:pPr>
      <w:r>
        <w:rPr>
          <w:color w:val="000000"/>
          <w:spacing w:val="0"/>
          <w:w w:val="100"/>
          <w:position w:val="0"/>
        </w:rPr>
        <w:t>本公司于资产负债表日判断资产是否存在可能发生减值的迹象，存在减值迹象的，本公司将估计其可收回金额，进行减 值测试。对因企业合并所形成的商誉、使用寿命不确定的无形资产和尚未达到可使用状态的无形资产无论是否存在减值迹象, 每年都进行减值测试。</w:t>
      </w:r>
    </w:p>
    <w:p>
      <w:pPr>
        <w:pStyle w:val="Style26"/>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6"/>
        <w:keepNext w:val="0"/>
        <w:keepLines w:val="0"/>
        <w:widowControl w:val="0"/>
        <w:shd w:val="clear" w:color="auto" w:fill="auto"/>
        <w:bidi w:val="0"/>
        <w:spacing w:before="0" w:after="220" w:line="307" w:lineRule="exact"/>
        <w:ind w:left="0" w:right="0" w:firstLine="38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资产减值损失一经确认，在以后会计期间不再转回。</w:t>
      </w:r>
    </w:p>
    <w:p>
      <w:pPr>
        <w:pStyle w:val="Style33"/>
        <w:keepNext/>
        <w:keepLines/>
        <w:widowControl w:val="0"/>
        <w:shd w:val="clear" w:color="auto" w:fill="auto"/>
        <w:tabs>
          <w:tab w:pos="478" w:val="left"/>
        </w:tabs>
        <w:bidi w:val="0"/>
        <w:spacing w:before="0" w:after="2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10"/>
      <w:bookmarkEnd w:id="711"/>
      <w:bookmarkEnd w:id="713"/>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本公司将内部研究开发项目的支出，区分为研究阶段支出和开发阶段支出。</w:t>
      </w:r>
    </w:p>
    <w:p>
      <w:pPr>
        <w:pStyle w:val="Style26"/>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本公司内部研究开发项目的支出，区分研究阶段支出与开发阶段支出进行相应处理。将为获取并理解新的技术知识及项 目可行性论证而进行的独创性的有计划调查期间确认为研究阶段；将进行产品商业性生产（或使用）前，将研究成果或其他 知识应用于产品设计及研发，以生产出新的或具有实质性改进的产品期间确认为开发阶段。</w:t>
      </w:r>
    </w:p>
    <w:p>
      <w:pPr>
        <w:pStyle w:val="Style33"/>
        <w:keepNext/>
        <w:keepLines/>
        <w:widowControl w:val="0"/>
        <w:shd w:val="clear" w:color="auto" w:fill="auto"/>
        <w:tabs>
          <w:tab w:pos="478" w:val="left"/>
        </w:tabs>
        <w:bidi w:val="0"/>
        <w:spacing w:before="0" w:after="28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14"/>
      <w:bookmarkEnd w:id="715"/>
      <w:bookmarkEnd w:id="717"/>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研究阶段的支出，于发生时计入当期损益。</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26"/>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本公司研究开发项目在满足上述条件，通过技术可行性及经济可行性研究，形成项目立项后，进入开发阶段。</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已资本化的开发阶段的支出在资产负债表上列示为开发支出，自该项目达到预定可使用状态之日转为无形资产。</w:t>
      </w:r>
    </w:p>
    <w:p>
      <w:pPr>
        <w:pStyle w:val="Style33"/>
        <w:keepNext/>
        <w:keepLines/>
        <w:widowControl w:val="0"/>
        <w:shd w:val="clear" w:color="auto" w:fill="auto"/>
        <w:tabs>
          <w:tab w:pos="469" w:val="left"/>
        </w:tabs>
        <w:bidi w:val="0"/>
        <w:spacing w:before="0" w:after="28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2</w:t>
      </w:r>
      <w:bookmarkEnd w:id="720"/>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718"/>
      <w:bookmarkEnd w:id="719"/>
      <w:bookmarkEnd w:id="721"/>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3"/>
        <w:keepNext/>
        <w:keepLines/>
        <w:widowControl w:val="0"/>
        <w:shd w:val="clear" w:color="auto" w:fill="auto"/>
        <w:tabs>
          <w:tab w:pos="469" w:val="left"/>
        </w:tabs>
        <w:bidi w:val="0"/>
        <w:spacing w:before="0" w:after="2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722"/>
      <w:bookmarkEnd w:id="723"/>
      <w:bookmarkEnd w:id="725"/>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33"/>
        <w:keepNext/>
        <w:keepLines/>
        <w:widowControl w:val="0"/>
        <w:shd w:val="clear" w:color="auto" w:fill="auto"/>
        <w:tabs>
          <w:tab w:pos="469" w:val="left"/>
        </w:tabs>
        <w:bidi w:val="0"/>
        <w:spacing w:before="0" w:after="28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2</w:t>
      </w:r>
      <w:bookmarkEnd w:id="728"/>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726"/>
      <w:bookmarkEnd w:id="727"/>
      <w:bookmarkEnd w:id="729"/>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730"/>
      <w:bookmarkEnd w:id="731"/>
      <w:bookmarkEnd w:id="733"/>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34"/>
      <w:bookmarkEnd w:id="735"/>
      <w:bookmarkEnd w:id="737"/>
    </w:p>
    <w:p>
      <w:pPr>
        <w:pStyle w:val="Style26"/>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738"/>
      <w:bookmarkEnd w:id="739"/>
      <w:bookmarkEnd w:id="741"/>
    </w:p>
    <w:p>
      <w:pPr>
        <w:pStyle w:val="Style33"/>
        <w:keepNext/>
        <w:keepLines/>
        <w:widowControl w:val="0"/>
        <w:shd w:val="clear" w:color="auto" w:fill="auto"/>
        <w:tabs>
          <w:tab w:pos="478" w:val="left"/>
        </w:tabs>
        <w:bidi w:val="0"/>
        <w:spacing w:before="0" w:after="280" w:line="240" w:lineRule="auto"/>
        <w:ind w:left="0" w:right="0" w:firstLine="0"/>
        <w:jc w:val="left"/>
      </w:pPr>
      <w:bookmarkStart w:id="738" w:name="bookmark738"/>
      <w:bookmarkStart w:id="739" w:name="bookmark739"/>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38"/>
      <w:bookmarkEnd w:id="739"/>
      <w:bookmarkEnd w:id="743"/>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44"/>
      <w:bookmarkEnd w:id="745"/>
      <w:bookmarkEnd w:id="747"/>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48"/>
      <w:bookmarkEnd w:id="749"/>
      <w:bookmarkEnd w:id="751"/>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52"/>
      <w:bookmarkEnd w:id="753"/>
      <w:bookmarkEnd w:id="755"/>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无。</w:t>
      </w:r>
    </w:p>
    <w:p>
      <w:pPr>
        <w:pStyle w:val="Style33"/>
        <w:keepNext/>
        <w:keepLines/>
        <w:widowControl w:val="0"/>
        <w:shd w:val="clear" w:color="auto" w:fill="auto"/>
        <w:tabs>
          <w:tab w:pos="469" w:val="left"/>
        </w:tabs>
        <w:bidi w:val="0"/>
        <w:spacing w:before="0" w:after="2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bookmarkEnd w:id="758"/>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756"/>
      <w:bookmarkEnd w:id="757"/>
      <w:bookmarkEnd w:id="759"/>
    </w:p>
    <w:p>
      <w:pPr>
        <w:pStyle w:val="Style26"/>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2</w:t>
      </w:r>
      <w:bookmarkEnd w:id="762"/>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760"/>
      <w:bookmarkEnd w:id="761"/>
      <w:bookmarkEnd w:id="763"/>
    </w:p>
    <w:p>
      <w:pPr>
        <w:pStyle w:val="Style33"/>
        <w:keepNext/>
        <w:keepLines/>
        <w:widowControl w:val="0"/>
        <w:shd w:val="clear" w:color="auto" w:fill="auto"/>
        <w:tabs>
          <w:tab w:pos="478" w:val="left"/>
        </w:tabs>
        <w:bidi w:val="0"/>
        <w:spacing w:before="0" w:after="280" w:line="240" w:lineRule="auto"/>
        <w:ind w:left="0" w:right="0" w:firstLine="0"/>
        <w:jc w:val="left"/>
      </w:pPr>
      <w:bookmarkStart w:id="760" w:name="bookmark760"/>
      <w:bookmarkStart w:id="761" w:name="bookmark761"/>
      <w:bookmarkStart w:id="764" w:name="bookmark764"/>
      <w:bookmarkStart w:id="765" w:name="bookmark765"/>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60"/>
      <w:bookmarkEnd w:id="761"/>
      <w:bookmarkEnd w:id="765"/>
    </w:p>
    <w:p>
      <w:pPr>
        <w:pStyle w:val="Style26"/>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销售商品收入确认时间的具体判断标准在已将商品所有权上的主要风险和报酬转移给购货方，既没有保留通常与所有权 相联系的继续管理权，也没有对已售商品实施有效控制，收入的金额能够可靠地计量，相关的经济利益很可能流入企业，相 关的已发生或将发生的成本能够可靠地计量时，确认商品销售收入的实现。本公司商品销售收入确认的具体方法如下：①</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rPr>
        <w:t>卡销售收入：本公司</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卡销售业务包括</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卡介质的销售及</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卡嵌入式软件销售收入，由于</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卡嵌入式软件是随同</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 介质一并交付，故该嵌入式软件收入确认原则与</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卡介质收入确认原则相同。本公司</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收入》中销售商品确认原则，在</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卡交付并取得客户验收确认后，相关的收入已经实现或取得收款的证据，本公司确认</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rPr>
        <w:t>卡销售收入实现。②外购硬件销售收入：本公司外购硬件销售业务指本公司为客户提供系统集成所需硬件及配套办公设备， 该等硬件均为本公司外购硬件。本公司外购硬件业务根据《企业会计准则第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收入》中销售商品收入确认原则，在商品 交付并经客户验收后，相关的收入已经实现或取得收款的证据，本公司确认外购硬件销售收入实现。③自制硬件销售收入： 本公司自制硬件指本公司自主研发的硬件设备，采用</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方式生产，主要包括</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卡读取设备、民生自助服务终端等。本 公司自制硬件销售业务收入根据《企业会计准则第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收入》中销售商品收入确认原则，在商品交付并经客户验收后，相 关的收入已经实现或取得收款的证据，本公司确认自制硬件销售收入实现。</w:t>
      </w:r>
    </w:p>
    <w:p>
      <w:pPr>
        <w:pStyle w:val="Style33"/>
        <w:keepNext/>
        <w:keepLines/>
        <w:widowControl w:val="0"/>
        <w:shd w:val="clear" w:color="auto" w:fill="auto"/>
        <w:tabs>
          <w:tab w:pos="478"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66"/>
      <w:bookmarkEnd w:id="767"/>
      <w:bookmarkEnd w:id="769"/>
    </w:p>
    <w:p>
      <w:pPr>
        <w:pStyle w:val="Style26"/>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本公司在与让渡资产使用权相关的经济利益能够流入和收入的金额能够可靠的计量时确认让渡资产使用权收入。</w:t>
      </w:r>
    </w:p>
    <w:p>
      <w:pPr>
        <w:pStyle w:val="Style33"/>
        <w:keepNext/>
        <w:keepLines/>
        <w:widowControl w:val="0"/>
        <w:shd w:val="clear" w:color="auto" w:fill="auto"/>
        <w:tabs>
          <w:tab w:pos="478"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770"/>
      <w:bookmarkEnd w:id="771"/>
      <w:bookmarkEnd w:id="773"/>
    </w:p>
    <w:p>
      <w:pPr>
        <w:pStyle w:val="Style2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本公司客户定制软件设计开发项目实质为提供劳务，本公司在资产负债表日，对于提供劳务交易结果能够可靠估计的， 采用完工百分比法确认提供的劳务收入。</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提供劳务交易的结果能够可靠估计，是指同时满足下列条件：</w:t>
      </w:r>
    </w:p>
    <w:p>
      <w:pPr>
        <w:pStyle w:val="Style26"/>
        <w:keepNext w:val="0"/>
        <w:keepLines w:val="0"/>
        <w:widowControl w:val="0"/>
        <w:shd w:val="clear" w:color="auto" w:fill="auto"/>
        <w:tabs>
          <w:tab w:pos="714" w:val="left"/>
        </w:tabs>
        <w:bidi w:val="0"/>
        <w:spacing w:before="0" w:after="0" w:line="313" w:lineRule="exact"/>
        <w:ind w:left="0" w:right="0" w:firstLine="380"/>
        <w:jc w:val="both"/>
      </w:pPr>
      <w:bookmarkStart w:id="774" w:name="bookmark774"/>
      <w:r>
        <w:rPr>
          <w:rFonts w:ascii="Times New Roman" w:eastAsia="Times New Roman" w:hAnsi="Times New Roman" w:cs="Times New Roman"/>
          <w:color w:val="000000"/>
          <w:spacing w:val="0"/>
          <w:w w:val="100"/>
          <w:position w:val="0"/>
          <w:sz w:val="18"/>
          <w:szCs w:val="18"/>
        </w:rPr>
        <w:t>1</w:t>
      </w:r>
      <w:bookmarkEnd w:id="774"/>
      <w:r>
        <w:rPr>
          <w:color w:val="000000"/>
          <w:spacing w:val="0"/>
          <w:w w:val="100"/>
          <w:position w:val="0"/>
        </w:rPr>
        <w:t>、</w:t>
        <w:tab/>
        <w:t>收入的金额能够可靠地计量；</w:t>
      </w:r>
    </w:p>
    <w:p>
      <w:pPr>
        <w:pStyle w:val="Style26"/>
        <w:keepNext w:val="0"/>
        <w:keepLines w:val="0"/>
        <w:widowControl w:val="0"/>
        <w:shd w:val="clear" w:color="auto" w:fill="auto"/>
        <w:tabs>
          <w:tab w:pos="734" w:val="left"/>
        </w:tabs>
        <w:bidi w:val="0"/>
        <w:spacing w:before="0" w:after="0" w:line="313" w:lineRule="exact"/>
        <w:ind w:left="0" w:right="0" w:firstLine="380"/>
        <w:jc w:val="both"/>
      </w:pPr>
      <w:bookmarkStart w:id="775" w:name="bookmark775"/>
      <w:r>
        <w:rPr>
          <w:rFonts w:ascii="Times New Roman" w:eastAsia="Times New Roman" w:hAnsi="Times New Roman" w:cs="Times New Roman"/>
          <w:color w:val="000000"/>
          <w:spacing w:val="0"/>
          <w:w w:val="100"/>
          <w:position w:val="0"/>
          <w:sz w:val="18"/>
          <w:szCs w:val="18"/>
        </w:rPr>
        <w:t>2</w:t>
      </w:r>
      <w:bookmarkEnd w:id="775"/>
      <w:r>
        <w:rPr>
          <w:color w:val="000000"/>
          <w:spacing w:val="0"/>
          <w:w w:val="100"/>
          <w:position w:val="0"/>
        </w:rPr>
        <w:t>、</w:t>
        <w:tab/>
        <w:t>相关的经济利益很可能流入企业；</w:t>
      </w:r>
    </w:p>
    <w:p>
      <w:pPr>
        <w:pStyle w:val="Style26"/>
        <w:keepNext w:val="0"/>
        <w:keepLines w:val="0"/>
        <w:widowControl w:val="0"/>
        <w:shd w:val="clear" w:color="auto" w:fill="auto"/>
        <w:tabs>
          <w:tab w:pos="724" w:val="left"/>
        </w:tabs>
        <w:bidi w:val="0"/>
        <w:spacing w:before="0" w:after="0" w:line="313" w:lineRule="exact"/>
        <w:ind w:left="0" w:right="0" w:firstLine="380"/>
        <w:jc w:val="both"/>
      </w:pPr>
      <w:bookmarkStart w:id="776" w:name="bookmark776"/>
      <w:r>
        <w:rPr>
          <w:rFonts w:ascii="Times New Roman" w:eastAsia="Times New Roman" w:hAnsi="Times New Roman" w:cs="Times New Roman"/>
          <w:color w:val="000000"/>
          <w:spacing w:val="0"/>
          <w:w w:val="100"/>
          <w:position w:val="0"/>
          <w:sz w:val="18"/>
          <w:szCs w:val="18"/>
        </w:rPr>
        <w:t>3</w:t>
      </w:r>
      <w:bookmarkEnd w:id="776"/>
      <w:r>
        <w:rPr>
          <w:color w:val="000000"/>
          <w:spacing w:val="0"/>
          <w:w w:val="100"/>
          <w:position w:val="0"/>
        </w:rPr>
        <w:t>、</w:t>
        <w:tab/>
        <w:t>交易的完工进度能够可靠地确定；</w:t>
      </w:r>
    </w:p>
    <w:p>
      <w:pPr>
        <w:pStyle w:val="Style26"/>
        <w:keepNext w:val="0"/>
        <w:keepLines w:val="0"/>
        <w:widowControl w:val="0"/>
        <w:shd w:val="clear" w:color="auto" w:fill="auto"/>
        <w:tabs>
          <w:tab w:pos="734" w:val="left"/>
        </w:tabs>
        <w:bidi w:val="0"/>
        <w:spacing w:before="0" w:after="0" w:line="313" w:lineRule="exact"/>
        <w:ind w:left="0" w:right="0" w:firstLine="380"/>
        <w:jc w:val="both"/>
      </w:pPr>
      <w:bookmarkStart w:id="777" w:name="bookmark777"/>
      <w:r>
        <w:rPr>
          <w:rFonts w:ascii="Times New Roman" w:eastAsia="Times New Roman" w:hAnsi="Times New Roman" w:cs="Times New Roman"/>
          <w:color w:val="000000"/>
          <w:spacing w:val="0"/>
          <w:w w:val="100"/>
          <w:position w:val="0"/>
          <w:sz w:val="18"/>
          <w:szCs w:val="18"/>
        </w:rPr>
        <w:t>4</w:t>
      </w:r>
      <w:bookmarkEnd w:id="777"/>
      <w:r>
        <w:rPr>
          <w:color w:val="000000"/>
          <w:spacing w:val="0"/>
          <w:w w:val="100"/>
          <w:position w:val="0"/>
        </w:rPr>
        <w:t>、</w:t>
        <w:tab/>
        <w:t>交易中已发生和将发生的成本能够可靠地计量。</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在资产负债表日提供劳务交易结果不能够可靠估计的，分别下列情况处理：</w:t>
      </w:r>
    </w:p>
    <w:p>
      <w:pPr>
        <w:pStyle w:val="Style26"/>
        <w:keepNext w:val="0"/>
        <w:keepLines w:val="0"/>
        <w:widowControl w:val="0"/>
        <w:shd w:val="clear" w:color="auto" w:fill="auto"/>
        <w:tabs>
          <w:tab w:pos="704" w:val="left"/>
        </w:tabs>
        <w:bidi w:val="0"/>
        <w:spacing w:before="0" w:after="0" w:line="313" w:lineRule="exact"/>
        <w:ind w:left="0" w:right="0" w:firstLine="380"/>
        <w:jc w:val="both"/>
      </w:pPr>
      <w:bookmarkStart w:id="778" w:name="bookmark778"/>
      <w:r>
        <w:rPr>
          <w:rFonts w:ascii="Times New Roman" w:eastAsia="Times New Roman" w:hAnsi="Times New Roman" w:cs="Times New Roman"/>
          <w:color w:val="000000"/>
          <w:spacing w:val="0"/>
          <w:w w:val="100"/>
          <w:position w:val="0"/>
          <w:sz w:val="18"/>
          <w:szCs w:val="18"/>
        </w:rPr>
        <w:t>1</w:t>
      </w:r>
      <w:bookmarkEnd w:id="778"/>
      <w:r>
        <w:rPr>
          <w:color w:val="000000"/>
          <w:spacing w:val="0"/>
          <w:w w:val="100"/>
          <w:position w:val="0"/>
        </w:rPr>
        <w:t>、</w:t>
        <w:tab/>
        <w:t>已经发生的劳务成本预计能够得到补偿的，按照已经发生的劳务成本金额确认提供劳务收入，并按相同金额结转劳 务成本。</w:t>
      </w:r>
    </w:p>
    <w:p>
      <w:pPr>
        <w:pStyle w:val="Style26"/>
        <w:keepNext w:val="0"/>
        <w:keepLines w:val="0"/>
        <w:widowControl w:val="0"/>
        <w:shd w:val="clear" w:color="auto" w:fill="auto"/>
        <w:tabs>
          <w:tab w:pos="734" w:val="left"/>
        </w:tabs>
        <w:bidi w:val="0"/>
        <w:spacing w:before="0" w:after="0" w:line="313" w:lineRule="exact"/>
        <w:ind w:left="0" w:right="0" w:firstLine="380"/>
        <w:jc w:val="both"/>
      </w:pPr>
      <w:bookmarkStart w:id="779" w:name="bookmark779"/>
      <w:r>
        <w:rPr>
          <w:rFonts w:ascii="Times New Roman" w:eastAsia="Times New Roman" w:hAnsi="Times New Roman" w:cs="Times New Roman"/>
          <w:color w:val="000000"/>
          <w:spacing w:val="0"/>
          <w:w w:val="100"/>
          <w:position w:val="0"/>
          <w:sz w:val="18"/>
          <w:szCs w:val="18"/>
        </w:rPr>
        <w:t>2</w:t>
      </w:r>
      <w:bookmarkEnd w:id="779"/>
      <w:r>
        <w:rPr>
          <w:color w:val="000000"/>
          <w:spacing w:val="0"/>
          <w:w w:val="100"/>
          <w:position w:val="0"/>
        </w:rPr>
        <w:t>、</w:t>
        <w:tab/>
        <w:t>已经发生的劳务成本预计不能够得到补偿的，将已经发生的劳务成本计入当期损益，不确认提供劳务收入。</w:t>
      </w:r>
    </w:p>
    <w:p>
      <w:pPr>
        <w:pStyle w:val="Style26"/>
        <w:keepNext w:val="0"/>
        <w:keepLines w:val="0"/>
        <w:widowControl w:val="0"/>
        <w:numPr>
          <w:ilvl w:val="0"/>
          <w:numId w:val="3"/>
        </w:numPr>
        <w:shd w:val="clear" w:color="auto" w:fill="auto"/>
        <w:tabs>
          <w:tab w:pos="753" w:val="left"/>
        </w:tabs>
        <w:bidi w:val="0"/>
        <w:spacing w:before="0" w:after="0" w:line="313" w:lineRule="exact"/>
        <w:ind w:left="0" w:right="0" w:firstLine="380"/>
        <w:jc w:val="both"/>
      </w:pPr>
      <w:bookmarkStart w:id="780" w:name="bookmark780"/>
      <w:bookmarkEnd w:id="780"/>
      <w:r>
        <w:rPr>
          <w:color w:val="000000"/>
          <w:spacing w:val="0"/>
          <w:w w:val="100"/>
          <w:position w:val="0"/>
        </w:rPr>
        <w:t>客户定制软件设计开发收入</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本公司客户定制软件设计开发项目指本公司依据客户特定要求在本公司原有软件平台基础上进行开发实施或根据客户 要求定制的软件设计和开发项目。</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本公司采用已经完成的合同工作量占合同预计总工作量的比例确定合同完工进度。</w:t>
      </w:r>
    </w:p>
    <w:p>
      <w:pPr>
        <w:pStyle w:val="Style26"/>
        <w:keepNext w:val="0"/>
        <w:keepLines w:val="0"/>
        <w:widowControl w:val="0"/>
        <w:numPr>
          <w:ilvl w:val="0"/>
          <w:numId w:val="3"/>
        </w:numPr>
        <w:shd w:val="clear" w:color="auto" w:fill="auto"/>
        <w:tabs>
          <w:tab w:pos="753" w:val="left"/>
        </w:tabs>
        <w:bidi w:val="0"/>
        <w:spacing w:before="0" w:after="0" w:line="313" w:lineRule="exact"/>
        <w:ind w:left="0" w:right="0" w:firstLine="380"/>
        <w:jc w:val="both"/>
      </w:pPr>
      <w:bookmarkStart w:id="781" w:name="bookmark781"/>
      <w:bookmarkEnd w:id="781"/>
      <w:r>
        <w:rPr>
          <w:color w:val="000000"/>
          <w:spacing w:val="0"/>
          <w:w w:val="100"/>
          <w:position w:val="0"/>
        </w:rPr>
        <w:t>系统集成收入：</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本公司系统集成项目在系统安装调试完毕且项目经过客户初步验收后，相关的收入已经实现或取得收款的证据，本公司 确认系统集成收入实现。</w:t>
      </w:r>
    </w:p>
    <w:p>
      <w:pPr>
        <w:pStyle w:val="Style26"/>
        <w:keepNext w:val="0"/>
        <w:keepLines w:val="0"/>
        <w:widowControl w:val="0"/>
        <w:numPr>
          <w:ilvl w:val="0"/>
          <w:numId w:val="3"/>
        </w:numPr>
        <w:shd w:val="clear" w:color="auto" w:fill="auto"/>
        <w:tabs>
          <w:tab w:pos="753" w:val="left"/>
        </w:tabs>
        <w:bidi w:val="0"/>
        <w:spacing w:before="0" w:after="0" w:line="313" w:lineRule="exact"/>
        <w:ind w:left="0" w:right="0" w:firstLine="380"/>
        <w:jc w:val="both"/>
      </w:pPr>
      <w:bookmarkStart w:id="782" w:name="bookmark782"/>
      <w:bookmarkEnd w:id="782"/>
      <w:r>
        <w:rPr>
          <w:color w:val="000000"/>
          <w:spacing w:val="0"/>
          <w:w w:val="100"/>
          <w:position w:val="0"/>
        </w:rPr>
        <w:t>技术服务收入</w:t>
      </w:r>
    </w:p>
    <w:p>
      <w:pPr>
        <w:pStyle w:val="Style26"/>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本公司在提供技术服务期间内，在劳务提供后，根据合同约定服务期间分期确认收入。</w:t>
      </w:r>
    </w:p>
    <w:p>
      <w:pPr>
        <w:pStyle w:val="Style33"/>
        <w:keepNext/>
        <w:keepLines/>
        <w:widowControl w:val="0"/>
        <w:shd w:val="clear" w:color="auto" w:fill="auto"/>
        <w:tabs>
          <w:tab w:pos="478" w:val="left"/>
        </w:tabs>
        <w:bidi w:val="0"/>
        <w:spacing w:before="0" w:after="28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783"/>
      <w:bookmarkEnd w:id="784"/>
      <w:bookmarkEnd w:id="786"/>
    </w:p>
    <w:p>
      <w:pPr>
        <w:pStyle w:val="Style26"/>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本公司采用已经完成的合同工作量占合同预计总工作量的比例确定合同完工进度。</w:t>
      </w:r>
    </w:p>
    <w:p>
      <w:pPr>
        <w:pStyle w:val="Style33"/>
        <w:keepNext/>
        <w:keepLines/>
        <w:widowControl w:val="0"/>
        <w:shd w:val="clear" w:color="auto" w:fill="auto"/>
        <w:bidi w:val="0"/>
        <w:spacing w:before="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bookmarkEnd w:id="789"/>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787"/>
      <w:bookmarkEnd w:id="788"/>
      <w:bookmarkEnd w:id="790"/>
    </w:p>
    <w:p>
      <w:pPr>
        <w:pStyle w:val="Style33"/>
        <w:keepNext/>
        <w:keepLines/>
        <w:widowControl w:val="0"/>
        <w:shd w:val="clear" w:color="auto" w:fill="auto"/>
        <w:tabs>
          <w:tab w:pos="478" w:val="left"/>
        </w:tabs>
        <w:bidi w:val="0"/>
        <w:spacing w:before="0" w:after="280" w:line="240" w:lineRule="auto"/>
        <w:ind w:left="0" w:right="0" w:firstLine="0"/>
        <w:jc w:val="left"/>
      </w:pPr>
      <w:bookmarkStart w:id="787" w:name="bookmark787"/>
      <w:bookmarkStart w:id="788" w:name="bookmark788"/>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787"/>
      <w:bookmarkEnd w:id="788"/>
      <w:bookmarkEnd w:id="792"/>
    </w:p>
    <w:p>
      <w:pPr>
        <w:pStyle w:val="Style26"/>
        <w:keepNext w:val="0"/>
        <w:keepLines w:val="0"/>
        <w:widowControl w:val="0"/>
        <w:shd w:val="clear" w:color="auto" w:fill="auto"/>
        <w:tabs>
          <w:tab w:pos="714" w:val="left"/>
        </w:tabs>
        <w:bidi w:val="0"/>
        <w:spacing w:before="0" w:after="0" w:line="313" w:lineRule="exact"/>
        <w:ind w:left="0" w:right="0" w:firstLine="380"/>
        <w:jc w:val="both"/>
      </w:pPr>
      <w:bookmarkStart w:id="793" w:name="bookmark793"/>
      <w:r>
        <w:rPr>
          <w:rFonts w:ascii="Times New Roman" w:eastAsia="Times New Roman" w:hAnsi="Times New Roman" w:cs="Times New Roman"/>
          <w:color w:val="000000"/>
          <w:spacing w:val="0"/>
          <w:w w:val="100"/>
          <w:position w:val="0"/>
          <w:sz w:val="18"/>
          <w:szCs w:val="18"/>
        </w:rPr>
        <w:t>1</w:t>
      </w:r>
      <w:bookmarkEnd w:id="793"/>
      <w:r>
        <w:rPr>
          <w:color w:val="000000"/>
          <w:spacing w:val="0"/>
          <w:w w:val="100"/>
          <w:position w:val="0"/>
        </w:rPr>
        <w:t>、</w:t>
        <w:tab/>
        <w:t>与资产相关的政府补助</w:t>
      </w:r>
    </w:p>
    <w:p>
      <w:pPr>
        <w:pStyle w:val="Style26"/>
        <w:keepNext w:val="0"/>
        <w:keepLines w:val="0"/>
        <w:widowControl w:val="0"/>
        <w:shd w:val="clear" w:color="auto" w:fill="auto"/>
        <w:tabs>
          <w:tab w:pos="734" w:val="left"/>
        </w:tabs>
        <w:bidi w:val="0"/>
        <w:spacing w:before="0" w:after="380" w:line="313" w:lineRule="exact"/>
        <w:ind w:left="0" w:right="0" w:firstLine="380"/>
        <w:jc w:val="both"/>
      </w:pPr>
      <w:bookmarkStart w:id="794" w:name="bookmark794"/>
      <w:r>
        <w:rPr>
          <w:rFonts w:ascii="Times New Roman" w:eastAsia="Times New Roman" w:hAnsi="Times New Roman" w:cs="Times New Roman"/>
          <w:color w:val="000000"/>
          <w:spacing w:val="0"/>
          <w:w w:val="100"/>
          <w:position w:val="0"/>
          <w:sz w:val="18"/>
          <w:szCs w:val="18"/>
        </w:rPr>
        <w:t>2</w:t>
      </w:r>
      <w:bookmarkEnd w:id="794"/>
      <w:r>
        <w:rPr>
          <w:color w:val="000000"/>
          <w:spacing w:val="0"/>
          <w:w w:val="100"/>
          <w:position w:val="0"/>
        </w:rPr>
        <w:t>、</w:t>
        <w:tab/>
        <w:t>与收益相关的政府补助</w:t>
      </w:r>
    </w:p>
    <w:p>
      <w:pPr>
        <w:pStyle w:val="Style33"/>
        <w:keepNext/>
        <w:keepLines/>
        <w:widowControl w:val="0"/>
        <w:shd w:val="clear" w:color="auto" w:fill="auto"/>
        <w:tabs>
          <w:tab w:pos="478" w:val="left"/>
        </w:tabs>
        <w:bidi w:val="0"/>
        <w:spacing w:before="0" w:after="28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795"/>
      <w:bookmarkEnd w:id="796"/>
      <w:bookmarkEnd w:id="798"/>
    </w:p>
    <w:p>
      <w:pPr>
        <w:pStyle w:val="Style2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对于货币性资产的政府补助，按照收到或应收的金额计量。其中，存在确凿证据表明该项补助是按照固定的定额标准拨 付的，可以按照应收的金额计量，否则应当按照实际收到的金额计量。对于非货币性资产的政府补助，按照公允价值计量； 公允价值不能够可靠取得的，按照名义金额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6"/>
        <w:keepNext w:val="0"/>
        <w:keepLines w:val="0"/>
        <w:widowControl w:val="0"/>
        <w:shd w:val="clear" w:color="auto" w:fill="auto"/>
        <w:bidi w:val="0"/>
        <w:spacing w:before="0" w:after="0" w:line="312" w:lineRule="exact"/>
        <w:ind w:left="0" w:right="0" w:firstLine="300"/>
        <w:jc w:val="left"/>
      </w:pPr>
      <w:r>
        <w:rPr>
          <w:color w:val="000000"/>
          <w:spacing w:val="0"/>
          <w:w w:val="100"/>
          <w:position w:val="0"/>
        </w:rPr>
        <w:t>与资产相关的政府补助，确认为递延收益，并在相关资产使用期限内平均分配，计入当期损益。与收益相关的政府补助, 如果用于补偿已发生的相关费用或损失，则计入当期损益；如果用于补偿以后期间的相关费用或损失，则计入递延收益，于 费用确认期间计入当期损益。按照名义金额计量的政府补助，直接计入当期损益。</w:t>
      </w:r>
    </w:p>
    <w:p>
      <w:pPr>
        <w:pStyle w:val="Style26"/>
        <w:keepNext w:val="0"/>
        <w:keepLines w:val="0"/>
        <w:widowControl w:val="0"/>
        <w:shd w:val="clear" w:color="auto" w:fill="auto"/>
        <w:bidi w:val="0"/>
        <w:spacing w:before="0" w:after="280" w:line="312" w:lineRule="exact"/>
        <w:ind w:left="0" w:right="0" w:firstLine="300"/>
        <w:jc w:val="left"/>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3"/>
        <w:keepNext/>
        <w:keepLines/>
        <w:widowControl w:val="0"/>
        <w:shd w:val="clear" w:color="auto" w:fill="auto"/>
        <w:tabs>
          <w:tab w:pos="469" w:val="left"/>
        </w:tabs>
        <w:bidi w:val="0"/>
        <w:spacing w:before="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2</w:t>
      </w:r>
      <w:bookmarkEnd w:id="80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799"/>
      <w:bookmarkEnd w:id="800"/>
      <w:bookmarkEnd w:id="802"/>
    </w:p>
    <w:p>
      <w:pPr>
        <w:pStyle w:val="Style33"/>
        <w:keepNext/>
        <w:keepLines/>
        <w:widowControl w:val="0"/>
        <w:shd w:val="clear" w:color="auto" w:fill="auto"/>
        <w:tabs>
          <w:tab w:pos="478" w:val="left"/>
        </w:tabs>
        <w:bidi w:val="0"/>
        <w:spacing w:before="0" w:after="280" w:line="240" w:lineRule="auto"/>
        <w:ind w:left="0" w:right="0" w:firstLine="0"/>
        <w:jc w:val="left"/>
      </w:pPr>
      <w:bookmarkStart w:id="799" w:name="bookmark799"/>
      <w:bookmarkStart w:id="800" w:name="bookmark800"/>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799"/>
      <w:bookmarkEnd w:id="800"/>
      <w:bookmarkEnd w:id="804"/>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、该交易不是企业合并，并且交易发生时既不影响会计利润也不影响应纳税所得额；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、对于与子公司、合营企 业及联营企业投资相关的可抵扣暂时性差异，同时满足下列条件的，确认相应的递延所得税资产：暂时性差异在可预见的未 来很可能转回，且未来很可能获得用来抵扣可抵扣暂时性差异。</w:t>
      </w:r>
    </w:p>
    <w:p>
      <w:pPr>
        <w:pStyle w:val="Style33"/>
        <w:keepNext/>
        <w:keepLines/>
        <w:widowControl w:val="0"/>
        <w:shd w:val="clear" w:color="auto" w:fill="auto"/>
        <w:tabs>
          <w:tab w:pos="478"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05"/>
      <w:bookmarkEnd w:id="806"/>
      <w:bookmarkEnd w:id="808"/>
    </w:p>
    <w:p>
      <w:pPr>
        <w:pStyle w:val="Style2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各项应纳税暂时性差异均确认相关的递延所得税负债，除非该应纳税暂时性差异是在以下交易中产生的：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、商誉的初 始确认，或者具有以下特征的交易中产生的资产或负债的初始确认：该交易不是企业合并，并且交易发生时，既不影响会计 利润也不影响应纳税所得额。</w:t>
      </w:r>
    </w:p>
    <w:p>
      <w:pPr>
        <w:pStyle w:val="Style33"/>
        <w:keepNext/>
        <w:keepLines/>
        <w:widowControl w:val="0"/>
        <w:shd w:val="clear" w:color="auto" w:fill="auto"/>
        <w:tabs>
          <w:tab w:pos="469" w:val="left"/>
        </w:tabs>
        <w:bidi w:val="0"/>
        <w:spacing w:before="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809"/>
      <w:bookmarkEnd w:id="810"/>
      <w:bookmarkEnd w:id="812"/>
    </w:p>
    <w:p>
      <w:pPr>
        <w:pStyle w:val="Style33"/>
        <w:keepNext/>
        <w:keepLines/>
        <w:widowControl w:val="0"/>
        <w:shd w:val="clear" w:color="auto" w:fill="auto"/>
        <w:tabs>
          <w:tab w:pos="478" w:val="left"/>
        </w:tabs>
        <w:bidi w:val="0"/>
        <w:spacing w:before="0" w:line="240" w:lineRule="auto"/>
        <w:ind w:left="0" w:right="0" w:firstLine="0"/>
        <w:jc w:val="left"/>
      </w:pPr>
      <w:bookmarkStart w:id="809" w:name="bookmark809"/>
      <w:bookmarkStart w:id="810" w:name="bookmark810"/>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09"/>
      <w:bookmarkEnd w:id="810"/>
      <w:bookmarkEnd w:id="814"/>
    </w:p>
    <w:p>
      <w:pPr>
        <w:pStyle w:val="Style26"/>
        <w:keepNext w:val="0"/>
        <w:keepLines w:val="0"/>
        <w:widowControl w:val="0"/>
        <w:numPr>
          <w:ilvl w:val="0"/>
          <w:numId w:val="5"/>
        </w:numPr>
        <w:shd w:val="clear" w:color="auto" w:fill="auto"/>
        <w:tabs>
          <w:tab w:pos="686" w:val="left"/>
        </w:tabs>
        <w:bidi w:val="0"/>
        <w:spacing w:before="0" w:after="100" w:line="360" w:lineRule="auto"/>
        <w:ind w:left="0" w:right="0" w:firstLine="380"/>
        <w:jc w:val="left"/>
      </w:pPr>
      <w:bookmarkStart w:id="815" w:name="bookmark815"/>
      <w:bookmarkEnd w:id="815"/>
      <w:r>
        <w:rPr>
          <w:color w:val="000000"/>
          <w:spacing w:val="0"/>
          <w:w w:val="100"/>
          <w:position w:val="0"/>
        </w:rPr>
        <w:t>本公司作为出租人</w:t>
      </w:r>
    </w:p>
    <w:p>
      <w:pPr>
        <w:pStyle w:val="Style26"/>
        <w:keepNext w:val="0"/>
        <w:keepLines w:val="0"/>
        <w:widowControl w:val="0"/>
        <w:shd w:val="clear" w:color="auto" w:fill="auto"/>
        <w:bidi w:val="0"/>
        <w:spacing w:before="0" w:after="280" w:line="313" w:lineRule="exact"/>
        <w:ind w:left="0" w:right="0" w:firstLine="380"/>
        <w:jc w:val="left"/>
      </w:pPr>
      <w:r>
        <w:rPr>
          <w:color w:val="000000"/>
          <w:spacing w:val="0"/>
          <w:w w:val="100"/>
          <w:position w:val="0"/>
        </w:rPr>
        <w:t>经营租赁中的租金，本公司在租赁期内各个期间按照直线法确认当期损益。发生的初始直接费用，计入当期损益。</w:t>
      </w:r>
    </w:p>
    <w:p>
      <w:pPr>
        <w:pStyle w:val="Style26"/>
        <w:keepNext w:val="0"/>
        <w:keepLines w:val="0"/>
        <w:widowControl w:val="0"/>
        <w:numPr>
          <w:ilvl w:val="0"/>
          <w:numId w:val="5"/>
        </w:numPr>
        <w:shd w:val="clear" w:color="auto" w:fill="auto"/>
        <w:tabs>
          <w:tab w:pos="700" w:val="left"/>
        </w:tabs>
        <w:bidi w:val="0"/>
        <w:spacing w:before="0" w:after="100" w:line="360" w:lineRule="auto"/>
        <w:ind w:left="0" w:right="0" w:firstLine="380"/>
        <w:jc w:val="left"/>
      </w:pPr>
      <w:bookmarkStart w:id="816" w:name="bookmark816"/>
      <w:bookmarkEnd w:id="816"/>
      <w:r>
        <w:rPr>
          <w:color w:val="000000"/>
          <w:spacing w:val="0"/>
          <w:w w:val="100"/>
          <w:position w:val="0"/>
        </w:rPr>
        <w:t>本公司作为承租人</w:t>
      </w:r>
    </w:p>
    <w:p>
      <w:pPr>
        <w:pStyle w:val="Style26"/>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经营租赁中的租金，本公司在租赁期内各个期间按照直线法计入相关资产成本或当期损益。发生的初始直接费用，计入 当期损益。</w:t>
      </w:r>
    </w:p>
    <w:p>
      <w:pPr>
        <w:pStyle w:val="Style33"/>
        <w:keepNext/>
        <w:keepLines/>
        <w:widowControl w:val="0"/>
        <w:shd w:val="clear" w:color="auto" w:fill="auto"/>
        <w:tabs>
          <w:tab w:pos="478"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17"/>
      <w:bookmarkEnd w:id="818"/>
      <w:bookmarkEnd w:id="820"/>
    </w:p>
    <w:p>
      <w:pPr>
        <w:pStyle w:val="Style26"/>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821"/>
      <w:bookmarkEnd w:id="822"/>
      <w:bookmarkEnd w:id="824"/>
    </w:p>
    <w:p>
      <w:pPr>
        <w:pStyle w:val="Style26"/>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3</w:t>
      </w:r>
      <w:bookmarkEnd w:id="827"/>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825"/>
      <w:bookmarkEnd w:id="826"/>
      <w:bookmarkEnd w:id="828"/>
    </w:p>
    <w:p>
      <w:pPr>
        <w:pStyle w:val="Style33"/>
        <w:keepNext/>
        <w:keepLines/>
        <w:widowControl w:val="0"/>
        <w:shd w:val="clear" w:color="auto" w:fill="auto"/>
        <w:tabs>
          <w:tab w:pos="478" w:val="left"/>
        </w:tabs>
        <w:bidi w:val="0"/>
        <w:spacing w:before="0" w:after="280" w:line="240" w:lineRule="auto"/>
        <w:ind w:left="0" w:right="0" w:firstLine="0"/>
        <w:jc w:val="left"/>
      </w:pPr>
      <w:bookmarkStart w:id="825" w:name="bookmark825"/>
      <w:bookmarkStart w:id="826" w:name="bookmark826"/>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825"/>
      <w:bookmarkEnd w:id="826"/>
      <w:bookmarkEnd w:id="830"/>
    </w:p>
    <w:p>
      <w:pPr>
        <w:pStyle w:val="Style26"/>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831"/>
      <w:bookmarkEnd w:id="832"/>
      <w:bookmarkEnd w:id="834"/>
    </w:p>
    <w:p>
      <w:pPr>
        <w:pStyle w:val="Style26"/>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3</w:t>
      </w:r>
      <w:bookmarkEnd w:id="837"/>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835"/>
      <w:bookmarkEnd w:id="836"/>
      <w:bookmarkEnd w:id="838"/>
    </w:p>
    <w:p>
      <w:pPr>
        <w:pStyle w:val="Style26"/>
        <w:keepNext w:val="0"/>
        <w:keepLines w:val="0"/>
        <w:widowControl w:val="0"/>
        <w:shd w:val="clear" w:color="auto" w:fill="auto"/>
        <w:bidi w:val="0"/>
        <w:spacing w:before="0" w:after="380" w:line="341" w:lineRule="exact"/>
        <w:ind w:left="0" w:right="0" w:firstLine="38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3</w:t>
      </w:r>
      <w:bookmarkEnd w:id="841"/>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839"/>
      <w:bookmarkEnd w:id="840"/>
      <w:bookmarkEnd w:id="842"/>
    </w:p>
    <w:p>
      <w:pPr>
        <w:pStyle w:val="Style26"/>
        <w:keepNext w:val="0"/>
        <w:keepLines w:val="0"/>
        <w:widowControl w:val="0"/>
        <w:shd w:val="clear" w:color="auto" w:fill="auto"/>
        <w:bidi w:val="0"/>
        <w:spacing w:before="0" w:after="380" w:line="341" w:lineRule="exact"/>
        <w:ind w:left="0" w:right="0" w:firstLine="380"/>
        <w:jc w:val="left"/>
      </w:pPr>
      <w:r>
        <w:rPr>
          <w:color w:val="000000"/>
          <w:spacing w:val="0"/>
          <w:w w:val="100"/>
          <w:position w:val="0"/>
        </w:rPr>
        <w:t>无。</w:t>
      </w:r>
    </w:p>
    <w:p>
      <w:pPr>
        <w:pStyle w:val="Style33"/>
        <w:keepNext/>
        <w:keepLines/>
        <w:widowControl w:val="0"/>
        <w:shd w:val="clear" w:color="auto" w:fill="auto"/>
        <w:tabs>
          <w:tab w:pos="469" w:val="left"/>
        </w:tabs>
        <w:bidi w:val="0"/>
        <w:spacing w:before="0" w:after="24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3</w:t>
      </w:r>
      <w:bookmarkEnd w:id="845"/>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843"/>
      <w:bookmarkEnd w:id="844"/>
      <w:bookmarkEnd w:id="846"/>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本报告期主要会计政策、会计估计未发生变更。</w:t>
      </w:r>
    </w:p>
    <w:p>
      <w:pPr>
        <w:pStyle w:val="Style33"/>
        <w:keepNext/>
        <w:keepLines/>
        <w:widowControl w:val="0"/>
        <w:shd w:val="clear" w:color="auto" w:fill="auto"/>
        <w:tabs>
          <w:tab w:pos="478" w:val="left"/>
        </w:tabs>
        <w:bidi w:val="0"/>
        <w:spacing w:before="0" w:after="24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47"/>
      <w:bookmarkEnd w:id="848"/>
      <w:bookmarkEnd w:id="850"/>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本报告期主要会计政策是否变更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本报告期主要会计政策未发生变更。</w:t>
      </w:r>
    </w:p>
    <w:p>
      <w:pPr>
        <w:pStyle w:val="Style33"/>
        <w:keepNext/>
        <w:keepLines/>
        <w:widowControl w:val="0"/>
        <w:shd w:val="clear" w:color="auto" w:fill="auto"/>
        <w:tabs>
          <w:tab w:pos="478" w:val="left"/>
        </w:tabs>
        <w:bidi w:val="0"/>
        <w:spacing w:before="0" w:after="24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51"/>
      <w:bookmarkEnd w:id="852"/>
      <w:bookmarkEnd w:id="854"/>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41" w:lineRule="exact"/>
        <w:ind w:left="0" w:right="0" w:firstLine="240"/>
        <w:jc w:val="left"/>
      </w:pPr>
      <w:r>
        <w:rPr>
          <w:color w:val="000000"/>
          <w:spacing w:val="0"/>
          <w:w w:val="100"/>
          <w:position w:val="0"/>
        </w:rPr>
        <w:t>本报告期主要会计估计未发生变更。</w:t>
      </w:r>
    </w:p>
    <w:p>
      <w:pPr>
        <w:pStyle w:val="Style33"/>
        <w:keepNext/>
        <w:keepLines/>
        <w:widowControl w:val="0"/>
        <w:shd w:val="clear" w:color="auto" w:fill="auto"/>
        <w:tabs>
          <w:tab w:pos="469" w:val="left"/>
        </w:tabs>
        <w:bidi w:val="0"/>
        <w:spacing w:before="0" w:after="24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3</w:t>
      </w:r>
      <w:bookmarkEnd w:id="857"/>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855"/>
      <w:bookmarkEnd w:id="856"/>
      <w:bookmarkEnd w:id="858"/>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341" w:lineRule="exact"/>
        <w:ind w:left="0" w:right="0" w:firstLine="240"/>
        <w:jc w:val="left"/>
      </w:pPr>
      <w:r>
        <w:rPr>
          <w:color w:val="000000"/>
          <w:spacing w:val="0"/>
          <w:w w:val="100"/>
          <w:position w:val="0"/>
        </w:rPr>
        <w:t>本报告期未发现前期会计差错。</w:t>
      </w:r>
    </w:p>
    <w:p>
      <w:pPr>
        <w:pStyle w:val="Style33"/>
        <w:keepNext/>
        <w:keepLines/>
        <w:widowControl w:val="0"/>
        <w:shd w:val="clear" w:color="auto" w:fill="auto"/>
        <w:tabs>
          <w:tab w:pos="478" w:val="left"/>
        </w:tabs>
        <w:bidi w:val="0"/>
        <w:spacing w:before="0" w:after="24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59"/>
      <w:bookmarkEnd w:id="860"/>
      <w:bookmarkEnd w:id="862"/>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78" w:val="left"/>
        </w:tabs>
        <w:bidi w:val="0"/>
        <w:spacing w:before="0" w:after="24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63"/>
      <w:bookmarkEnd w:id="864"/>
      <w:bookmarkEnd w:id="866"/>
    </w:p>
    <w:p>
      <w:pPr>
        <w:pStyle w:val="Style26"/>
        <w:keepNext w:val="0"/>
        <w:keepLines w:val="0"/>
        <w:widowControl w:val="0"/>
        <w:shd w:val="clear" w:color="auto" w:fill="auto"/>
        <w:bidi w:val="0"/>
        <w:spacing w:before="0" w:after="320" w:line="346"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3"/>
        <w:keepNext/>
        <w:keepLines/>
        <w:widowControl w:val="0"/>
        <w:shd w:val="clear" w:color="auto" w:fill="auto"/>
        <w:bidi w:val="0"/>
        <w:spacing w:before="0" w:after="40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3</w:t>
      </w:r>
      <w:bookmarkEnd w:id="869"/>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867"/>
      <w:bookmarkEnd w:id="868"/>
      <w:bookmarkEnd w:id="870"/>
    </w:p>
    <w:p>
      <w:pPr>
        <w:pStyle w:val="Style26"/>
        <w:keepNext w:val="0"/>
        <w:keepLines w:val="0"/>
        <w:widowControl w:val="0"/>
        <w:shd w:val="clear" w:color="auto" w:fill="auto"/>
        <w:bidi w:val="0"/>
        <w:spacing w:before="0" w:after="400" w:line="240" w:lineRule="auto"/>
        <w:ind w:left="0" w:right="0" w:firstLine="380"/>
        <w:jc w:val="both"/>
      </w:pPr>
      <w:r>
        <w:rPr>
          <w:color w:val="000000"/>
          <w:spacing w:val="0"/>
          <w:w w:val="100"/>
          <w:position w:val="0"/>
        </w:rPr>
        <w:t>无。</w:t>
      </w:r>
    </w:p>
    <w:p>
      <w:pPr>
        <w:pStyle w:val="Style28"/>
        <w:keepNext/>
        <w:keepLines/>
        <w:widowControl w:val="0"/>
        <w:shd w:val="clear" w:color="auto" w:fill="auto"/>
        <w:bidi w:val="0"/>
        <w:spacing w:before="0" w:after="34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五</w:t>
      </w:r>
      <w:bookmarkEnd w:id="873"/>
      <w:r>
        <w:rPr>
          <w:color w:val="000000"/>
          <w:spacing w:val="0"/>
          <w:w w:val="100"/>
          <w:position w:val="0"/>
        </w:rPr>
        <w:t>、税项</w:t>
      </w:r>
      <w:bookmarkEnd w:id="871"/>
      <w:bookmarkEnd w:id="872"/>
      <w:bookmarkEnd w:id="874"/>
    </w:p>
    <w:p>
      <w:pPr>
        <w:pStyle w:val="Style33"/>
        <w:keepNext/>
        <w:keepLines/>
        <w:widowControl w:val="0"/>
        <w:shd w:val="clear" w:color="auto" w:fill="auto"/>
        <w:bidi w:val="0"/>
        <w:spacing w:before="0" w:after="34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color w:val="000000"/>
          <w:spacing w:val="0"/>
          <w:w w:val="100"/>
          <w:position w:val="0"/>
        </w:rPr>
        <w:t>、公司主要税种和税率</w:t>
      </w:r>
      <w:bookmarkEnd w:id="875"/>
      <w:bookmarkEnd w:id="876"/>
      <w:bookmarkEnd w:id="878"/>
    </w:p>
    <w:tbl>
      <w:tblPr>
        <w:tblOverlap w:val="never"/>
        <w:jc w:val="center"/>
        <w:tblLayout w:type="fixed"/>
      </w:tblPr>
      <w:tblGrid>
        <w:gridCol w:w="3518"/>
        <w:gridCol w:w="3024"/>
        <w:gridCol w:w="303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技术服务等劳务收入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价格调控基金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59" w:line="1" w:lineRule="exact"/>
      </w:pPr>
    </w:p>
    <w:p>
      <w:pPr>
        <w:widowControl w:val="0"/>
        <w:spacing w:line="1" w:lineRule="exact"/>
      </w:pPr>
    </w:p>
    <w:tbl>
      <w:tblPr>
        <w:tblOverlap w:val="never"/>
        <w:jc w:val="center"/>
        <w:tblLayout w:type="fixed"/>
      </w:tblPr>
      <w:tblGrid>
        <w:gridCol w:w="4690"/>
        <w:gridCol w:w="4690"/>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易联众信息技术股份有限公司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安徽易联众信息技术有限公司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山西易联众信息技术有限公司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福建易联众软件系统开发有限公司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福建易联众信息技术有限公司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福建易联众电子科技有限公司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大连易联众科技有限公司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中职动力（北京）科技有限公司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湖南易联众信息技术有限公司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广东易联众计算机技术有限公司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广西易联众信息技术有限公司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北京易联众信息技术有限公司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陕西易联众信息技术有限公司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619" w:line="1" w:lineRule="exact"/>
      </w:pPr>
    </w:p>
    <w:p>
      <w:pPr>
        <w:pStyle w:val="Style33"/>
        <w:keepNext/>
        <w:keepLines/>
        <w:widowControl w:val="0"/>
        <w:shd w:val="clear" w:color="auto" w:fill="auto"/>
        <w:bidi w:val="0"/>
        <w:spacing w:before="0" w:after="28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color w:val="000000"/>
          <w:spacing w:val="0"/>
          <w:w w:val="100"/>
          <w:position w:val="0"/>
        </w:rPr>
        <w:t>、税收优惠及批文</w:t>
      </w:r>
      <w:bookmarkEnd w:id="879"/>
      <w:bookmarkEnd w:id="880"/>
      <w:bookmarkEnd w:id="882"/>
    </w:p>
    <w:p>
      <w:pPr>
        <w:pStyle w:val="Style26"/>
        <w:keepNext w:val="0"/>
        <w:keepLines w:val="0"/>
        <w:widowControl w:val="0"/>
        <w:shd w:val="clear" w:color="auto" w:fill="auto"/>
        <w:bidi w:val="0"/>
        <w:spacing w:before="0" w:after="0" w:line="318" w:lineRule="exact"/>
        <w:ind w:left="0" w:right="0" w:firstLine="30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文《财政部国家税务总局关于软件产品增值税政策的通知》的规定，自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本公司及子公司销售自行开发生产的软件产品，按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 即征即退政策。</w:t>
      </w:r>
    </w:p>
    <w:p>
      <w:pPr>
        <w:pStyle w:val="Style26"/>
        <w:keepNext w:val="0"/>
        <w:keepLines w:val="0"/>
        <w:widowControl w:val="0"/>
        <w:shd w:val="clear" w:color="auto" w:fill="auto"/>
        <w:bidi w:val="0"/>
        <w:spacing w:before="0" w:after="0" w:line="318" w:lineRule="exact"/>
        <w:ind w:left="0" w:right="0" w:firstLine="30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：根据财政部和国家税务总局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财税字</w:t>
      </w:r>
      <w:r>
        <w:rPr>
          <w:rFonts w:ascii="Times New Roman" w:eastAsia="Times New Roman" w:hAnsi="Times New Roman" w:cs="Times New Roman"/>
          <w:color w:val="000000"/>
          <w:spacing w:val="0"/>
          <w:w w:val="100"/>
          <w:position w:val="0"/>
          <w:sz w:val="18"/>
          <w:szCs w:val="18"/>
        </w:rPr>
        <w:t>[1999]273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文《关于贯彻落实〈中共中央国务院关于加强技术创新，发展 高科技，实现产业化的决定〉有关税收问题的通知》，从事技术转让、技术开发业务和与之相关的技术咨询、技术服务业务 </w:t>
      </w:r>
      <w:r>
        <w:rPr>
          <w:color w:val="000000"/>
          <w:spacing w:val="0"/>
          <w:w w:val="100"/>
          <w:position w:val="0"/>
        </w:rPr>
        <w:t>取得的收入，免征营业税。本公司及子公司的技术开发、技术转让收入免征营业税。</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：根据财政部和国家税务总局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文《关于在北京等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省市开展交通运输业和部分现代服务业营业 税改征增值税试点的通知》，本公司以及在相关试点地区的子公司，自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日起，技术服务等劳务收入由缴纳营业 税改为缴纳增值税，适用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的税率。</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：价格调控基金、河道管理费为本公司下属子公司根据其所在地的税收政策需要交纳的流转税附加。</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日被厦门市科学技术局等相关部门认定为高新技术企业，根据《中华人民共和国企业所得 税法》及相关法规规定，本公司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：本公司控股子公司安徽易联众信息技术有限公司（以下简称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安徽易联众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日被安徽省科学技术 厅等相关部门认定为高新技术企业。根据《中华人民共和国企业所得税法》及相关法规规定，安徽易联众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年减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：本公司全资子公司山西易联众信息技术有限公司（以下简称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山西易联众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日被山西省科学技术 厅等相关部门认定为高新技术企业。根据《中华人民共和国企业所得税法》及相关法规规定，山西易联众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年减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：本公司全资子公司福建易联众软件系统开发有限公司（以下简称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日被福建省科学技 术厅等相关部门认定为高新技术企业。根据《中华人民共和国企业所得税法》及相关法规规定，福建开发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年减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[2008]1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文《财政部、国家税务总局关于企业所得税若干优惠政策的通知》的有关规定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 办软件生产企业经认定后，自获利年度起，第一年和第二年免缴企业所得税，第三年至第五年减半征收企业所得税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司控股子公司福建易联众电子科技有限公司（以下简称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福建电子科技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月经福建省信息化局认定为软件生产企业，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年为第二个获利年度，免缴企业所得税。</w:t>
      </w:r>
    </w:p>
    <w:p>
      <w:pPr>
        <w:pStyle w:val="Style26"/>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文《财政部、国家税务总局关于进一步鼓励软件产业和集成电路产业发展企业所得税政 策的通知》的有关规定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我国境内新办软件生产企业经认定后，自获利年度起，第一年和第二年免缴企业所得税，第三年至 第五年减半征收企业所得税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，本公司控股子公司湖南易联众信息技术有限公司（以下简称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湖南易联众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月经湖 南省经济和信息化委员会认定为软件生产企业，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年为第二个获利年度，免缴企业所得税。</w:t>
      </w:r>
    </w:p>
    <w:p>
      <w:pPr>
        <w:pStyle w:val="Style33"/>
        <w:keepNext/>
        <w:keepLines/>
        <w:widowControl w:val="0"/>
        <w:shd w:val="clear" w:color="auto" w:fill="auto"/>
        <w:bidi w:val="0"/>
        <w:spacing w:before="0" w:after="2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color w:val="000000"/>
          <w:spacing w:val="0"/>
          <w:w w:val="100"/>
          <w:position w:val="0"/>
        </w:rPr>
        <w:t>、其他说明</w:t>
      </w:r>
      <w:bookmarkEnd w:id="883"/>
      <w:bookmarkEnd w:id="884"/>
      <w:bookmarkEnd w:id="886"/>
    </w:p>
    <w:p>
      <w:pPr>
        <w:pStyle w:val="Style26"/>
        <w:keepNext w:val="0"/>
        <w:keepLines w:val="0"/>
        <w:widowControl w:val="0"/>
        <w:shd w:val="clear" w:color="auto" w:fill="auto"/>
        <w:bidi w:val="0"/>
        <w:spacing w:before="0" w:after="380" w:line="313" w:lineRule="exact"/>
        <w:ind w:left="0" w:right="0" w:firstLine="16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六</w:t>
      </w:r>
      <w:bookmarkEnd w:id="889"/>
      <w:r>
        <w:rPr>
          <w:color w:val="000000"/>
          <w:spacing w:val="0"/>
          <w:w w:val="100"/>
          <w:position w:val="0"/>
        </w:rPr>
        <w:t>、企业合并及合并财务报表</w:t>
      </w:r>
      <w:bookmarkEnd w:id="887"/>
      <w:bookmarkEnd w:id="888"/>
      <w:bookmarkEnd w:id="890"/>
    </w:p>
    <w:p>
      <w:pPr>
        <w:pStyle w:val="Style33"/>
        <w:keepNext/>
        <w:keepLines/>
        <w:widowControl w:val="0"/>
        <w:shd w:val="clear" w:color="auto" w:fill="auto"/>
        <w:bidi w:val="0"/>
        <w:spacing w:before="0" w:line="240" w:lineRule="auto"/>
        <w:ind w:left="0" w:right="0" w:firstLine="0"/>
        <w:jc w:val="left"/>
      </w:pPr>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891"/>
      <w:bookmarkEnd w:id="892"/>
      <w:bookmarkEnd w:id="893"/>
    </w:p>
    <w:p>
      <w:pPr>
        <w:pStyle w:val="Style33"/>
        <w:keepNext/>
        <w:keepLines/>
        <w:widowControl w:val="0"/>
        <w:shd w:val="clear" w:color="auto" w:fill="auto"/>
        <w:bidi w:val="0"/>
        <w:spacing w:before="0" w:after="280" w:line="240" w:lineRule="auto"/>
        <w:ind w:left="0" w:right="0" w:firstLine="0"/>
        <w:jc w:val="left"/>
      </w:pPr>
      <w:bookmarkStart w:id="891" w:name="bookmark891"/>
      <w:bookmarkStart w:id="892" w:name="bookmark892"/>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891"/>
      <w:bookmarkEnd w:id="892"/>
      <w:bookmarkEnd w:id="895"/>
    </w:p>
    <w:p>
      <w:pPr>
        <w:pStyle w:val="Style26"/>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256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 本期亏</w:t>
            </w: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损超过 少数股 东在该 子公司 年初所 有者权 益中所 享有份 额后的 余额</w:t>
            </w:r>
          </w:p>
        </w:tc>
      </w:tr>
      <w:tr>
        <w:trPr>
          <w:trHeight w:val="50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安徽易 联众信 息技术 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 发及应 用系统 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 生产及 销售计 算机软 件、硬 件、应 用系统 集成， 网络通 信产 品；计 算机及 通讯产 品的相 关技术 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山西易 联众信 息技术 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 发及应 用系统 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件的开 发；计 算机系 统集成 及综合 布线， 计算机 维修； 计算机 技术咨 询、技 术服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 联众软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发及应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开发计 算机软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3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件系统 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用系统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件产 品，应 用系统 集成， 提供相 关的技 术咨 询、技 术培训 及技术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福州易 联众信 息技术 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 发及应 用系统 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 生产计 算机软 件产 品；应 用系统 集成； 销售计 算机硬 件和外 部设备 及提供 相关的 技术咨 询、技 术服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 联众电 子科技 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 发及应 用系统 集成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轨道交 通技术 产品的 设计、 检测与 销售、 计算机 软件、 硬件技 术开 发、应 用系统 集成； 网络通 讯产 品、通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讯器材</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无线发 射装 置、卫 星地面 接收设 施）、 电子产 品以及 配套设 备的开 发及咨 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湖南易 联众信 息技术 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 发及应 用系统 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件、应 用系统 集成、 网络通 信产品 的开 发、生 成；网 络工 程、综 合布线 工程的 施工及 相关技 术服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广西易 联众信 息技术 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 卡、银 行卡研 发生 产、软 件开发 及应用 系统集 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 设计和 生产智 能卡、 银行 卡；销 售智能 卡；开 发、生 产计算 机软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件、硬 件；应 用系统 集成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 联众计 算机技 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 发及应 用系统 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 开发计 算机软 件、硬 件、应 用系统 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北京易 联众信 息技术 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 发及应 用系统 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技术推 广服 务、软 件设 计、生 产计算 机软硬 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陕西易 联众信 息技术 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软件开 发及应 用系统 集成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 软硬件 的开 发、生 产、技 术咨询 与服 务；系 统集 成；网 络通信 产品销 售；综 合布 线、网 络工程 施工； 自营和 代理各 类商品 和技术 的进出 口业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204,531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6"/>
        <w:gridCol w:w="682"/>
        <w:gridCol w:w="682"/>
        <w:gridCol w:w="682"/>
        <w:gridCol w:w="686"/>
        <w:gridCol w:w="682"/>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9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中职动 力(北 京)科 技有限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培训及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 术咨 询、技 术服 务、技 术推 广；计 算机技 术培 训；计 算机系 统服 务；设 计、制 作、代 理、发 布广 告；销 售计算 机、软 件及辅 助设 备；企 业策 划、设 计、会 议服 务；承 办展 览、展 示活 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361,220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79" w:line="1" w:lineRule="exact"/>
      </w:pPr>
    </w:p>
    <w:p>
      <w:pPr>
        <w:pStyle w:val="Style33"/>
        <w:keepNext/>
        <w:keepLines/>
        <w:widowControl w:val="0"/>
        <w:numPr>
          <w:ilvl w:val="0"/>
          <w:numId w:val="7"/>
        </w:numPr>
        <w:shd w:val="clear" w:color="auto" w:fill="auto"/>
        <w:tabs>
          <w:tab w:pos="478" w:val="left"/>
        </w:tabs>
        <w:bidi w:val="0"/>
        <w:spacing w:before="0" w:line="240" w:lineRule="auto"/>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同一控制下企业合并取得的子公司</w:t>
      </w:r>
      <w:bookmarkEnd w:id="896"/>
      <w:bookmarkEnd w:id="897"/>
      <w:bookmarkEnd w:id="899"/>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numPr>
          <w:ilvl w:val="0"/>
          <w:numId w:val="7"/>
        </w:numPr>
        <w:shd w:val="clear" w:color="auto" w:fill="auto"/>
        <w:tabs>
          <w:tab w:pos="478" w:val="left"/>
        </w:tabs>
        <w:bidi w:val="0"/>
        <w:spacing w:before="0" w:line="240" w:lineRule="auto"/>
        <w:ind w:left="0" w:right="0" w:firstLine="0"/>
        <w:jc w:val="left"/>
      </w:pPr>
      <w:bookmarkStart w:id="900" w:name="bookmark900"/>
      <w:bookmarkStart w:id="901" w:name="bookmark901"/>
      <w:bookmarkStart w:id="902" w:name="bookmark902"/>
      <w:bookmarkStart w:id="903" w:name="bookmark903"/>
      <w:bookmarkEnd w:id="902"/>
      <w:r>
        <w:rPr>
          <w:color w:val="000000"/>
          <w:spacing w:val="0"/>
          <w:w w:val="100"/>
          <w:position w:val="0"/>
        </w:rPr>
        <w:t>非同一控制下企业合并取得的子公司</w:t>
      </w:r>
      <w:bookmarkEnd w:id="900"/>
      <w:bookmarkEnd w:id="901"/>
      <w:bookmarkEnd w:id="903"/>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368" w:val="left"/>
        </w:tabs>
        <w:bidi w:val="0"/>
        <w:spacing w:before="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color w:val="000000"/>
          <w:spacing w:val="0"/>
          <w:w w:val="100"/>
          <w:position w:val="0"/>
        </w:rPr>
        <w:t>、</w:t>
        <w:tab/>
        <w:t>特殊目的主体或通过受托经营或承租等方式形成控制权的经营实体</w:t>
      </w:r>
      <w:bookmarkEnd w:id="904"/>
      <w:bookmarkEnd w:id="905"/>
      <w:bookmarkEnd w:id="907"/>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26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color w:val="000000"/>
          <w:spacing w:val="0"/>
          <w:w w:val="100"/>
          <w:position w:val="0"/>
        </w:rPr>
        <w:t>、</w:t>
        <w:tab/>
        <w:t>合并范围发生变更的说明</w:t>
      </w:r>
      <w:bookmarkEnd w:id="908"/>
      <w:bookmarkEnd w:id="909"/>
      <w:bookmarkEnd w:id="91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合并报表范围发生变更说明</w:t>
      </w:r>
    </w:p>
    <w:p>
      <w:pPr>
        <w:pStyle w:val="Style26"/>
        <w:keepNext w:val="0"/>
        <w:keepLines w:val="0"/>
        <w:widowControl w:val="0"/>
        <w:shd w:val="clear" w:color="auto" w:fill="auto"/>
        <w:bidi w:val="0"/>
        <w:spacing w:before="0" w:after="380" w:line="312" w:lineRule="exact"/>
        <w:ind w:left="0" w:right="0" w:firstLine="240"/>
        <w:jc w:val="left"/>
      </w:pPr>
      <w:r>
        <w:rPr>
          <w:color w:val="000000"/>
          <w:spacing w:val="0"/>
          <w:w w:val="100"/>
          <w:position w:val="0"/>
        </w:rPr>
        <w:t>本年新纳入合并范围内的子公司：陕西易联众信息技术有限公司；本年不再纳入合并范围内的子公司：大连易联众科技 有限公司。</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26"/>
        <w:keepNext w:val="0"/>
        <w:keepLines w:val="0"/>
        <w:widowControl w:val="0"/>
        <w:shd w:val="clear" w:color="auto" w:fill="auto"/>
        <w:bidi w:val="0"/>
        <w:spacing w:before="0" w:after="0" w:line="36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年通过投资设立子公司：陕西易联众信息技术有限公司。</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w:t>
      </w:r>
    </w:p>
    <w:p>
      <w:pPr>
        <w:pStyle w:val="Style26"/>
        <w:keepNext w:val="0"/>
        <w:keepLines w:val="0"/>
        <w:widowControl w:val="0"/>
        <w:shd w:val="clear" w:color="auto" w:fill="auto"/>
        <w:bidi w:val="0"/>
        <w:spacing w:before="0" w:after="260" w:line="360" w:lineRule="auto"/>
        <w:ind w:left="0" w:right="0" w:firstLine="2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年通过注销登记子公司：大连易联众科技有限公司。</w:t>
      </w:r>
    </w:p>
    <w:p>
      <w:pPr>
        <w:pStyle w:val="Style33"/>
        <w:keepNext/>
        <w:keepLines/>
        <w:widowControl w:val="0"/>
        <w:shd w:val="clear" w:color="auto" w:fill="auto"/>
        <w:tabs>
          <w:tab w:pos="368" w:val="left"/>
        </w:tabs>
        <w:bidi w:val="0"/>
        <w:spacing w:before="0" w:after="26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4</w:t>
      </w:r>
      <w:bookmarkEnd w:id="914"/>
      <w:r>
        <w:rPr>
          <w:color w:val="000000"/>
          <w:spacing w:val="0"/>
          <w:w w:val="100"/>
          <w:position w:val="0"/>
        </w:rPr>
        <w:t>、</w:t>
        <w:tab/>
        <w:t>报告期内新纳入合并范围的主体和报告期内不再纳入合并范围的主体</w:t>
      </w:r>
      <w:bookmarkEnd w:id="912"/>
      <w:bookmarkEnd w:id="913"/>
      <w:bookmarkEnd w:id="915"/>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681,772.13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-818,227.87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大连易联众科技有限公司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28,967,763.10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160,947.52</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新纳入合并范围的主体和不再纳入合并范围的主体的其他说明</w:t>
      </w:r>
    </w:p>
    <w:p>
      <w:pPr>
        <w:widowControl w:val="0"/>
        <w:spacing w:after="379" w:line="1" w:lineRule="exact"/>
      </w:pPr>
    </w:p>
    <w:p>
      <w:pPr>
        <w:pStyle w:val="Style33"/>
        <w:keepNext/>
        <w:keepLines/>
        <w:widowControl w:val="0"/>
        <w:shd w:val="clear" w:color="auto" w:fill="auto"/>
        <w:tabs>
          <w:tab w:pos="368" w:val="left"/>
        </w:tabs>
        <w:bidi w:val="0"/>
        <w:spacing w:before="0" w:after="26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5</w:t>
      </w:r>
      <w:bookmarkEnd w:id="918"/>
      <w:r>
        <w:rPr>
          <w:color w:val="000000"/>
          <w:spacing w:val="0"/>
          <w:w w:val="100"/>
          <w:position w:val="0"/>
        </w:rPr>
        <w:t>、</w:t>
        <w:tab/>
        <w:t>报告期内发生的同一控制下企业合并</w:t>
      </w:r>
      <w:bookmarkEnd w:id="916"/>
      <w:bookmarkEnd w:id="917"/>
      <w:bookmarkEnd w:id="919"/>
    </w:p>
    <w:p>
      <w:pPr>
        <w:pStyle w:val="Style26"/>
        <w:keepNext w:val="0"/>
        <w:keepLines w:val="0"/>
        <w:widowControl w:val="0"/>
        <w:shd w:val="clear" w:color="auto" w:fill="auto"/>
        <w:bidi w:val="0"/>
        <w:spacing w:before="0" w:after="380" w:line="341" w:lineRule="exact"/>
        <w:ind w:left="0" w:right="0" w:firstLine="38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26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6</w:t>
      </w:r>
      <w:bookmarkEnd w:id="922"/>
      <w:r>
        <w:rPr>
          <w:color w:val="000000"/>
          <w:spacing w:val="0"/>
          <w:w w:val="100"/>
          <w:position w:val="0"/>
        </w:rPr>
        <w:t>、</w:t>
        <w:tab/>
        <w:t>报告期内发生的非同一控制下企业合并</w:t>
      </w:r>
      <w:bookmarkEnd w:id="920"/>
      <w:bookmarkEnd w:id="921"/>
      <w:bookmarkEnd w:id="923"/>
    </w:p>
    <w:p>
      <w:pPr>
        <w:pStyle w:val="Style26"/>
        <w:keepNext w:val="0"/>
        <w:keepLines w:val="0"/>
        <w:widowControl w:val="0"/>
        <w:shd w:val="clear" w:color="auto" w:fill="auto"/>
        <w:bidi w:val="0"/>
        <w:spacing w:before="0" w:after="0" w:line="341" w:lineRule="exact"/>
        <w:ind w:left="0" w:right="0" w:firstLine="380"/>
        <w:jc w:val="left"/>
      </w:pPr>
      <w:r>
        <w:rPr>
          <w:color w:val="000000"/>
          <w:spacing w:val="0"/>
          <w:w w:val="100"/>
          <w:position w:val="0"/>
        </w:rPr>
        <w:t>无。</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3" w:val="left"/>
        </w:tabs>
        <w:bidi w:val="0"/>
        <w:spacing w:before="0" w:after="26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7</w:t>
      </w:r>
      <w:bookmarkEnd w:id="926"/>
      <w:r>
        <w:rPr>
          <w:color w:val="000000"/>
          <w:spacing w:val="0"/>
          <w:w w:val="100"/>
          <w:position w:val="0"/>
        </w:rPr>
        <w:t>、</w:t>
        <w:tab/>
        <w:t>报告期内出售丧失控制权的股权而减少子公司</w:t>
      </w:r>
      <w:bookmarkEnd w:id="924"/>
      <w:bookmarkEnd w:id="925"/>
      <w:bookmarkEnd w:id="927"/>
    </w:p>
    <w:p>
      <w:pPr>
        <w:pStyle w:val="Style26"/>
        <w:keepNext w:val="0"/>
        <w:keepLines w:val="0"/>
        <w:widowControl w:val="0"/>
        <w:shd w:val="clear" w:color="auto" w:fill="auto"/>
        <w:bidi w:val="0"/>
        <w:spacing w:before="0" w:after="140" w:line="341" w:lineRule="exact"/>
        <w:ind w:left="0" w:right="0" w:firstLine="380"/>
        <w:jc w:val="left"/>
      </w:pPr>
      <w:r>
        <w:rPr>
          <w:color w:val="000000"/>
          <w:spacing w:val="0"/>
          <w:w w:val="100"/>
          <w:position w:val="0"/>
        </w:rPr>
        <w:t>无。</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8</w:t>
      </w:r>
      <w:bookmarkEnd w:id="930"/>
      <w:r>
        <w:rPr>
          <w:color w:val="000000"/>
          <w:spacing w:val="0"/>
          <w:w w:val="100"/>
          <w:position w:val="0"/>
        </w:rPr>
        <w:t>、</w:t>
        <w:tab/>
        <w:t>报告期内发生的反向购买</w:t>
      </w:r>
      <w:bookmarkEnd w:id="928"/>
      <w:bookmarkEnd w:id="929"/>
      <w:bookmarkEnd w:id="931"/>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368" w:val="left"/>
        </w:tabs>
        <w:bidi w:val="0"/>
        <w:spacing w:before="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9</w:t>
      </w:r>
      <w:bookmarkEnd w:id="934"/>
      <w:r>
        <w:rPr>
          <w:color w:val="000000"/>
          <w:spacing w:val="0"/>
          <w:w w:val="100"/>
          <w:position w:val="0"/>
        </w:rPr>
        <w:t>、</w:t>
        <w:tab/>
        <w:t>本报告期发生的吸收合并</w:t>
      </w:r>
      <w:bookmarkEnd w:id="932"/>
      <w:bookmarkEnd w:id="933"/>
      <w:bookmarkEnd w:id="935"/>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936"/>
      <w:bookmarkEnd w:id="937"/>
      <w:bookmarkEnd w:id="939"/>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940" w:name="bookmark940"/>
      <w:bookmarkStart w:id="941" w:name="bookmark941"/>
      <w:bookmarkStart w:id="942" w:name="bookmark942"/>
      <w:bookmarkStart w:id="943" w:name="bookmark943"/>
      <w:r>
        <w:rPr>
          <w:color w:val="000000"/>
          <w:spacing w:val="0"/>
          <w:w w:val="100"/>
          <w:position w:val="0"/>
        </w:rPr>
        <w:t>七</w:t>
      </w:r>
      <w:bookmarkEnd w:id="942"/>
      <w:r>
        <w:rPr>
          <w:color w:val="000000"/>
          <w:spacing w:val="0"/>
          <w:w w:val="100"/>
          <w:position w:val="0"/>
        </w:rPr>
        <w:t>、合并财务报表主要项目注释</w:t>
      </w:r>
      <w:bookmarkEnd w:id="940"/>
      <w:bookmarkEnd w:id="941"/>
      <w:bookmarkEnd w:id="943"/>
    </w:p>
    <w:p>
      <w:pPr>
        <w:pStyle w:val="Style33"/>
        <w:keepNext/>
        <w:keepLines/>
        <w:widowControl w:val="0"/>
        <w:shd w:val="clear" w:color="auto" w:fill="auto"/>
        <w:bidi w:val="0"/>
        <w:spacing w:before="0" w:line="240" w:lineRule="auto"/>
        <w:ind w:left="0" w:right="0" w:firstLine="0"/>
        <w:jc w:val="both"/>
      </w:pPr>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4"/>
      <w:bookmarkEnd w:id="945"/>
      <w:bookmarkEnd w:id="94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73,983.97</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171,508.29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73,983.97</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171,508.29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391,817,347.56</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413,717,952.79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391,817,347.56</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413,717,952.79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336,000.00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2,714,402.07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336,000.00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2,714,402.07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392,227,331.53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416,603,863.15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79" w:line="1" w:lineRule="exact"/>
      </w:pPr>
    </w:p>
    <w:p>
      <w:pPr>
        <w:pStyle w:val="Style26"/>
        <w:keepNext w:val="0"/>
        <w:keepLines w:val="0"/>
        <w:widowControl w:val="0"/>
        <w:shd w:val="clear" w:color="auto" w:fill="auto"/>
        <w:bidi w:val="0"/>
        <w:spacing w:before="0" w:after="200" w:line="322"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：银行存款年末余额中包括剩余存款期限在三个月以上的定期存款人民币</w:t>
      </w:r>
      <w:r>
        <w:rPr>
          <w:rFonts w:ascii="Times New Roman" w:eastAsia="Times New Roman" w:hAnsi="Times New Roman" w:cs="Times New Roman"/>
          <w:color w:val="000000"/>
          <w:spacing w:val="0"/>
          <w:w w:val="100"/>
          <w:position w:val="0"/>
          <w:sz w:val="18"/>
          <w:szCs w:val="18"/>
        </w:rPr>
        <w:t>175,182,819.02</w:t>
      </w:r>
      <w:r>
        <w:rPr>
          <w:color w:val="000000"/>
          <w:spacing w:val="0"/>
          <w:w w:val="100"/>
          <w:position w:val="0"/>
        </w:rPr>
        <w:t>元，此部分存款本公司拟 持有至到期，在编制现金流量表时不作为现金及现金等价物。</w:t>
      </w:r>
    </w:p>
    <w:p>
      <w:pPr>
        <w:pStyle w:val="Style26"/>
        <w:keepNext w:val="0"/>
        <w:keepLines w:val="0"/>
        <w:widowControl w:val="0"/>
        <w:shd w:val="clear" w:color="auto" w:fill="auto"/>
        <w:bidi w:val="0"/>
        <w:spacing w:before="0" w:after="200" w:line="319"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：银行存款年末余额中包括预收中国银行股份有限公司漳州分行货款</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万元，该款项存放于本公司在中国银行股 份有限公司漳州分行开立的银行账户，双方约定结算前该款项不能随时用于支付，在编制现金流量表时不作为现金及现金等 价物。</w:t>
      </w:r>
    </w:p>
    <w:p>
      <w:pPr>
        <w:pStyle w:val="Style26"/>
        <w:keepNext w:val="0"/>
        <w:keepLines w:val="0"/>
        <w:widowControl w:val="0"/>
        <w:shd w:val="clear" w:color="auto" w:fill="auto"/>
        <w:bidi w:val="0"/>
        <w:spacing w:before="0" w:after="200" w:line="319"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：银行存款年末余额中包括预收中国银行股份有限公司莆田分行货款</w:t>
      </w:r>
      <w:r>
        <w:rPr>
          <w:rFonts w:ascii="Times New Roman" w:eastAsia="Times New Roman" w:hAnsi="Times New Roman" w:cs="Times New Roman"/>
          <w:color w:val="000000"/>
          <w:spacing w:val="0"/>
          <w:w w:val="100"/>
          <w:position w:val="0"/>
          <w:sz w:val="18"/>
          <w:szCs w:val="18"/>
        </w:rPr>
        <w:t>3,527,500.00</w:t>
      </w:r>
      <w:r>
        <w:rPr>
          <w:color w:val="000000"/>
          <w:spacing w:val="0"/>
          <w:w w:val="100"/>
          <w:position w:val="0"/>
        </w:rPr>
        <w:t>元，该款项存放于本公司在中国 银行股份有限公司莆田分行开立的银行账户，双方约定结算前该款项不能随时用于支付，在编制现金流量表时不作为现金及 现金等价物。</w:t>
      </w:r>
    </w:p>
    <w:p>
      <w:pPr>
        <w:pStyle w:val="Style26"/>
        <w:keepNext w:val="0"/>
        <w:keepLines w:val="0"/>
        <w:widowControl w:val="0"/>
        <w:shd w:val="clear" w:color="auto" w:fill="auto"/>
        <w:bidi w:val="0"/>
        <w:spacing w:before="0" w:after="380" w:line="326"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：其他货币资金年末余额为</w:t>
      </w:r>
      <w:r>
        <w:rPr>
          <w:rFonts w:ascii="Times New Roman" w:eastAsia="Times New Roman" w:hAnsi="Times New Roman" w:cs="Times New Roman"/>
          <w:color w:val="000000"/>
          <w:spacing w:val="0"/>
          <w:w w:val="100"/>
          <w:position w:val="0"/>
          <w:sz w:val="18"/>
          <w:szCs w:val="18"/>
        </w:rPr>
        <w:t>336,000.00</w:t>
      </w:r>
      <w:r>
        <w:rPr>
          <w:color w:val="000000"/>
          <w:spacing w:val="0"/>
          <w:w w:val="100"/>
          <w:position w:val="0"/>
        </w:rPr>
        <w:t>元，主要系银行承兑汇票保证金及保函保证金等，此部分款项不能随时用于 支付，在编制现金流量表时不作为现金及现金等价物。</w:t>
      </w:r>
    </w:p>
    <w:p>
      <w:pPr>
        <w:pStyle w:val="Style26"/>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日止，本公司不存在质押、冻结，或有潜在收回风险的款项。</w:t>
      </w:r>
    </w:p>
    <w:p>
      <w:pPr>
        <w:pStyle w:val="Style33"/>
        <w:keepNext/>
        <w:keepLines/>
        <w:widowControl w:val="0"/>
        <w:shd w:val="clear" w:color="auto" w:fill="auto"/>
        <w:tabs>
          <w:tab w:pos="368" w:val="left"/>
        </w:tabs>
        <w:bidi w:val="0"/>
        <w:spacing w:before="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color w:val="000000"/>
          <w:spacing w:val="0"/>
          <w:w w:val="100"/>
          <w:position w:val="0"/>
        </w:rPr>
        <w:t>、</w:t>
        <w:tab/>
        <w:t>交易性金融资产</w:t>
      </w:r>
      <w:bookmarkEnd w:id="947"/>
      <w:bookmarkEnd w:id="948"/>
      <w:bookmarkEnd w:id="950"/>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368" w:val="left"/>
        </w:tabs>
        <w:bidi w:val="0"/>
        <w:spacing w:before="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color w:val="000000"/>
          <w:spacing w:val="0"/>
          <w:w w:val="100"/>
          <w:position w:val="0"/>
        </w:rPr>
        <w:t>、</w:t>
        <w:tab/>
        <w:t>应收票据</w:t>
      </w:r>
      <w:bookmarkEnd w:id="951"/>
      <w:bookmarkEnd w:id="952"/>
      <w:bookmarkEnd w:id="954"/>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368" w:val="left"/>
        </w:tabs>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4</w:t>
      </w:r>
      <w:bookmarkEnd w:id="957"/>
      <w:r>
        <w:rPr>
          <w:color w:val="000000"/>
          <w:spacing w:val="0"/>
          <w:w w:val="100"/>
          <w:position w:val="0"/>
        </w:rPr>
        <w:t>、</w:t>
        <w:tab/>
        <w:t>应收股利</w:t>
      </w:r>
      <w:bookmarkEnd w:id="955"/>
      <w:bookmarkEnd w:id="956"/>
      <w:bookmarkEnd w:id="958"/>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368" w:val="left"/>
        </w:tabs>
        <w:bidi w:val="0"/>
        <w:spacing w:before="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5</w:t>
      </w:r>
      <w:bookmarkEnd w:id="961"/>
      <w:r>
        <w:rPr>
          <w:color w:val="000000"/>
          <w:spacing w:val="0"/>
          <w:w w:val="100"/>
          <w:position w:val="0"/>
        </w:rPr>
        <w:t>、</w:t>
        <w:tab/>
        <w:t>应收利息</w:t>
      </w:r>
      <w:bookmarkEnd w:id="959"/>
      <w:bookmarkEnd w:id="960"/>
      <w:bookmarkEnd w:id="962"/>
    </w:p>
    <w:p>
      <w:pPr>
        <w:pStyle w:val="Style33"/>
        <w:keepNext/>
        <w:keepLines/>
        <w:widowControl w:val="0"/>
        <w:numPr>
          <w:ilvl w:val="0"/>
          <w:numId w:val="9"/>
        </w:numPr>
        <w:shd w:val="clear" w:color="auto" w:fill="auto"/>
        <w:bidi w:val="0"/>
        <w:spacing w:before="0" w:line="240" w:lineRule="auto"/>
        <w:ind w:left="0" w:right="0" w:firstLine="0"/>
        <w:jc w:val="left"/>
      </w:pPr>
      <w:bookmarkStart w:id="959" w:name="bookmark959"/>
      <w:bookmarkStart w:id="960" w:name="bookmark960"/>
      <w:bookmarkStart w:id="963" w:name="bookmark963"/>
      <w:bookmarkStart w:id="964" w:name="bookmark964"/>
      <w:bookmarkEnd w:id="963"/>
      <w:r>
        <w:rPr>
          <w:color w:val="000000"/>
          <w:spacing w:val="0"/>
          <w:w w:val="100"/>
          <w:position w:val="0"/>
        </w:rPr>
        <w:t>应收利息</w:t>
      </w:r>
      <w:bookmarkEnd w:id="959"/>
      <w:bookmarkEnd w:id="960"/>
      <w:bookmarkEnd w:id="96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1,796,496.57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5,224,045.89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4,519,685.99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2,500,856.47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1,796,496.57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5,224,045.89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4,519,685.99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2,500,856.47</w:t>
            </w:r>
          </w:p>
        </w:tc>
      </w:tr>
    </w:tbl>
    <w:p>
      <w:pPr>
        <w:widowControl w:val="0"/>
        <w:spacing w:after="319" w:line="1" w:lineRule="exact"/>
      </w:pPr>
    </w:p>
    <w:p>
      <w:pPr>
        <w:pStyle w:val="Style33"/>
        <w:keepNext/>
        <w:keepLines/>
        <w:widowControl w:val="0"/>
        <w:numPr>
          <w:ilvl w:val="0"/>
          <w:numId w:val="9"/>
        </w:numPr>
        <w:shd w:val="clear" w:color="auto" w:fill="auto"/>
        <w:bidi w:val="0"/>
        <w:spacing w:before="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逾期利息</w:t>
      </w:r>
      <w:bookmarkEnd w:id="965"/>
      <w:bookmarkEnd w:id="966"/>
      <w:bookmarkEnd w:id="968"/>
    </w:p>
    <w:p>
      <w:pPr>
        <w:pStyle w:val="Style26"/>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3"/>
        <w:keepNext/>
        <w:keepLines/>
        <w:widowControl w:val="0"/>
        <w:numPr>
          <w:ilvl w:val="0"/>
          <w:numId w:val="9"/>
        </w:numPr>
        <w:shd w:val="clear" w:color="auto" w:fill="auto"/>
        <w:bidi w:val="0"/>
        <w:spacing w:before="0" w:line="240" w:lineRule="auto"/>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应收利息的说明</w:t>
      </w:r>
      <w:bookmarkEnd w:id="969"/>
      <w:bookmarkEnd w:id="970"/>
      <w:bookmarkEnd w:id="972"/>
    </w:p>
    <w:p>
      <w:pPr>
        <w:pStyle w:val="Style26"/>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说明：应收利息年末余额较年初余额增加</w:t>
      </w:r>
      <w:r>
        <w:rPr>
          <w:rFonts w:ascii="Tahoma" w:eastAsia="Tahoma" w:hAnsi="Tahoma" w:cs="Tahoma"/>
          <w:color w:val="000000"/>
          <w:spacing w:val="0"/>
          <w:w w:val="100"/>
          <w:position w:val="0"/>
          <w:sz w:val="16"/>
          <w:szCs w:val="16"/>
        </w:rPr>
        <w:t>39.21%</w:t>
      </w:r>
      <w:r>
        <w:rPr>
          <w:color w:val="000000"/>
          <w:spacing w:val="0"/>
          <w:w w:val="100"/>
          <w:position w:val="0"/>
        </w:rPr>
        <w:t>，主要系本年度定期存款至年末未结算期限较长所致。</w:t>
      </w:r>
    </w:p>
    <w:p>
      <w:pPr>
        <w:pStyle w:val="Style33"/>
        <w:keepNext/>
        <w:keepLines/>
        <w:widowControl w:val="0"/>
        <w:shd w:val="clear" w:color="auto" w:fill="auto"/>
        <w:bidi w:val="0"/>
        <w:spacing w:before="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6</w:t>
      </w:r>
      <w:bookmarkEnd w:id="975"/>
      <w:r>
        <w:rPr>
          <w:color w:val="000000"/>
          <w:spacing w:val="0"/>
          <w:w w:val="100"/>
          <w:position w:val="0"/>
        </w:rPr>
        <w:t>、应收账款</w:t>
      </w:r>
      <w:bookmarkEnd w:id="973"/>
      <w:bookmarkEnd w:id="974"/>
      <w:bookmarkEnd w:id="976"/>
    </w:p>
    <w:p>
      <w:pPr>
        <w:pStyle w:val="Style33"/>
        <w:keepNext/>
        <w:keepLines/>
        <w:widowControl w:val="0"/>
        <w:numPr>
          <w:ilvl w:val="0"/>
          <w:numId w:val="11"/>
        </w:numPr>
        <w:shd w:val="clear" w:color="auto" w:fill="auto"/>
        <w:bidi w:val="0"/>
        <w:spacing w:before="0" w:line="240" w:lineRule="auto"/>
        <w:ind w:left="0" w:right="0" w:firstLine="0"/>
        <w:jc w:val="left"/>
      </w:pPr>
      <w:bookmarkStart w:id="973" w:name="bookmark973"/>
      <w:bookmarkStart w:id="974" w:name="bookmark974"/>
      <w:bookmarkStart w:id="977" w:name="bookmark977"/>
      <w:bookmarkStart w:id="978" w:name="bookmark978"/>
      <w:bookmarkEnd w:id="977"/>
      <w:r>
        <w:rPr>
          <w:color w:val="000000"/>
          <w:spacing w:val="0"/>
          <w:w w:val="100"/>
          <w:position w:val="0"/>
        </w:rPr>
        <w:t>应收账款按种类披露</w:t>
      </w:r>
      <w:bookmarkEnd w:id="973"/>
      <w:bookmarkEnd w:id="974"/>
      <w:bookmarkEnd w:id="97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221,972,96</w:t>
            </w:r>
          </w:p>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30,652,192.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212,380,5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24,968,509.7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r>
    </w:tbl>
    <w:p>
      <w:pPr>
        <w:widowControl w:val="0"/>
        <w:spacing w:line="1" w:lineRule="exact"/>
      </w:pPr>
      <w:r>
        <w:br w:type="page"/>
      </w:r>
    </w:p>
    <w:tbl>
      <w:tblPr>
        <w:tblOverlap w:val="never"/>
        <w:jc w:val="center"/>
        <w:tblLayout w:type="fixed"/>
      </w:tblPr>
      <w:tblGrid>
        <w:gridCol w:w="2002"/>
        <w:gridCol w:w="931"/>
        <w:gridCol w:w="931"/>
        <w:gridCol w:w="926"/>
        <w:gridCol w:w="931"/>
        <w:gridCol w:w="797"/>
        <w:gridCol w:w="926"/>
        <w:gridCol w:w="1066"/>
        <w:gridCol w:w="1075"/>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221,972,96</w:t>
            </w:r>
          </w:p>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30,652,192.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212,380,5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24,968,509.7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11.76%</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768,380.00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768,380.0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222,741,34</w:t>
            </w:r>
          </w:p>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31,420,572.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213,148,9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25,736,889.7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145,544,734.41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7,277,236.72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147,029,266.22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7,351,463.31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44,770,432.82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4,477,043.28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40,655,232.67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4,065,523.27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11,190,853.58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2,238,170.72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10,586,505.67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2,117,301.14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20,466,941.28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16,659,741.75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14,109,525.11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11,434,222.06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7,614,399.07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3,807,199.54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5,350,606.11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2,675,303.06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5,344,906.11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5,344,906.11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8,602,159.00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8,602,159.00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7,507,636.10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7,507,636.10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156,760.00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221,972,962.09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30,652,192.47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212,380,529.65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24,968,509.78</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岳阳市劳动信息保障中</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项目变更，收回可能性 小</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邵阳市劳动和社会保障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项目变更，收回可能性</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永州社会劳动保险管理 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129,800.00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项目变更，收回可能性 小</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娄底市社保局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95,080.00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项目变更，收回可能性 小</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湘西自治州社会保险管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理服务局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项目变更，收回可能性 小</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768,380.00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768,380.00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11"/>
        </w:numPr>
        <w:shd w:val="clear" w:color="auto" w:fill="auto"/>
        <w:tabs>
          <w:tab w:pos="478" w:val="left"/>
        </w:tabs>
        <w:bidi w:val="0"/>
        <w:spacing w:before="0" w:after="40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本报告期转回或收回的应收账款情况</w:t>
      </w:r>
      <w:bookmarkEnd w:id="979"/>
      <w:bookmarkEnd w:id="980"/>
      <w:bookmarkEnd w:id="982"/>
    </w:p>
    <w:p>
      <w:pPr>
        <w:pStyle w:val="Style26"/>
        <w:keepNext w:val="0"/>
        <w:keepLines w:val="0"/>
        <w:widowControl w:val="0"/>
        <w:shd w:val="clear" w:color="auto" w:fill="auto"/>
        <w:bidi w:val="0"/>
        <w:spacing w:before="0" w:after="400" w:line="240" w:lineRule="auto"/>
        <w:ind w:left="0" w:right="0"/>
        <w:jc w:val="left"/>
      </w:pPr>
      <w:r>
        <w:rPr>
          <w:color w:val="000000"/>
          <w:spacing w:val="0"/>
          <w:w w:val="100"/>
          <w:position w:val="0"/>
        </w:rPr>
        <w:t>无。</w:t>
      </w:r>
    </w:p>
    <w:p>
      <w:pPr>
        <w:pStyle w:val="Style33"/>
        <w:keepNext/>
        <w:keepLines/>
        <w:widowControl w:val="0"/>
        <w:numPr>
          <w:ilvl w:val="0"/>
          <w:numId w:val="11"/>
        </w:numPr>
        <w:shd w:val="clear" w:color="auto" w:fill="auto"/>
        <w:tabs>
          <w:tab w:pos="478" w:val="left"/>
        </w:tabs>
        <w:bidi w:val="0"/>
        <w:spacing w:before="0" w:after="40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本报告期实际核销的应收账款情况</w:t>
      </w:r>
      <w:bookmarkEnd w:id="983"/>
      <w:bookmarkEnd w:id="984"/>
      <w:bookmarkEnd w:id="986"/>
    </w:p>
    <w:p>
      <w:pPr>
        <w:pStyle w:val="Style26"/>
        <w:keepNext w:val="0"/>
        <w:keepLines w:val="0"/>
        <w:widowControl w:val="0"/>
        <w:shd w:val="clear" w:color="auto" w:fill="auto"/>
        <w:bidi w:val="0"/>
        <w:spacing w:before="0" w:after="400" w:line="240" w:lineRule="auto"/>
        <w:ind w:left="0" w:right="0"/>
        <w:jc w:val="left"/>
      </w:pPr>
      <w:r>
        <w:rPr>
          <w:color w:val="000000"/>
          <w:spacing w:val="0"/>
          <w:w w:val="100"/>
          <w:position w:val="0"/>
        </w:rPr>
        <w:t>无。</w:t>
      </w:r>
    </w:p>
    <w:p>
      <w:pPr>
        <w:pStyle w:val="Style33"/>
        <w:keepNext/>
        <w:keepLines/>
        <w:widowControl w:val="0"/>
        <w:numPr>
          <w:ilvl w:val="0"/>
          <w:numId w:val="11"/>
        </w:numPr>
        <w:shd w:val="clear" w:color="auto" w:fill="auto"/>
        <w:bidi w:val="0"/>
        <w:spacing w:before="0" w:after="40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 xml:space="preserve"> 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87"/>
      <w:bookmarkEnd w:id="988"/>
      <w:bookmarkEnd w:id="990"/>
    </w:p>
    <w:p>
      <w:pPr>
        <w:pStyle w:val="Style26"/>
        <w:keepNext w:val="0"/>
        <w:keepLines w:val="0"/>
        <w:widowControl w:val="0"/>
        <w:shd w:val="clear" w:color="auto" w:fill="auto"/>
        <w:bidi w:val="0"/>
        <w:spacing w:before="0" w:after="400" w:line="240" w:lineRule="auto"/>
        <w:ind w:left="0" w:right="0"/>
        <w:jc w:val="left"/>
      </w:pPr>
      <w:r>
        <w:rPr>
          <w:color w:val="000000"/>
          <w:spacing w:val="0"/>
          <w:w w:val="100"/>
          <w:position w:val="0"/>
        </w:rPr>
        <w:t>无。</w:t>
      </w:r>
    </w:p>
    <w:p>
      <w:pPr>
        <w:pStyle w:val="Style33"/>
        <w:keepNext/>
        <w:keepLines/>
        <w:widowControl w:val="0"/>
        <w:numPr>
          <w:ilvl w:val="0"/>
          <w:numId w:val="11"/>
        </w:numPr>
        <w:shd w:val="clear" w:color="auto" w:fill="auto"/>
        <w:tabs>
          <w:tab w:pos="478" w:val="left"/>
        </w:tabs>
        <w:bidi w:val="0"/>
        <w:spacing w:before="0" w:after="400" w:line="240"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应收账款中金额前五名单位情况</w:t>
      </w:r>
      <w:bookmarkEnd w:id="991"/>
      <w:bookmarkEnd w:id="992"/>
      <w:bookmarkEnd w:id="99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中国农业银行忻州分行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19,089,256.07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4,617,780.10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14,471,475.97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 公司长治潞丰支行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14,955,212.62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12,322,238.50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2,632,974.12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山西省邮政公司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11,523,198.90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中国邮政储蓄银行股份 有限公司山西省分行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7,464,695.40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4,982,312.60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2,482,382.80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安庆市劳动和社会保障 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6,021,445.00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59,053,807.99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bl>
    <w:p>
      <w:pPr>
        <w:pStyle w:val="Style33"/>
        <w:keepNext/>
        <w:keepLines/>
        <w:widowControl w:val="0"/>
        <w:numPr>
          <w:ilvl w:val="0"/>
          <w:numId w:val="11"/>
        </w:numPr>
        <w:shd w:val="clear" w:color="auto" w:fill="auto"/>
        <w:tabs>
          <w:tab w:pos="478" w:val="left"/>
        </w:tabs>
        <w:bidi w:val="0"/>
        <w:spacing w:before="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应收关联方账款情况</w:t>
      </w:r>
      <w:bookmarkEnd w:id="995"/>
      <w:bookmarkEnd w:id="996"/>
      <w:bookmarkEnd w:id="998"/>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numPr>
          <w:ilvl w:val="0"/>
          <w:numId w:val="11"/>
        </w:numPr>
        <w:shd w:val="clear" w:color="auto" w:fill="auto"/>
        <w:tabs>
          <w:tab w:pos="478" w:val="left"/>
        </w:tabs>
        <w:bidi w:val="0"/>
        <w:spacing w:before="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终止确认的应收款项情况</w:t>
      </w:r>
      <w:bookmarkEnd w:id="1000"/>
      <w:bookmarkEnd w:id="1002"/>
      <w:bookmarkEnd w:id="999"/>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numPr>
          <w:ilvl w:val="0"/>
          <w:numId w:val="11"/>
        </w:numPr>
        <w:shd w:val="clear" w:color="auto" w:fill="auto"/>
        <w:tabs>
          <w:tab w:pos="478" w:val="left"/>
        </w:tabs>
        <w:bidi w:val="0"/>
        <w:spacing w:before="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以应收款项为标的进行证券化的，列示继续涉入形成的资产、负债的金额</w:t>
      </w:r>
      <w:bookmarkEnd w:id="1003"/>
      <w:bookmarkEnd w:id="1004"/>
      <w:bookmarkEnd w:id="1006"/>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7</w:t>
      </w:r>
      <w:bookmarkEnd w:id="1009"/>
      <w:r>
        <w:rPr>
          <w:color w:val="000000"/>
          <w:spacing w:val="0"/>
          <w:w w:val="100"/>
          <w:position w:val="0"/>
        </w:rPr>
        <w:t>、其他应收款</w:t>
      </w:r>
      <w:bookmarkEnd w:id="1007"/>
      <w:bookmarkEnd w:id="1008"/>
      <w:bookmarkEnd w:id="1010"/>
    </w:p>
    <w:p>
      <w:pPr>
        <w:pStyle w:val="Style33"/>
        <w:keepNext/>
        <w:keepLines/>
        <w:widowControl w:val="0"/>
        <w:numPr>
          <w:ilvl w:val="0"/>
          <w:numId w:val="13"/>
        </w:numPr>
        <w:shd w:val="clear" w:color="auto" w:fill="auto"/>
        <w:bidi w:val="0"/>
        <w:spacing w:before="0" w:line="240" w:lineRule="auto"/>
        <w:ind w:left="0" w:right="0" w:firstLine="0"/>
        <w:jc w:val="left"/>
      </w:pPr>
      <w:bookmarkStart w:id="1007" w:name="bookmark1007"/>
      <w:bookmarkStart w:id="1008" w:name="bookmark1008"/>
      <w:bookmarkStart w:id="1011" w:name="bookmark1011"/>
      <w:bookmarkStart w:id="1012" w:name="bookmark1012"/>
      <w:bookmarkEnd w:id="1011"/>
      <w:r>
        <w:rPr>
          <w:color w:val="000000"/>
          <w:spacing w:val="0"/>
          <w:w w:val="100"/>
          <w:position w:val="0"/>
        </w:rPr>
        <w:t>其他应收款按种类披露</w:t>
      </w:r>
      <w:bookmarkEnd w:id="1007"/>
      <w:bookmarkEnd w:id="1008"/>
      <w:bookmarkEnd w:id="101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9,126,556.73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3,250,173.23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7,905,169.11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2,642,771.38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9,126,556.73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3,250,173.23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7,905,169.11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2,642,771.38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9,126,556.73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3,250,173.23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7,905,169.11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2,642,771.38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3"/>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3,418,624.00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170,931.20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3,138,420.80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156,921.05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1,401,988.47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140,198.85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1,409,218.92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140,921.89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1,089,838.33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217,967.66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1,071,065.90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214,213.18</w:t>
            </w:r>
          </w:p>
        </w:tc>
      </w:tr>
    </w:tbl>
    <w:p>
      <w:pPr>
        <w:widowControl w:val="0"/>
        <w:spacing w:line="1" w:lineRule="exact"/>
      </w:pPr>
    </w:p>
    <w:tbl>
      <w:tblPr>
        <w:tblOverlap w:val="never"/>
        <w:jc w:val="center"/>
        <w:tblLayout w:type="fixed"/>
      </w:tblPr>
      <w:tblGrid>
        <w:gridCol w:w="1853"/>
        <w:gridCol w:w="1838"/>
        <w:gridCol w:w="658"/>
        <w:gridCol w:w="1450"/>
        <w:gridCol w:w="1450"/>
        <w:gridCol w:w="658"/>
        <w:gridCol w:w="167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3,216,105.93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2,721,075.52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2,286,463.49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2,130,715.26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990,060.83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495,030.42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311,496.47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155,748.24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303,996.47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303,996.47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1,781,928.32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1,781,928.32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1,922,048.63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1,922,048.63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193,038.70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193,038.70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9,126,556.73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3,250,173.23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7,905,169.11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2,642,771.38</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78" w:val="left"/>
        </w:tabs>
        <w:bidi w:val="0"/>
        <w:spacing w:before="0" w:after="40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本报告期转回或收回的其他应收款情况</w:t>
      </w:r>
      <w:bookmarkEnd w:id="1013"/>
      <w:bookmarkEnd w:id="1014"/>
      <w:bookmarkEnd w:id="1016"/>
    </w:p>
    <w:p>
      <w:pPr>
        <w:pStyle w:val="Style26"/>
        <w:keepNext w:val="0"/>
        <w:keepLines w:val="0"/>
        <w:widowControl w:val="0"/>
        <w:shd w:val="clear" w:color="auto" w:fill="auto"/>
        <w:bidi w:val="0"/>
        <w:spacing w:before="0" w:after="400" w:line="240" w:lineRule="auto"/>
        <w:ind w:left="0" w:right="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40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bookmarkEnd w:id="1017"/>
      <w:bookmarkEnd w:id="1018"/>
      <w:bookmarkEnd w:id="1020"/>
    </w:p>
    <w:p>
      <w:pPr>
        <w:pStyle w:val="Style26"/>
        <w:keepNext w:val="0"/>
        <w:keepLines w:val="0"/>
        <w:widowControl w:val="0"/>
        <w:shd w:val="clear" w:color="auto" w:fill="auto"/>
        <w:bidi w:val="0"/>
        <w:spacing w:before="0" w:after="400" w:line="240" w:lineRule="auto"/>
        <w:ind w:left="0" w:right="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4</w:t>
      </w:r>
      <w:r>
        <w:rPr>
          <w:color w:val="000000"/>
          <w:spacing w:val="0"/>
          <w:w w:val="100"/>
          <w:position w:val="0"/>
        </w:rPr>
        <w:t>） 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21"/>
      <w:bookmarkEnd w:id="1022"/>
      <w:bookmarkEnd w:id="1024"/>
    </w:p>
    <w:p>
      <w:pPr>
        <w:pStyle w:val="Style26"/>
        <w:keepNext w:val="0"/>
        <w:keepLines w:val="0"/>
        <w:widowControl w:val="0"/>
        <w:shd w:val="clear" w:color="auto" w:fill="auto"/>
        <w:bidi w:val="0"/>
        <w:spacing w:before="0" w:after="400" w:line="240" w:lineRule="auto"/>
        <w:ind w:left="0" w:right="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40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025"/>
      <w:bookmarkEnd w:id="1026"/>
      <w:bookmarkEnd w:id="1028"/>
    </w:p>
    <w:p>
      <w:pPr>
        <w:pStyle w:val="Style26"/>
        <w:keepNext w:val="0"/>
        <w:keepLines w:val="0"/>
        <w:widowControl w:val="0"/>
        <w:shd w:val="clear" w:color="auto" w:fill="auto"/>
        <w:bidi w:val="0"/>
        <w:spacing w:before="0" w:after="400" w:line="240" w:lineRule="auto"/>
        <w:ind w:left="0" w:right="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40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1029"/>
      <w:bookmarkEnd w:id="1030"/>
      <w:bookmarkEnd w:id="103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福建省机关事业社会保 险局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合肥市政府采购中心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698,143.80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580,325.00 </w:t>
            </w:r>
            <w:r>
              <w:rPr>
                <w:color w:val="000000"/>
                <w:spacing w:val="0"/>
                <w:w w:val="100"/>
                <w:position w:val="0"/>
              </w:rPr>
              <w:t>元；</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117,818.80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中国农业银行龙岩分行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莆田市信辉招标代理有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359,500.00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三明市公共资源交易中</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300,000.00 </w:t>
            </w:r>
            <w:r>
              <w:rPr>
                <w:color w:val="000000"/>
                <w:spacing w:val="0"/>
                <w:w w:val="100"/>
                <w:position w:val="0"/>
              </w:rPr>
              <w:t>元；</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50,000.00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2,837,243.80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w:t>
            </w:r>
          </w:p>
        </w:tc>
      </w:tr>
    </w:tbl>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1033"/>
      <w:bookmarkEnd w:id="1034"/>
      <w:bookmarkEnd w:id="1036"/>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w:t>
      </w:r>
      <w:bookmarkEnd w:id="1039"/>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1037"/>
      <w:bookmarkEnd w:id="1038"/>
      <w:bookmarkEnd w:id="1040"/>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1041"/>
      <w:bookmarkEnd w:id="1042"/>
      <w:bookmarkEnd w:id="1044"/>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579" w:val="left"/>
        </w:tabs>
        <w:bidi w:val="0"/>
        <w:spacing w:before="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10</w:t>
      </w:r>
      <w:r>
        <w:rPr>
          <w:color w:val="000000"/>
          <w:spacing w:val="0"/>
          <w:w w:val="100"/>
          <w:position w:val="0"/>
        </w:rPr>
        <w:t>）</w:t>
        <w:tab/>
        <w:t>报告期末按应收金额确认的政府补助</w:t>
      </w:r>
      <w:bookmarkEnd w:id="1045"/>
      <w:bookmarkEnd w:id="1046"/>
      <w:bookmarkEnd w:id="1048"/>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8</w:t>
      </w:r>
      <w:bookmarkEnd w:id="1051"/>
      <w:r>
        <w:rPr>
          <w:color w:val="000000"/>
          <w:spacing w:val="0"/>
          <w:w w:val="100"/>
          <w:position w:val="0"/>
        </w:rPr>
        <w:t>、预付款项</w:t>
      </w:r>
      <w:bookmarkEnd w:id="1049"/>
      <w:bookmarkEnd w:id="1050"/>
      <w:bookmarkEnd w:id="1052"/>
    </w:p>
    <w:p>
      <w:pPr>
        <w:pStyle w:val="Style33"/>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9"/>
      <w:bookmarkEnd w:id="1050"/>
      <w:bookmarkEnd w:id="105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10,854,059.05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2,586,255.30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27,056.00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40,352.00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20,577.59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10,964,426.14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2,674,240.89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199" w:line="1" w:lineRule="exact"/>
      </w:pPr>
    </w:p>
    <w:p>
      <w:pPr>
        <w:pStyle w:val="Style26"/>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说明：预付款项年末余额较年初余额增加</w:t>
      </w:r>
      <w:r>
        <w:rPr>
          <w:rFonts w:ascii="Times New Roman" w:eastAsia="Times New Roman" w:hAnsi="Times New Roman" w:cs="Times New Roman"/>
          <w:color w:val="000000"/>
          <w:spacing w:val="0"/>
          <w:w w:val="100"/>
          <w:position w:val="0"/>
          <w:sz w:val="18"/>
          <w:szCs w:val="18"/>
        </w:rPr>
        <w:t>310.00%</w:t>
      </w:r>
      <w:r>
        <w:rPr>
          <w:color w:val="000000"/>
          <w:spacing w:val="0"/>
          <w:w w:val="100"/>
          <w:position w:val="0"/>
        </w:rPr>
        <w:t>，主要系预付项目设备货款及信息机采购款增加所致。</w:t>
      </w:r>
    </w:p>
    <w:p>
      <w:pPr>
        <w:pStyle w:val="Style33"/>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55"/>
      <w:bookmarkEnd w:id="1056"/>
      <w:bookmarkEnd w:id="105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维卡（厦门）智能技术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未交货</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深圳市怡亚通供应链股 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未交货</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福州华融万贯信息技术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服务尚未提供</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北京银联金卡科技有限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39,755.00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服务尚未提供</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北京中盾安全技术开发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未交货</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9,255,705.00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p>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59"/>
      <w:bookmarkEnd w:id="1060"/>
      <w:bookmarkEnd w:id="1062"/>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063"/>
      <w:bookmarkEnd w:id="1064"/>
      <w:bookmarkEnd w:id="1066"/>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9</w:t>
      </w:r>
      <w:bookmarkEnd w:id="1069"/>
      <w:r>
        <w:rPr>
          <w:color w:val="000000"/>
          <w:spacing w:val="0"/>
          <w:w w:val="100"/>
          <w:position w:val="0"/>
        </w:rPr>
        <w:t>、存货</w:t>
      </w:r>
      <w:bookmarkEnd w:id="1067"/>
      <w:bookmarkEnd w:id="1068"/>
      <w:bookmarkEnd w:id="1070"/>
    </w:p>
    <w:p>
      <w:pPr>
        <w:pStyle w:val="Style33"/>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7"/>
      <w:bookmarkEnd w:id="1068"/>
      <w:bookmarkEnd w:id="107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1,095,129.03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1,095,129.03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9,813,904.62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9,813,904.62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6,005,355.27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6,005,355.27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47,912,489.27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47,912,489.27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39,243,943.63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39,243,943.63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57,726,393.89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57,726,393.89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46,344,427.93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46,344,427.93</w:t>
            </w:r>
          </w:p>
        </w:tc>
      </w:tr>
    </w:tbl>
    <w:p>
      <w:pPr>
        <w:widowControl w:val="0"/>
        <w:spacing w:after="379" w:line="1" w:lineRule="exact"/>
      </w:pPr>
    </w:p>
    <w:p>
      <w:pPr>
        <w:pStyle w:val="Style33"/>
        <w:keepNext/>
        <w:keepLines/>
        <w:widowControl w:val="0"/>
        <w:shd w:val="clear" w:color="auto" w:fill="auto"/>
        <w:tabs>
          <w:tab w:pos="478"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1073"/>
      <w:bookmarkEnd w:id="1074"/>
      <w:bookmarkEnd w:id="1076"/>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存货跌价准备情况</w:t>
      </w:r>
      <w:bookmarkEnd w:id="1077"/>
      <w:bookmarkEnd w:id="1078"/>
      <w:bookmarkEnd w:id="1080"/>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52"/>
        <w:keepNext w:val="0"/>
        <w:keepLines w:val="0"/>
        <w:widowControl w:val="0"/>
        <w:shd w:val="clear" w:color="auto" w:fill="auto"/>
        <w:bidi w:val="0"/>
        <w:spacing w:before="0" w:line="240" w:lineRule="auto"/>
        <w:ind w:left="0" w:right="0" w:firstLine="0"/>
        <w:jc w:val="left"/>
      </w:pPr>
      <w:bookmarkStart w:id="1081" w:name="bookmark1081"/>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6,773,847.50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224,473.41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7,004,451.56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52"/>
        <w:keepNext w:val="0"/>
        <w:keepLines w:val="0"/>
        <w:widowControl w:val="0"/>
        <w:shd w:val="clear" w:color="auto" w:fill="auto"/>
        <w:tabs>
          <w:tab w:pos="459" w:val="left"/>
        </w:tabs>
        <w:bidi w:val="0"/>
        <w:spacing w:before="0" w:line="240" w:lineRule="auto"/>
        <w:ind w:left="0" w:right="0" w:firstLine="0"/>
        <w:jc w:val="left"/>
      </w:pPr>
      <w:bookmarkStart w:id="1082" w:name="bookmark1082"/>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w:t>
      </w:r>
    </w:p>
    <w:p>
      <w:pPr>
        <w:pStyle w:val="Style52"/>
        <w:keepNext w:val="0"/>
        <w:keepLines w:val="0"/>
        <w:widowControl w:val="0"/>
        <w:shd w:val="clear" w:color="auto" w:fill="auto"/>
        <w:tabs>
          <w:tab w:pos="478" w:val="left"/>
        </w:tabs>
        <w:bidi w:val="0"/>
        <w:spacing w:before="0" w:line="240" w:lineRule="auto"/>
        <w:ind w:left="0" w:right="0" w:firstLine="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可供出售金融资产情况</w:t>
      </w:r>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52"/>
        <w:keepNext w:val="0"/>
        <w:keepLines w:val="0"/>
        <w:widowControl w:val="0"/>
        <w:shd w:val="clear" w:color="auto" w:fill="auto"/>
        <w:tabs>
          <w:tab w:pos="478" w:val="left"/>
        </w:tabs>
        <w:bidi w:val="0"/>
        <w:spacing w:before="0" w:line="240" w:lineRule="auto"/>
        <w:ind w:left="0" w:right="0" w:firstLine="0"/>
        <w:jc w:val="left"/>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w:t>
        <w:tab/>
        <w:t>可供出售金融资产中的长期债权投资</w:t>
      </w:r>
    </w:p>
    <w:p>
      <w:pPr>
        <w:pStyle w:val="Style26"/>
        <w:keepNext w:val="0"/>
        <w:keepLines w:val="0"/>
        <w:widowControl w:val="0"/>
        <w:shd w:val="clear" w:color="auto" w:fill="auto"/>
        <w:bidi w:val="0"/>
        <w:spacing w:before="0" w:after="380" w:line="240" w:lineRule="auto"/>
        <w:ind w:left="0" w:right="0"/>
        <w:jc w:val="both"/>
      </w:pPr>
      <w:r>
        <w:rPr>
          <w:color w:val="000000"/>
          <w:spacing w:val="0"/>
          <w:w w:val="100"/>
          <w:position w:val="0"/>
        </w:rPr>
        <w:t>无。</w:t>
      </w:r>
    </w:p>
    <w:p>
      <w:pPr>
        <w:pStyle w:val="Style52"/>
        <w:keepNext w:val="0"/>
        <w:keepLines w:val="0"/>
        <w:widowControl w:val="0"/>
        <w:shd w:val="clear" w:color="auto" w:fill="auto"/>
        <w:tabs>
          <w:tab w:pos="478" w:val="left"/>
        </w:tabs>
        <w:bidi w:val="0"/>
        <w:spacing w:before="0" w:line="240" w:lineRule="auto"/>
        <w:ind w:left="0" w:right="0" w:firstLine="0"/>
        <w:jc w:val="left"/>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w:t>
        <w:tab/>
        <w:t>可供出售金融资产的减值情况</w:t>
      </w:r>
    </w:p>
    <w:p>
      <w:pPr>
        <w:pStyle w:val="Style26"/>
        <w:keepNext w:val="0"/>
        <w:keepLines w:val="0"/>
        <w:widowControl w:val="0"/>
        <w:shd w:val="clear" w:color="auto" w:fill="auto"/>
        <w:bidi w:val="0"/>
        <w:spacing w:before="0" w:after="380" w:line="240" w:lineRule="auto"/>
        <w:ind w:left="0" w:right="0"/>
        <w:jc w:val="both"/>
      </w:pPr>
      <w:r>
        <w:rPr>
          <w:color w:val="000000"/>
          <w:spacing w:val="0"/>
          <w:w w:val="100"/>
          <w:position w:val="0"/>
        </w:rPr>
        <w:t>无。</w:t>
      </w:r>
    </w:p>
    <w:p>
      <w:pPr>
        <w:pStyle w:val="Style52"/>
        <w:keepNext w:val="0"/>
        <w:keepLines w:val="0"/>
        <w:widowControl w:val="0"/>
        <w:shd w:val="clear" w:color="auto" w:fill="auto"/>
        <w:tabs>
          <w:tab w:pos="478" w:val="left"/>
        </w:tabs>
        <w:bidi w:val="0"/>
        <w:spacing w:before="0" w:line="240" w:lineRule="auto"/>
        <w:ind w:left="0" w:right="0" w:firstLine="0"/>
        <w:jc w:val="left"/>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w:t>
        <w:tab/>
        <w:t>报告期内可供出售金融资产减值的变动情况</w:t>
      </w:r>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52"/>
        <w:keepNext w:val="0"/>
        <w:keepLines w:val="0"/>
        <w:widowControl w:val="0"/>
        <w:shd w:val="clear" w:color="auto" w:fill="auto"/>
        <w:tabs>
          <w:tab w:pos="478" w:val="left"/>
        </w:tabs>
        <w:bidi w:val="0"/>
        <w:spacing w:before="0" w:line="240" w:lineRule="auto"/>
        <w:ind w:left="0" w:right="0" w:firstLine="0"/>
        <w:jc w:val="left"/>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可供出售权益工具期末公允价值大幅下跌或持续下跌相关说明</w:t>
      </w:r>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52"/>
        <w:keepNext w:val="0"/>
        <w:keepLines w:val="0"/>
        <w:widowControl w:val="0"/>
        <w:shd w:val="clear" w:color="auto" w:fill="auto"/>
        <w:tabs>
          <w:tab w:pos="459" w:val="left"/>
        </w:tabs>
        <w:bidi w:val="0"/>
        <w:spacing w:before="0" w:line="240" w:lineRule="auto"/>
        <w:ind w:left="0" w:right="0" w:firstLine="0"/>
        <w:jc w:val="left"/>
      </w:pPr>
      <w:bookmarkStart w:id="1088" w:name="bookmark1088"/>
      <w:r>
        <w:rPr>
          <w:rFonts w:ascii="Times New Roman" w:eastAsia="Times New Roman" w:hAnsi="Times New Roman" w:cs="Times New Roman"/>
          <w:color w:val="000000"/>
          <w:spacing w:val="0"/>
          <w:w w:val="100"/>
          <w:position w:val="0"/>
        </w:rPr>
        <w:t>1</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52"/>
        <w:keepNext w:val="0"/>
        <w:keepLines w:val="0"/>
        <w:widowControl w:val="0"/>
        <w:shd w:val="clear" w:color="auto" w:fill="auto"/>
        <w:tabs>
          <w:tab w:pos="478" w:val="left"/>
        </w:tabs>
        <w:bidi w:val="0"/>
        <w:spacing w:before="0" w:line="240" w:lineRule="auto"/>
        <w:ind w:left="0" w:right="0" w:firstLine="0"/>
        <w:jc w:val="left"/>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52"/>
        <w:keepNext w:val="0"/>
        <w:keepLines w:val="0"/>
        <w:widowControl w:val="0"/>
        <w:shd w:val="clear" w:color="auto" w:fill="auto"/>
        <w:tabs>
          <w:tab w:pos="478" w:val="left"/>
        </w:tabs>
        <w:bidi w:val="0"/>
        <w:spacing w:before="0" w:line="240" w:lineRule="auto"/>
        <w:ind w:left="0" w:right="0" w:firstLine="0"/>
        <w:jc w:val="left"/>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w:t>
        <w:tab/>
        <w:t>本报告期内出售但尚未到期的持有至到期投资情况</w:t>
      </w:r>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r>
        <w:br w:type="page"/>
      </w:r>
    </w:p>
    <w:p>
      <w:pPr>
        <w:pStyle w:val="Style33"/>
        <w:keepNext/>
        <w:keepLines/>
        <w:widowControl w:val="0"/>
        <w:shd w:val="clear" w:color="auto" w:fill="auto"/>
        <w:tabs>
          <w:tab w:pos="459" w:val="left"/>
        </w:tabs>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rFonts w:ascii="Times New Roman" w:eastAsia="Times New Roman" w:hAnsi="Times New Roman" w:cs="Times New Roman"/>
          <w:color w:val="000000"/>
          <w:spacing w:val="0"/>
          <w:w w:val="100"/>
          <w:position w:val="0"/>
        </w:rPr>
        <w:t>3</w:t>
      </w:r>
      <w:r>
        <w:rPr>
          <w:color w:val="000000"/>
          <w:spacing w:val="0"/>
          <w:w w:val="100"/>
          <w:position w:val="0"/>
        </w:rPr>
        <w:t>、</w:t>
        <w:tab/>
        <w:t>长期应收款</w:t>
      </w:r>
      <w:bookmarkEnd w:id="1091"/>
      <w:bookmarkEnd w:id="1092"/>
      <w:bookmarkEnd w:id="1094"/>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459" w:val="left"/>
        </w:tabs>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bookmarkEnd w:id="1097"/>
      <w:r>
        <w:rPr>
          <w:rFonts w:ascii="Times New Roman" w:eastAsia="Times New Roman" w:hAnsi="Times New Roman" w:cs="Times New Roman"/>
          <w:color w:val="000000"/>
          <w:spacing w:val="0"/>
          <w:w w:val="100"/>
          <w:position w:val="0"/>
        </w:rPr>
        <w:t>4</w:t>
      </w:r>
      <w:r>
        <w:rPr>
          <w:color w:val="000000"/>
          <w:spacing w:val="0"/>
          <w:w w:val="100"/>
          <w:position w:val="0"/>
        </w:rPr>
        <w:t>、</w:t>
        <w:tab/>
        <w:t>对合营企业投资和联营企业投资</w:t>
      </w:r>
      <w:bookmarkEnd w:id="1095"/>
      <w:bookmarkEnd w:id="1096"/>
      <w:bookmarkEnd w:id="109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北京尚洋易捷 信息技术有限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13,018,626.19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3,659,990.52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9,358,635.67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17,926,706.90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6,300,500.90</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福州南华医保 健康研发有限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326,633.89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295,083.89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3"/>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099"/>
      <w:bookmarkEnd w:id="1100"/>
      <w:bookmarkEnd w:id="1102"/>
    </w:p>
    <w:p>
      <w:pPr>
        <w:pStyle w:val="Style33"/>
        <w:keepNext/>
        <w:keepLines/>
        <w:widowControl w:val="0"/>
        <w:numPr>
          <w:ilvl w:val="0"/>
          <w:numId w:val="15"/>
        </w:numPr>
        <w:shd w:val="clear" w:color="auto" w:fill="auto"/>
        <w:bidi w:val="0"/>
        <w:spacing w:before="0" w:line="240" w:lineRule="auto"/>
        <w:ind w:left="0" w:right="0" w:firstLine="0"/>
        <w:jc w:val="left"/>
      </w:pPr>
      <w:bookmarkStart w:id="1099" w:name="bookmark1099"/>
      <w:bookmarkStart w:id="1100" w:name="bookmark1100"/>
      <w:bookmarkStart w:id="1103" w:name="bookmark1103"/>
      <w:bookmarkStart w:id="1104" w:name="bookmark1104"/>
      <w:bookmarkEnd w:id="1103"/>
      <w:r>
        <w:rPr>
          <w:color w:val="000000"/>
          <w:spacing w:val="0"/>
          <w:w w:val="100"/>
          <w:position w:val="0"/>
        </w:rPr>
        <w:t>长期股权投资明细情况</w:t>
      </w:r>
      <w:bookmarkEnd w:id="1099"/>
      <w:bookmarkEnd w:id="1100"/>
      <w:bookmarkEnd w:id="110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北京尚洋 易捷信息 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1,306,989</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2,142,170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3,449,160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福州南华 医保健康 研发有限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70,820.13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1,378,116</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2,141,863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3,519,980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1105"/>
      <w:bookmarkEnd w:id="1106"/>
      <w:bookmarkEnd w:id="1108"/>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459" w:val="left"/>
        </w:tabs>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bookmarkEnd w:id="1111"/>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1109"/>
      <w:bookmarkEnd w:id="1110"/>
      <w:bookmarkEnd w:id="1112"/>
    </w:p>
    <w:p>
      <w:pPr>
        <w:pStyle w:val="Style33"/>
        <w:keepNext/>
        <w:keepLines/>
        <w:widowControl w:val="0"/>
        <w:shd w:val="clear" w:color="auto" w:fill="auto"/>
        <w:tabs>
          <w:tab w:pos="478" w:val="left"/>
        </w:tabs>
        <w:bidi w:val="0"/>
        <w:spacing w:before="0" w:line="240" w:lineRule="auto"/>
        <w:ind w:left="0" w:right="0" w:firstLine="0"/>
        <w:jc w:val="left"/>
      </w:pPr>
      <w:bookmarkStart w:id="1109" w:name="bookmark1109"/>
      <w:bookmarkStart w:id="1110" w:name="bookmark1110"/>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w:t>
        <w:tab/>
        <w:t>按成本计量的投资性房地产</w:t>
      </w:r>
      <w:bookmarkEnd w:id="1109"/>
      <w:bookmarkEnd w:id="1110"/>
      <w:bookmarkEnd w:id="1114"/>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w:t>
        <w:tab/>
        <w:t>按公允价值计量的投资性房地产</w:t>
      </w:r>
      <w:bookmarkEnd w:id="1115"/>
      <w:bookmarkEnd w:id="1116"/>
      <w:bookmarkEnd w:id="1118"/>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459" w:val="left"/>
        </w:tabs>
        <w:bidi w:val="0"/>
        <w:spacing w:before="0" w:line="240" w:lineRule="auto"/>
        <w:ind w:left="0" w:right="0" w:firstLine="0"/>
        <w:jc w:val="both"/>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bookmarkEnd w:id="1121"/>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1119"/>
      <w:bookmarkEnd w:id="1120"/>
      <w:bookmarkEnd w:id="1122"/>
    </w:p>
    <w:p>
      <w:pPr>
        <w:pStyle w:val="Style33"/>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19"/>
      <w:bookmarkEnd w:id="1120"/>
      <w:bookmarkEnd w:id="112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84,870,410.51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40,269,659.80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1,162,360.85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123,977,709.46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38,205,029.54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28,545,969.80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66,750,999.34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11,338,102.52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11,798,580.50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10,630,057.75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4,710,923.00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15,340,980.75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21,063,819.31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5,196,690.99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1,040,374.43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25,220,135.87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3,633,401.39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1,355,598.03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121,986.42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4,867,013.00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19,728,469.93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9,691,654.55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1,006,070.00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28,414,054.48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3,971,467.20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2,006,136.08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5,977,603.28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1,363,144.88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1,329,011.96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2,692,156.84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4,431,839.69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2,069,183.08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6,501,022.77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7,875,586.36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3,388,772.35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931,637.75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10,332,720.96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2,086,431.80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898,551.08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74,432.25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2,910,550.63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65,141,940.58</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95,563,654.98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34,233,562.34</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60,773,396.06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9,974,957.64</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9,106,423.66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6,198,218.06</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8,839,957.98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13,188,232.95</w:t>
            </w:r>
          </w:p>
        </w:tc>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14,887,414.91</w:t>
            </w:r>
          </w:p>
        </w:tc>
      </w:tr>
    </w:tbl>
    <w:p>
      <w:pPr>
        <w:widowControl w:val="0"/>
        <w:spacing w:line="1" w:lineRule="exact"/>
      </w:pPr>
    </w:p>
    <w:tbl>
      <w:tblPr>
        <w:tblOverlap w:val="never"/>
        <w:jc w:val="center"/>
        <w:tblLayout w:type="fixed"/>
      </w:tblPr>
      <w:tblGrid>
        <w:gridCol w:w="2131"/>
        <w:gridCol w:w="1464"/>
        <w:gridCol w:w="4517"/>
        <w:gridCol w:w="1469"/>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1,546,969.59</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1,956,462.37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65,141,940.58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95,563,654.98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34,233,562.34</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60,773,396.06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9,974,957.64</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9,106,423.66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6,198,218.06</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8,839,957.98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13,188,232.95</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14,887,414.91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1,546,969.59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1,956,462.37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9,691,654.55</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2,327,808.55</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24"/>
      <w:bookmarkEnd w:id="1125"/>
      <w:bookmarkEnd w:id="1126"/>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numPr>
          <w:ilvl w:val="0"/>
          <w:numId w:val="17"/>
        </w:numPr>
        <w:shd w:val="clear" w:color="auto" w:fill="auto"/>
        <w:tabs>
          <w:tab w:pos="478" w:val="left"/>
        </w:tabs>
        <w:bidi w:val="0"/>
        <w:spacing w:before="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通过融资租赁租入的固定资产</w:t>
      </w:r>
      <w:bookmarkEnd w:id="1127"/>
      <w:bookmarkEnd w:id="1128"/>
      <w:bookmarkEnd w:id="1130"/>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numPr>
          <w:ilvl w:val="0"/>
          <w:numId w:val="17"/>
        </w:numPr>
        <w:shd w:val="clear" w:color="auto" w:fill="auto"/>
        <w:tabs>
          <w:tab w:pos="478" w:val="left"/>
        </w:tabs>
        <w:bidi w:val="0"/>
        <w:spacing w:before="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通过经营租赁租出的固定资产</w:t>
      </w:r>
      <w:bookmarkEnd w:id="1131"/>
      <w:bookmarkEnd w:id="1132"/>
      <w:bookmarkEnd w:id="1134"/>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numPr>
          <w:ilvl w:val="0"/>
          <w:numId w:val="17"/>
        </w:numPr>
        <w:shd w:val="clear" w:color="auto" w:fill="auto"/>
        <w:tabs>
          <w:tab w:pos="478" w:val="left"/>
        </w:tabs>
        <w:bidi w:val="0"/>
        <w:spacing w:before="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期末持有待售的固定资产情况</w:t>
      </w:r>
      <w:bookmarkEnd w:id="1135"/>
      <w:bookmarkEnd w:id="1136"/>
      <w:bookmarkEnd w:id="1138"/>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numPr>
          <w:ilvl w:val="0"/>
          <w:numId w:val="17"/>
        </w:numPr>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未办妥产权证书的固定资产情况</w:t>
      </w:r>
      <w:bookmarkEnd w:id="1139"/>
      <w:bookmarkEnd w:id="1140"/>
      <w:bookmarkEnd w:id="1142"/>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福州软件园产业基地二期</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研发楼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福州软件园</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区需要通过整体验收才能 办理产权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固定资产说明</w:t>
      </w:r>
    </w:p>
    <w:p>
      <w:pPr>
        <w:pStyle w:val="Style26"/>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说明：固定资产年末余额较年初余额增加</w:t>
      </w:r>
      <w:r>
        <w:rPr>
          <w:rFonts w:ascii="Times New Roman" w:eastAsia="Times New Roman" w:hAnsi="Times New Roman" w:cs="Times New Roman"/>
          <w:color w:val="000000"/>
          <w:spacing w:val="0"/>
          <w:w w:val="100"/>
          <w:position w:val="0"/>
          <w:sz w:val="18"/>
          <w:szCs w:val="18"/>
        </w:rPr>
        <w:t>46.70%</w:t>
      </w:r>
      <w:r>
        <w:rPr>
          <w:color w:val="000000"/>
          <w:spacing w:val="0"/>
          <w:w w:val="100"/>
          <w:position w:val="0"/>
        </w:rPr>
        <w:t>，主要是公司募集资金项目采购福州软件园产业基地二期</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研发楼及 福州软件园动漫游戏产业基地二期</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研发楼装修工程由在建工程结转至固定资产所致。截至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日止，上述固 定资产未发生减值迹象，故无需计提固定资产减值准备。</w:t>
      </w:r>
      <w:r>
        <w:br w:type="page"/>
      </w:r>
    </w:p>
    <w:p>
      <w:pPr>
        <w:pStyle w:val="Style33"/>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143"/>
      <w:bookmarkEnd w:id="1144"/>
      <w:bookmarkEnd w:id="1146"/>
    </w:p>
    <w:p>
      <w:pPr>
        <w:pStyle w:val="Style33"/>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43"/>
      <w:bookmarkEnd w:id="1144"/>
      <w:bookmarkEnd w:id="114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福州软件园产业基地二期</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研发楼装修工程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9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）重大在建工程项目变动情况</w:t>
      </w:r>
    </w:p>
    <w:p>
      <w:pPr>
        <w:widowControl w:val="0"/>
        <w:spacing w:after="37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4"/>
        <w:gridCol w:w="734"/>
        <w:gridCol w:w="734"/>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福州软 件园产 业基地 二期</w:t>
            </w:r>
            <w:r>
              <w:rPr>
                <w:rFonts w:ascii="Times New Roman" w:eastAsia="Times New Roman" w:hAnsi="Times New Roman" w:cs="Times New Roman"/>
                <w:color w:val="000000"/>
                <w:spacing w:val="0"/>
                <w:w w:val="100"/>
                <w:position w:val="0"/>
                <w:sz w:val="18"/>
                <w:szCs w:val="18"/>
              </w:rPr>
              <w:t xml:space="preserve">A3 </w:t>
            </w:r>
            <w:r>
              <w:rPr>
                <w:color w:val="000000"/>
                <w:spacing w:val="0"/>
                <w:w w:val="100"/>
                <w:position w:val="0"/>
              </w:rPr>
              <w:t>研发楼 装修工 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2,327,80</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2,327,80</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2,327,80</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2,327,80</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在建工程项目变动情况的说明</w:t>
      </w:r>
    </w:p>
    <w:p>
      <w:pPr>
        <w:pStyle w:val="Style33"/>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1148"/>
      <w:bookmarkEnd w:id="1149"/>
      <w:bookmarkEnd w:id="1151"/>
    </w:p>
    <w:p>
      <w:pPr>
        <w:pStyle w:val="Style26"/>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4</w:t>
      </w:r>
      <w:r>
        <w:rPr>
          <w:color w:val="000000"/>
          <w:spacing w:val="0"/>
          <w:w w:val="100"/>
          <w:position w:val="0"/>
        </w:rPr>
        <w:t>）</w:t>
        <w:tab/>
        <w:t>重大在建工程的工程进度情况</w:t>
      </w:r>
      <w:bookmarkEnd w:id="1152"/>
      <w:bookmarkEnd w:id="1153"/>
      <w:bookmarkEnd w:id="1155"/>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5</w:t>
      </w:r>
      <w:r>
        <w:rPr>
          <w:color w:val="000000"/>
          <w:spacing w:val="0"/>
          <w:w w:val="100"/>
          <w:position w:val="0"/>
        </w:rPr>
        <w:t>）</w:t>
        <w:tab/>
        <w:t>在建工程的说明</w:t>
      </w:r>
      <w:bookmarkEnd w:id="1156"/>
      <w:bookmarkEnd w:id="1157"/>
      <w:bookmarkEnd w:id="1159"/>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160"/>
      <w:bookmarkEnd w:id="1161"/>
      <w:bookmarkEnd w:id="1163"/>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rFonts w:ascii="Times New Roman" w:eastAsia="Times New Roman" w:hAnsi="Times New Roman" w:cs="Times New Roman"/>
          <w:color w:val="000000"/>
          <w:spacing w:val="0"/>
          <w:w w:val="100"/>
          <w:position w:val="0"/>
        </w:rPr>
        <w:t>0</w:t>
      </w:r>
      <w:r>
        <w:rPr>
          <w:color w:val="000000"/>
          <w:spacing w:val="0"/>
          <w:w w:val="100"/>
          <w:position w:val="0"/>
        </w:rPr>
        <w:t>、</w:t>
        <w:tab/>
        <w:t>固定资产清理</w:t>
      </w:r>
      <w:bookmarkEnd w:id="1164"/>
      <w:bookmarkEnd w:id="1165"/>
      <w:bookmarkEnd w:id="1167"/>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w:t>
        <w:tab/>
        <w:t>生产性生物资产</w:t>
      </w:r>
      <w:bookmarkEnd w:id="1168"/>
      <w:bookmarkEnd w:id="1169"/>
      <w:bookmarkEnd w:id="1171"/>
    </w:p>
    <w:p>
      <w:pPr>
        <w:pStyle w:val="Style33"/>
        <w:keepNext/>
        <w:keepLines/>
        <w:widowControl w:val="0"/>
        <w:shd w:val="clear" w:color="auto" w:fill="auto"/>
        <w:tabs>
          <w:tab w:pos="478" w:val="left"/>
        </w:tabs>
        <w:bidi w:val="0"/>
        <w:spacing w:before="0" w:line="240" w:lineRule="auto"/>
        <w:ind w:left="0" w:right="0" w:firstLine="0"/>
        <w:jc w:val="left"/>
      </w:pPr>
      <w:bookmarkStart w:id="1168" w:name="bookmark1168"/>
      <w:bookmarkStart w:id="1169" w:name="bookmark1169"/>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1</w:t>
      </w:r>
      <w:r>
        <w:rPr>
          <w:color w:val="000000"/>
          <w:spacing w:val="0"/>
          <w:w w:val="100"/>
          <w:position w:val="0"/>
        </w:rPr>
        <w:t>）</w:t>
        <w:tab/>
        <w:t>以成本计量</w:t>
      </w:r>
      <w:bookmarkEnd w:id="1168"/>
      <w:bookmarkEnd w:id="1169"/>
      <w:bookmarkEnd w:id="1173"/>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w:t>
      </w:r>
      <w:bookmarkEnd w:id="1174"/>
      <w:bookmarkEnd w:id="1175"/>
      <w:bookmarkEnd w:id="1177"/>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w:t>
        <w:tab/>
        <w:t>油气资产</w:t>
      </w:r>
      <w:bookmarkEnd w:id="1178"/>
      <w:bookmarkEnd w:id="1179"/>
      <w:bookmarkEnd w:id="1181"/>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1182"/>
      <w:bookmarkEnd w:id="1183"/>
      <w:bookmarkEnd w:id="1185"/>
    </w:p>
    <w:p>
      <w:pPr>
        <w:pStyle w:val="Style33"/>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6" w:name="bookmark11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82"/>
      <w:bookmarkEnd w:id="1183"/>
      <w:bookmarkEnd w:id="118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14,463,067.27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23,153,751.16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37,616,818.43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办公系统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医保软件</w:t>
            </w:r>
            <w:r>
              <w:rPr>
                <w:rFonts w:ascii="Times New Roman" w:eastAsia="Times New Roman" w:hAnsi="Times New Roman" w:cs="Times New Roman"/>
                <w:color w:val="000000"/>
                <w:spacing w:val="0"/>
                <w:w w:val="100"/>
                <w:position w:val="0"/>
                <w:sz w:val="18"/>
                <w:szCs w:val="18"/>
              </w:rPr>
              <w:t>V4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五险合一管理信息系统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305,106.58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305,106.58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城镇居民医疗保险信息管 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375,079.28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375,079.28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药企通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441,904.98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441,904.98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点通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407,311.00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407,311.00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数据总线平台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179,767.65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179,767.65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智能开发平台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670,472.29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670,472.29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区域医疗信息管理系统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436,395.48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436,395.48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新型农村养老保险信息系 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648,670.13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648,670.13</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易联众办公系统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Livebos </w:t>
            </w:r>
            <w:r>
              <w:rPr>
                <w:color w:val="000000"/>
                <w:spacing w:val="0"/>
                <w:w w:val="100"/>
                <w:position w:val="0"/>
              </w:rPr>
              <w:t>灵动业务架构平台）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109,401.71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109,401.71</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民生自助服务终端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5,465,694.93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5,465,694.93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用友财务软件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343,111.96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343,111.96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30,151.28</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易联众民生一体化信息服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10,072,722.63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10,072,722.63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易联众居民健康信息系统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3,852,393.77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3,852,393.77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社会保险核心平台工伤、生 育保险信息管理系统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3,096,559.29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3,096,559.29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软件许可费（许可证编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L137090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6,132,075.47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6,132,075.47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8,525,510.04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3,912,871.39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12,438,381.43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办公系统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医保软件</w:t>
            </w:r>
            <w:r>
              <w:rPr>
                <w:rFonts w:ascii="Times New Roman" w:eastAsia="Times New Roman" w:hAnsi="Times New Roman" w:cs="Times New Roman"/>
                <w:color w:val="000000"/>
                <w:spacing w:val="0"/>
                <w:w w:val="100"/>
                <w:position w:val="0"/>
                <w:sz w:val="18"/>
                <w:szCs w:val="18"/>
              </w:rPr>
              <w:t>V4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五险合一管理信息系统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305,106.58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305,106.58</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城镇居民医疗保险信息管 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318,817.32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375,079.20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药企通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309,333.36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397,714.32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点通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285,117.84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366,580.08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数据总线平台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119,845.23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155,798.79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智能开发平台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446,981.60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581,076.08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区域医疗信息管理系统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218,197.80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305,476.92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新型农村养老保险信息系 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270,279.25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400,013.29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易联众办公系统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Livebos </w:t>
            </w:r>
            <w:r>
              <w:rPr>
                <w:color w:val="000000"/>
                <w:spacing w:val="0"/>
                <w:w w:val="100"/>
                <w:position w:val="0"/>
              </w:rPr>
              <w:t>灵动业务架构平台）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77,217.90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民生自助服务终端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1,184,233.96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1,093,139.04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2,277,373.00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用友财务软件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66,162.36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112,730.60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30,151.28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易联众民生一体化信息服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1,175,150.97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1,175,150.97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易联众居民健康信息系统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449,445.92</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社会保险核心平台工伤、生 育保险信息管理系统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361,265.24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361,265.24</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软件许可费（许可证编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L137090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102,201.26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5,937,557.23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19,240,879.77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25,178,437.00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办公系统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医保软件</w:t>
            </w:r>
            <w:r>
              <w:rPr>
                <w:rFonts w:ascii="Times New Roman" w:eastAsia="Times New Roman" w:hAnsi="Times New Roman" w:cs="Times New Roman"/>
                <w:color w:val="000000"/>
                <w:spacing w:val="0"/>
                <w:w w:val="100"/>
                <w:position w:val="0"/>
                <w:sz w:val="18"/>
                <w:szCs w:val="18"/>
              </w:rPr>
              <w:t>V4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五险合一管理信息系统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城镇居民医疗保险信息管 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-56,261.88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药企通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132,571.62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-88,380.96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44,190.66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点通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-81,462.24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40,730.92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数据总线平台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-35,953.56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23,968.86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智能开发平台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223,490.69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89,396.21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区域医疗信息管理系统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218,197.68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-87,279.12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130,918.56</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新型农村养老保险信息系 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378,390.88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248,656.84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易联众办公系统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Livebos </w:t>
            </w:r>
            <w:r>
              <w:rPr>
                <w:color w:val="000000"/>
                <w:spacing w:val="0"/>
                <w:w w:val="100"/>
                <w:position w:val="0"/>
              </w:rPr>
              <w:t>灵动业务架构平台）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-24,340.32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32,183.81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民生自助服务终端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4,281,460.97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-1,093,139.04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3,188,321.93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用友财务软件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296,543.72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-66,162.36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230,381.36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易联众民生一体化信息服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8,897,571.66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8,897,571.66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易联众居民健康信息系统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3,402,947.85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3,402,947.85</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社会保险核心平台工伤、生 育保险信息管理系统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2,735,294.05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2,735,294.05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软件许可费（许可证编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L137090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6,029,874.21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6,029,874.21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办公系统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医保软件</w:t>
            </w:r>
            <w:r>
              <w:rPr>
                <w:rFonts w:ascii="Times New Roman" w:eastAsia="Times New Roman" w:hAnsi="Times New Roman" w:cs="Times New Roman"/>
                <w:color w:val="000000"/>
                <w:spacing w:val="0"/>
                <w:w w:val="100"/>
                <w:position w:val="0"/>
                <w:sz w:val="18"/>
                <w:szCs w:val="18"/>
              </w:rPr>
              <w:t>V4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五险合一管理信息系统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城镇居民医疗保险信息管 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药企通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点通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数据总线平台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智能开发平台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区域医疗信息管理系统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新型农村养老保险信息系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易联众办公系统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Livebos </w:t>
            </w:r>
            <w:r>
              <w:rPr>
                <w:color w:val="000000"/>
                <w:spacing w:val="0"/>
                <w:w w:val="100"/>
                <w:position w:val="0"/>
              </w:rPr>
              <w:t>灵动业务架构平台）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民生自助服务终端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易联众民生一体化信息服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易联众居民健康信息系统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社会保险核心平台工伤、生 育保险信息管理系统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软件许可费（许可证编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L137090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5,937,557.23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19,240,879.77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25,178,437.00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办公系统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医保软件</w:t>
            </w:r>
            <w:r>
              <w:rPr>
                <w:rFonts w:ascii="Times New Roman" w:eastAsia="Times New Roman" w:hAnsi="Times New Roman" w:cs="Times New Roman"/>
                <w:color w:val="000000"/>
                <w:spacing w:val="0"/>
                <w:w w:val="100"/>
                <w:position w:val="0"/>
                <w:sz w:val="18"/>
                <w:szCs w:val="18"/>
              </w:rPr>
              <w:t>V4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五险合一管理信息系统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城镇居民医疗保险信息管 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药企通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132,571.62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44,190.66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点通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40,730.92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数据总线平台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23,968.86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智能开发平台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223,490.69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89,396.21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区域医疗信息管理系统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218,197.68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130,918.56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新型农村养老保险信息系 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378,390.88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248,656.84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易联众办公系统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Livebos </w:t>
            </w:r>
            <w:r>
              <w:rPr>
                <w:color w:val="000000"/>
                <w:spacing w:val="0"/>
                <w:w w:val="100"/>
                <w:position w:val="0"/>
              </w:rPr>
              <w:t>灵动业务架构平台）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32,183.81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民生自助服务终端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4,281,460.97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-1,093,139.04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3,188,321.93</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用友财务软件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296,543.72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230,381.36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易联众民生一体化信息服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8,897,571.66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8,897,571.66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易联众居民健康信息系统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3,402,947.85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3,402,947.85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社会保险核心平台工伤、生 育保险信息管理系统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2,735,294.05</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软件许可费(许可证编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L137090</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6,029,874.21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6,029,874.21</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3,912,871.39</w:t>
      </w:r>
      <w:r>
        <w:rPr>
          <w:color w:val="000000"/>
          <w:spacing w:val="0"/>
          <w:w w:val="100"/>
          <w:position w:val="0"/>
        </w:rPr>
        <w:t>元。</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187"/>
      <w:bookmarkEnd w:id="1188"/>
      <w:bookmarkEnd w:id="118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易联众民生一体化 信息服务平台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8,947,150.76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1,125,571.87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10,072,722.63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居民健康信息系统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3,251,813.09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600,580.68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3,852,393.77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工伤生育保险信息 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2,410,460.56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686,098.73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3,096,559.29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社区化在线学习云</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1,155,579.20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552,055.87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1,707,635.07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电子病例管理系统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1,443,930.80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1,151,484.10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2,595,414.90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湖南易联众社会保 障卡管理平台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147,987.82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179,842.59</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易联众湖南省养老 保险信息管理系统 全省数据大集中版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145,807.41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275,147.25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420,954.66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衡阳社保卡网上采 集系统开发项目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17,502,729.64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4,430,286.27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428,447.66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17,021,675.69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4,482,892.56</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9.77%</w:t>
      </w:r>
      <w:r>
        <w:rPr>
          <w:color w:val="000000"/>
          <w:spacing w:val="0"/>
          <w:w w:val="100"/>
          <w:position w:val="0"/>
        </w:rPr>
        <w:t>。</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74.67%</w:t>
      </w:r>
      <w:r>
        <w:rPr>
          <w:color w:val="000000"/>
          <w:spacing w:val="0"/>
          <w:w w:val="100"/>
          <w:position w:val="0"/>
        </w:rPr>
        <w:t>。</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r>
        <w:br w:type="page"/>
      </w:r>
    </w:p>
    <w:p>
      <w:pPr>
        <w:pStyle w:val="Style33"/>
        <w:keepNext/>
        <w:keepLines/>
        <w:widowControl w:val="0"/>
        <w:shd w:val="clear" w:color="auto" w:fill="auto"/>
        <w:tabs>
          <w:tab w:pos="469" w:val="left"/>
        </w:tabs>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w:t>
        <w:tab/>
        <w:t>商誉</w:t>
      </w:r>
      <w:bookmarkEnd w:id="1190"/>
      <w:bookmarkEnd w:id="1191"/>
      <w:bookmarkEnd w:id="1193"/>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1194"/>
      <w:bookmarkEnd w:id="1195"/>
      <w:bookmarkEnd w:id="119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953,401.45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768,963.23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431,657.73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1,193,180.06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3,385,568.52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323,498.09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1,030,546.73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2,557,796.27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21,447.26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4,338,969.97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1,115,037.39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1,463,333.27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218,250.50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3,772,423.59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33"/>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198"/>
      <w:bookmarkEnd w:id="1199"/>
      <w:bookmarkEnd w:id="1201"/>
    </w:p>
    <w:p>
      <w:pPr>
        <w:pStyle w:val="Style33"/>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98"/>
      <w:bookmarkEnd w:id="1199"/>
      <w:bookmarkEnd w:id="120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5,360,786.39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4,348,350.14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3,116,181.28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668,551.23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26,239.46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合并抵消的未实现内部利润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8,586,540.46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5,018,662.94</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03"/>
      <w:bookmarkEnd w:id="1204"/>
      <w:bookmarkEnd w:id="120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2"/>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8,587,024.68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50,917,137.81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5,018,662.94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31,183,723.29</w:t>
            </w:r>
          </w:p>
        </w:tc>
      </w:tr>
    </w:tbl>
    <w:p>
      <w:pPr>
        <w:pStyle w:val="Style33"/>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206"/>
      <w:bookmarkEnd w:id="1207"/>
      <w:bookmarkEnd w:id="120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28,379,661.16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7,327,900.64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1,036,816.10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34,670,745.70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28,379,661.16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7,327,900.64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1,036,816.10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34,670,745.70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3"/>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10"/>
      <w:bookmarkEnd w:id="1211"/>
      <w:bookmarkEnd w:id="1213"/>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9</w:t>
      </w:r>
      <w:r>
        <w:rPr>
          <w:color w:val="000000"/>
          <w:spacing w:val="0"/>
          <w:w w:val="100"/>
          <w:position w:val="0"/>
        </w:rPr>
        <w:t>、</w:t>
        <w:tab/>
        <w:t>短期借款</w:t>
      </w:r>
      <w:bookmarkEnd w:id="1214"/>
      <w:bookmarkEnd w:id="1215"/>
      <w:bookmarkEnd w:id="1217"/>
    </w:p>
    <w:p>
      <w:pPr>
        <w:pStyle w:val="Style33"/>
        <w:keepNext/>
        <w:keepLines/>
        <w:widowControl w:val="0"/>
        <w:shd w:val="clear" w:color="auto" w:fill="auto"/>
        <w:tabs>
          <w:tab w:pos="478" w:val="left"/>
        </w:tabs>
        <w:bidi w:val="0"/>
        <w:spacing w:before="0" w:line="240" w:lineRule="auto"/>
        <w:ind w:left="0" w:right="0" w:firstLine="0"/>
        <w:jc w:val="left"/>
      </w:pPr>
      <w:bookmarkStart w:id="1214" w:name="bookmark1214"/>
      <w:bookmarkStart w:id="1215" w:name="bookmark1215"/>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w:t>
        <w:tab/>
        <w:t>短期借款分类</w:t>
      </w:r>
      <w:bookmarkEnd w:id="1214"/>
      <w:bookmarkEnd w:id="1215"/>
      <w:bookmarkEnd w:id="1219"/>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w:t>
        <w:tab/>
        <w:t>已到期未偿还的短期借款情况</w:t>
      </w:r>
      <w:bookmarkEnd w:id="1220"/>
      <w:bookmarkEnd w:id="1221"/>
      <w:bookmarkEnd w:id="1223"/>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0</w:t>
      </w:r>
      <w:r>
        <w:rPr>
          <w:color w:val="000000"/>
          <w:spacing w:val="0"/>
          <w:w w:val="100"/>
          <w:position w:val="0"/>
        </w:rPr>
        <w:t>、</w:t>
        <w:tab/>
        <w:t>交易性金融负债</w:t>
      </w:r>
      <w:bookmarkEnd w:id="1224"/>
      <w:bookmarkEnd w:id="1225"/>
      <w:bookmarkEnd w:id="1227"/>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228"/>
      <w:bookmarkEnd w:id="1229"/>
      <w:bookmarkEnd w:id="123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2,126,804.14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2,126,804.14</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应付票据的说明</w:t>
      </w:r>
    </w:p>
    <w:p>
      <w:pPr>
        <w:pStyle w:val="Style33"/>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32"/>
      <w:bookmarkEnd w:id="1233"/>
      <w:bookmarkEnd w:id="1235"/>
    </w:p>
    <w:p>
      <w:pPr>
        <w:pStyle w:val="Style33"/>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32"/>
      <w:bookmarkEnd w:id="1233"/>
      <w:bookmarkEnd w:id="1236"/>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62,867,560.14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73,248,264.22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470,195.52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62,867,560.14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73,718,459.74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37"/>
      <w:bookmarkEnd w:id="1238"/>
      <w:bookmarkEnd w:id="1239"/>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numPr>
          <w:ilvl w:val="0"/>
          <w:numId w:val="19"/>
        </w:numPr>
        <w:shd w:val="clear" w:color="auto" w:fill="auto"/>
        <w:bidi w:val="0"/>
        <w:spacing w:before="0" w:after="32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账龄超过一年的大额应付账款情况的说明</w:t>
      </w:r>
      <w:bookmarkEnd w:id="1240"/>
      <w:bookmarkEnd w:id="1241"/>
      <w:bookmarkEnd w:id="1243"/>
    </w:p>
    <w:tbl>
      <w:tblPr>
        <w:tblOverlap w:val="never"/>
        <w:jc w:val="center"/>
        <w:tblLayout w:type="fixed"/>
      </w:tblPr>
      <w:tblGrid>
        <w:gridCol w:w="3302"/>
        <w:gridCol w:w="1531"/>
        <w:gridCol w:w="2242"/>
        <w:gridCol w:w="2016"/>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未偿还的原因</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北京握奇智能科技有限公司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2,954,813.50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项目尚未结束</w:t>
            </w:r>
          </w:p>
        </w:tc>
      </w:tr>
    </w:tbl>
    <w:p>
      <w:pPr>
        <w:widowControl w:val="0"/>
        <w:spacing w:after="619" w:line="1" w:lineRule="exact"/>
      </w:pPr>
    </w:p>
    <w:p>
      <w:pPr>
        <w:pStyle w:val="Style33"/>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3</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244"/>
      <w:bookmarkEnd w:id="1245"/>
      <w:bookmarkEnd w:id="1247"/>
    </w:p>
    <w:p>
      <w:pPr>
        <w:pStyle w:val="Style33"/>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8" w:name="bookmark1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44"/>
      <w:bookmarkEnd w:id="1245"/>
      <w:bookmarkEnd w:id="124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45,501,212.16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21,852,609.62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45,501,212.16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21,852,609.62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49"/>
      <w:bookmarkEnd w:id="1250"/>
      <w:bookmarkEnd w:id="1251"/>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numPr>
          <w:ilvl w:val="0"/>
          <w:numId w:val="21"/>
        </w:numPr>
        <w:shd w:val="clear" w:color="auto" w:fill="auto"/>
        <w:bidi w:val="0"/>
        <w:spacing w:before="0" w:after="320" w:line="240" w:lineRule="auto"/>
        <w:ind w:left="0" w:right="0" w:firstLine="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账龄超过一年的大额预收账款情况的说明</w:t>
      </w:r>
      <w:bookmarkEnd w:id="1252"/>
      <w:bookmarkEnd w:id="1253"/>
      <w:bookmarkEnd w:id="1255"/>
    </w:p>
    <w:tbl>
      <w:tblPr>
        <w:tblOverlap w:val="never"/>
        <w:jc w:val="center"/>
        <w:tblLayout w:type="fixed"/>
      </w:tblPr>
      <w:tblGrid>
        <w:gridCol w:w="3994"/>
        <w:gridCol w:w="1387"/>
        <w:gridCol w:w="1886"/>
        <w:gridCol w:w="1824"/>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性质或内容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未结转的原因</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中国银行股份有限公司汕头分行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1,392,400.00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预收货款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劳务尚未提供</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无锡市劳动保障信息中心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预收货款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劳务尚未提供</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2,369,200.00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3"/>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56"/>
      <w:bookmarkEnd w:id="1257"/>
      <w:bookmarkEnd w:id="125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9,611,771.31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70,952,345.95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66,979,996.90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13,584,120.36</w:t>
            </w:r>
          </w:p>
        </w:tc>
      </w:tr>
    </w:tbl>
    <w:p>
      <w:pPr>
        <w:widowControl w:val="0"/>
        <w:spacing w:line="1" w:lineRule="exact"/>
      </w:pPr>
      <w:r>
        <w:br w:type="page"/>
      </w:r>
    </w:p>
    <w:tbl>
      <w:tblPr>
        <w:tblOverlap w:val="never"/>
        <w:jc w:val="center"/>
        <w:tblLayout w:type="fixed"/>
      </w:tblPr>
      <w:tblGrid>
        <w:gridCol w:w="1598"/>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1,877,891.15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1,877,733.41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11,725,013.86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11,758,039.94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34,944.58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3,293,059.68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3,286,398.35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13,494.42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7,220,942.98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7,205,988.62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18,657.19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736,388.77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791,802.07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211,328.71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210,625.38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263,293.72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263,225.52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4,069,800.79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4,086,614.80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16,749.20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1,591,342.58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1,560,875.34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1,426,533.33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1,725,684.59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1,591,342.58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1,494,006.86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1,359,664.85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1,725,684.59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66,868.48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66,868.48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11,308,347.76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90,191,177.09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86,134,168.38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15,365,356.47</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1,494,006.86</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3"/>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60"/>
      <w:bookmarkEnd w:id="1261"/>
      <w:bookmarkEnd w:id="126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5,158,321.37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-4,722,623.27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18,024.50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203,332.70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4,194,504.49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2,935,703.81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156,338.28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187,313.63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654,898.84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466,353.56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444,853.99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300,009.13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71,961.31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91,984.61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价调基金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43,643.15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58,722.43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江海堤防费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31,977.72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19,722.34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91,575.09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114,936.57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10,866,098.74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-344,544.49</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3"/>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264"/>
      <w:bookmarkEnd w:id="1265"/>
      <w:bookmarkEnd w:id="126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18,280.94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14,062.26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18,280.94</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应付利息说明</w:t>
      </w:r>
    </w:p>
    <w:p>
      <w:pPr>
        <w:pStyle w:val="Style33"/>
        <w:keepNext/>
        <w:keepLines/>
        <w:widowControl w:val="0"/>
        <w:shd w:val="clear" w:color="auto" w:fill="auto"/>
        <w:tabs>
          <w:tab w:pos="469" w:val="left"/>
        </w:tabs>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rFonts w:ascii="Times New Roman" w:eastAsia="Times New Roman" w:hAnsi="Times New Roman" w:cs="Times New Roman"/>
          <w:color w:val="000000"/>
          <w:spacing w:val="0"/>
          <w:w w:val="100"/>
          <w:position w:val="0"/>
        </w:rPr>
        <w:t>7</w:t>
      </w:r>
      <w:r>
        <w:rPr>
          <w:color w:val="000000"/>
          <w:spacing w:val="0"/>
          <w:w w:val="100"/>
          <w:position w:val="0"/>
        </w:rPr>
        <w:t>、</w:t>
        <w:tab/>
        <w:t>应付股利</w:t>
      </w:r>
      <w:bookmarkEnd w:id="1268"/>
      <w:bookmarkEnd w:id="1269"/>
      <w:bookmarkEnd w:id="127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rFonts w:ascii="Times New Roman" w:eastAsia="Times New Roman" w:hAnsi="Times New Roman" w:cs="Times New Roman"/>
          <w:color w:val="000000"/>
          <w:spacing w:val="0"/>
          <w:w w:val="100"/>
          <w:position w:val="0"/>
        </w:rPr>
        <w:t>8</w:t>
      </w:r>
      <w:r>
        <w:rPr>
          <w:color w:val="000000"/>
          <w:spacing w:val="0"/>
          <w:w w:val="100"/>
          <w:position w:val="0"/>
        </w:rPr>
        <w:t>、</w:t>
        <w:tab/>
        <w:t>其他应付款</w:t>
      </w:r>
      <w:bookmarkEnd w:id="1272"/>
      <w:bookmarkEnd w:id="1273"/>
      <w:bookmarkEnd w:id="1275"/>
    </w:p>
    <w:p>
      <w:pPr>
        <w:pStyle w:val="Style33"/>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6" w:name="bookmark12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72"/>
      <w:bookmarkEnd w:id="1273"/>
      <w:bookmarkEnd w:id="127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2,711,492.37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621,944.66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177,999.39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535,773.97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2,889,491.76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1,157,718.63</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2</w:t>
      </w:r>
      <w:r>
        <w:rPr>
          <w:color w:val="000000"/>
          <w:spacing w:val="0"/>
          <w:w w:val="100"/>
          <w:position w:val="0"/>
        </w:rPr>
        <w:t>） 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77"/>
      <w:bookmarkEnd w:id="1278"/>
      <w:bookmarkEnd w:id="1280"/>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账龄超过一年的大额其他应付款情况的说明</w:t>
      </w:r>
      <w:bookmarkEnd w:id="1281"/>
      <w:bookmarkEnd w:id="1282"/>
      <w:bookmarkEnd w:id="1284"/>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4</w:t>
      </w:r>
      <w:r>
        <w:rPr>
          <w:color w:val="000000"/>
          <w:spacing w:val="0"/>
          <w:w w:val="100"/>
          <w:position w:val="0"/>
        </w:rPr>
        <w:t>）</w:t>
        <w:tab/>
        <w:t>金额较大的其他应付款说明内容</w:t>
      </w:r>
      <w:bookmarkEnd w:id="1285"/>
      <w:bookmarkEnd w:id="1286"/>
      <w:bookmarkEnd w:id="1288"/>
    </w:p>
    <w:p>
      <w:pPr>
        <w:pStyle w:val="Style26"/>
        <w:keepNext w:val="0"/>
        <w:keepLines w:val="0"/>
        <w:widowControl w:val="0"/>
        <w:shd w:val="clear" w:color="auto" w:fill="auto"/>
        <w:bidi w:val="0"/>
        <w:spacing w:before="0" w:after="380" w:line="317" w:lineRule="exact"/>
        <w:ind w:left="0" w:right="0" w:firstLine="300"/>
        <w:jc w:val="left"/>
      </w:pPr>
      <w:r>
        <w:rPr>
          <w:color w:val="000000"/>
          <w:spacing w:val="0"/>
          <w:w w:val="100"/>
          <w:position w:val="0"/>
        </w:rPr>
        <w:t>其他应付款年末余额较上年增长</w:t>
      </w:r>
      <w:r>
        <w:rPr>
          <w:rFonts w:ascii="Times New Roman" w:eastAsia="Times New Roman" w:hAnsi="Times New Roman" w:cs="Times New Roman"/>
          <w:color w:val="000000"/>
          <w:spacing w:val="0"/>
          <w:w w:val="100"/>
          <w:position w:val="0"/>
          <w:sz w:val="18"/>
          <w:szCs w:val="18"/>
        </w:rPr>
        <w:t>149.58%</w:t>
      </w:r>
      <w:r>
        <w:rPr>
          <w:color w:val="000000"/>
          <w:spacing w:val="0"/>
          <w:w w:val="100"/>
          <w:position w:val="0"/>
        </w:rPr>
        <w:t>，主要系本公司本年度收到长沙锐亚信息技术有限公司往来款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,563,750.00</w:t>
      </w:r>
      <w:r>
        <w:rPr>
          <w:color w:val="000000"/>
          <w:spacing w:val="0"/>
          <w:w w:val="100"/>
          <w:position w:val="0"/>
        </w:rPr>
        <w:t>元所 致。</w:t>
      </w:r>
    </w:p>
    <w:p>
      <w:pPr>
        <w:pStyle w:val="Style33"/>
        <w:keepNext/>
        <w:keepLines/>
        <w:widowControl w:val="0"/>
        <w:shd w:val="clear" w:color="auto" w:fill="auto"/>
        <w:bidi w:val="0"/>
        <w:spacing w:before="0" w:after="2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289"/>
      <w:bookmarkEnd w:id="1290"/>
      <w:bookmarkEnd w:id="1292"/>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r>
        <w:br w:type="page"/>
      </w:r>
    </w:p>
    <w:p>
      <w:pPr>
        <w:pStyle w:val="Style33"/>
        <w:keepNext/>
        <w:keepLines/>
        <w:widowControl w:val="0"/>
        <w:shd w:val="clear" w:color="auto" w:fill="auto"/>
        <w:tabs>
          <w:tab w:pos="469" w:val="left"/>
        </w:tabs>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4</w:t>
      </w:r>
      <w:bookmarkEnd w:id="1295"/>
      <w:r>
        <w:rPr>
          <w:rFonts w:ascii="Times New Roman" w:eastAsia="Times New Roman" w:hAnsi="Times New Roman" w:cs="Times New Roman"/>
          <w:color w:val="000000"/>
          <w:spacing w:val="0"/>
          <w:w w:val="100"/>
          <w:position w:val="0"/>
        </w:rPr>
        <w:t>0</w:t>
      </w:r>
      <w:r>
        <w:rPr>
          <w:color w:val="000000"/>
          <w:spacing w:val="0"/>
          <w:w w:val="100"/>
          <w:position w:val="0"/>
        </w:rPr>
        <w:t>、</w:t>
        <w:tab/>
        <w:t>一年内到期的非流动负债</w:t>
      </w:r>
      <w:bookmarkEnd w:id="1293"/>
      <w:bookmarkEnd w:id="1294"/>
      <w:bookmarkEnd w:id="129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4</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w:t>
        <w:tab/>
        <w:t>其他流动负债</w:t>
      </w:r>
      <w:bookmarkEnd w:id="1297"/>
      <w:bookmarkEnd w:id="1298"/>
      <w:bookmarkEnd w:id="1300"/>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其他流动负债说明</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政府补助情况</w:t>
      </w:r>
    </w:p>
    <w:tbl>
      <w:tblPr>
        <w:tblOverlap w:val="never"/>
        <w:jc w:val="center"/>
        <w:tblLayout w:type="fixed"/>
      </w:tblPr>
      <w:tblGrid>
        <w:gridCol w:w="1421"/>
        <w:gridCol w:w="1176"/>
        <w:gridCol w:w="1488"/>
        <w:gridCol w:w="1493"/>
        <w:gridCol w:w="931"/>
        <w:gridCol w:w="1253"/>
        <w:gridCol w:w="1330"/>
      </w:tblGrid>
      <w:tr>
        <w:trPr>
          <w:trHeight w:val="66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本期新增补助金额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本期计入营业外收 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软件产业发展专 项补贴款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1,666,666.67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333,333.00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与收益相关</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1,666,666.67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333,333.00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39" w:line="1" w:lineRule="exact"/>
      </w:pPr>
    </w:p>
    <w:p>
      <w:pPr>
        <w:pStyle w:val="Style33"/>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4</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01"/>
      <w:bookmarkEnd w:id="1302"/>
      <w:bookmarkEnd w:id="1304"/>
    </w:p>
    <w:p>
      <w:pPr>
        <w:pStyle w:val="Style33"/>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5" w:name="bookmark13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01"/>
      <w:bookmarkEnd w:id="1302"/>
      <w:bookmarkEnd w:id="130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8,699,166.80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6,691,666.80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8,699,166.80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3"/>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306"/>
      <w:bookmarkEnd w:id="1307"/>
      <w:bookmarkEnd w:id="130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中国建设银 行股份有限 公司厦门城 市建设支行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基准利率水</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7"/>
                <w:szCs w:val="17"/>
              </w:rPr>
              <w:t>平上浮</w:t>
            </w:r>
            <w:r>
              <w:rPr>
                <w:rFonts w:ascii="Tahoma" w:eastAsia="Tahoma" w:hAnsi="Tahoma" w:cs="Tahoma"/>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1,213,333.40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基准利率水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1,202,500.00</w:t>
            </w:r>
          </w:p>
        </w:tc>
      </w:tr>
    </w:tbl>
    <w:p>
      <w:pPr>
        <w:widowControl w:val="0"/>
        <w:spacing w:line="1" w:lineRule="exact"/>
      </w:pPr>
      <w:r>
        <w:br w:type="page"/>
      </w:r>
    </w:p>
    <w:tbl>
      <w:tblPr>
        <w:tblOverlap w:val="never"/>
        <w:jc w:val="center"/>
        <w:tblLayout w:type="fixed"/>
      </w:tblPr>
      <w:tblGrid>
        <w:gridCol w:w="1066"/>
        <w:gridCol w:w="1066"/>
        <w:gridCol w:w="1066"/>
        <w:gridCol w:w="1061"/>
        <w:gridCol w:w="1066"/>
        <w:gridCol w:w="1066"/>
        <w:gridCol w:w="1061"/>
        <w:gridCol w:w="1066"/>
        <w:gridCol w:w="1066"/>
      </w:tblGrid>
      <w:tr>
        <w:trPr>
          <w:trHeight w:val="9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行股份有限 公司厦门城 市建设支行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平上浮</w:t>
            </w:r>
            <w:r>
              <w:rPr>
                <w:rFonts w:ascii="Tahoma" w:eastAsia="Tahoma" w:hAnsi="Tahoma" w:cs="Tahoma"/>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 行股份有限 公司厦门城 市建设支行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基准利率水</w:t>
            </w:r>
          </w:p>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平上浮</w:t>
            </w:r>
            <w:r>
              <w:rPr>
                <w:rFonts w:ascii="Tahoma" w:eastAsia="Tahoma" w:hAnsi="Tahoma" w:cs="Tahoma"/>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891,666.60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1,159,166.60</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 行股份有限 公司厦门城 市建设支行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基准利率水</w:t>
            </w:r>
          </w:p>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平上浮</w:t>
            </w:r>
            <w:r>
              <w:rPr>
                <w:rFonts w:ascii="Tahoma" w:eastAsia="Tahoma" w:hAnsi="Tahoma" w:cs="Tahoma"/>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883,333.40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1,148,333.40</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 行股份有限 公司厦门城 市建设支行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基准利率水</w:t>
            </w:r>
          </w:p>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平上浮</w:t>
            </w:r>
            <w:r>
              <w:rPr>
                <w:rFonts w:ascii="Tahoma" w:eastAsia="Tahoma" w:hAnsi="Tahoma" w:cs="Tahoma"/>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829,166.60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1,077,916.60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4,462,500.00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5,801,250.00</w:t>
            </w:r>
          </w:p>
        </w:tc>
      </w:tr>
    </w:tbl>
    <w:p>
      <w:pPr>
        <w:pStyle w:val="Style26"/>
        <w:keepNext w:val="0"/>
        <w:keepLines w:val="0"/>
        <w:widowControl w:val="0"/>
        <w:shd w:val="clear" w:color="auto" w:fill="auto"/>
        <w:bidi w:val="0"/>
        <w:spacing w:before="0" w:after="900" w:line="427" w:lineRule="exact"/>
        <w:ind w:left="0" w:right="0" w:firstLine="0"/>
        <w:jc w:val="left"/>
      </w:pPr>
      <w:r>
        <w:rPr>
          <w:color w:val="000000"/>
          <w:spacing w:val="0"/>
          <w:w w:val="100"/>
          <w:position w:val="0"/>
        </w:rPr>
        <w:t>长期借款说明，因逾期借款获得展期形成的长期借款，应说明获得展期的条件、本金、利息、预计还款安排等 说明：上述抵押借款系以本公司房屋建筑物为抵押物，由厦门市土地开发总公司提供担保。</w:t>
      </w:r>
    </w:p>
    <w:p>
      <w:pPr>
        <w:pStyle w:val="Style33"/>
        <w:keepNext/>
        <w:keepLines/>
        <w:widowControl w:val="0"/>
        <w:shd w:val="clear" w:color="auto" w:fill="auto"/>
        <w:tabs>
          <w:tab w:pos="469" w:val="left"/>
        </w:tabs>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4</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w:t>
        <w:tab/>
        <w:t>应付债券</w:t>
      </w:r>
      <w:bookmarkEnd w:id="1309"/>
      <w:bookmarkEnd w:id="1310"/>
      <w:bookmarkEnd w:id="131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4</w:t>
      </w:r>
      <w:bookmarkEnd w:id="1315"/>
      <w:r>
        <w:rPr>
          <w:rFonts w:ascii="Times New Roman" w:eastAsia="Times New Roman" w:hAnsi="Times New Roman" w:cs="Times New Roman"/>
          <w:color w:val="000000"/>
          <w:spacing w:val="0"/>
          <w:w w:val="100"/>
          <w:position w:val="0"/>
        </w:rPr>
        <w:t>4</w:t>
      </w:r>
      <w:r>
        <w:rPr>
          <w:color w:val="000000"/>
          <w:spacing w:val="0"/>
          <w:w w:val="100"/>
          <w:position w:val="0"/>
        </w:rPr>
        <w:t>、</w:t>
        <w:tab/>
        <w:t>长期应付款</w:t>
      </w:r>
      <w:bookmarkEnd w:id="1313"/>
      <w:bookmarkEnd w:id="1314"/>
      <w:bookmarkEnd w:id="131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4</w:t>
      </w:r>
      <w:bookmarkEnd w:id="1319"/>
      <w:r>
        <w:rPr>
          <w:rFonts w:ascii="Times New Roman" w:eastAsia="Times New Roman" w:hAnsi="Times New Roman" w:cs="Times New Roman"/>
          <w:color w:val="000000"/>
          <w:spacing w:val="0"/>
          <w:w w:val="100"/>
          <w:position w:val="0"/>
        </w:rPr>
        <w:t>5</w:t>
      </w:r>
      <w:r>
        <w:rPr>
          <w:color w:val="000000"/>
          <w:spacing w:val="0"/>
          <w:w w:val="100"/>
          <w:position w:val="0"/>
        </w:rPr>
        <w:t>、</w:t>
        <w:tab/>
        <w:t>专项应付款</w:t>
      </w:r>
      <w:bookmarkEnd w:id="1317"/>
      <w:bookmarkEnd w:id="1318"/>
      <w:bookmarkEnd w:id="132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4</w:t>
      </w:r>
      <w:bookmarkEnd w:id="1323"/>
      <w:r>
        <w:rPr>
          <w:rFonts w:ascii="Times New Roman" w:eastAsia="Times New Roman" w:hAnsi="Times New Roman" w:cs="Times New Roman"/>
          <w:color w:val="000000"/>
          <w:spacing w:val="0"/>
          <w:w w:val="100"/>
          <w:position w:val="0"/>
        </w:rPr>
        <w:t>6</w:t>
      </w:r>
      <w:r>
        <w:rPr>
          <w:color w:val="000000"/>
          <w:spacing w:val="0"/>
          <w:w w:val="100"/>
          <w:position w:val="0"/>
        </w:rPr>
        <w:t>、</w:t>
        <w:tab/>
        <w:t>其他非流动负债</w:t>
      </w:r>
      <w:bookmarkEnd w:id="1321"/>
      <w:bookmarkEnd w:id="1322"/>
      <w:bookmarkEnd w:id="132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89"/>
        <w:gridCol w:w="30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通用嵌入式读卡器与软构件平台产业化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53,333.33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53,333.33</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widowControl w:val="0"/>
        <w:spacing w:after="99" w:line="1" w:lineRule="exact"/>
      </w:pPr>
    </w:p>
    <w:p>
      <w:pPr>
        <w:pStyle w:val="Style26"/>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根据厦门市财政局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厦财企</w:t>
      </w:r>
      <w:r>
        <w:rPr>
          <w:rFonts w:ascii="Times New Roman" w:eastAsia="Times New Roman" w:hAnsi="Times New Roman" w:cs="Times New Roman"/>
          <w:color w:val="000000"/>
          <w:spacing w:val="0"/>
          <w:w w:val="100"/>
          <w:position w:val="0"/>
          <w:sz w:val="18"/>
          <w:szCs w:val="18"/>
        </w:rPr>
        <w:t>[2008]32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《厦门市财政局关于下达</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年第一批促进项目成果转化扶持资金支出预算的通 知》、厦门市发展和改革委员会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厦发改投资</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2008]537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《厦门市发展改革委关于下达市</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年第五批基本建设计划的通 </w:t>
      </w:r>
      <w:r>
        <w:rPr>
          <w:color w:val="000000"/>
          <w:spacing w:val="0"/>
          <w:w w:val="100"/>
          <w:position w:val="0"/>
        </w:rPr>
        <w:t>知》，本公司于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年收到政府补助款</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元，用于购置设备。本公司自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月起在电子设备折旧年限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年内平均 摊销，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年摊销计入营业外收入的金额为</w:t>
      </w:r>
      <w:r>
        <w:rPr>
          <w:rFonts w:ascii="Times New Roman" w:eastAsia="Times New Roman" w:hAnsi="Times New Roman" w:cs="Times New Roman"/>
          <w:color w:val="000000"/>
          <w:spacing w:val="0"/>
          <w:w w:val="100"/>
          <w:position w:val="0"/>
          <w:sz w:val="18"/>
          <w:szCs w:val="18"/>
        </w:rPr>
        <w:t>53,333.33</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both"/>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325"/>
      <w:bookmarkEnd w:id="1326"/>
      <w:bookmarkEnd w:id="1327"/>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172,000,000.00</w:t>
            </w:r>
          </w:p>
        </w:tc>
      </w:tr>
    </w:tbl>
    <w:p>
      <w:pPr>
        <w:widowControl w:val="0"/>
        <w:spacing w:after="59" w:line="1" w:lineRule="exact"/>
      </w:pPr>
    </w:p>
    <w:p>
      <w:pPr>
        <w:pStyle w:val="Style26"/>
        <w:keepNext w:val="0"/>
        <w:keepLines w:val="0"/>
        <w:widowControl w:val="0"/>
        <w:shd w:val="clear" w:color="auto" w:fill="auto"/>
        <w:bidi w:val="0"/>
        <w:spacing w:before="0" w:after="200" w:line="312"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010]890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文《关于核准易联众信息技术股份有限公司 首次公开发行股票并在创业板上市的批复》核准，本公司申请通过向社会公开发行人民币普通股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股）增加注册资本人民 币</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万元，变更后的股本为</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万股，注册资本为人民币</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万元。此次增资业经天健正信会计师事务所有限公司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 健正信验（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）综字第</w:t>
      </w:r>
      <w:r>
        <w:rPr>
          <w:rFonts w:ascii="Times New Roman" w:eastAsia="Times New Roman" w:hAnsi="Times New Roman" w:cs="Times New Roman"/>
          <w:color w:val="000000"/>
          <w:spacing w:val="0"/>
          <w:w w:val="100"/>
          <w:position w:val="0"/>
          <w:sz w:val="18"/>
          <w:szCs w:val="18"/>
        </w:rPr>
        <w:t>020095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《验资报告》审验。</w:t>
      </w:r>
    </w:p>
    <w:p>
      <w:pPr>
        <w:pStyle w:val="Style26"/>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日，本公司根据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年度股东大会决议通过的《关于</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年度利润分配及资本公积金转增股本 预案</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的议案》，以本公司总股本</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股。资本公积转增股本后，本公司 总股本为</w:t>
      </w:r>
      <w:r>
        <w:rPr>
          <w:rFonts w:ascii="Times New Roman" w:eastAsia="Times New Roman" w:hAnsi="Times New Roman" w:cs="Times New Roman"/>
          <w:color w:val="000000"/>
          <w:spacing w:val="0"/>
          <w:w w:val="100"/>
          <w:position w:val="0"/>
          <w:sz w:val="18"/>
          <w:szCs w:val="18"/>
        </w:rPr>
        <w:t>17,200</w:t>
      </w:r>
      <w:r>
        <w:rPr>
          <w:color w:val="000000"/>
          <w:spacing w:val="0"/>
          <w:w w:val="100"/>
          <w:position w:val="0"/>
        </w:rPr>
        <w:t>万股。</w:t>
      </w:r>
    </w:p>
    <w:p>
      <w:pPr>
        <w:pStyle w:val="Style33"/>
        <w:keepNext/>
        <w:keepLines/>
        <w:widowControl w:val="0"/>
        <w:shd w:val="clear" w:color="auto" w:fill="auto"/>
        <w:tabs>
          <w:tab w:pos="469" w:val="left"/>
        </w:tabs>
        <w:bidi w:val="0"/>
        <w:spacing w:before="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328"/>
      <w:bookmarkEnd w:id="1329"/>
      <w:bookmarkEnd w:id="1331"/>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3"/>
        <w:keepNext/>
        <w:keepLines/>
        <w:widowControl w:val="0"/>
        <w:shd w:val="clear" w:color="auto" w:fill="auto"/>
        <w:tabs>
          <w:tab w:pos="469" w:val="left"/>
        </w:tabs>
        <w:bidi w:val="0"/>
        <w:spacing w:before="0" w:after="30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4</w:t>
      </w:r>
      <w:bookmarkEnd w:id="1334"/>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332"/>
      <w:bookmarkEnd w:id="1333"/>
      <w:bookmarkEnd w:id="1335"/>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5</w:t>
      </w:r>
      <w:bookmarkEnd w:id="1338"/>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336"/>
      <w:bookmarkEnd w:id="1337"/>
      <w:bookmarkEnd w:id="133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292,196,667.26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292,196,667.26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292,196,667.26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292,196,667.26</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5</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40"/>
      <w:bookmarkEnd w:id="1341"/>
      <w:bookmarkEnd w:id="1343"/>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13,543,123.68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15,642,479.75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13,543,123.68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2,099,356.07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15,642,479.75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说明：本年增加系根据公司章程规定，按母公司净利润的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r>
        <w:rPr>
          <w:rFonts w:ascii="Times New Roman" w:eastAsia="Times New Roman" w:hAnsi="Times New Roman" w:cs="Times New Roman"/>
          <w:color w:val="000000"/>
          <w:spacing w:val="0"/>
          <w:w w:val="100"/>
          <w:position w:val="0"/>
          <w:sz w:val="18"/>
          <w:szCs w:val="18"/>
        </w:rPr>
        <w:t>2,099,356.07</w:t>
      </w:r>
      <w:r>
        <w:rPr>
          <w:color w:val="000000"/>
          <w:spacing w:val="0"/>
          <w:w w:val="100"/>
          <w:position w:val="0"/>
        </w:rPr>
        <w:t>元。</w:t>
      </w:r>
      <w:r>
        <w:br w:type="page"/>
      </w:r>
    </w:p>
    <w:p>
      <w:pPr>
        <w:pStyle w:val="Style33"/>
        <w:keepNext/>
        <w:keepLines/>
        <w:widowControl w:val="0"/>
        <w:shd w:val="clear" w:color="auto" w:fill="auto"/>
        <w:tabs>
          <w:tab w:pos="469" w:val="left"/>
        </w:tabs>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5</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344"/>
      <w:bookmarkEnd w:id="1345"/>
      <w:bookmarkEnd w:id="134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5</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348"/>
      <w:bookmarkEnd w:id="1349"/>
      <w:bookmarkEnd w:id="135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152,777,062.58</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152,777,062.58</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40,405,024.15</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2,099,356.07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17,200,000.00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173,882,730.66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调整年初未分配利润明细：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352" w:name="bookmark1352"/>
      <w:r>
        <w:rPr>
          <w:rFonts w:ascii="Times New Roman" w:eastAsia="Times New Roman" w:hAnsi="Times New Roman" w:cs="Times New Roman"/>
          <w:color w:val="000000"/>
          <w:spacing w:val="0"/>
          <w:w w:val="100"/>
          <w:position w:val="0"/>
          <w:sz w:val="18"/>
          <w:szCs w:val="18"/>
        </w:rPr>
        <w:t>1</w:t>
      </w:r>
      <w:bookmarkEnd w:id="13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353" w:name="bookmark1353"/>
      <w:r>
        <w:rPr>
          <w:rFonts w:ascii="Times New Roman" w:eastAsia="Times New Roman" w:hAnsi="Times New Roman" w:cs="Times New Roman"/>
          <w:color w:val="000000"/>
          <w:spacing w:val="0"/>
          <w:w w:val="100"/>
          <w:position w:val="0"/>
          <w:sz w:val="18"/>
          <w:szCs w:val="18"/>
        </w:rPr>
        <w:t>2</w:t>
      </w:r>
      <w:bookmarkEnd w:id="13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354" w:name="bookmark1354"/>
      <w:r>
        <w:rPr>
          <w:rFonts w:ascii="Times New Roman" w:eastAsia="Times New Roman" w:hAnsi="Times New Roman" w:cs="Times New Roman"/>
          <w:color w:val="000000"/>
          <w:spacing w:val="0"/>
          <w:w w:val="100"/>
          <w:position w:val="0"/>
          <w:sz w:val="18"/>
          <w:szCs w:val="18"/>
        </w:rPr>
        <w:t>3</w:t>
      </w:r>
      <w:bookmarkEnd w:id="13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355" w:name="bookmark1355"/>
      <w:r>
        <w:rPr>
          <w:rFonts w:ascii="Times New Roman" w:eastAsia="Times New Roman" w:hAnsi="Times New Roman" w:cs="Times New Roman"/>
          <w:color w:val="000000"/>
          <w:spacing w:val="0"/>
          <w:w w:val="100"/>
          <w:position w:val="0"/>
          <w:sz w:val="18"/>
          <w:szCs w:val="18"/>
        </w:rPr>
        <w:t>4</w:t>
      </w:r>
      <w:bookmarkEnd w:id="13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356" w:name="bookmark1356"/>
      <w:r>
        <w:rPr>
          <w:rFonts w:ascii="Times New Roman" w:eastAsia="Times New Roman" w:hAnsi="Times New Roman" w:cs="Times New Roman"/>
          <w:color w:val="000000"/>
          <w:spacing w:val="0"/>
          <w:w w:val="100"/>
          <w:position w:val="0"/>
          <w:sz w:val="18"/>
          <w:szCs w:val="18"/>
        </w:rPr>
        <w:t>5</w:t>
      </w:r>
      <w:bookmarkEnd w:id="13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5</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357"/>
      <w:bookmarkEnd w:id="1358"/>
      <w:bookmarkEnd w:id="1360"/>
    </w:p>
    <w:p>
      <w:pPr>
        <w:pStyle w:val="Style33"/>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357"/>
      <w:bookmarkEnd w:id="1358"/>
      <w:bookmarkEnd w:id="136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279,797,747.85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149,192,461.19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147,221,533.74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62"/>
      <w:bookmarkEnd w:id="1363"/>
      <w:bookmarkEnd w:id="136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149,192,461.19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279,797,747.85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147,221,533.74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149,192,461.19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279,797,747.85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147,221,533.74</w:t>
            </w:r>
          </w:p>
        </w:tc>
      </w:tr>
    </w:tbl>
    <w:p>
      <w:pPr>
        <w:spacing w:lineRule="exact" w:line="1"/>
        <w:rPr>
          <w:sz w:val="2"/>
          <w:szCs w:val="2"/>
        </w:rPr>
      </w:pPr>
      <w:r>
        <w:br w:type="page"/>
      </w:r>
    </w:p>
    <w:p>
      <w:pPr>
        <w:pStyle w:val="Style33"/>
        <w:keepNext/>
        <w:keepLines/>
        <w:widowControl w:val="0"/>
        <w:numPr>
          <w:ilvl w:val="0"/>
          <w:numId w:val="23"/>
        </w:numPr>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主营业务(分产品)</w:t>
      </w:r>
      <w:bookmarkEnd w:id="1365"/>
      <w:bookmarkEnd w:id="1366"/>
      <w:bookmarkEnd w:id="136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定制软件及</w:t>
            </w:r>
            <w:r>
              <w:rPr>
                <w:rFonts w:ascii="Times New Roman" w:eastAsia="Times New Roman" w:hAnsi="Times New Roman" w:cs="Times New Roman"/>
                <w:color w:val="000000"/>
                <w:spacing w:val="0"/>
                <w:w w:val="100"/>
                <w:position w:val="0"/>
                <w:sz w:val="18"/>
                <w:szCs w:val="18"/>
              </w:rPr>
              <w:t>IC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187,858,594.63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80,936,920.25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183,864,439.33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84,791,002.29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40,733,902.97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13,736,806.90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31,906,518.65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13,206,377.73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系统集成及硬件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70,673,313.94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54,159,838.34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61,616,667.20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48,664,880.72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1,664,029.12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358,895.70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2,410,122.67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559,273.00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149,192,461.19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279,797,747.85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147,221,533.74</w:t>
            </w:r>
          </w:p>
        </w:tc>
      </w:tr>
    </w:tbl>
    <w:p>
      <w:pPr>
        <w:widowControl w:val="0"/>
        <w:spacing w:after="319" w:line="1" w:lineRule="exact"/>
      </w:pPr>
    </w:p>
    <w:p>
      <w:pPr>
        <w:pStyle w:val="Style33"/>
        <w:keepNext/>
        <w:keepLines/>
        <w:widowControl w:val="0"/>
        <w:numPr>
          <w:ilvl w:val="0"/>
          <w:numId w:val="23"/>
        </w:numPr>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主营业务(分地区)</w:t>
      </w:r>
      <w:bookmarkEnd w:id="1369"/>
      <w:bookmarkEnd w:id="1370"/>
      <w:bookmarkEnd w:id="137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132,646,770.15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67,380,576.29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119,109,847.55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63,899,836.19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100,494,898.19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38,267,442.85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87,149,121.82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32,632,589.86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4,372,087.17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3,526,264.71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29,222,222.22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21,777,657.46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24,852,102.22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14,896,027.62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12,055,415.58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8,061,578.67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1,035,868.46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11,591,003.02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8,632,268.38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13,307,375.01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7,952,897.16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6,173,396.20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3,326,374.98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6,897,385.44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3,471,910.78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5,473,007.92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2,596,040.69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7,896,817.22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6,656,891.29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4,738,461.52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4,619,436.21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1,456,310.68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184,653.00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1,878,569.27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387,675.00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3,010,210.94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2,360,527.01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1,293,207.55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879,616.74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1,945,961.78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2,253,589.74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1,883,586.82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1,663,853.48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575,923.37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1,113,495.20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408,459.56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300,929,840.66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149,192,461.19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279,797,747.85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147,221,533.74</w:t>
            </w:r>
          </w:p>
        </w:tc>
      </w:tr>
    </w:tbl>
    <w:p>
      <w:pPr>
        <w:widowControl w:val="0"/>
        <w:spacing w:after="319" w:line="1" w:lineRule="exact"/>
      </w:pPr>
    </w:p>
    <w:p>
      <w:pPr>
        <w:pStyle w:val="Style33"/>
        <w:keepNext/>
        <w:keepLines/>
        <w:widowControl w:val="0"/>
        <w:numPr>
          <w:ilvl w:val="0"/>
          <w:numId w:val="23"/>
        </w:numPr>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公司来自前五名客户的营业收入情况</w:t>
      </w:r>
      <w:bookmarkEnd w:id="1373"/>
      <w:bookmarkEnd w:id="1374"/>
      <w:bookmarkEnd w:id="137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51"/>
        <w:gridCol w:w="413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大唐微电子技术有限公司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23,479,487.13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bl>
    <w:p>
      <w:pPr>
        <w:widowControl w:val="0"/>
        <w:spacing w:line="1" w:lineRule="exact"/>
      </w:pPr>
      <w:r>
        <w:br w:type="page"/>
      </w:r>
    </w:p>
    <w:tbl>
      <w:tblPr>
        <w:tblOverlap w:val="never"/>
        <w:jc w:val="center"/>
        <w:tblLayout w:type="fixed"/>
      </w:tblPr>
      <w:tblGrid>
        <w:gridCol w:w="2597"/>
        <w:gridCol w:w="2851"/>
        <w:gridCol w:w="4133"/>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中国邮政储蓄银行股份有限公司 山西省分行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14,457,439.05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中国农业银行股份有限公司长治 潞丰支行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10,531,827.77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山西省邮政公司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9,848,887.68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合肥市人力资源和社会保障局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8,843,597.40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67,161,239.03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3"/>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5</w:t>
      </w:r>
      <w:bookmarkEnd w:id="1379"/>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377"/>
      <w:bookmarkEnd w:id="1378"/>
      <w:bookmarkEnd w:id="1380"/>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5</w:t>
      </w:r>
      <w:bookmarkEnd w:id="1383"/>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381"/>
      <w:bookmarkEnd w:id="1382"/>
      <w:bookmarkEnd w:id="138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149,573.31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1,655,975.65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1,496,988.87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1,668,211.20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1,164,638.86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1,170,900.92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81,666.25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价格调控基金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江海堤防费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41,385.57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42,683.65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2,901,853.39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4,783,322.61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3"/>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5</w:t>
      </w:r>
      <w:bookmarkEnd w:id="1387"/>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385"/>
      <w:bookmarkEnd w:id="1386"/>
      <w:bookmarkEnd w:id="138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13,788,058.29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7,340,635.99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1,785,039.19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2,490,358.43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6,450,702.60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2,077,727.66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2,629,615.86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874,665.82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423,422.62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739,216.90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178,559.32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385,410.03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332,417.53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182,056.69</w:t>
            </w:r>
          </w:p>
        </w:tc>
      </w:tr>
    </w:tbl>
    <w:p>
      <w:pPr>
        <w:sectPr>
          <w:footnotePr>
            <w:pos w:val="pageBottom"/>
            <w:numFmt w:val="decimal"/>
            <w:numRestart w:val="continuous"/>
          </w:footnotePr>
          <w:pgSz w:w="11900" w:h="16840"/>
          <w:pgMar w:top="1388" w:right="1061" w:bottom="1436" w:left="1061" w:header="0" w:footer="3" w:gutter="0"/>
          <w:cols w:space="720"/>
          <w:noEndnote/>
          <w:rtlGutter w:val="0"/>
          <w:docGrid w:linePitch="360"/>
        </w:sectPr>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12,888.23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25,597,849.21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14,204,834.75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5</w:t>
      </w:r>
      <w:bookmarkEnd w:id="1391"/>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389"/>
      <w:bookmarkEnd w:id="1390"/>
      <w:bookmarkEnd w:id="139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40,935,469.85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25,537,246.26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22,368,672.23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15,673,543.15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9,582,228.38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6,914,015.83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1,833,257.90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2,369,331.09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管理营运费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7,153,407.28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4,482,713.66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3,869,625.26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2,228,577.56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2,001,425.25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1,127,715.99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1,177,157.79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1,392,707.21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1,315,186.09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744,161.40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1,200,795.67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640,558.14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91,437,225.70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61,110,570.29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5</w:t>
      </w:r>
      <w:bookmarkEnd w:id="139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93"/>
      <w:bookmarkEnd w:id="1394"/>
      <w:bookmarkEnd w:id="139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545,570.74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703,237.85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-7,614,078.77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-7,660,422.17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88,335.97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80,136.79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-6,980,172.06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-6,877,047.53</w:t>
            </w:r>
          </w:p>
        </w:tc>
      </w:tr>
    </w:tbl>
    <w:p>
      <w:pPr>
        <w:widowControl w:val="0"/>
        <w:spacing w:after="319" w:line="1" w:lineRule="exact"/>
      </w:pPr>
    </w:p>
    <w:p>
      <w:pPr>
        <w:pStyle w:val="Style33"/>
        <w:keepNext/>
        <w:keepLines/>
        <w:widowControl w:val="0"/>
        <w:shd w:val="clear" w:color="auto" w:fill="auto"/>
        <w:tabs>
          <w:tab w:pos="469" w:val="left"/>
        </w:tabs>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6</w:t>
      </w:r>
      <w:bookmarkEnd w:id="1399"/>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397"/>
      <w:bookmarkEnd w:id="1398"/>
      <w:bookmarkEnd w:id="140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69" w:val="left"/>
        </w:tabs>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6</w:t>
      </w:r>
      <w:bookmarkEnd w:id="1403"/>
      <w:r>
        <w:rPr>
          <w:rFonts w:ascii="Times New Roman" w:eastAsia="Times New Roman" w:hAnsi="Times New Roman" w:cs="Times New Roman"/>
          <w:color w:val="000000"/>
          <w:spacing w:val="0"/>
          <w:w w:val="100"/>
          <w:position w:val="0"/>
        </w:rPr>
        <w:t>1</w:t>
      </w:r>
      <w:r>
        <w:rPr>
          <w:color w:val="000000"/>
          <w:spacing w:val="0"/>
          <w:w w:val="100"/>
          <w:position w:val="0"/>
        </w:rPr>
        <w:t>、</w:t>
        <w:tab/>
        <w:t>投资收益</w:t>
      </w:r>
      <w:bookmarkEnd w:id="1401"/>
      <w:bookmarkEnd w:id="1402"/>
      <w:bookmarkEnd w:id="1404"/>
    </w:p>
    <w:p>
      <w:pPr>
        <w:pStyle w:val="Style33"/>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401"/>
      <w:bookmarkEnd w:id="1402"/>
      <w:bookmarkEnd w:id="1405"/>
      <w:r>
        <w:br w:type="page"/>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2,141,863.45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626,116.88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2,141,863.45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626,116.88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406"/>
      <w:bookmarkEnd w:id="1407"/>
      <w:bookmarkEnd w:id="140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409"/>
      <w:bookmarkEnd w:id="1410"/>
      <w:bookmarkEnd w:id="141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992"/>
        <w:gridCol w:w="1728"/>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北京尚洋易捷信息技术有限公司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2,142,170.31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626,989.89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被投资单位本年度净利润增加</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福州南华医保健康研发有限公司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被投资单位本年度净利润增加</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2,141,863.45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626,116.88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3"/>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6</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13"/>
      <w:bookmarkEnd w:id="1414"/>
      <w:bookmarkEnd w:id="141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6,291,084.54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8,733,649.16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6,291,084.54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8,733,649.16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6</w:t>
      </w:r>
      <w:bookmarkEnd w:id="1419"/>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17"/>
      <w:bookmarkEnd w:id="1418"/>
      <w:bookmarkEnd w:id="1420"/>
    </w:p>
    <w:p>
      <w:pPr>
        <w:pStyle w:val="Style33"/>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417"/>
      <w:bookmarkEnd w:id="1418"/>
      <w:bookmarkEnd w:id="142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12,683,453.95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19,589,874.33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4,840,540.25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12,636.74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12,696,090.69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19,601,152.50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4,853,176.99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3"/>
        <w:keepNext/>
        <w:keepLines/>
        <w:widowControl w:val="0"/>
        <w:shd w:val="clear" w:color="auto" w:fill="auto"/>
        <w:bidi w:val="0"/>
        <w:spacing w:before="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41" w:right="1109" w:bottom="2406" w:left="1104" w:header="0" w:footer="3" w:gutter="0"/>
          <w:cols w:space="720"/>
          <w:noEndnote/>
          <w:rtlGutter w:val="0"/>
          <w:docGrid w:linePitch="360"/>
        </w:sectPr>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422"/>
      <w:bookmarkEnd w:id="1423"/>
      <w:bookmarkEnd w:id="1424"/>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软件增值税退税款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7,842,913.70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10,785,041.00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名中医医案研究应用系 统扶持金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通用嵌入式读卡器与软 构件平台产业化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厦门医疗自助服务平台 扶持金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金融社保卡的研制、规 模化生产及发行应用资 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年度高企财政扶持</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工业中小企业技术改造 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年度技改财政扶持</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年软件及信息服务 业纳税大户奖励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507,600.00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软件和信息服务业发展</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1,506,000.00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物联网发展专项资金补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山西省科技型中小企业 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厦门市科学技术局、厦 门财政局厦门市科技计 划创新项目、科技型中 小企业技术创新资金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年科学进步奖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软件产业发展专项资金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1,666,666.67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年度优秀新产品奖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年度纳税大户奖励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年度科技进步奖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年度科技进步奖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专利申请费用资助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毕业生实习补贴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国家科技支撑计划课题 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年度纳税大户奖励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就业信息系统及应用示 范项目专项补贴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科技局高新技术奖励金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福建省科技进步奖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劳动关系管理信息系统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年度高新技术企业 财政扶持资金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年省财政第二批软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件产业发展专项资金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年品牌企业生产发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12,683,453.95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19,589,874.33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6</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425"/>
      <w:bookmarkEnd w:id="1426"/>
      <w:bookmarkEnd w:id="142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91,788.07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63,257.34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91,788.07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91,788.07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63,257.34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91,788.07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62,838.03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98,908.69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138,470.37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98,908.69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3"/>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6</w:t>
      </w:r>
      <w:bookmarkEnd w:id="1431"/>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429"/>
      <w:bookmarkEnd w:id="1430"/>
      <w:bookmarkEnd w:id="143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12,453,698.10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14,039,727.75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-3,567,877.52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-1,475,576.73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8,885,820.58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12,564,151.02</w:t>
            </w:r>
          </w:p>
        </w:tc>
      </w:tr>
    </w:tbl>
    <w:p>
      <w:pPr>
        <w:spacing w:lineRule="exact" w:line="1"/>
        <w:rPr>
          <w:sz w:val="2"/>
          <w:szCs w:val="2"/>
        </w:rPr>
      </w:pPr>
      <w:r>
        <w:br w:type="page"/>
      </w:r>
    </w:p>
    <w:p>
      <w:pPr>
        <w:pStyle w:val="Style33"/>
        <w:keepNext/>
        <w:keepLines/>
        <w:widowControl w:val="0"/>
        <w:shd w:val="clear" w:color="auto" w:fill="auto"/>
        <w:bidi w:val="0"/>
        <w:spacing w:before="0" w:after="34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6</w:t>
      </w:r>
      <w:bookmarkEnd w:id="1435"/>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433"/>
      <w:bookmarkEnd w:id="1434"/>
      <w:bookmarkEnd w:id="1436"/>
    </w:p>
    <w:tbl>
      <w:tblPr>
        <w:tblOverlap w:val="never"/>
        <w:jc w:val="center"/>
        <w:tblLayout w:type="fixed"/>
      </w:tblPr>
      <w:tblGrid>
        <w:gridCol w:w="4973"/>
        <w:gridCol w:w="1354"/>
        <w:gridCol w:w="1373"/>
        <w:gridCol w:w="1392"/>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代码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本年发生额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上年发生额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40,405,024.15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56,241,855.51</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报告期归属于公司普通股股东的非经常性损益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3,877,761.43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7,317,523.53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报告期扣除非经常性损益后归属于公司普通股股东的净利润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P2=P1-F</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36,527,262.72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48,924,331.98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稀释事项对归属于公司普通股股东的净利润的影响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稀释事项对扣除非经常性损益后归属于公司普通股股东的净利 润的影响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年初股份总数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172,000,000.00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报告期因公积金转增股本或股票股利分配等增加股份数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增加股份下一月份起至报告期年末的月份数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Sj</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减少股份下一月份起至报告期年末的月份数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Mj</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Sk</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66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S=S0+S1+Si*Mi/</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M0-Sj*Mj/M0-Sk</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172,000,000.00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172,000,000.00</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加：假定稀释性潜在普通股转换为已发行普通股而增加的普通 股加权平均数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计算稀释每股收益的普通股加权平均数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X2=S+X1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172,000,000.00</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认股权证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Y1=P1/S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Y2=P2/S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6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归属于公司普通股股东的稀释每股收益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Y3=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P3</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68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扣除非经常性损益后归属于公司普通股股东的稀释每股收益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Y4=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P4</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widowControl w:val="0"/>
        <w:spacing w:after="619" w:line="1" w:lineRule="exact"/>
      </w:pPr>
    </w:p>
    <w:p>
      <w:pPr>
        <w:pStyle w:val="Style33"/>
        <w:keepNext/>
        <w:keepLines/>
        <w:widowControl w:val="0"/>
        <w:shd w:val="clear" w:color="auto" w:fill="auto"/>
        <w:bidi w:val="0"/>
        <w:spacing w:before="0" w:after="40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6</w:t>
      </w:r>
      <w:bookmarkEnd w:id="143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37"/>
      <w:bookmarkEnd w:id="1438"/>
      <w:bookmarkEnd w:id="1440"/>
    </w:p>
    <w:p>
      <w:pPr>
        <w:pStyle w:val="Style26"/>
        <w:keepNext w:val="0"/>
        <w:keepLines w:val="0"/>
        <w:widowControl w:val="0"/>
        <w:shd w:val="clear" w:color="auto" w:fill="auto"/>
        <w:bidi w:val="0"/>
        <w:spacing w:before="0" w:after="40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441" w:right="1125" w:bottom="1455" w:left="1109" w:header="0" w:footer="3" w:gutter="0"/>
          <w:cols w:space="720"/>
          <w:noEndnote/>
          <w:rtlGutter w:val="0"/>
          <w:docGrid w:linePitch="360"/>
        </w:sectPr>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6</w:t>
      </w:r>
      <w:bookmarkEnd w:id="1443"/>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441"/>
      <w:bookmarkEnd w:id="1442"/>
      <w:bookmarkEnd w:id="1444"/>
    </w:p>
    <w:p>
      <w:pPr>
        <w:pStyle w:val="Style33"/>
        <w:keepNext/>
        <w:keepLines/>
        <w:widowControl w:val="0"/>
        <w:shd w:val="clear" w:color="auto" w:fill="auto"/>
        <w:bidi w:val="0"/>
        <w:spacing w:before="0" w:after="360" w:line="240" w:lineRule="auto"/>
        <w:ind w:left="0" w:right="0" w:firstLine="0"/>
        <w:jc w:val="left"/>
      </w:pPr>
      <w:bookmarkStart w:id="1441" w:name="bookmark1441"/>
      <w:bookmarkStart w:id="1442" w:name="bookmark1442"/>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41"/>
      <w:bookmarkEnd w:id="1442"/>
      <w:bookmarkEnd w:id="144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收到财政及产品补助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5,120,540.25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收到员工归还借款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3,344,399.14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收到退还的保证金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2,251,329.20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6,896,506.63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2,544,090.00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6,658,392.34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26,815,257.56</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6"/>
      <w:bookmarkEnd w:id="1447"/>
      <w:bookmarkEnd w:id="144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支付管理费用及销售费用（不含薪酬税费等）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36,681,490.22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支付员工借款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9,038,079.80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1,969,005.50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4,159,883.92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1,306,508.63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53,154,968.07</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49"/>
      <w:bookmarkEnd w:id="1450"/>
      <w:bookmarkEnd w:id="145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收回三个月以上定期存款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470" w:right="1109" w:bottom="1984" w:left="1109" w:header="0" w:footer="3" w:gutter="0"/>
          <w:cols w:space="720"/>
          <w:noEndnote/>
          <w:rtlGutter w:val="0"/>
          <w:docGrid w:linePitch="360"/>
        </w:sectPr>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53"/>
      <w:bookmarkEnd w:id="1454"/>
      <w:bookmarkEnd w:id="1456"/>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支付三个月以上定期存款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57,197,489.72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57,197,489.72</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6</w:t>
      </w:r>
      <w:bookmarkEnd w:id="145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57"/>
      <w:bookmarkEnd w:id="1458"/>
      <w:bookmarkEnd w:id="1460"/>
    </w:p>
    <w:p>
      <w:pPr>
        <w:pStyle w:val="Style33"/>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61" w:name="bookmark146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57"/>
      <w:bookmarkEnd w:id="1458"/>
      <w:bookmarkEnd w:id="146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38,342,763.56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58,145,532.82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6,291,084.54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8,733,649.16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9,691,654.55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8,303,922.30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3,912,871.39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2,274,114.18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1,463,333.27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1,245,266.59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91,788.07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62,907.34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-3,974,115.25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-6,564,536.40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-2,141,863.45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-626,116.88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-3,567,877.52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-1,475,576.73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-11,381,965.96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3,344,302.89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-26,326,707.37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-16,747,049.54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18,119,659.10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-5,355,938.91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30,520,624.93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51,340,826.82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207,581,012.51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285,782,533.85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285,782,533.85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258,916,756.88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-78,201,521.34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26,865,776.97</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462"/>
      <w:bookmarkEnd w:id="1463"/>
      <w:bookmarkEnd w:id="146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2"/>
        <w:gridCol w:w="2525"/>
        <w:gridCol w:w="266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.处置子公司及其他营业单位的价格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28,967,763.10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28,967,763.10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28,967,763.10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处置子公司的净资产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28,169,304.83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28,167,989.51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)现金和现金等价物的构成</w:t>
      </w:r>
    </w:p>
    <w:p>
      <w:pPr>
        <w:widowControl w:val="0"/>
        <w:spacing w:after="359"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207,581,012.51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285,782,533.85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171,508.29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207,507,028.54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285,611,025.56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207,581,012.51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285,782,533.85</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59" w:line="1" w:lineRule="exact"/>
      </w:pPr>
    </w:p>
    <w:p>
      <w:pPr>
        <w:pStyle w:val="Style28"/>
        <w:keepNext/>
        <w:keepLines/>
        <w:widowControl w:val="0"/>
        <w:shd w:val="clear" w:color="auto" w:fill="auto"/>
        <w:tabs>
          <w:tab w:pos="522" w:val="left"/>
        </w:tabs>
        <w:bidi w:val="0"/>
        <w:spacing w:before="0" w:after="36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八</w:t>
      </w:r>
      <w:bookmarkEnd w:id="1467"/>
      <w:r>
        <w:rPr>
          <w:color w:val="000000"/>
          <w:spacing w:val="0"/>
          <w:w w:val="100"/>
          <w:position w:val="0"/>
        </w:rPr>
        <w:t>、</w:t>
        <w:tab/>
        <w:t>资产证券化业务的会计处理</w:t>
      </w:r>
      <w:bookmarkEnd w:id="1465"/>
      <w:bookmarkEnd w:id="1466"/>
      <w:bookmarkEnd w:id="146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522" w:val="left"/>
        </w:tabs>
        <w:bidi w:val="0"/>
        <w:spacing w:before="0" w:after="36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九</w:t>
      </w:r>
      <w:bookmarkEnd w:id="1471"/>
      <w:r>
        <w:rPr>
          <w:color w:val="000000"/>
          <w:spacing w:val="0"/>
          <w:w w:val="100"/>
          <w:position w:val="0"/>
        </w:rPr>
        <w:t>、</w:t>
        <w:tab/>
        <w:t>关联方及关联交易</w:t>
      </w:r>
      <w:bookmarkEnd w:id="1469"/>
      <w:bookmarkEnd w:id="1470"/>
      <w:bookmarkEnd w:id="1472"/>
    </w:p>
    <w:p>
      <w:pPr>
        <w:pStyle w:val="Style33"/>
        <w:keepNext/>
        <w:keepLines/>
        <w:widowControl w:val="0"/>
        <w:shd w:val="clear" w:color="auto" w:fill="auto"/>
        <w:tabs>
          <w:tab w:pos="392" w:val="left"/>
        </w:tabs>
        <w:bidi w:val="0"/>
        <w:spacing w:before="0" w:after="36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bookmarkEnd w:id="1475"/>
      <w:r>
        <w:rPr>
          <w:color w:val="000000"/>
          <w:spacing w:val="0"/>
          <w:w w:val="100"/>
          <w:position w:val="0"/>
        </w:rPr>
        <w:t>、</w:t>
        <w:tab/>
        <w:t>本企业的母公司情况</w:t>
      </w:r>
      <w:bookmarkEnd w:id="1473"/>
      <w:bookmarkEnd w:id="1474"/>
      <w:bookmarkEnd w:id="147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92" w:val="left"/>
        </w:tabs>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bookmarkEnd w:id="1479"/>
      <w:r>
        <w:rPr>
          <w:color w:val="000000"/>
          <w:spacing w:val="0"/>
          <w:w w:val="100"/>
          <w:position w:val="0"/>
        </w:rPr>
        <w:t>、</w:t>
        <w:tab/>
        <w:t>本企业的子公司情况</w:t>
      </w:r>
      <w:bookmarkEnd w:id="1477"/>
      <w:bookmarkEnd w:id="1478"/>
      <w:bookmarkEnd w:id="1480"/>
    </w:p>
    <w:tbl>
      <w:tblPr>
        <w:tblOverlap w:val="never"/>
        <w:jc w:val="center"/>
        <w:tblLayout w:type="fixed"/>
      </w:tblPr>
      <w:tblGrid>
        <w:gridCol w:w="960"/>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安徽易联众 信息技术有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钟里明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75683533-1</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山西易联众 信息技术有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张眉河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 应用系统集 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77250723-1</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福建易联众</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软件系统开</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77961890-3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福州易联众 信息技术有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罗建森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68935031-7</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 电子科技有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56538367-8</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湖南易联众 信息技术有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钟里明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58703052-3</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广西易联众 信息技术有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智能卡、银 行卡研发生 产、软件开 发及应用系 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59511088-1</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广东易联众 计算机技术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陈企珠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05658582-9</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北京易联众 信息技术有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69962554-8</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陕西易联众 信息技术有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颜新永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06191123-8</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中职动力</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 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培训及咨询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58258587</w:t>
              <w:softHyphen/>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bl>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p>
    <w:p>
      <w:pPr>
        <w:widowControl w:val="0"/>
        <w:spacing w:after="319" w:line="1" w:lineRule="exact"/>
      </w:pPr>
    </w:p>
    <w:tbl>
      <w:tblPr>
        <w:tblOverlap w:val="never"/>
        <w:jc w:val="center"/>
        <w:tblLayout w:type="fixed"/>
      </w:tblPr>
      <w:tblGrid>
        <w:gridCol w:w="960"/>
        <w:gridCol w:w="950"/>
        <w:gridCol w:w="960"/>
        <w:gridCol w:w="955"/>
        <w:gridCol w:w="955"/>
        <w:gridCol w:w="960"/>
        <w:gridCol w:w="960"/>
        <w:gridCol w:w="955"/>
        <w:gridCol w:w="960"/>
        <w:gridCol w:w="970"/>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1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398" w:hRule="exact"/>
        </w:trPr>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北京尚洋 易捷信息 技术有限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软件研发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58256735-6</w:t>
            </w:r>
          </w:p>
        </w:tc>
      </w:tr>
    </w:tbl>
    <w:tbl>
      <w:tblPr>
        <w:tblOverlap w:val="never"/>
        <w:jc w:val="center"/>
        <w:tblLayout w:type="fixed"/>
      </w:tblPr>
      <w:tblGrid>
        <w:gridCol w:w="960"/>
        <w:gridCol w:w="950"/>
        <w:gridCol w:w="960"/>
        <w:gridCol w:w="955"/>
        <w:gridCol w:w="955"/>
        <w:gridCol w:w="960"/>
        <w:gridCol w:w="960"/>
        <w:gridCol w:w="955"/>
        <w:gridCol w:w="960"/>
        <w:gridCol w:w="970"/>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福州南华 医保健康 研发有限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蔡宗元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医疗咨询、</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59348975-2</w:t>
            </w:r>
          </w:p>
        </w:tc>
      </w:tr>
    </w:tbl>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、本企业的其他关联方情况</w:t>
      </w:r>
    </w:p>
    <w:p>
      <w:pPr>
        <w:widowControl w:val="0"/>
        <w:spacing w:after="279"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福州实达医疗系统有限公司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72424007-7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陈企珠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颜新永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控股子公司少数股东</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r>
    </w:tbl>
    <w:p>
      <w:pPr>
        <w:pStyle w:val="Style26"/>
        <w:keepNext w:val="0"/>
        <w:keepLines w:val="0"/>
        <w:widowControl w:val="0"/>
        <w:shd w:val="clear" w:color="auto" w:fill="auto"/>
        <w:bidi w:val="0"/>
        <w:spacing w:before="0" w:after="0" w:line="307" w:lineRule="exact"/>
        <w:ind w:left="0" w:right="0" w:firstLine="0"/>
        <w:jc w:val="left"/>
      </w:pPr>
      <w:bookmarkStart w:id="1481" w:name="bookmark1481"/>
      <w:r>
        <w:rPr>
          <w:color w:val="000000"/>
          <w:spacing w:val="0"/>
          <w:w w:val="100"/>
          <w:position w:val="0"/>
        </w:rPr>
        <w:t>注</w:t>
      </w:r>
      <w:bookmarkEnd w:id="1481"/>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日，雷彪持有的公司限售股份</w:t>
      </w:r>
      <w:r>
        <w:rPr>
          <w:rFonts w:ascii="Times New Roman" w:eastAsia="Times New Roman" w:hAnsi="Times New Roman" w:cs="Times New Roman"/>
          <w:color w:val="000000"/>
          <w:spacing w:val="0"/>
          <w:w w:val="100"/>
          <w:position w:val="0"/>
          <w:sz w:val="18"/>
          <w:szCs w:val="18"/>
        </w:rPr>
        <w:t>1024</w:t>
      </w:r>
      <w:r>
        <w:rPr>
          <w:color w:val="000000"/>
          <w:spacing w:val="0"/>
          <w:w w:val="100"/>
          <w:position w:val="0"/>
        </w:rPr>
        <w:t>万股股票解除限售上市流通，其所持股份占公司总股本的</w:t>
      </w:r>
      <w:r>
        <w:rPr>
          <w:rFonts w:ascii="Times New Roman" w:eastAsia="Times New Roman" w:hAnsi="Times New Roman" w:cs="Times New Roman"/>
          <w:color w:val="000000"/>
          <w:spacing w:val="0"/>
          <w:w w:val="100"/>
          <w:position w:val="0"/>
          <w:sz w:val="18"/>
          <w:szCs w:val="18"/>
        </w:rPr>
        <w:t>5.95%</w:t>
      </w:r>
      <w:r>
        <w:rPr>
          <w:color w:val="000000"/>
          <w:spacing w:val="0"/>
          <w:w w:val="100"/>
          <w:position w:val="0"/>
        </w:rPr>
        <w:t>。</w:t>
      </w:r>
    </w:p>
    <w:p>
      <w:pPr>
        <w:pStyle w:val="Style26"/>
        <w:keepNext w:val="0"/>
        <w:keepLines w:val="0"/>
        <w:widowControl w:val="0"/>
        <w:shd w:val="clear" w:color="auto" w:fill="auto"/>
        <w:bidi w:val="0"/>
        <w:spacing w:before="0" w:after="380" w:line="307" w:lineRule="exact"/>
        <w:ind w:left="0" w:right="0" w:firstLine="0"/>
        <w:jc w:val="left"/>
      </w:pPr>
      <w:bookmarkStart w:id="1482" w:name="bookmark1482"/>
      <w:r>
        <w:rPr>
          <w:color w:val="000000"/>
          <w:spacing w:val="0"/>
          <w:w w:val="100"/>
          <w:position w:val="0"/>
        </w:rPr>
        <w:t>报</w:t>
      </w:r>
      <w:bookmarkEnd w:id="1482"/>
      <w:r>
        <w:rPr>
          <w:color w:val="000000"/>
          <w:spacing w:val="0"/>
          <w:w w:val="100"/>
          <w:position w:val="0"/>
        </w:rPr>
        <w:t>告期内进行了股份减持，截至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日雷彪尚持有公司股票</w:t>
      </w:r>
      <w:r>
        <w:rPr>
          <w:rFonts w:ascii="Times New Roman" w:eastAsia="Times New Roman" w:hAnsi="Times New Roman" w:cs="Times New Roman"/>
          <w:color w:val="000000"/>
          <w:spacing w:val="0"/>
          <w:w w:val="100"/>
          <w:position w:val="0"/>
          <w:sz w:val="18"/>
          <w:szCs w:val="18"/>
        </w:rPr>
        <w:t>768</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4.47%</w:t>
      </w:r>
      <w:r>
        <w:rPr>
          <w:color w:val="000000"/>
          <w:spacing w:val="0"/>
          <w:w w:val="100"/>
          <w:position w:val="0"/>
        </w:rPr>
        <w:t>，不再是公司持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p>
      <w:pPr>
        <w:pStyle w:val="Style33"/>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5</w:t>
      </w:r>
      <w:bookmarkEnd w:id="1485"/>
      <w:r>
        <w:rPr>
          <w:color w:val="000000"/>
          <w:spacing w:val="0"/>
          <w:w w:val="100"/>
          <w:position w:val="0"/>
        </w:rPr>
        <w:t>、关联方交易</w:t>
      </w:r>
      <w:bookmarkEnd w:id="1483"/>
      <w:bookmarkEnd w:id="1484"/>
      <w:bookmarkEnd w:id="1486"/>
    </w:p>
    <w:p>
      <w:pPr>
        <w:pStyle w:val="Style33"/>
        <w:keepNext/>
        <w:keepLines/>
        <w:widowControl w:val="0"/>
        <w:shd w:val="clear" w:color="auto" w:fill="auto"/>
        <w:tabs>
          <w:tab w:pos="478" w:val="left"/>
        </w:tabs>
        <w:bidi w:val="0"/>
        <w:spacing w:before="0" w:after="280" w:line="240" w:lineRule="auto"/>
        <w:ind w:left="0" w:right="0" w:firstLine="0"/>
        <w:jc w:val="left"/>
      </w:pPr>
      <w:bookmarkStart w:id="1483" w:name="bookmark1483"/>
      <w:bookmarkStart w:id="1484" w:name="bookmark1484"/>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w:t>
        <w:tab/>
        <w:t>采购商品、接受劳务情况表</w:t>
      </w:r>
      <w:bookmarkEnd w:id="1483"/>
      <w:bookmarkEnd w:id="1484"/>
      <w:bookmarkEnd w:id="1488"/>
    </w:p>
    <w:p>
      <w:pPr>
        <w:pStyle w:val="Style26"/>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w:t>
        <w:tab/>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489"/>
      <w:bookmarkEnd w:id="1490"/>
      <w:bookmarkEnd w:id="1492"/>
    </w:p>
    <w:p>
      <w:pPr>
        <w:pStyle w:val="Style26"/>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493"/>
      <w:bookmarkEnd w:id="1494"/>
      <w:bookmarkEnd w:id="1496"/>
    </w:p>
    <w:p>
      <w:pPr>
        <w:pStyle w:val="Style26"/>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497"/>
      <w:bookmarkEnd w:id="1498"/>
      <w:bookmarkEnd w:id="1500"/>
    </w:p>
    <w:p>
      <w:pPr>
        <w:pStyle w:val="Style26"/>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无。</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501"/>
      <w:bookmarkEnd w:id="1502"/>
      <w:bookmarkEnd w:id="1504"/>
    </w:p>
    <w:p>
      <w:pPr>
        <w:pStyle w:val="Style26"/>
        <w:keepNext w:val="0"/>
        <w:keepLines w:val="0"/>
        <w:widowControl w:val="0"/>
        <w:shd w:val="clear" w:color="auto" w:fill="auto"/>
        <w:bidi w:val="0"/>
        <w:spacing w:before="0" w:after="340" w:line="307" w:lineRule="exact"/>
        <w:ind w:left="0" w:right="0" w:firstLine="380"/>
        <w:jc w:val="left"/>
      </w:pPr>
      <w:r>
        <w:rPr>
          <w:color w:val="000000"/>
          <w:spacing w:val="0"/>
          <w:w w:val="100"/>
          <w:position w:val="0"/>
        </w:rPr>
        <w:t>无。</w:t>
      </w:r>
      <w:r>
        <w:br w:type="page"/>
      </w:r>
    </w:p>
    <w:p>
      <w:pPr>
        <w:pStyle w:val="Style33"/>
        <w:keepNext/>
        <w:keepLines/>
        <w:widowControl w:val="0"/>
        <w:shd w:val="clear" w:color="auto" w:fill="auto"/>
        <w:tabs>
          <w:tab w:pos="478" w:val="left"/>
        </w:tabs>
        <w:bidi w:val="0"/>
        <w:spacing w:before="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505"/>
      <w:bookmarkEnd w:id="1506"/>
      <w:bookmarkEnd w:id="1508"/>
    </w:p>
    <w:p>
      <w:pPr>
        <w:pStyle w:val="Style26"/>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3"/>
        <w:keepNext/>
        <w:keepLines/>
        <w:widowControl w:val="0"/>
        <w:shd w:val="clear" w:color="auto" w:fill="auto"/>
        <w:tabs>
          <w:tab w:pos="478" w:val="left"/>
        </w:tabs>
        <w:bidi w:val="0"/>
        <w:spacing w:before="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7</w:t>
      </w:r>
      <w:r>
        <w:rPr>
          <w:color w:val="000000"/>
          <w:spacing w:val="0"/>
          <w:w w:val="100"/>
          <w:position w:val="0"/>
        </w:rPr>
        <w:t>）</w:t>
        <w:tab/>
        <w:t>其他关联交易</w:t>
      </w:r>
      <w:bookmarkEnd w:id="1509"/>
      <w:bookmarkEnd w:id="1510"/>
      <w:bookmarkEnd w:id="151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支付关键管理人员薪酬</w:t>
      </w:r>
    </w:p>
    <w:tbl>
      <w:tblPr>
        <w:tblOverlap w:val="never"/>
        <w:jc w:val="left"/>
        <w:tblLayout w:type="fixed"/>
      </w:tblPr>
      <w:tblGrid>
        <w:gridCol w:w="1402"/>
        <w:gridCol w:w="2002"/>
        <w:gridCol w:w="1296"/>
        <w:gridCol w:w="1080"/>
        <w:gridCol w:w="1440"/>
        <w:gridCol w:w="1090"/>
      </w:tblGrid>
      <w:tr>
        <w:trPr>
          <w:trHeight w:val="346"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支付关键管理人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员薪酬决策程序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薪酬与考核委员会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after="919" w:line="1" w:lineRule="exact"/>
      </w:pPr>
    </w:p>
    <w:p>
      <w:pPr>
        <w:pStyle w:val="Style33"/>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6</w:t>
      </w:r>
      <w:bookmarkEnd w:id="1515"/>
      <w:r>
        <w:rPr>
          <w:color w:val="000000"/>
          <w:spacing w:val="0"/>
          <w:w w:val="100"/>
          <w:position w:val="0"/>
        </w:rPr>
        <w:t>、关联方应收应付款项</w:t>
      </w:r>
      <w:bookmarkEnd w:id="1513"/>
      <w:bookmarkEnd w:id="1514"/>
      <w:bookmarkEnd w:id="1516"/>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福州实达医疗系统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93,535.33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6,593.27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陈企珠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颜新永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北京尚洋易捷信息 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146,025.60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56"/>
        <w:gridCol w:w="2261"/>
        <w:gridCol w:w="226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陈企珠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r>
        <w:rPr>
          <w:color w:val="000000"/>
          <w:spacing w:val="0"/>
          <w:w w:val="100"/>
          <w:position w:val="0"/>
        </w:rPr>
        <w:t>十、股份支付</w:t>
      </w:r>
      <w:bookmarkEnd w:id="1517"/>
      <w:bookmarkEnd w:id="1518"/>
      <w:bookmarkEnd w:id="151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r>
        <w:rPr>
          <w:color w:val="000000"/>
          <w:spacing w:val="0"/>
          <w:w w:val="100"/>
          <w:position w:val="0"/>
        </w:rPr>
        <w:t>十、或有事项</w:t>
      </w:r>
      <w:bookmarkEnd w:id="1520"/>
      <w:bookmarkEnd w:id="1521"/>
      <w:bookmarkEnd w:id="152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240" w:line="240" w:lineRule="auto"/>
        <w:ind w:left="0" w:right="0" w:firstLine="0"/>
        <w:jc w:val="left"/>
      </w:pPr>
      <w:bookmarkStart w:id="1523" w:name="bookmark1523"/>
      <w:bookmarkStart w:id="1524" w:name="bookmark1524"/>
      <w:bookmarkStart w:id="1525" w:name="bookmark1525"/>
      <w:r>
        <w:rPr>
          <w:color w:val="000000"/>
          <w:spacing w:val="0"/>
          <w:w w:val="100"/>
          <w:position w:val="0"/>
        </w:rPr>
        <w:t>十二、承诺事项</w:t>
      </w:r>
      <w:bookmarkEnd w:id="1523"/>
      <w:bookmarkEnd w:id="1524"/>
      <w:bookmarkEnd w:id="1525"/>
    </w:p>
    <w:p>
      <w:pPr>
        <w:pStyle w:val="Style26"/>
        <w:keepNext w:val="0"/>
        <w:keepLines w:val="0"/>
        <w:widowControl w:val="0"/>
        <w:shd w:val="clear" w:color="auto" w:fill="auto"/>
        <w:bidi w:val="0"/>
        <w:spacing w:before="0" w:after="380" w:line="340"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r>
        <w:rPr>
          <w:color w:val="000000"/>
          <w:spacing w:val="0"/>
          <w:w w:val="100"/>
          <w:position w:val="0"/>
        </w:rPr>
        <w:t>十三、资产负债表日后事项</w:t>
      </w:r>
      <w:bookmarkEnd w:id="1526"/>
      <w:bookmarkEnd w:id="1527"/>
      <w:bookmarkEnd w:id="1528"/>
    </w:p>
    <w:p>
      <w:pPr>
        <w:pStyle w:val="Style33"/>
        <w:keepNext/>
        <w:keepLines/>
        <w:widowControl w:val="0"/>
        <w:shd w:val="clear" w:color="auto" w:fill="auto"/>
        <w:tabs>
          <w:tab w:pos="358" w:val="left"/>
        </w:tabs>
        <w:bidi w:val="0"/>
        <w:spacing w:before="0" w:after="24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1</w:t>
      </w:r>
      <w:bookmarkEnd w:id="1531"/>
      <w:r>
        <w:rPr>
          <w:color w:val="000000"/>
          <w:spacing w:val="0"/>
          <w:w w:val="100"/>
          <w:position w:val="0"/>
        </w:rPr>
        <w:t>、</w:t>
        <w:tab/>
        <w:t>重要的资产负债表日后事项说明</w:t>
      </w:r>
      <w:bookmarkEnd w:id="1529"/>
      <w:bookmarkEnd w:id="1530"/>
      <w:bookmarkEnd w:id="1532"/>
    </w:p>
    <w:p>
      <w:pPr>
        <w:pStyle w:val="Style26"/>
        <w:keepNext w:val="0"/>
        <w:keepLines w:val="0"/>
        <w:widowControl w:val="0"/>
        <w:shd w:val="clear" w:color="auto" w:fill="auto"/>
        <w:bidi w:val="0"/>
        <w:spacing w:before="0" w:after="380" w:line="340" w:lineRule="exact"/>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24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bookmarkEnd w:id="1535"/>
      <w:r>
        <w:rPr>
          <w:color w:val="000000"/>
          <w:spacing w:val="0"/>
          <w:w w:val="100"/>
          <w:position w:val="0"/>
        </w:rPr>
        <w:t>、</w:t>
        <w:tab/>
        <w:t>资产负债表日后利润分配情况说明</w:t>
      </w:r>
      <w:bookmarkEnd w:id="1533"/>
      <w:bookmarkEnd w:id="1534"/>
      <w:bookmarkEnd w:id="1536"/>
    </w:p>
    <w:p>
      <w:pPr>
        <w:pStyle w:val="Style26"/>
        <w:keepNext w:val="0"/>
        <w:keepLines w:val="0"/>
        <w:widowControl w:val="0"/>
        <w:shd w:val="clear" w:color="auto" w:fill="auto"/>
        <w:bidi w:val="0"/>
        <w:spacing w:before="0" w:after="460" w:line="340" w:lineRule="exact"/>
        <w:ind w:left="0" w:right="0" w:firstLine="8840"/>
        <w:jc w:val="both"/>
      </w:pPr>
      <w:r>
        <w:rPr>
          <w:color w:val="000000"/>
          <w:spacing w:val="0"/>
          <w:w w:val="100"/>
          <w:position w:val="0"/>
        </w:rPr>
        <w:t>单位：元 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日召开第二届董事会第十四次会议，审议通过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年度权益分派预案如下：按照母公司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r>
        <w:rPr>
          <w:rFonts w:ascii="Times New Roman" w:eastAsia="Times New Roman" w:hAnsi="Times New Roman" w:cs="Times New Roman"/>
          <w:color w:val="000000"/>
          <w:spacing w:val="0"/>
          <w:w w:val="100"/>
          <w:position w:val="0"/>
          <w:sz w:val="18"/>
          <w:szCs w:val="18"/>
        </w:rPr>
        <w:t>2,099,356.07</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17,200.00</w:t>
      </w:r>
      <w:r>
        <w:rPr>
          <w:color w:val="000000"/>
          <w:spacing w:val="0"/>
          <w:w w:val="100"/>
          <w:position w:val="0"/>
        </w:rPr>
        <w:t>万股为基数，向全体股东 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sz w:val="18"/>
          <w:szCs w:val="18"/>
        </w:rPr>
        <w:t>1,720.00</w:t>
      </w:r>
      <w:r>
        <w:rPr>
          <w:color w:val="000000"/>
          <w:spacing w:val="0"/>
          <w:w w:val="100"/>
          <w:position w:val="0"/>
        </w:rPr>
        <w:t>万元，剩余未分配利润结转至下一年度。上述预案尚 须经本公司股东大会审议批准后实施。</w:t>
      </w:r>
    </w:p>
    <w:p>
      <w:pPr>
        <w:pStyle w:val="Style33"/>
        <w:keepNext/>
        <w:keepLines/>
        <w:widowControl w:val="0"/>
        <w:shd w:val="clear" w:color="auto" w:fill="auto"/>
        <w:tabs>
          <w:tab w:pos="368" w:val="left"/>
        </w:tabs>
        <w:bidi w:val="0"/>
        <w:spacing w:before="0" w:after="24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3</w:t>
      </w:r>
      <w:bookmarkEnd w:id="1539"/>
      <w:r>
        <w:rPr>
          <w:color w:val="000000"/>
          <w:spacing w:val="0"/>
          <w:w w:val="100"/>
          <w:position w:val="0"/>
        </w:rPr>
        <w:t>、</w:t>
        <w:tab/>
        <w:t>其他资产负债表日后事项说明</w:t>
      </w:r>
      <w:bookmarkEnd w:id="1537"/>
      <w:bookmarkEnd w:id="1538"/>
      <w:bookmarkEnd w:id="1540"/>
    </w:p>
    <w:p>
      <w:pPr>
        <w:pStyle w:val="Style26"/>
        <w:keepNext w:val="0"/>
        <w:keepLines w:val="0"/>
        <w:widowControl w:val="0"/>
        <w:shd w:val="clear" w:color="auto" w:fill="auto"/>
        <w:bidi w:val="0"/>
        <w:spacing w:before="0" w:after="380" w:line="340" w:lineRule="exact"/>
        <w:ind w:left="0" w:right="0" w:firstLine="380"/>
        <w:jc w:val="left"/>
        <w:rPr>
          <w:sz w:val="24"/>
          <w:szCs w:val="24"/>
        </w:rPr>
      </w:pPr>
      <w:r>
        <w:rPr>
          <w:color w:val="000000"/>
          <w:spacing w:val="0"/>
          <w:w w:val="100"/>
          <w:position w:val="0"/>
          <w:sz w:val="17"/>
          <w:szCs w:val="17"/>
        </w:rPr>
        <w:t>截至</w:t>
      </w:r>
      <w:r>
        <w:rPr>
          <w:rFonts w:ascii="Tahoma" w:eastAsia="Tahoma" w:hAnsi="Tahoma" w:cs="Tahoma"/>
          <w:color w:val="000000"/>
          <w:spacing w:val="0"/>
          <w:w w:val="100"/>
          <w:position w:val="0"/>
          <w:sz w:val="16"/>
          <w:szCs w:val="16"/>
        </w:rPr>
        <w:t>2014</w:t>
      </w:r>
      <w:r>
        <w:rPr>
          <w:color w:val="000000"/>
          <w:spacing w:val="0"/>
          <w:w w:val="100"/>
          <w:position w:val="0"/>
          <w:sz w:val="17"/>
          <w:szCs w:val="17"/>
        </w:rPr>
        <w:t>年</w:t>
      </w:r>
      <w:r>
        <w:rPr>
          <w:rFonts w:ascii="Tahoma" w:eastAsia="Tahoma" w:hAnsi="Tahoma" w:cs="Tahoma"/>
          <w:color w:val="000000"/>
          <w:spacing w:val="0"/>
          <w:w w:val="100"/>
          <w:position w:val="0"/>
          <w:sz w:val="16"/>
          <w:szCs w:val="16"/>
        </w:rPr>
        <w:t>4</w:t>
      </w:r>
      <w:r>
        <w:rPr>
          <w:color w:val="000000"/>
          <w:spacing w:val="0"/>
          <w:w w:val="100"/>
          <w:position w:val="0"/>
          <w:sz w:val="17"/>
          <w:szCs w:val="17"/>
        </w:rPr>
        <w:t>月</w:t>
      </w:r>
      <w:r>
        <w:rPr>
          <w:rFonts w:ascii="Tahoma" w:eastAsia="Tahoma" w:hAnsi="Tahoma" w:cs="Tahoma"/>
          <w:color w:val="000000"/>
          <w:spacing w:val="0"/>
          <w:w w:val="100"/>
          <w:position w:val="0"/>
          <w:sz w:val="16"/>
          <w:szCs w:val="16"/>
        </w:rPr>
        <w:t>7</w:t>
      </w:r>
      <w:r>
        <w:rPr>
          <w:color w:val="000000"/>
          <w:spacing w:val="0"/>
          <w:w w:val="100"/>
          <w:position w:val="0"/>
          <w:sz w:val="17"/>
          <w:szCs w:val="17"/>
        </w:rPr>
        <w:t>日，本公司不存在其他应披露的重大资产负债表日后事项</w:t>
      </w:r>
      <w:r>
        <w:rPr>
          <w:color w:val="000000"/>
          <w:spacing w:val="0"/>
          <w:w w:val="100"/>
          <w:position w:val="0"/>
          <w:sz w:val="24"/>
          <w:szCs w:val="24"/>
        </w:rPr>
        <w:t>。</w:t>
      </w:r>
    </w:p>
    <w:p>
      <w:pPr>
        <w:pStyle w:val="Style28"/>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r>
        <w:rPr>
          <w:color w:val="000000"/>
          <w:spacing w:val="0"/>
          <w:w w:val="100"/>
          <w:position w:val="0"/>
        </w:rPr>
        <w:t>十四、其他重要事项</w:t>
      </w:r>
      <w:bookmarkEnd w:id="1541"/>
      <w:bookmarkEnd w:id="1542"/>
      <w:bookmarkEnd w:id="1543"/>
    </w:p>
    <w:p>
      <w:pPr>
        <w:pStyle w:val="Style33"/>
        <w:keepNext/>
        <w:keepLines/>
        <w:widowControl w:val="0"/>
        <w:shd w:val="clear" w:color="auto" w:fill="auto"/>
        <w:tabs>
          <w:tab w:pos="358" w:val="left"/>
        </w:tabs>
        <w:bidi w:val="0"/>
        <w:spacing w:before="0" w:after="24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bookmarkEnd w:id="1546"/>
      <w:r>
        <w:rPr>
          <w:color w:val="000000"/>
          <w:spacing w:val="0"/>
          <w:w w:val="100"/>
          <w:position w:val="0"/>
        </w:rPr>
        <w:t>、</w:t>
        <w:tab/>
        <w:t>非货币性资产交换</w:t>
      </w:r>
      <w:bookmarkEnd w:id="1544"/>
      <w:bookmarkEnd w:id="1545"/>
      <w:bookmarkEnd w:id="1547"/>
    </w:p>
    <w:p>
      <w:pPr>
        <w:pStyle w:val="Style26"/>
        <w:keepNext w:val="0"/>
        <w:keepLines w:val="0"/>
        <w:widowControl w:val="0"/>
        <w:shd w:val="clear" w:color="auto" w:fill="auto"/>
        <w:bidi w:val="0"/>
        <w:spacing w:before="0" w:after="380" w:line="340" w:lineRule="exact"/>
        <w:ind w:left="0" w:right="0" w:firstLine="380"/>
        <w:jc w:val="both"/>
      </w:pPr>
      <w:r>
        <w:rPr>
          <w:color w:val="000000"/>
          <w:spacing w:val="0"/>
          <w:w w:val="100"/>
          <w:position w:val="0"/>
        </w:rPr>
        <w:t>无。</w:t>
      </w:r>
    </w:p>
    <w:p>
      <w:pPr>
        <w:pStyle w:val="Style33"/>
        <w:keepNext/>
        <w:keepLines/>
        <w:widowControl w:val="0"/>
        <w:shd w:val="clear" w:color="auto" w:fill="auto"/>
        <w:tabs>
          <w:tab w:pos="368" w:val="left"/>
        </w:tabs>
        <w:bidi w:val="0"/>
        <w:spacing w:before="0" w:after="24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bookmarkEnd w:id="1550"/>
      <w:r>
        <w:rPr>
          <w:color w:val="000000"/>
          <w:spacing w:val="0"/>
          <w:w w:val="100"/>
          <w:position w:val="0"/>
        </w:rPr>
        <w:t>、</w:t>
        <w:tab/>
        <w:t>债务重组</w:t>
      </w:r>
      <w:bookmarkEnd w:id="1548"/>
      <w:bookmarkEnd w:id="1549"/>
      <w:bookmarkEnd w:id="1551"/>
    </w:p>
    <w:p>
      <w:pPr>
        <w:pStyle w:val="Style26"/>
        <w:keepNext w:val="0"/>
        <w:keepLines w:val="0"/>
        <w:widowControl w:val="0"/>
        <w:shd w:val="clear" w:color="auto" w:fill="auto"/>
        <w:bidi w:val="0"/>
        <w:spacing w:before="0" w:after="380" w:line="340" w:lineRule="exact"/>
        <w:ind w:left="0" w:right="0" w:firstLine="380"/>
        <w:jc w:val="both"/>
      </w:pPr>
      <w:r>
        <w:rPr>
          <w:color w:val="000000"/>
          <w:spacing w:val="0"/>
          <w:w w:val="100"/>
          <w:position w:val="0"/>
        </w:rPr>
        <w:t>无。</w:t>
      </w:r>
    </w:p>
    <w:p>
      <w:pPr>
        <w:pStyle w:val="Style33"/>
        <w:keepNext/>
        <w:keepLines/>
        <w:widowControl w:val="0"/>
        <w:shd w:val="clear" w:color="auto" w:fill="auto"/>
        <w:tabs>
          <w:tab w:pos="368" w:val="left"/>
        </w:tabs>
        <w:bidi w:val="0"/>
        <w:spacing w:before="0" w:after="24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color w:val="000000"/>
          <w:spacing w:val="0"/>
          <w:w w:val="100"/>
          <w:position w:val="0"/>
        </w:rPr>
        <w:t>、</w:t>
        <w:tab/>
        <w:t>企业合并</w:t>
      </w:r>
      <w:bookmarkEnd w:id="1552"/>
      <w:bookmarkEnd w:id="1553"/>
      <w:bookmarkEnd w:id="1555"/>
    </w:p>
    <w:p>
      <w:pPr>
        <w:pStyle w:val="Style26"/>
        <w:keepNext w:val="0"/>
        <w:keepLines w:val="0"/>
        <w:widowControl w:val="0"/>
        <w:shd w:val="clear" w:color="auto" w:fill="auto"/>
        <w:bidi w:val="0"/>
        <w:spacing w:before="0" w:after="380" w:line="340" w:lineRule="exact"/>
        <w:ind w:left="0" w:right="0" w:firstLine="380"/>
        <w:jc w:val="both"/>
      </w:pPr>
      <w:r>
        <w:rPr>
          <w:color w:val="000000"/>
          <w:spacing w:val="0"/>
          <w:w w:val="100"/>
          <w:position w:val="0"/>
        </w:rPr>
        <w:t>无。</w:t>
      </w:r>
    </w:p>
    <w:p>
      <w:pPr>
        <w:pStyle w:val="Style33"/>
        <w:keepNext/>
        <w:keepLines/>
        <w:widowControl w:val="0"/>
        <w:shd w:val="clear" w:color="auto" w:fill="auto"/>
        <w:tabs>
          <w:tab w:pos="368" w:val="left"/>
        </w:tabs>
        <w:bidi w:val="0"/>
        <w:spacing w:before="0" w:after="24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color w:val="000000"/>
          <w:spacing w:val="0"/>
          <w:w w:val="100"/>
          <w:position w:val="0"/>
        </w:rPr>
        <w:t>、</w:t>
        <w:tab/>
        <w:t>租赁</w:t>
      </w:r>
      <w:bookmarkEnd w:id="1556"/>
      <w:bookmarkEnd w:id="1557"/>
      <w:bookmarkEnd w:id="1559"/>
    </w:p>
    <w:p>
      <w:pPr>
        <w:pStyle w:val="Style26"/>
        <w:keepNext w:val="0"/>
        <w:keepLines w:val="0"/>
        <w:widowControl w:val="0"/>
        <w:shd w:val="clear" w:color="auto" w:fill="auto"/>
        <w:bidi w:val="0"/>
        <w:spacing w:before="0" w:after="380" w:line="340" w:lineRule="exact"/>
        <w:ind w:left="0" w:right="0" w:firstLine="380"/>
        <w:jc w:val="both"/>
      </w:pPr>
      <w:r>
        <w:rPr>
          <w:color w:val="000000"/>
          <w:spacing w:val="0"/>
          <w:w w:val="100"/>
          <w:position w:val="0"/>
        </w:rPr>
        <w:t>无。</w:t>
      </w:r>
    </w:p>
    <w:p>
      <w:pPr>
        <w:pStyle w:val="Style33"/>
        <w:keepNext/>
        <w:keepLines/>
        <w:widowControl w:val="0"/>
        <w:shd w:val="clear" w:color="auto" w:fill="auto"/>
        <w:tabs>
          <w:tab w:pos="368" w:val="left"/>
        </w:tabs>
        <w:bidi w:val="0"/>
        <w:spacing w:before="0" w:after="24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color w:val="000000"/>
          <w:spacing w:val="0"/>
          <w:w w:val="100"/>
          <w:position w:val="0"/>
        </w:rPr>
        <w:t>、</w:t>
        <w:tab/>
        <w:t>期末发行在外的、可转换为股份的金融工具</w:t>
      </w:r>
      <w:bookmarkEnd w:id="1560"/>
      <w:bookmarkEnd w:id="1561"/>
      <w:bookmarkEnd w:id="1563"/>
    </w:p>
    <w:p>
      <w:pPr>
        <w:pStyle w:val="Style26"/>
        <w:keepNext w:val="0"/>
        <w:keepLines w:val="0"/>
        <w:widowControl w:val="0"/>
        <w:shd w:val="clear" w:color="auto" w:fill="auto"/>
        <w:bidi w:val="0"/>
        <w:spacing w:before="0" w:after="380" w:line="340" w:lineRule="exact"/>
        <w:ind w:left="0" w:right="0" w:firstLine="380"/>
        <w:jc w:val="both"/>
      </w:pPr>
      <w:r>
        <w:rPr>
          <w:color w:val="000000"/>
          <w:spacing w:val="0"/>
          <w:w w:val="100"/>
          <w:position w:val="0"/>
        </w:rPr>
        <w:t>无。</w:t>
      </w:r>
      <w:r>
        <w:br w:type="page"/>
      </w:r>
    </w:p>
    <w:p>
      <w:pPr>
        <w:pStyle w:val="Style33"/>
        <w:keepNext/>
        <w:keepLines/>
        <w:widowControl w:val="0"/>
        <w:shd w:val="clear" w:color="auto" w:fill="auto"/>
        <w:bidi w:val="0"/>
        <w:spacing w:before="0" w:after="36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color w:val="000000"/>
          <w:spacing w:val="0"/>
          <w:w w:val="100"/>
          <w:position w:val="0"/>
        </w:rPr>
        <w:t>、以公允价值计量的资产和负债</w:t>
      </w:r>
      <w:bookmarkEnd w:id="1564"/>
      <w:bookmarkEnd w:id="1565"/>
      <w:bookmarkEnd w:id="1567"/>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、外币金融资产和外币金融负债</w:t>
      </w:r>
    </w:p>
    <w:p>
      <w:pPr>
        <w:widowControl w:val="0"/>
        <w:spacing w:after="359"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82"/>
        <w:gridCol w:w="1522"/>
        <w:gridCol w:w="1517"/>
        <w:gridCol w:w="1517"/>
        <w:gridCol w:w="1517"/>
        <w:gridCol w:w="1526"/>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、年金计划主要内容及重大变化</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9</w:t>
      </w:r>
      <w:bookmarkEnd w:id="1570"/>
      <w:r>
        <w:rPr>
          <w:color w:val="000000"/>
          <w:spacing w:val="0"/>
          <w:w w:val="100"/>
          <w:position w:val="0"/>
        </w:rPr>
        <w:t>、其他</w:t>
      </w:r>
      <w:bookmarkEnd w:id="1568"/>
      <w:bookmarkEnd w:id="1569"/>
      <w:bookmarkEnd w:id="1571"/>
    </w:p>
    <w:p>
      <w:pPr>
        <w:pStyle w:val="Style28"/>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r>
        <w:rPr>
          <w:color w:val="000000"/>
          <w:spacing w:val="0"/>
          <w:w w:val="100"/>
          <w:position w:val="0"/>
        </w:rPr>
        <w:t>十五、母公司财务报表主要项目注释</w:t>
      </w:r>
      <w:bookmarkEnd w:id="1572"/>
      <w:bookmarkEnd w:id="1573"/>
      <w:bookmarkEnd w:id="1574"/>
    </w:p>
    <w:p>
      <w:pPr>
        <w:pStyle w:val="Style33"/>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75"/>
      <w:bookmarkEnd w:id="1576"/>
      <w:bookmarkEnd w:id="1577"/>
    </w:p>
    <w:p>
      <w:pPr>
        <w:pStyle w:val="Style33"/>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8" w:name="bookmark157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75"/>
      <w:bookmarkEnd w:id="1576"/>
      <w:bookmarkEnd w:id="157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81,490,023.13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20,128,663.36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88,913,045.42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16,819,335.85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42,979,986.18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41,603,702.84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124,470,009.31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20,128,663.36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130,516,748.26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16,819,335.85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r>
    </w:tbl>
    <w:p>
      <w:pPr>
        <w:spacing w:lineRule="exact" w:line="1"/>
        <w:rPr>
          <w:sz w:val="2"/>
          <w:szCs w:val="2"/>
        </w:rPr>
      </w:pPr>
      <w:r>
        <w:br w:type="page"/>
      </w:r>
    </w:p>
    <w:tbl>
      <w:tblPr>
        <w:tblOverlap w:val="never"/>
        <w:jc w:val="center"/>
        <w:tblLayout w:type="fixed"/>
      </w:tblPr>
      <w:tblGrid>
        <w:gridCol w:w="2002"/>
        <w:gridCol w:w="1195"/>
        <w:gridCol w:w="533"/>
        <w:gridCol w:w="1325"/>
        <w:gridCol w:w="667"/>
        <w:gridCol w:w="1195"/>
        <w:gridCol w:w="662"/>
        <w:gridCol w:w="1330"/>
        <w:gridCol w:w="67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124,470,009.31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20,128,663.36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130,516,748.26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16,819,335.85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应收账款种类的说明</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组合中，采用账龄分析法计提坏账准备的应收账款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39,535,992.45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1,976,799.62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42,611,849.08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2,130,592.45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14,621,197.21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1,462,119.72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24,768,280.03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2,476,828.01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9,024,447.66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1,804,889.53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8,875,969.24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1,775,193.85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18,308,385.81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14,884,854.49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12,656,947.07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10,436,721.54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6,847,062.64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3,423,531.32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4,440,451.07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2,220,225.54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4,432,951.07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4,432,951.07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8,097,696.00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8,097,696.00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7,028,372.10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7,028,372.10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81,490,023.13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20,128,663.36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88,913,045.42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16,819,335.85</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579"/>
      <w:bookmarkEnd w:id="1580"/>
      <w:bookmarkEnd w:id="158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山西易联众信息技术有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25,655,232.36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福州易联众信息技术有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13,109,018.99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三明市卫生局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5,425,029.00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5,329,029.00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96,000.00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中国工商银行股份有限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公司南平分行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5,304,010.40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4,339,183.40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963,452.40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1,374.60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福建省劳动就业服务局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54,433,390.75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w:t>
            </w:r>
          </w:p>
        </w:tc>
      </w:tr>
    </w:tbl>
    <w:p>
      <w:pPr>
        <w:widowControl w:val="0"/>
        <w:spacing w:after="339" w:line="1" w:lineRule="exact"/>
      </w:pPr>
    </w:p>
    <w:p>
      <w:pPr>
        <w:pStyle w:val="Style33"/>
        <w:keepNext/>
        <w:keepLines/>
        <w:widowControl w:val="0"/>
        <w:numPr>
          <w:ilvl w:val="0"/>
          <w:numId w:val="25"/>
        </w:numPr>
        <w:shd w:val="clear" w:color="auto" w:fill="auto"/>
        <w:bidi w:val="0"/>
        <w:spacing w:before="0" w:after="340" w:line="240" w:lineRule="auto"/>
        <w:ind w:left="0" w:right="0" w:firstLine="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应收关联方账款情况</w:t>
      </w:r>
      <w:bookmarkEnd w:id="1582"/>
      <w:bookmarkEnd w:id="1583"/>
      <w:bookmarkEnd w:id="1585"/>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4"/>
        <w:gridCol w:w="243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山西易联众信息技术有限公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25,655,232.39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福州易联众信息技术有限公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13,109,018.99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安徽易联众信息技术有限公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福建易联众软件系统开发有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3,668,234.80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湖南易联众信息技术有限公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42,979,986.18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86"/>
      <w:bookmarkEnd w:id="1587"/>
      <w:bookmarkEnd w:id="1588"/>
    </w:p>
    <w:p>
      <w:pPr>
        <w:pStyle w:val="Style33"/>
        <w:keepNext/>
        <w:keepLines/>
        <w:widowControl w:val="0"/>
        <w:shd w:val="clear" w:color="auto" w:fill="auto"/>
        <w:bidi w:val="0"/>
        <w:spacing w:before="0" w:after="340" w:line="240" w:lineRule="auto"/>
        <w:ind w:left="0" w:right="0" w:firstLine="0"/>
        <w:jc w:val="left"/>
      </w:pPr>
      <w:bookmarkStart w:id="1586" w:name="bookmark1586"/>
      <w:bookmarkStart w:id="1587" w:name="bookmark1587"/>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86"/>
      <w:bookmarkEnd w:id="1587"/>
      <w:bookmarkEnd w:id="1589"/>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4"/>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6,511,187.17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2,977,779.04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5,870,775.22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2,467,504.49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1,481,879.01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1,546,771.03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4"/>
        <w:gridCol w:w="1454"/>
        <w:gridCol w:w="528"/>
        <w:gridCol w:w="1320"/>
        <w:gridCol w:w="528"/>
        <w:gridCol w:w="1320"/>
        <w:gridCol w:w="528"/>
        <w:gridCol w:w="1190"/>
        <w:gridCol w:w="53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7,993,066.18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2,977,779.04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7,417,546.25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2,467,504.49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7,993,066.18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2,977,779.04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7,417,546.25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2,467,504.49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1,898,588.18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1,666,494.59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83,324.73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631,628.06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1,019,660.17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101,966.02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869,291.57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173,858.31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966,195.90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193,239.18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3,111,679.36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2,645,828.51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2,218,424.56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2,088,974.56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931,701.70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465,850.85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129,450.00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251,400.00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251,400.00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1,959,524.56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1,959,524.56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1,928,577.66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1,928,577.66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6,511,187.17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2,977,779.04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5,870,775.22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2,467,504.49</w:t>
            </w: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590"/>
      <w:bookmarkEnd w:id="1591"/>
      <w:bookmarkEnd w:id="159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福建易联众软件系统开 发有限公司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1,305,888.41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1,127,869.83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178,018.58 </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福建省机关事业社会保 险局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合肥市政府采购中心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683,143.80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565,325.00 </w:t>
            </w:r>
            <w:r>
              <w:rPr>
                <w:color w:val="000000"/>
                <w:spacing w:val="0"/>
                <w:w w:val="100"/>
                <w:position w:val="0"/>
              </w:rPr>
              <w:t>元；</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117,818.80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中国农业银行股份有限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公司龙岩分行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莆田市信辉招标代理有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3,778,132.21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w:t>
            </w:r>
          </w:p>
        </w:tc>
      </w:tr>
    </w:tbl>
    <w:p>
      <w:pPr>
        <w:pStyle w:val="Style16"/>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)其他应收关联方账款情况</w:t>
      </w:r>
    </w:p>
    <w:p>
      <w:pPr>
        <w:widowControl w:val="0"/>
        <w:spacing w:after="339"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29"/>
        <w:gridCol w:w="2434"/>
        <w:gridCol w:w="243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陕西易联众信息技术有限公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福建易联众软件系统开发有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1,305,888.41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福州易联众信息技术有限公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101,642.36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1,481,879.01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color w:val="000000"/>
          <w:spacing w:val="0"/>
          <w:w w:val="100"/>
          <w:position w:val="0"/>
        </w:rPr>
        <w:t>、长期股权投资</w:t>
      </w:r>
      <w:bookmarkEnd w:id="1593"/>
      <w:bookmarkEnd w:id="1594"/>
      <w:bookmarkEnd w:id="159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19"/>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山西易联 众信息技 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10,545,60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10,545,60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10,545,60</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安徽易联 众信息技 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3,798,000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3,798,000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3,798,000</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福建易联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众软件系 统开发有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福州易联 众信息技 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 众电子科 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湖南易联 众信息技 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广西易联 众信息技 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北京易联 众信息技 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9,973,200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9,973,200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9,973,200</w:t>
            </w:r>
          </w:p>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 众计算机 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4,200,000</w:t>
            </w:r>
          </w:p>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大连易联 众科技有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27,000,00</w:t>
            </w:r>
          </w:p>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陕西易联 众信息技 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1,050,000</w:t>
            </w:r>
          </w:p>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北京尚洋 易捷信息 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1,306,989</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2,142,170</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3,449,160</w:t>
            </w:r>
          </w:p>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122,506,8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146,083,7</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-20,807,8</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125,275,9</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r>
        <w:br w:type="page"/>
      </w:r>
    </w:p>
    <w:p>
      <w:pPr>
        <w:pStyle w:val="Style33"/>
        <w:keepNext/>
        <w:keepLines/>
        <w:widowControl w:val="0"/>
        <w:shd w:val="clear" w:color="auto" w:fill="auto"/>
        <w:bidi w:val="0"/>
        <w:spacing w:before="0" w:after="36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color w:val="000000"/>
          <w:spacing w:val="0"/>
          <w:w w:val="100"/>
          <w:position w:val="0"/>
        </w:rPr>
        <w:t>、营业收入和营业成本</w:t>
      </w:r>
      <w:bookmarkEnd w:id="1597"/>
      <w:bookmarkEnd w:id="1598"/>
      <w:bookmarkEnd w:id="1600"/>
    </w:p>
    <w:p>
      <w:pPr>
        <w:pStyle w:val="Style33"/>
        <w:keepNext/>
        <w:keepLines/>
        <w:widowControl w:val="0"/>
        <w:shd w:val="clear" w:color="auto" w:fill="auto"/>
        <w:bidi w:val="0"/>
        <w:spacing w:before="0" w:after="360" w:line="240" w:lineRule="auto"/>
        <w:ind w:left="0" w:right="0" w:firstLine="0"/>
        <w:jc w:val="left"/>
      </w:pPr>
      <w:bookmarkStart w:id="1597" w:name="bookmark1597"/>
      <w:bookmarkStart w:id="1598" w:name="bookmark1598"/>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597"/>
      <w:bookmarkEnd w:id="1598"/>
      <w:bookmarkEnd w:id="160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5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171,551,494.40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160,108,179.81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498,310.65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172,049,805.05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160,108,179.81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106,206,874.69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109,120,276.20</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02"/>
      <w:bookmarkEnd w:id="1603"/>
      <w:bookmarkEnd w:id="160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171,551,494.40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105,690,339.15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160,108,179.81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109,120,276.20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171,551,494.40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105,690,339.15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160,108,179.81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109,120,276.20</w:t>
            </w:r>
          </w:p>
        </w:tc>
      </w:tr>
    </w:tbl>
    <w:p>
      <w:pPr>
        <w:widowControl w:val="0"/>
        <w:spacing w:after="319" w:line="1" w:lineRule="exact"/>
      </w:pPr>
    </w:p>
    <w:p>
      <w:pPr>
        <w:pStyle w:val="Style33"/>
        <w:keepNext/>
        <w:keepLines/>
        <w:widowControl w:val="0"/>
        <w:numPr>
          <w:ilvl w:val="0"/>
          <w:numId w:val="27"/>
        </w:numPr>
        <w:shd w:val="clear" w:color="auto" w:fill="auto"/>
        <w:bidi w:val="0"/>
        <w:spacing w:before="0" w:after="360" w:line="240" w:lineRule="auto"/>
        <w:ind w:left="0" w:right="0" w:firstLine="0"/>
        <w:jc w:val="left"/>
      </w:pPr>
      <w:bookmarkStart w:id="1605" w:name="bookmark1605"/>
      <w:bookmarkStart w:id="1606" w:name="bookmark1606"/>
      <w:bookmarkStart w:id="1607" w:name="bookmark1607"/>
      <w:bookmarkStart w:id="1608" w:name="bookmark1608"/>
      <w:bookmarkEnd w:id="1607"/>
      <w:r>
        <w:rPr>
          <w:color w:val="000000"/>
          <w:spacing w:val="0"/>
          <w:w w:val="100"/>
          <w:position w:val="0"/>
        </w:rPr>
        <w:t>主营业务(分产品)</w:t>
      </w:r>
      <w:bookmarkEnd w:id="1605"/>
      <w:bookmarkEnd w:id="1606"/>
      <w:bookmarkEnd w:id="160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定制软件及</w:t>
            </w:r>
            <w:r>
              <w:rPr>
                <w:rFonts w:ascii="Times New Roman" w:eastAsia="Times New Roman" w:hAnsi="Times New Roman" w:cs="Times New Roman"/>
                <w:color w:val="000000"/>
                <w:spacing w:val="0"/>
                <w:w w:val="100"/>
                <w:position w:val="0"/>
                <w:sz w:val="18"/>
                <w:szCs w:val="18"/>
              </w:rPr>
              <w:t>IC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116,053,918.38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63,162,817.85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98,389,519.89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64,910,093.39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30,692,815.75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25,885,999.93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18,755,894.95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8,437,662.43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系统集成及硬件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24,057,751.27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16,132,741.03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42,962,764.97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35,772,520.38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171,551,494.40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105,690,339.15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160,108,179.81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109,120,276.20</w:t>
            </w:r>
          </w:p>
        </w:tc>
      </w:tr>
    </w:tbl>
    <w:p>
      <w:pPr>
        <w:widowControl w:val="0"/>
        <w:spacing w:after="319" w:line="1" w:lineRule="exact"/>
      </w:pPr>
    </w:p>
    <w:p>
      <w:pPr>
        <w:pStyle w:val="Style33"/>
        <w:keepNext/>
        <w:keepLines/>
        <w:widowControl w:val="0"/>
        <w:numPr>
          <w:ilvl w:val="0"/>
          <w:numId w:val="27"/>
        </w:numPr>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主营业务(分地区)</w:t>
      </w:r>
      <w:bookmarkEnd w:id="1609"/>
      <w:bookmarkEnd w:id="1610"/>
      <w:bookmarkEnd w:id="1612"/>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95,272,695.11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62,245,714.80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101,750,623.43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63,462,761.49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54,257,044.39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24,091,466.97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23,758,275.59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18,020,207.30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132,478.64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1,035,868.46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11,591,003.02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8,632,268.38</w:t>
            </w:r>
          </w:p>
        </w:tc>
      </w:tr>
    </w:tbl>
    <w:p>
      <w:pPr>
        <w:spacing w:lineRule="exact" w:line="1"/>
        <w:rPr>
          <w:sz w:val="2"/>
          <w:szCs w:val="2"/>
        </w:rPr>
      </w:pPr>
      <w:r>
        <w:br w:type="page"/>
      </w:r>
    </w:p>
    <w:tbl>
      <w:tblPr>
        <w:tblOverlap w:val="never"/>
        <w:jc w:val="center"/>
        <w:tblLayout w:type="fixed"/>
      </w:tblPr>
      <w:tblGrid>
        <w:gridCol w:w="2266"/>
        <w:gridCol w:w="1862"/>
        <w:gridCol w:w="1858"/>
        <w:gridCol w:w="1862"/>
        <w:gridCol w:w="1733"/>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10,564,102.56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9,700,214.97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5,042,088.55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2,888,905.73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5,445,176.20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2,585,797.36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2,428,101.63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2,235,870.65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4,738,461.52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4,619,436.21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664,128.22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688,533.49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9,815,537.42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9,251,136.15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554,273.51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505,226.38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1,293,445.41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3,009,903.25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3,158,688.96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1,042,135.76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905,830.62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171,551,494.40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105,690,339.15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160,108,179.81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109,120,276.20</w:t>
            </w:r>
          </w:p>
        </w:tc>
      </w:tr>
    </w:tbl>
    <w:p>
      <w:pPr>
        <w:widowControl w:val="0"/>
        <w:spacing w:after="359" w:line="1" w:lineRule="exact"/>
      </w:pPr>
    </w:p>
    <w:p>
      <w:pPr>
        <w:pStyle w:val="Style33"/>
        <w:keepNext/>
        <w:keepLines/>
        <w:widowControl w:val="0"/>
        <w:numPr>
          <w:ilvl w:val="0"/>
          <w:numId w:val="27"/>
        </w:numPr>
        <w:shd w:val="clear" w:color="auto" w:fill="auto"/>
        <w:bidi w:val="0"/>
        <w:spacing w:before="0" w:after="400" w:line="240" w:lineRule="auto"/>
        <w:ind w:left="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公司来自前五名客户的营业收入情况</w:t>
      </w:r>
      <w:bookmarkEnd w:id="1613"/>
      <w:bookmarkEnd w:id="1614"/>
      <w:bookmarkEnd w:id="1616"/>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2923"/>
        <w:gridCol w:w="187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30,777,557.26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大唐微电子技术有限公司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23,479,487.13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14,698,015.87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合肥市人力资源和社会保障局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8,305,861.56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宁德人力资源和社会保障局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7,391,027.22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84,651,949.04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33"/>
        <w:keepNext/>
        <w:keepLines/>
        <w:widowControl w:val="0"/>
        <w:shd w:val="clear" w:color="auto" w:fill="auto"/>
        <w:bidi w:val="0"/>
        <w:spacing w:before="0" w:after="40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color w:val="000000"/>
          <w:spacing w:val="0"/>
          <w:w w:val="100"/>
          <w:position w:val="0"/>
        </w:rPr>
        <w:t>、投资收益</w:t>
      </w:r>
      <w:bookmarkEnd w:id="1617"/>
      <w:bookmarkEnd w:id="1618"/>
      <w:bookmarkEnd w:id="1620"/>
    </w:p>
    <w:p>
      <w:pPr>
        <w:pStyle w:val="Style33"/>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17"/>
      <w:bookmarkEnd w:id="1618"/>
      <w:bookmarkEnd w:id="1621"/>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26"/>
        <w:gridCol w:w="2520"/>
        <w:gridCol w:w="25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2,142,170.31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626,989.89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-929,013.21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1,213,157.10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626,989.89</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(2</w:t>
      </w:r>
      <w:r>
        <w:rPr>
          <w:color w:val="000000"/>
          <w:spacing w:val="0"/>
          <w:w w:val="100"/>
          <w:position w:val="0"/>
        </w:rPr>
        <w:t>)按权益法核算的长期股权投资收益</w:t>
      </w:r>
      <w:bookmarkEnd w:id="1622"/>
      <w:bookmarkEnd w:id="1623"/>
      <w:bookmarkEnd w:id="162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北京尚洋易捷信息技术有限公司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2,142,170.31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626,989.89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被投资单位利润变动</w:t>
            </w:r>
          </w:p>
        </w:tc>
      </w:tr>
    </w:tbl>
    <w:p>
      <w:pPr>
        <w:spacing w:lineRule="exact" w:line="1"/>
        <w:rPr>
          <w:sz w:val="2"/>
          <w:szCs w:val="2"/>
        </w:rPr>
      </w:pPr>
      <w:r>
        <w:br w:type="page"/>
      </w:r>
    </w:p>
    <w:tbl>
      <w:tblPr>
        <w:tblOverlap w:val="never"/>
        <w:jc w:val="center"/>
        <w:tblLayout w:type="fixed"/>
      </w:tblPr>
      <w:tblGrid>
        <w:gridCol w:w="3326"/>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2,142,170.31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626,989.89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33"/>
        <w:keepNext/>
        <w:keepLines/>
        <w:widowControl w:val="0"/>
        <w:shd w:val="clear" w:color="auto" w:fill="auto"/>
        <w:bidi w:val="0"/>
        <w:spacing w:before="0" w:after="36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color w:val="000000"/>
          <w:spacing w:val="0"/>
          <w:w w:val="100"/>
          <w:position w:val="0"/>
        </w:rPr>
        <w:t>、现金流量表补充资料</w:t>
      </w:r>
      <w:bookmarkEnd w:id="1625"/>
      <w:bookmarkEnd w:id="1626"/>
      <w:bookmarkEnd w:id="1628"/>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4"/>
        <w:gridCol w:w="2261"/>
        <w:gridCol w:w="226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20,993,560.69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21,837,501.29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3,814,209.60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6,327,810.02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8,339,897.32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7,018,742.87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3,860,531.07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1,818,440.49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1,173,150.78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1,006,374.58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44,708.31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-3,750,310.25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-6,549,078.43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-1,213,157.10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-626,989.89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-572,131.45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-949,171.49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2,617,820.83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3,335,473.55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-8,582,122.93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52,587,686.86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16,239,298.58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-4,025,002.71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42,978,917.66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81,826,495.45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102,214,747.77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156,440,990.48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156,440,990.48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174,033,766.20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-54,226,242.71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-17,592,775.72</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629" w:name="bookmark1629"/>
      <w:bookmarkStart w:id="1630" w:name="bookmark1630"/>
      <w:bookmarkStart w:id="1631" w:name="bookmark1631"/>
      <w:r>
        <w:rPr>
          <w:color w:val="000000"/>
          <w:spacing w:val="0"/>
          <w:w w:val="100"/>
          <w:position w:val="0"/>
        </w:rPr>
        <w:t>十六、补充资料</w:t>
      </w:r>
      <w:bookmarkEnd w:id="1629"/>
      <w:bookmarkEnd w:id="1630"/>
      <w:bookmarkEnd w:id="1631"/>
    </w:p>
    <w:p>
      <w:pPr>
        <w:pStyle w:val="Style33"/>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32"/>
      <w:bookmarkEnd w:id="1633"/>
      <w:bookmarkEnd w:id="1634"/>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-91,788.07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4,840,540.25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834"/>
        <w:gridCol w:w="2232"/>
        <w:gridCol w:w="251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882,193.49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3,877,761.43</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380" w:line="341" w:lineRule="exact"/>
        <w:ind w:left="0" w:right="0" w:firstLine="0"/>
        <w:jc w:val="both"/>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35"/>
      <w:bookmarkEnd w:id="1636"/>
      <w:bookmarkEnd w:id="163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color w:val="000000"/>
          <w:spacing w:val="0"/>
          <w:w w:val="100"/>
          <w:position w:val="0"/>
        </w:rPr>
        <w:t>、公司主要会计报表项目的异常情况及原因的说明</w:t>
      </w:r>
      <w:bookmarkEnd w:id="1638"/>
      <w:bookmarkEnd w:id="1639"/>
      <w:bookmarkEnd w:id="1641"/>
    </w:p>
    <w:p>
      <w:pPr>
        <w:pStyle w:val="Style26"/>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资产负债项目变动情况</w:t>
      </w:r>
    </w:p>
    <w:p>
      <w:pPr>
        <w:pStyle w:val="Style26"/>
        <w:keepNext w:val="0"/>
        <w:keepLines w:val="0"/>
        <w:widowControl w:val="0"/>
        <w:shd w:val="clear" w:color="auto" w:fill="auto"/>
        <w:tabs>
          <w:tab w:pos="825" w:val="left"/>
        </w:tabs>
        <w:bidi w:val="0"/>
        <w:spacing w:before="0" w:after="0" w:line="317" w:lineRule="exact"/>
        <w:ind w:left="0" w:right="0" w:firstLine="380"/>
        <w:jc w:val="both"/>
      </w:pPr>
      <w:bookmarkStart w:id="1642" w:name="bookmark1642"/>
      <w:r>
        <w:rPr>
          <w:color w:val="000000"/>
          <w:spacing w:val="0"/>
          <w:w w:val="100"/>
          <w:position w:val="0"/>
        </w:rPr>
        <w:t>（</w:t>
      </w:r>
      <w:bookmarkEnd w:id="16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预付账款较上年增长</w:t>
      </w:r>
      <w:r>
        <w:rPr>
          <w:rFonts w:ascii="Times New Roman" w:eastAsia="Times New Roman" w:hAnsi="Times New Roman" w:cs="Times New Roman"/>
          <w:color w:val="000000"/>
          <w:spacing w:val="0"/>
          <w:w w:val="100"/>
          <w:position w:val="0"/>
          <w:sz w:val="18"/>
          <w:szCs w:val="18"/>
        </w:rPr>
        <w:t>310.00%</w:t>
      </w:r>
      <w:r>
        <w:rPr>
          <w:color w:val="000000"/>
          <w:spacing w:val="0"/>
          <w:w w:val="100"/>
          <w:position w:val="0"/>
        </w:rPr>
        <w:t>，主要原因是报告期预付项目设备货款及信息机采购款所致。</w:t>
      </w:r>
    </w:p>
    <w:p>
      <w:pPr>
        <w:pStyle w:val="Style26"/>
        <w:keepNext w:val="0"/>
        <w:keepLines w:val="0"/>
        <w:widowControl w:val="0"/>
        <w:shd w:val="clear" w:color="auto" w:fill="auto"/>
        <w:tabs>
          <w:tab w:pos="825" w:val="left"/>
        </w:tabs>
        <w:bidi w:val="0"/>
        <w:spacing w:before="0" w:after="0" w:line="317" w:lineRule="exact"/>
        <w:ind w:left="0" w:right="0" w:firstLine="380"/>
        <w:jc w:val="both"/>
      </w:pPr>
      <w:bookmarkStart w:id="1643" w:name="bookmark1643"/>
      <w:r>
        <w:rPr>
          <w:color w:val="000000"/>
          <w:spacing w:val="0"/>
          <w:w w:val="100"/>
          <w:position w:val="0"/>
        </w:rPr>
        <w:t>（</w:t>
      </w:r>
      <w:bookmarkEnd w:id="16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应收利息较上年增长</w:t>
      </w:r>
      <w:r>
        <w:rPr>
          <w:rFonts w:ascii="Times New Roman" w:eastAsia="Times New Roman" w:hAnsi="Times New Roman" w:cs="Times New Roman"/>
          <w:color w:val="000000"/>
          <w:spacing w:val="0"/>
          <w:w w:val="100"/>
          <w:position w:val="0"/>
          <w:sz w:val="18"/>
          <w:szCs w:val="18"/>
        </w:rPr>
        <w:t>39.21%</w:t>
      </w:r>
      <w:r>
        <w:rPr>
          <w:color w:val="000000"/>
          <w:spacing w:val="0"/>
          <w:w w:val="100"/>
          <w:position w:val="0"/>
        </w:rPr>
        <w:t>,主要系本年度定期存款至年末未结算期限较长所致。</w:t>
      </w:r>
    </w:p>
    <w:p>
      <w:pPr>
        <w:pStyle w:val="Style26"/>
        <w:keepNext w:val="0"/>
        <w:keepLines w:val="0"/>
        <w:widowControl w:val="0"/>
        <w:shd w:val="clear" w:color="auto" w:fill="auto"/>
        <w:tabs>
          <w:tab w:pos="825" w:val="left"/>
        </w:tabs>
        <w:bidi w:val="0"/>
        <w:spacing w:before="0" w:after="0" w:line="317" w:lineRule="exact"/>
        <w:ind w:left="0" w:right="0" w:firstLine="380"/>
        <w:jc w:val="both"/>
      </w:pPr>
      <w:bookmarkStart w:id="1644" w:name="bookmark1644"/>
      <w:r>
        <w:rPr>
          <w:color w:val="000000"/>
          <w:spacing w:val="0"/>
          <w:w w:val="100"/>
          <w:position w:val="0"/>
        </w:rPr>
        <w:t>（</w:t>
      </w:r>
      <w:bookmarkEnd w:id="16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存货较上年增长</w:t>
      </w:r>
      <w:r>
        <w:rPr>
          <w:rFonts w:ascii="Times New Roman" w:eastAsia="Times New Roman" w:hAnsi="Times New Roman" w:cs="Times New Roman"/>
          <w:color w:val="000000"/>
          <w:spacing w:val="0"/>
          <w:w w:val="100"/>
          <w:position w:val="0"/>
          <w:sz w:val="18"/>
          <w:szCs w:val="18"/>
        </w:rPr>
        <w:t>24.56%</w:t>
      </w:r>
      <w:r>
        <w:rPr>
          <w:color w:val="000000"/>
          <w:spacing w:val="0"/>
          <w:w w:val="100"/>
          <w:position w:val="0"/>
        </w:rPr>
        <w:t>，主要原因是为项目采购设备到货所致。</w:t>
      </w:r>
    </w:p>
    <w:p>
      <w:pPr>
        <w:pStyle w:val="Style26"/>
        <w:keepNext w:val="0"/>
        <w:keepLines w:val="0"/>
        <w:widowControl w:val="0"/>
        <w:shd w:val="clear" w:color="auto" w:fill="auto"/>
        <w:tabs>
          <w:tab w:pos="825" w:val="left"/>
        </w:tabs>
        <w:bidi w:val="0"/>
        <w:spacing w:before="0" w:after="0" w:line="317" w:lineRule="exact"/>
        <w:ind w:left="0" w:right="0" w:firstLine="380"/>
        <w:jc w:val="both"/>
      </w:pPr>
      <w:bookmarkStart w:id="1645" w:name="bookmark1645"/>
      <w:r>
        <w:rPr>
          <w:color w:val="000000"/>
          <w:spacing w:val="0"/>
          <w:w w:val="100"/>
          <w:position w:val="0"/>
        </w:rPr>
        <w:t>（</w:t>
      </w:r>
      <w:bookmarkEnd w:id="16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长期股权投资较上年增长</w:t>
      </w:r>
      <w:r>
        <w:rPr>
          <w:rFonts w:ascii="Times New Roman" w:eastAsia="Times New Roman" w:hAnsi="Times New Roman" w:cs="Times New Roman"/>
          <w:color w:val="000000"/>
          <w:spacing w:val="0"/>
          <w:w w:val="100"/>
          <w:position w:val="0"/>
          <w:sz w:val="18"/>
          <w:szCs w:val="18"/>
        </w:rPr>
        <w:t>155.42%</w:t>
      </w:r>
      <w:r>
        <w:rPr>
          <w:color w:val="000000"/>
          <w:spacing w:val="0"/>
          <w:w w:val="100"/>
          <w:position w:val="0"/>
          <w:sz w:val="18"/>
          <w:szCs w:val="18"/>
        </w:rPr>
        <w:t>，</w:t>
      </w:r>
      <w:r>
        <w:rPr>
          <w:color w:val="000000"/>
          <w:spacing w:val="0"/>
          <w:w w:val="100"/>
          <w:position w:val="0"/>
        </w:rPr>
        <w:t>主要原因是报告期内按权益法核算的参股公司的投资收益所致。</w:t>
      </w:r>
    </w:p>
    <w:p>
      <w:pPr>
        <w:pStyle w:val="Style26"/>
        <w:keepNext w:val="0"/>
        <w:keepLines w:val="0"/>
        <w:widowControl w:val="0"/>
        <w:shd w:val="clear" w:color="auto" w:fill="auto"/>
        <w:tabs>
          <w:tab w:pos="915" w:val="left"/>
        </w:tabs>
        <w:bidi w:val="0"/>
        <w:spacing w:before="0" w:after="0" w:line="317" w:lineRule="exact"/>
        <w:ind w:left="0" w:right="0" w:firstLine="380"/>
        <w:jc w:val="both"/>
      </w:pPr>
      <w:bookmarkStart w:id="1646" w:name="bookmark1646"/>
      <w:r>
        <w:rPr>
          <w:color w:val="000000"/>
          <w:spacing w:val="0"/>
          <w:w w:val="100"/>
          <w:position w:val="0"/>
        </w:rPr>
        <w:t>（</w:t>
      </w:r>
      <w:bookmarkEnd w:id="16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固定资产较上年增长</w:t>
      </w:r>
      <w:r>
        <w:rPr>
          <w:rFonts w:ascii="Times New Roman" w:eastAsia="Times New Roman" w:hAnsi="Times New Roman" w:cs="Times New Roman"/>
          <w:color w:val="000000"/>
          <w:spacing w:val="0"/>
          <w:w w:val="100"/>
          <w:position w:val="0"/>
          <w:sz w:val="18"/>
          <w:szCs w:val="18"/>
        </w:rPr>
        <w:t>46.70%</w:t>
      </w:r>
      <w:r>
        <w:rPr>
          <w:color w:val="000000"/>
          <w:spacing w:val="0"/>
          <w:w w:val="100"/>
          <w:position w:val="0"/>
        </w:rPr>
        <w:t xml:space="preserve">，主要是公司募集资金项目采购相应的固定资产及福州软件园动漫游戏产业基地二期 </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研发楼在建工程结转所致。</w:t>
      </w:r>
    </w:p>
    <w:p>
      <w:pPr>
        <w:pStyle w:val="Style26"/>
        <w:keepNext w:val="0"/>
        <w:keepLines w:val="0"/>
        <w:widowControl w:val="0"/>
        <w:shd w:val="clear" w:color="auto" w:fill="auto"/>
        <w:tabs>
          <w:tab w:pos="901" w:val="left"/>
        </w:tabs>
        <w:bidi w:val="0"/>
        <w:spacing w:before="0" w:after="0" w:line="317" w:lineRule="exact"/>
        <w:ind w:left="0" w:right="0" w:firstLine="380"/>
        <w:jc w:val="both"/>
      </w:pPr>
      <w:bookmarkStart w:id="1647" w:name="bookmark1647"/>
      <w:r>
        <w:rPr>
          <w:color w:val="000000"/>
          <w:spacing w:val="0"/>
          <w:w w:val="100"/>
          <w:position w:val="0"/>
        </w:rPr>
        <w:t>（</w:t>
      </w:r>
      <w:bookmarkEnd w:id="164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无形资产较上年增长</w:t>
      </w:r>
      <w:r>
        <w:rPr>
          <w:rFonts w:ascii="Times New Roman" w:eastAsia="Times New Roman" w:hAnsi="Times New Roman" w:cs="Times New Roman"/>
          <w:color w:val="000000"/>
          <w:spacing w:val="0"/>
          <w:w w:val="100"/>
          <w:position w:val="0"/>
          <w:sz w:val="18"/>
          <w:szCs w:val="18"/>
        </w:rPr>
        <w:t>324.05%</w:t>
      </w:r>
      <w:r>
        <w:rPr>
          <w:color w:val="000000"/>
          <w:spacing w:val="0"/>
          <w:w w:val="100"/>
          <w:position w:val="0"/>
        </w:rPr>
        <w:t>，开发支出较上年减少</w:t>
      </w:r>
      <w:r>
        <w:rPr>
          <w:rFonts w:ascii="Times New Roman" w:eastAsia="Times New Roman" w:hAnsi="Times New Roman" w:cs="Times New Roman"/>
          <w:color w:val="000000"/>
          <w:spacing w:val="0"/>
          <w:w w:val="100"/>
          <w:position w:val="0"/>
          <w:sz w:val="18"/>
          <w:szCs w:val="18"/>
        </w:rPr>
        <w:t>74.39%</w:t>
      </w:r>
      <w:r>
        <w:rPr>
          <w:color w:val="000000"/>
          <w:spacing w:val="0"/>
          <w:w w:val="100"/>
          <w:position w:val="0"/>
        </w:rPr>
        <w:t>，主要是本年度公司研发民生一体化信息服务平台、 易联众居民健康信息系统、社会保险核心平台、生育保险信息管理系统等项目的研发投入由开发支出结转至无形资产和购买 健康云服务软件所致。</w:t>
      </w:r>
    </w:p>
    <w:p>
      <w:pPr>
        <w:pStyle w:val="Style26"/>
        <w:keepNext w:val="0"/>
        <w:keepLines w:val="0"/>
        <w:widowControl w:val="0"/>
        <w:shd w:val="clear" w:color="auto" w:fill="auto"/>
        <w:tabs>
          <w:tab w:pos="825" w:val="left"/>
        </w:tabs>
        <w:bidi w:val="0"/>
        <w:spacing w:before="0" w:after="0" w:line="317" w:lineRule="exact"/>
        <w:ind w:left="0" w:right="0" w:firstLine="380"/>
        <w:jc w:val="both"/>
      </w:pPr>
      <w:bookmarkStart w:id="1648" w:name="bookmark1648"/>
      <w:r>
        <w:rPr>
          <w:color w:val="000000"/>
          <w:spacing w:val="0"/>
          <w:w w:val="100"/>
          <w:position w:val="0"/>
        </w:rPr>
        <w:t>（</w:t>
      </w:r>
      <w:bookmarkEnd w:id="164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递延所得税资产较上年增长</w:t>
      </w:r>
      <w:r>
        <w:rPr>
          <w:rFonts w:ascii="Times New Roman" w:eastAsia="Times New Roman" w:hAnsi="Times New Roman" w:cs="Times New Roman"/>
          <w:color w:val="000000"/>
          <w:spacing w:val="0"/>
          <w:w w:val="100"/>
          <w:position w:val="0"/>
          <w:sz w:val="18"/>
          <w:szCs w:val="18"/>
        </w:rPr>
        <w:t>71.09%</w:t>
      </w:r>
      <w:r>
        <w:rPr>
          <w:color w:val="000000"/>
          <w:spacing w:val="0"/>
          <w:w w:val="100"/>
          <w:position w:val="0"/>
        </w:rPr>
        <w:t>，主要是本年提取的资产减值准备及子公司可抵扣的亏损增加所致。</w:t>
      </w:r>
    </w:p>
    <w:p>
      <w:pPr>
        <w:pStyle w:val="Style26"/>
        <w:keepNext w:val="0"/>
        <w:keepLines w:val="0"/>
        <w:widowControl w:val="0"/>
        <w:shd w:val="clear" w:color="auto" w:fill="auto"/>
        <w:tabs>
          <w:tab w:pos="825" w:val="left"/>
        </w:tabs>
        <w:bidi w:val="0"/>
        <w:spacing w:before="0" w:after="0" w:line="317" w:lineRule="exact"/>
        <w:ind w:left="0" w:right="0" w:firstLine="380"/>
        <w:jc w:val="both"/>
      </w:pPr>
      <w:bookmarkStart w:id="1649" w:name="bookmark1649"/>
      <w:r>
        <w:rPr>
          <w:color w:val="000000"/>
          <w:spacing w:val="0"/>
          <w:w w:val="100"/>
          <w:position w:val="0"/>
        </w:rPr>
        <w:t>（</w:t>
      </w:r>
      <w:bookmarkEnd w:id="164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应付票据较上年减少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，主要是银行承兑汇票到期支付所致。</w:t>
      </w:r>
    </w:p>
    <w:p>
      <w:pPr>
        <w:pStyle w:val="Style26"/>
        <w:keepNext w:val="0"/>
        <w:keepLines w:val="0"/>
        <w:widowControl w:val="0"/>
        <w:shd w:val="clear" w:color="auto" w:fill="auto"/>
        <w:tabs>
          <w:tab w:pos="825" w:val="left"/>
        </w:tabs>
        <w:bidi w:val="0"/>
        <w:spacing w:before="0" w:after="0" w:line="317" w:lineRule="exact"/>
        <w:ind w:left="0" w:right="0" w:firstLine="380"/>
        <w:jc w:val="both"/>
      </w:pPr>
      <w:bookmarkStart w:id="1650" w:name="bookmark1650"/>
      <w:r>
        <w:rPr>
          <w:color w:val="000000"/>
          <w:spacing w:val="0"/>
          <w:w w:val="100"/>
          <w:position w:val="0"/>
        </w:rPr>
        <w:t>（</w:t>
      </w:r>
      <w:bookmarkEnd w:id="165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预收账款较上年增长</w:t>
      </w:r>
      <w:r>
        <w:rPr>
          <w:rFonts w:ascii="Times New Roman" w:eastAsia="Times New Roman" w:hAnsi="Times New Roman" w:cs="Times New Roman"/>
          <w:color w:val="000000"/>
          <w:spacing w:val="0"/>
          <w:w w:val="100"/>
          <w:position w:val="0"/>
          <w:sz w:val="18"/>
          <w:szCs w:val="18"/>
        </w:rPr>
        <w:t>108.22%</w:t>
      </w:r>
      <w:r>
        <w:rPr>
          <w:color w:val="000000"/>
          <w:spacing w:val="0"/>
          <w:w w:val="100"/>
          <w:position w:val="0"/>
        </w:rPr>
        <w:t>,主要是本年新增项目预收客户款项所致。</w:t>
      </w:r>
    </w:p>
    <w:p>
      <w:pPr>
        <w:pStyle w:val="Style26"/>
        <w:keepNext w:val="0"/>
        <w:keepLines w:val="0"/>
        <w:widowControl w:val="0"/>
        <w:shd w:val="clear" w:color="auto" w:fill="auto"/>
        <w:tabs>
          <w:tab w:pos="916" w:val="left"/>
        </w:tabs>
        <w:bidi w:val="0"/>
        <w:spacing w:before="0" w:after="0" w:line="317" w:lineRule="exact"/>
        <w:ind w:left="0" w:right="0" w:firstLine="380"/>
        <w:jc w:val="both"/>
      </w:pPr>
      <w:bookmarkStart w:id="1651" w:name="bookmark1651"/>
      <w:r>
        <w:rPr>
          <w:color w:val="000000"/>
          <w:spacing w:val="0"/>
          <w:w w:val="100"/>
          <w:position w:val="0"/>
        </w:rPr>
        <w:t>（</w:t>
      </w:r>
      <w:bookmarkEnd w:id="1651"/>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应付职工薪酬较上年增长</w:t>
      </w:r>
      <w:r>
        <w:rPr>
          <w:rFonts w:ascii="Times New Roman" w:eastAsia="Times New Roman" w:hAnsi="Times New Roman" w:cs="Times New Roman"/>
          <w:color w:val="000000"/>
          <w:spacing w:val="0"/>
          <w:w w:val="100"/>
          <w:position w:val="0"/>
          <w:sz w:val="18"/>
          <w:szCs w:val="18"/>
        </w:rPr>
        <w:t>35.88%</w:t>
      </w:r>
      <w:r>
        <w:rPr>
          <w:color w:val="000000"/>
          <w:spacing w:val="0"/>
          <w:w w:val="100"/>
          <w:position w:val="0"/>
        </w:rPr>
        <w:t>，主要是员工规模增加及计提年终奖金所致。</w:t>
      </w:r>
    </w:p>
    <w:p>
      <w:pPr>
        <w:pStyle w:val="Style26"/>
        <w:keepNext w:val="0"/>
        <w:keepLines w:val="0"/>
        <w:widowControl w:val="0"/>
        <w:shd w:val="clear" w:color="auto" w:fill="auto"/>
        <w:tabs>
          <w:tab w:pos="916" w:val="left"/>
        </w:tabs>
        <w:bidi w:val="0"/>
        <w:spacing w:before="0" w:after="0" w:line="317" w:lineRule="exact"/>
        <w:ind w:left="0" w:right="0" w:firstLine="380"/>
        <w:jc w:val="both"/>
      </w:pPr>
      <w:bookmarkStart w:id="1652" w:name="bookmark1652"/>
      <w:r>
        <w:rPr>
          <w:color w:val="000000"/>
          <w:spacing w:val="0"/>
          <w:w w:val="100"/>
          <w:position w:val="0"/>
        </w:rPr>
        <w:t>（</w:t>
      </w:r>
      <w:bookmarkEnd w:id="1652"/>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应交税费较上年增加</w:t>
      </w:r>
      <w:r>
        <w:rPr>
          <w:rFonts w:ascii="Times New Roman" w:eastAsia="Times New Roman" w:hAnsi="Times New Roman" w:cs="Times New Roman"/>
          <w:color w:val="000000"/>
          <w:spacing w:val="0"/>
          <w:w w:val="100"/>
          <w:position w:val="0"/>
          <w:sz w:val="18"/>
          <w:szCs w:val="18"/>
        </w:rPr>
        <w:t>-3,253.76%</w:t>
      </w:r>
      <w:r>
        <w:rPr>
          <w:color w:val="000000"/>
          <w:spacing w:val="0"/>
          <w:w w:val="100"/>
          <w:position w:val="0"/>
        </w:rPr>
        <w:t>,主要是本年度将待抵扣进项税及预缴的其他税费调整至其他流动资产所致。</w:t>
      </w:r>
    </w:p>
    <w:p>
      <w:pPr>
        <w:pStyle w:val="Style26"/>
        <w:keepNext w:val="0"/>
        <w:keepLines w:val="0"/>
        <w:widowControl w:val="0"/>
        <w:shd w:val="clear" w:color="auto" w:fill="auto"/>
        <w:tabs>
          <w:tab w:pos="992" w:val="left"/>
        </w:tabs>
        <w:bidi w:val="0"/>
        <w:spacing w:before="0" w:after="0" w:line="317" w:lineRule="exact"/>
        <w:ind w:left="0" w:right="0" w:firstLine="380"/>
        <w:jc w:val="both"/>
      </w:pPr>
      <w:bookmarkStart w:id="1653" w:name="bookmark1653"/>
      <w:r>
        <w:rPr>
          <w:color w:val="000000"/>
          <w:spacing w:val="0"/>
          <w:w w:val="100"/>
          <w:position w:val="0"/>
        </w:rPr>
        <w:t>（</w:t>
      </w:r>
      <w:bookmarkEnd w:id="1653"/>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其他应付款较上年增长</w:t>
      </w:r>
      <w:r>
        <w:rPr>
          <w:rFonts w:ascii="Times New Roman" w:eastAsia="Times New Roman" w:hAnsi="Times New Roman" w:cs="Times New Roman"/>
          <w:color w:val="000000"/>
          <w:spacing w:val="0"/>
          <w:w w:val="100"/>
          <w:position w:val="0"/>
          <w:sz w:val="18"/>
          <w:szCs w:val="18"/>
        </w:rPr>
        <w:t>149.58%</w:t>
      </w:r>
      <w:r>
        <w:rPr>
          <w:color w:val="000000"/>
          <w:spacing w:val="0"/>
          <w:w w:val="100"/>
          <w:position w:val="0"/>
        </w:rPr>
        <w:t>,主要是子公司湖南易联众本年收到长沙锐亚信息技术有限公司往来款</w:t>
      </w:r>
      <w:r>
        <w:rPr>
          <w:rFonts w:ascii="Times New Roman" w:eastAsia="Times New Roman" w:hAnsi="Times New Roman" w:cs="Times New Roman"/>
          <w:color w:val="000000"/>
          <w:spacing w:val="0"/>
          <w:w w:val="100"/>
          <w:position w:val="0"/>
          <w:sz w:val="18"/>
          <w:szCs w:val="18"/>
        </w:rPr>
        <w:t>156.38</w:t>
      </w:r>
      <w:r>
        <w:rPr>
          <w:color w:val="000000"/>
          <w:spacing w:val="0"/>
          <w:w w:val="100"/>
          <w:position w:val="0"/>
        </w:rPr>
        <w:t>万 元所致。</w:t>
      </w:r>
    </w:p>
    <w:p>
      <w:pPr>
        <w:pStyle w:val="Style26"/>
        <w:keepNext w:val="0"/>
        <w:keepLines w:val="0"/>
        <w:widowControl w:val="0"/>
        <w:shd w:val="clear" w:color="auto" w:fill="auto"/>
        <w:tabs>
          <w:tab w:pos="916" w:val="left"/>
        </w:tabs>
        <w:bidi w:val="0"/>
        <w:spacing w:before="0" w:after="0" w:line="317" w:lineRule="exact"/>
        <w:ind w:left="0" w:right="0" w:firstLine="380"/>
        <w:jc w:val="both"/>
      </w:pPr>
      <w:bookmarkStart w:id="1654" w:name="bookmark1654"/>
      <w:r>
        <w:rPr>
          <w:color w:val="000000"/>
          <w:spacing w:val="0"/>
          <w:w w:val="100"/>
          <w:position w:val="0"/>
        </w:rPr>
        <w:t>（</w:t>
      </w:r>
      <w:bookmarkEnd w:id="1654"/>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其他流动负债较上年增长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，主要是政府补助项目按年限递延收益摊销所致。</w:t>
      </w:r>
    </w:p>
    <w:p>
      <w:pPr>
        <w:pStyle w:val="Style26"/>
        <w:keepNext w:val="0"/>
        <w:keepLines w:val="0"/>
        <w:widowControl w:val="0"/>
        <w:shd w:val="clear" w:color="auto" w:fill="auto"/>
        <w:tabs>
          <w:tab w:pos="916" w:val="left"/>
        </w:tabs>
        <w:bidi w:val="0"/>
        <w:spacing w:before="0" w:after="0" w:line="317" w:lineRule="exact"/>
        <w:ind w:left="0" w:right="0" w:firstLine="380"/>
        <w:jc w:val="both"/>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t>其他非流动负债较上年减少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，主要是报告期内公司摊销前期收到的与资产相关的政府补助。</w:t>
      </w:r>
    </w:p>
    <w:p>
      <w:pPr>
        <w:pStyle w:val="Style26"/>
        <w:keepNext w:val="0"/>
        <w:keepLines w:val="0"/>
        <w:widowControl w:val="0"/>
        <w:shd w:val="clear" w:color="auto" w:fill="auto"/>
        <w:tabs>
          <w:tab w:pos="916" w:val="left"/>
        </w:tabs>
        <w:bidi w:val="0"/>
        <w:spacing w:before="0" w:after="0" w:line="317" w:lineRule="exact"/>
        <w:ind w:left="380" w:right="0" w:firstLine="0"/>
        <w:jc w:val="both"/>
      </w:pPr>
      <w:bookmarkStart w:id="1656" w:name="bookmark1656"/>
      <w:r>
        <w:rPr>
          <w:color w:val="000000"/>
          <w:spacing w:val="0"/>
          <w:w w:val="100"/>
          <w:position w:val="0"/>
        </w:rPr>
        <w:t>（</w:t>
      </w:r>
      <w:bookmarkEnd w:id="1656"/>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t>盈余公积较上年增长</w:t>
      </w:r>
      <w:r>
        <w:rPr>
          <w:rFonts w:ascii="Times New Roman" w:eastAsia="Times New Roman" w:hAnsi="Times New Roman" w:cs="Times New Roman"/>
          <w:color w:val="000000"/>
          <w:spacing w:val="0"/>
          <w:w w:val="100"/>
          <w:position w:val="0"/>
          <w:sz w:val="18"/>
          <w:szCs w:val="18"/>
        </w:rPr>
        <w:t>15.50%</w:t>
      </w:r>
      <w:r>
        <w:rPr>
          <w:color w:val="000000"/>
          <w:spacing w:val="0"/>
          <w:w w:val="100"/>
          <w:position w:val="0"/>
        </w:rPr>
        <w:t>，主要原因是根据公司章程规定，按母公司净利润的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计提法定盈余公积所致。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）未分配利润较上年增加</w:t>
      </w:r>
      <w:r>
        <w:rPr>
          <w:rFonts w:ascii="Times New Roman" w:eastAsia="Times New Roman" w:hAnsi="Times New Roman" w:cs="Times New Roman"/>
          <w:color w:val="000000"/>
          <w:spacing w:val="0"/>
          <w:w w:val="100"/>
          <w:position w:val="0"/>
          <w:sz w:val="18"/>
          <w:szCs w:val="18"/>
        </w:rPr>
        <w:t>13.81%</w:t>
      </w:r>
      <w:r>
        <w:rPr>
          <w:color w:val="000000"/>
          <w:spacing w:val="0"/>
          <w:w w:val="100"/>
          <w:position w:val="0"/>
        </w:rPr>
        <w:t>，主要原因是本年实现的净利润所致。</w:t>
      </w:r>
    </w:p>
    <w:p>
      <w:pPr>
        <w:pStyle w:val="Style26"/>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经营成果变动情况</w:t>
      </w:r>
    </w:p>
    <w:p>
      <w:pPr>
        <w:pStyle w:val="Style26"/>
        <w:keepNext w:val="0"/>
        <w:keepLines w:val="0"/>
        <w:widowControl w:val="0"/>
        <w:shd w:val="clear" w:color="auto" w:fill="auto"/>
        <w:tabs>
          <w:tab w:pos="825" w:val="left"/>
        </w:tabs>
        <w:bidi w:val="0"/>
        <w:spacing w:before="0" w:after="0" w:line="317" w:lineRule="exact"/>
        <w:ind w:left="0" w:right="0" w:firstLine="380"/>
        <w:jc w:val="both"/>
      </w:pPr>
      <w:bookmarkStart w:id="1657" w:name="bookmark1657"/>
      <w:r>
        <w:rPr>
          <w:color w:val="000000"/>
          <w:spacing w:val="0"/>
          <w:w w:val="100"/>
          <w:position w:val="0"/>
        </w:rPr>
        <w:t>（</w:t>
      </w:r>
      <w:bookmarkEnd w:id="16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本年度营业税金及附加较上年减少</w:t>
      </w:r>
      <w:r>
        <w:rPr>
          <w:rFonts w:ascii="Times New Roman" w:eastAsia="Times New Roman" w:hAnsi="Times New Roman" w:cs="Times New Roman"/>
          <w:color w:val="000000"/>
          <w:spacing w:val="0"/>
          <w:w w:val="100"/>
          <w:position w:val="0"/>
          <w:sz w:val="18"/>
          <w:szCs w:val="18"/>
        </w:rPr>
        <w:t>39.33%</w:t>
      </w:r>
      <w:r>
        <w:rPr>
          <w:color w:val="000000"/>
          <w:spacing w:val="0"/>
          <w:w w:val="100"/>
          <w:position w:val="0"/>
        </w:rPr>
        <w:t>，主要原因是由于营改增因素致使营业税金减少。</w:t>
      </w:r>
    </w:p>
    <w:p>
      <w:pPr>
        <w:pStyle w:val="Style26"/>
        <w:keepNext w:val="0"/>
        <w:keepLines w:val="0"/>
        <w:widowControl w:val="0"/>
        <w:shd w:val="clear" w:color="auto" w:fill="auto"/>
        <w:bidi w:val="0"/>
        <w:spacing w:before="0" w:after="0" w:line="317" w:lineRule="exact"/>
        <w:ind w:left="0" w:right="0" w:firstLine="380"/>
        <w:jc w:val="both"/>
      </w:pPr>
      <w:bookmarkStart w:id="1658" w:name="bookmark1658"/>
      <w:r>
        <w:rPr>
          <w:color w:val="000000"/>
          <w:spacing w:val="0"/>
          <w:w w:val="100"/>
          <w:position w:val="0"/>
        </w:rPr>
        <w:t>（</w:t>
      </w:r>
      <w:bookmarkEnd w:id="16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本年度管理费用较上年度增长</w:t>
      </w:r>
      <w:r>
        <w:rPr>
          <w:rFonts w:ascii="Times New Roman" w:eastAsia="Times New Roman" w:hAnsi="Times New Roman" w:cs="Times New Roman"/>
          <w:color w:val="000000"/>
          <w:spacing w:val="0"/>
          <w:w w:val="100"/>
          <w:position w:val="0"/>
          <w:sz w:val="18"/>
          <w:szCs w:val="18"/>
        </w:rPr>
        <w:t>49.63%</w:t>
      </w:r>
      <w:r>
        <w:rPr>
          <w:color w:val="000000"/>
          <w:spacing w:val="0"/>
          <w:w w:val="100"/>
          <w:position w:val="0"/>
        </w:rPr>
        <w:t xml:space="preserve">，主要原因包括：①本年度增加对研究开发项目的投入②本年度人员规模增 </w:t>
      </w:r>
      <w:r>
        <w:rPr>
          <w:color w:val="000000"/>
          <w:spacing w:val="0"/>
          <w:w w:val="100"/>
          <w:position w:val="0"/>
        </w:rPr>
        <w:t>加及上调薪资导致职工薪酬增加。</w:t>
      </w:r>
    </w:p>
    <w:p>
      <w:pPr>
        <w:pStyle w:val="Style26"/>
        <w:keepNext w:val="0"/>
        <w:keepLines w:val="0"/>
        <w:widowControl w:val="0"/>
        <w:shd w:val="clear" w:color="auto" w:fill="auto"/>
        <w:tabs>
          <w:tab w:pos="825" w:val="left"/>
        </w:tabs>
        <w:bidi w:val="0"/>
        <w:spacing w:before="0" w:after="0" w:line="331" w:lineRule="exact"/>
        <w:ind w:left="0" w:right="0" w:firstLine="380"/>
        <w:jc w:val="both"/>
      </w:pPr>
      <w:bookmarkStart w:id="1659" w:name="bookmark1659"/>
      <w:r>
        <w:rPr>
          <w:color w:val="000000"/>
          <w:spacing w:val="0"/>
          <w:w w:val="100"/>
          <w:position w:val="0"/>
        </w:rPr>
        <w:t>（</w:t>
      </w:r>
      <w:bookmarkEnd w:id="16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本年度销售费用较上年增加</w:t>
      </w:r>
      <w:r>
        <w:rPr>
          <w:rFonts w:ascii="Times New Roman" w:eastAsia="Times New Roman" w:hAnsi="Times New Roman" w:cs="Times New Roman"/>
          <w:color w:val="000000"/>
          <w:spacing w:val="0"/>
          <w:w w:val="100"/>
          <w:position w:val="0"/>
          <w:sz w:val="18"/>
          <w:szCs w:val="18"/>
        </w:rPr>
        <w:t>80.21%</w:t>
      </w:r>
      <w:r>
        <w:rPr>
          <w:color w:val="000000"/>
          <w:spacing w:val="0"/>
          <w:w w:val="100"/>
          <w:position w:val="0"/>
        </w:rPr>
        <w:t>，主要系本公司本年度增加营销投入，职工薪酬、差旅费等相应增加所致。</w:t>
      </w:r>
    </w:p>
    <w:p>
      <w:pPr>
        <w:pStyle w:val="Style26"/>
        <w:keepNext w:val="0"/>
        <w:keepLines w:val="0"/>
        <w:widowControl w:val="0"/>
        <w:shd w:val="clear" w:color="auto" w:fill="auto"/>
        <w:tabs>
          <w:tab w:pos="825" w:val="left"/>
        </w:tabs>
        <w:bidi w:val="0"/>
        <w:spacing w:before="0" w:after="0" w:line="331" w:lineRule="exact"/>
        <w:ind w:left="0" w:right="0" w:firstLine="380"/>
        <w:jc w:val="both"/>
      </w:pPr>
      <w:bookmarkStart w:id="1660" w:name="bookmark1660"/>
      <w:r>
        <w:rPr>
          <w:color w:val="000000"/>
          <w:spacing w:val="0"/>
          <w:w w:val="100"/>
          <w:position w:val="0"/>
        </w:rPr>
        <w:t>（</w:t>
      </w:r>
      <w:bookmarkEnd w:id="16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本年度资产减值损失较上年度减少</w:t>
      </w:r>
      <w:r>
        <w:rPr>
          <w:rFonts w:ascii="Times New Roman" w:eastAsia="Times New Roman" w:hAnsi="Times New Roman" w:cs="Times New Roman"/>
          <w:color w:val="000000"/>
          <w:spacing w:val="0"/>
          <w:w w:val="100"/>
          <w:position w:val="0"/>
          <w:sz w:val="18"/>
          <w:szCs w:val="18"/>
        </w:rPr>
        <w:t>27.97%</w:t>
      </w:r>
      <w:r>
        <w:rPr>
          <w:color w:val="000000"/>
          <w:spacing w:val="0"/>
          <w:w w:val="100"/>
          <w:position w:val="0"/>
        </w:rPr>
        <w:t>，主要原因是公司加大应收账款回收力度所致。</w:t>
      </w:r>
    </w:p>
    <w:p>
      <w:pPr>
        <w:pStyle w:val="Style26"/>
        <w:keepNext w:val="0"/>
        <w:keepLines w:val="0"/>
        <w:widowControl w:val="0"/>
        <w:shd w:val="clear" w:color="auto" w:fill="auto"/>
        <w:tabs>
          <w:tab w:pos="825" w:val="left"/>
        </w:tabs>
        <w:bidi w:val="0"/>
        <w:spacing w:before="0" w:after="0" w:line="331" w:lineRule="exact"/>
        <w:ind w:left="0" w:right="0" w:firstLine="380"/>
        <w:jc w:val="both"/>
      </w:pPr>
      <w:bookmarkStart w:id="1661" w:name="bookmark1661"/>
      <w:r>
        <w:rPr>
          <w:color w:val="000000"/>
          <w:spacing w:val="0"/>
          <w:w w:val="100"/>
          <w:position w:val="0"/>
        </w:rPr>
        <w:t>（</w:t>
      </w:r>
      <w:bookmarkEnd w:id="166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本年度投资收益较上年增长</w:t>
      </w:r>
      <w:r>
        <w:rPr>
          <w:rFonts w:ascii="Times New Roman" w:eastAsia="Times New Roman" w:hAnsi="Times New Roman" w:cs="Times New Roman"/>
          <w:color w:val="000000"/>
          <w:spacing w:val="0"/>
          <w:w w:val="100"/>
          <w:position w:val="0"/>
          <w:sz w:val="18"/>
          <w:szCs w:val="18"/>
        </w:rPr>
        <w:t>242.09%</w:t>
      </w:r>
      <w:r>
        <w:rPr>
          <w:color w:val="000000"/>
          <w:spacing w:val="0"/>
          <w:w w:val="100"/>
          <w:position w:val="0"/>
        </w:rPr>
        <w:t>,按权益法核算的参股公司的净利润增加所致。</w:t>
      </w:r>
    </w:p>
    <w:p>
      <w:pPr>
        <w:pStyle w:val="Style26"/>
        <w:keepNext w:val="0"/>
        <w:keepLines w:val="0"/>
        <w:widowControl w:val="0"/>
        <w:shd w:val="clear" w:color="auto" w:fill="auto"/>
        <w:bidi w:val="0"/>
        <w:spacing w:before="0" w:after="0" w:line="33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）本年度营业外收入较上年度减少</w:t>
      </w:r>
      <w:r>
        <w:rPr>
          <w:rFonts w:ascii="Times New Roman" w:eastAsia="Times New Roman" w:hAnsi="Times New Roman" w:cs="Times New Roman"/>
          <w:color w:val="000000"/>
          <w:spacing w:val="0"/>
          <w:w w:val="100"/>
          <w:position w:val="0"/>
          <w:sz w:val="18"/>
          <w:szCs w:val="18"/>
        </w:rPr>
        <w:t>35.23%</w:t>
      </w:r>
      <w:r>
        <w:rPr>
          <w:color w:val="000000"/>
          <w:spacing w:val="0"/>
          <w:w w:val="100"/>
          <w:position w:val="0"/>
        </w:rPr>
        <w:t>，主要原因是公司报告期内收到补贴收入及增值税软件退税较上年同期减 少。</w:t>
      </w:r>
    </w:p>
    <w:p>
      <w:pPr>
        <w:pStyle w:val="Style26"/>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现金流量表项目变动情况</w:t>
      </w:r>
    </w:p>
    <w:p>
      <w:pPr>
        <w:pStyle w:val="Style26"/>
        <w:keepNext w:val="0"/>
        <w:keepLines w:val="0"/>
        <w:widowControl w:val="0"/>
        <w:shd w:val="clear" w:color="auto" w:fill="auto"/>
        <w:tabs>
          <w:tab w:pos="901" w:val="left"/>
        </w:tabs>
        <w:bidi w:val="0"/>
        <w:spacing w:before="0" w:after="0" w:line="322" w:lineRule="exact"/>
        <w:ind w:left="0" w:right="0" w:firstLine="380"/>
        <w:jc w:val="both"/>
      </w:pPr>
      <w:bookmarkStart w:id="1662" w:name="bookmark1662"/>
      <w:r>
        <w:rPr>
          <w:color w:val="000000"/>
          <w:spacing w:val="0"/>
          <w:w w:val="100"/>
          <w:position w:val="0"/>
        </w:rPr>
        <w:t>（</w:t>
      </w:r>
      <w:bookmarkEnd w:id="16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经营活动产生的现金流量净额：本年度内公司经营活动产生的现金流量净额较上年同期减少</w:t>
      </w:r>
      <w:r>
        <w:rPr>
          <w:rFonts w:ascii="Times New Roman" w:eastAsia="Times New Roman" w:hAnsi="Times New Roman" w:cs="Times New Roman"/>
          <w:color w:val="000000"/>
          <w:spacing w:val="0"/>
          <w:w w:val="100"/>
          <w:position w:val="0"/>
          <w:sz w:val="18"/>
          <w:szCs w:val="18"/>
        </w:rPr>
        <w:t>40.55%</w:t>
      </w:r>
      <w:r>
        <w:rPr>
          <w:color w:val="000000"/>
          <w:spacing w:val="0"/>
          <w:w w:val="100"/>
          <w:position w:val="0"/>
        </w:rPr>
        <w:t>，主要原因是 本年度支付上年货款所致。</w:t>
      </w:r>
    </w:p>
    <w:p>
      <w:pPr>
        <w:pStyle w:val="Style26"/>
        <w:keepNext w:val="0"/>
        <w:keepLines w:val="0"/>
        <w:widowControl w:val="0"/>
        <w:shd w:val="clear" w:color="auto" w:fill="auto"/>
        <w:tabs>
          <w:tab w:pos="901" w:val="left"/>
        </w:tabs>
        <w:bidi w:val="0"/>
        <w:spacing w:before="0" w:after="0" w:line="326" w:lineRule="exact"/>
        <w:ind w:left="0" w:right="0" w:firstLine="380"/>
        <w:jc w:val="both"/>
        <w:sectPr>
          <w:headerReference w:type="default" r:id="rId19"/>
          <w:footerReference w:type="default" r:id="rId20"/>
          <w:footnotePr>
            <w:pos w:val="pageBottom"/>
            <w:numFmt w:val="decimal"/>
            <w:numRestart w:val="continuous"/>
          </w:footnotePr>
          <w:pgSz w:w="11900" w:h="16840"/>
          <w:pgMar w:top="1441" w:right="1108" w:bottom="1441" w:left="1100" w:header="0" w:footer="3" w:gutter="0"/>
          <w:cols w:space="720"/>
          <w:noEndnote/>
          <w:rtlGutter w:val="0"/>
          <w:docGrid w:linePitch="360"/>
        </w:sectPr>
      </w:pPr>
      <w:bookmarkStart w:id="1663" w:name="bookmark1663"/>
      <w:r>
        <w:rPr>
          <w:color w:val="000000"/>
          <w:spacing w:val="0"/>
          <w:w w:val="100"/>
          <w:position w:val="0"/>
          <w:sz w:val="20"/>
          <w:szCs w:val="20"/>
        </w:rPr>
        <w:t>（</w:t>
      </w:r>
      <w:bookmarkEnd w:id="1663"/>
      <w:r>
        <w:rPr>
          <w:rFonts w:ascii="Times New Roman" w:eastAsia="Times New Roman" w:hAnsi="Times New Roman" w:cs="Times New Roman"/>
          <w:color w:val="000000"/>
          <w:spacing w:val="0"/>
          <w:w w:val="100"/>
          <w:position w:val="0"/>
          <w:sz w:val="18"/>
          <w:szCs w:val="18"/>
        </w:rPr>
        <w:t>2</w:t>
      </w:r>
      <w:r>
        <w:rPr>
          <w:color w:val="000000"/>
          <w:spacing w:val="0"/>
          <w:w w:val="100"/>
          <w:position w:val="0"/>
          <w:sz w:val="20"/>
          <w:szCs w:val="20"/>
        </w:rPr>
        <w:t>）</w:t>
      </w:r>
      <w:r>
        <w:rPr>
          <w:rFonts w:ascii="Tahoma" w:eastAsia="Tahoma" w:hAnsi="Tahoma" w:cs="Tahoma"/>
          <w:color w:val="000000"/>
          <w:spacing w:val="0"/>
          <w:w w:val="100"/>
          <w:position w:val="0"/>
          <w:sz w:val="16"/>
          <w:szCs w:val="16"/>
        </w:rPr>
        <w:tab/>
      </w:r>
      <w:r>
        <w:rPr>
          <w:color w:val="000000"/>
          <w:spacing w:val="0"/>
          <w:w w:val="100"/>
          <w:position w:val="0"/>
        </w:rPr>
        <w:t>投资活动产生的现金流量净额：本年度内投资活动产生的现金净流出较上年同期增加</w:t>
      </w:r>
      <w:r>
        <w:rPr>
          <w:rFonts w:ascii="Tahoma" w:eastAsia="Tahoma" w:hAnsi="Tahoma" w:cs="Tahoma"/>
          <w:color w:val="000000"/>
          <w:spacing w:val="0"/>
          <w:w w:val="100"/>
          <w:position w:val="0"/>
          <w:sz w:val="16"/>
          <w:szCs w:val="16"/>
        </w:rPr>
        <w:t>1,465.23%</w:t>
      </w:r>
      <w:r>
        <w:rPr>
          <w:color w:val="000000"/>
          <w:spacing w:val="0"/>
          <w:w w:val="100"/>
          <w:position w:val="0"/>
        </w:rPr>
        <w:t>，主要原因是本年 定期存款较上年减少所致。</w:t>
      </w:r>
    </w:p>
    <w:p>
      <w:pPr>
        <w:pStyle w:val="Style8"/>
        <w:keepNext/>
        <w:keepLines/>
        <w:widowControl w:val="0"/>
        <w:shd w:val="clear" w:color="auto" w:fill="auto"/>
        <w:bidi w:val="0"/>
        <w:spacing w:before="0" w:after="480" w:line="240" w:lineRule="auto"/>
        <w:ind w:left="0" w:right="0" w:firstLine="0"/>
        <w:jc w:val="center"/>
      </w:pPr>
      <w:bookmarkStart w:id="1664" w:name="bookmark1664"/>
      <w:bookmarkStart w:id="1665" w:name="bookmark1665"/>
      <w:bookmarkStart w:id="1666" w:name="bookmark1666"/>
      <w:r>
        <w:rPr>
          <w:color w:val="000000"/>
          <w:spacing w:val="0"/>
          <w:w w:val="100"/>
          <w:position w:val="0"/>
        </w:rPr>
        <w:t>第十节备查文件目录</w:t>
      </w:r>
      <w:bookmarkEnd w:id="1664"/>
      <w:bookmarkEnd w:id="1665"/>
      <w:bookmarkEnd w:id="1666"/>
    </w:p>
    <w:p>
      <w:pPr>
        <w:pStyle w:val="Style26"/>
        <w:keepNext w:val="0"/>
        <w:keepLines w:val="0"/>
        <w:widowControl w:val="0"/>
        <w:shd w:val="clear" w:color="auto" w:fill="auto"/>
        <w:bidi w:val="0"/>
        <w:spacing w:before="0" w:after="0" w:line="298" w:lineRule="exact"/>
        <w:ind w:left="0" w:right="0" w:firstLine="0"/>
        <w:jc w:val="left"/>
      </w:pPr>
      <w:bookmarkStart w:id="1667" w:name="bookmark1667"/>
      <w:bookmarkStart w:id="1668" w:name="bookmark1668"/>
      <w:r>
        <w:rPr>
          <w:color w:val="000000"/>
          <w:spacing w:val="0"/>
          <w:w w:val="100"/>
          <w:position w:val="0"/>
        </w:rPr>
        <w:t>一</w:t>
      </w:r>
      <w:bookmarkEnd w:id="1668"/>
      <w:r>
        <w:rPr>
          <w:color w:val="000000"/>
          <w:spacing w:val="0"/>
          <w:w w:val="100"/>
          <w:position w:val="0"/>
        </w:rPr>
        <w:t>、载有公司法定代表人、主管会计工作的负责人、会计机构负责人（会计主管人员）签名并盖章的财务报表。</w:t>
      </w:r>
      <w:bookmarkEnd w:id="1667"/>
    </w:p>
    <w:p>
      <w:pPr>
        <w:pStyle w:val="Style26"/>
        <w:keepNext w:val="0"/>
        <w:keepLines w:val="0"/>
        <w:widowControl w:val="0"/>
        <w:shd w:val="clear" w:color="auto" w:fill="auto"/>
        <w:tabs>
          <w:tab w:pos="435" w:val="left"/>
        </w:tabs>
        <w:bidi w:val="0"/>
        <w:spacing w:before="0" w:after="0" w:line="298" w:lineRule="exact"/>
        <w:ind w:left="0" w:right="0" w:firstLine="0"/>
        <w:jc w:val="left"/>
      </w:pPr>
      <w:bookmarkStart w:id="1669" w:name="bookmark1669"/>
      <w:r>
        <w:rPr>
          <w:color w:val="000000"/>
          <w:spacing w:val="0"/>
          <w:w w:val="100"/>
          <w:position w:val="0"/>
        </w:rPr>
        <w:t>二</w:t>
      </w:r>
      <w:bookmarkEnd w:id="1669"/>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435" w:val="left"/>
        </w:tabs>
        <w:bidi w:val="0"/>
        <w:spacing w:before="0" w:after="0" w:line="298" w:lineRule="exact"/>
        <w:ind w:left="0" w:right="0" w:firstLine="0"/>
        <w:jc w:val="left"/>
      </w:pPr>
      <w:bookmarkStart w:id="1670" w:name="bookmark1670"/>
      <w:r>
        <w:rPr>
          <w:color w:val="000000"/>
          <w:spacing w:val="0"/>
          <w:w w:val="100"/>
          <w:position w:val="0"/>
        </w:rPr>
        <w:t>三</w:t>
      </w:r>
      <w:bookmarkEnd w:id="1670"/>
      <w:r>
        <w:rPr>
          <w:color w:val="000000"/>
          <w:spacing w:val="0"/>
          <w:w w:val="100"/>
          <w:position w:val="0"/>
        </w:rPr>
        <w:t>、</w:t>
        <w:tab/>
        <w:t>报告期内在中国证监会指定网站上公开披露过的所有公司文件的正本及公告的原稿。</w:t>
      </w:r>
    </w:p>
    <w:p>
      <w:pPr>
        <w:pStyle w:val="Style26"/>
        <w:keepNext w:val="0"/>
        <w:keepLines w:val="0"/>
        <w:widowControl w:val="0"/>
        <w:shd w:val="clear" w:color="auto" w:fill="auto"/>
        <w:tabs>
          <w:tab w:pos="435" w:val="left"/>
        </w:tabs>
        <w:bidi w:val="0"/>
        <w:spacing w:before="0" w:after="0" w:line="298" w:lineRule="exact"/>
        <w:ind w:left="0" w:right="0" w:firstLine="0"/>
        <w:jc w:val="left"/>
      </w:pPr>
      <w:bookmarkStart w:id="1671" w:name="bookmark1671"/>
      <w:r>
        <w:rPr>
          <w:color w:val="000000"/>
          <w:spacing w:val="0"/>
          <w:w w:val="100"/>
          <w:position w:val="0"/>
        </w:rPr>
        <w:t>四</w:t>
      </w:r>
      <w:bookmarkEnd w:id="1671"/>
      <w:r>
        <w:rPr>
          <w:color w:val="000000"/>
          <w:spacing w:val="0"/>
          <w:w w:val="100"/>
          <w:position w:val="0"/>
        </w:rPr>
        <w:t>、</w:t>
        <w:tab/>
        <w:t>经公司法定代表人签名并加盖公司公章的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年年度报告文本原件。</w:t>
      </w:r>
    </w:p>
    <w:p>
      <w:pPr>
        <w:pStyle w:val="Style26"/>
        <w:keepNext w:val="0"/>
        <w:keepLines w:val="0"/>
        <w:widowControl w:val="0"/>
        <w:shd w:val="clear" w:color="auto" w:fill="auto"/>
        <w:tabs>
          <w:tab w:pos="435" w:val="left"/>
        </w:tabs>
        <w:bidi w:val="0"/>
        <w:spacing w:before="0" w:after="0" w:line="298" w:lineRule="exact"/>
        <w:ind w:left="0" w:right="0" w:firstLine="0"/>
        <w:jc w:val="left"/>
      </w:pPr>
      <w:bookmarkStart w:id="1672" w:name="bookmark1672"/>
      <w:r>
        <w:rPr>
          <w:color w:val="000000"/>
          <w:spacing w:val="0"/>
          <w:w w:val="100"/>
          <w:position w:val="0"/>
        </w:rPr>
        <w:t>五</w:t>
      </w:r>
      <w:bookmarkEnd w:id="1672"/>
      <w:r>
        <w:rPr>
          <w:color w:val="000000"/>
          <w:spacing w:val="0"/>
          <w:w w:val="100"/>
          <w:position w:val="0"/>
        </w:rPr>
        <w:t>、</w:t>
        <w:tab/>
        <w:t>其他相关资料。</w:t>
      </w:r>
    </w:p>
    <w:p>
      <w:pPr>
        <w:pStyle w:val="Style26"/>
        <w:keepNext w:val="0"/>
        <w:keepLines w:val="0"/>
        <w:widowControl w:val="0"/>
        <w:shd w:val="clear" w:color="auto" w:fill="auto"/>
        <w:bidi w:val="0"/>
        <w:spacing w:before="0" w:after="320" w:line="298" w:lineRule="exact"/>
        <w:ind w:left="7060" w:right="0" w:hanging="7060"/>
        <w:jc w:val="left"/>
      </w:pPr>
      <w:r>
        <w:rPr>
          <w:color w:val="000000"/>
          <w:spacing w:val="0"/>
          <w:w w:val="100"/>
          <w:position w:val="0"/>
        </w:rPr>
        <w:t>以上备查文件的备置地点：公司董事会办公室。 易联众信息技术股份有限公司</w:t>
      </w:r>
    </w:p>
    <w:p>
      <w:pPr>
        <w:pStyle w:val="Style26"/>
        <w:keepNext w:val="0"/>
        <w:keepLines w:val="0"/>
        <w:widowControl w:val="0"/>
        <w:shd w:val="clear" w:color="auto" w:fill="auto"/>
        <w:bidi w:val="0"/>
        <w:spacing w:before="0" w:after="320" w:line="298" w:lineRule="exact"/>
        <w:ind w:left="0" w:right="0" w:firstLine="0"/>
        <w:jc w:val="right"/>
      </w:pPr>
      <w:r>
        <w:rPr>
          <w:color w:val="000000"/>
          <w:spacing w:val="0"/>
          <w:w w:val="100"/>
          <w:position w:val="0"/>
        </w:rPr>
        <w:t>法定代表人：古培坚</w:t>
      </w:r>
    </w:p>
    <w:p>
      <w:pPr>
        <w:pStyle w:val="Style26"/>
        <w:keepNext w:val="0"/>
        <w:keepLines w:val="0"/>
        <w:widowControl w:val="0"/>
        <w:shd w:val="clear" w:color="auto" w:fill="auto"/>
        <w:bidi w:val="0"/>
        <w:spacing w:before="0" w:after="0" w:line="298" w:lineRule="exact"/>
        <w:ind w:left="0" w:right="0" w:firstLine="0"/>
        <w:jc w:val="right"/>
      </w:pPr>
      <w:r>
        <w:rPr>
          <w:color w:val="000000"/>
          <w:spacing w:val="0"/>
          <w:w w:val="100"/>
          <w:position w:val="0"/>
        </w:rPr>
        <w:t>二。一四年四月十七日</w:t>
      </w:r>
    </w:p>
    <w:sectPr>
      <w:footnotePr>
        <w:pos w:val="pageBottom"/>
        <w:numFmt w:val="decimal"/>
        <w:numRestart w:val="continuous"/>
      </w:footnotePr>
      <w:pgSz w:w="11900" w:h="16840"/>
      <w:pgMar w:top="1969" w:right="1109" w:bottom="1969" w:left="136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6708775</wp:posOffset>
              </wp:positionH>
              <wp:positionV relativeFrom="page">
                <wp:posOffset>9961245</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8.25pt;margin-top:784.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6327775</wp:posOffset>
              </wp:positionH>
              <wp:positionV relativeFrom="page">
                <wp:posOffset>9443085</wp:posOffset>
              </wp:positionV>
              <wp:extent cx="506095" cy="106680"/>
              <wp:wrapNone/>
              <wp:docPr id="64" name="Shape 64"/>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0" type="#_x0000_t202" style="position:absolute;margin-left:498.25pt;margin-top:743.55000000000007pt;width:39.8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6678295</wp:posOffset>
              </wp:positionH>
              <wp:positionV relativeFrom="page">
                <wp:posOffset>9958070</wp:posOffset>
              </wp:positionV>
              <wp:extent cx="146050" cy="79375"/>
              <wp:wrapNone/>
              <wp:docPr id="66" name="Shape 6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25.85000000000002pt;margin-top:784.10000000000002pt;width:11.5pt;height:6.25pt;z-index:-18874405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6708775</wp:posOffset>
              </wp:positionH>
              <wp:positionV relativeFrom="page">
                <wp:posOffset>9961245</wp:posOffset>
              </wp:positionV>
              <wp:extent cx="97790" cy="79375"/>
              <wp:wrapNone/>
              <wp:docPr id="71" name="Shape 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8.25pt;margin-top:784.35000000000002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6327775</wp:posOffset>
              </wp:positionH>
              <wp:positionV relativeFrom="page">
                <wp:posOffset>9443085</wp:posOffset>
              </wp:positionV>
              <wp:extent cx="506095" cy="106680"/>
              <wp:wrapNone/>
              <wp:docPr id="76" name="Shape 76"/>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2" type="#_x0000_t202" style="position:absolute;margin-left:498.25pt;margin-top:743.55000000000007pt;width:39.85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6678295</wp:posOffset>
              </wp:positionH>
              <wp:positionV relativeFrom="page">
                <wp:posOffset>9958070</wp:posOffset>
              </wp:positionV>
              <wp:extent cx="146050" cy="79375"/>
              <wp:wrapNone/>
              <wp:docPr id="78" name="Shape 7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25.85000000000002pt;margin-top:784.10000000000002pt;width:11.5pt;height:6.25pt;z-index:-1887440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6708775</wp:posOffset>
              </wp:positionH>
              <wp:positionV relativeFrom="page">
                <wp:posOffset>9961245</wp:posOffset>
              </wp:positionV>
              <wp:extent cx="97790" cy="79375"/>
              <wp:wrapNone/>
              <wp:docPr id="83" name="Shape 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28.25pt;margin-top:784.35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4389120</wp:posOffset>
              </wp:positionH>
              <wp:positionV relativeFrom="page">
                <wp:posOffset>478790</wp:posOffset>
              </wp:positionV>
              <wp:extent cx="2444750" cy="106680"/>
              <wp:wrapNone/>
              <wp:docPr id="2" name="Shape 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60000000000002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623570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4389120</wp:posOffset>
              </wp:positionH>
              <wp:positionV relativeFrom="page">
                <wp:posOffset>525145</wp:posOffset>
              </wp:positionV>
              <wp:extent cx="2444750" cy="106680"/>
              <wp:wrapNone/>
              <wp:docPr id="7" name="Shape 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45.60000000000002pt;margin-top:41.350000000000001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4389120</wp:posOffset>
              </wp:positionH>
              <wp:positionV relativeFrom="page">
                <wp:posOffset>561340</wp:posOffset>
              </wp:positionV>
              <wp:extent cx="2444750" cy="106680"/>
              <wp:wrapNone/>
              <wp:docPr id="61" name="Shape 6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7" type="#_x0000_t202" style="position:absolute;margin-left:345.60000000000002pt;margin-top:44.200000000000003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63" name="Shape 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4389120</wp:posOffset>
              </wp:positionH>
              <wp:positionV relativeFrom="page">
                <wp:posOffset>525145</wp:posOffset>
              </wp:positionV>
              <wp:extent cx="2444750" cy="106680"/>
              <wp:wrapNone/>
              <wp:docPr id="68" name="Shape 6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4" type="#_x0000_t202" style="position:absolute;margin-left:345.60000000000002pt;margin-top:41.350000000000001pt;width:192.5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70" name="Shape 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4389120</wp:posOffset>
              </wp:positionH>
              <wp:positionV relativeFrom="page">
                <wp:posOffset>561340</wp:posOffset>
              </wp:positionV>
              <wp:extent cx="2444750" cy="106680"/>
              <wp:wrapNone/>
              <wp:docPr id="73" name="Shape 7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9" type="#_x0000_t202" style="position:absolute;margin-left:345.60000000000002pt;margin-top:44.200000000000003pt;width:192.5pt;height:8.4000000000000004pt;z-index:-1887440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75" name="Shape 7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4389120</wp:posOffset>
              </wp:positionH>
              <wp:positionV relativeFrom="page">
                <wp:posOffset>525145</wp:posOffset>
              </wp:positionV>
              <wp:extent cx="2444750" cy="106680"/>
              <wp:wrapNone/>
              <wp:docPr id="80" name="Shape 8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6" type="#_x0000_t202" style="position:absolute;margin-left:345.60000000000002pt;margin-top:41.350000000000001pt;width:192.5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易联众信息技术股份有限公司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82" name="Shape 8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表格标题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8">
    <w:name w:val="正文文本 (6)_"/>
    <w:basedOn w:val="DefaultParagraphFont"/>
    <w:link w:val="Style47"/>
    <w:rPr>
      <w:rFonts w:ascii="SimSun" w:eastAsia="SimSun" w:hAnsi="SimSun" w:cs="SimSun"/>
      <w:b w:val="0"/>
      <w:bCs w:val="0"/>
      <w:i w:val="0"/>
      <w:iCs w:val="0"/>
      <w:smallCaps w:val="0"/>
      <w:strike w:val="0"/>
      <w:u w:val="none"/>
      <w:shd w:val="clear" w:color="auto" w:fill="FFFFFF"/>
    </w:rPr>
  </w:style>
  <w:style w:type="character" w:customStyle="1" w:styleId="CharStyle53">
    <w:name w:val="正文文本 (7)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10" w:after="9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36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其他"/>
    <w:basedOn w:val="Normal"/>
    <w:link w:val="CharStyle2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目录"/>
    <w:basedOn w:val="Normal"/>
    <w:link w:val="CharStyle23"/>
    <w:pPr>
      <w:widowControl w:val="0"/>
      <w:shd w:val="clear" w:color="auto" w:fill="auto"/>
      <w:spacing w:after="160"/>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正文文本"/>
    <w:basedOn w:val="Normal"/>
    <w:link w:val="CharStyle27"/>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1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3">
    <w:name w:val="标题 #4"/>
    <w:basedOn w:val="Normal"/>
    <w:link w:val="CharStyle3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正文文本 (6)"/>
    <w:basedOn w:val="Normal"/>
    <w:link w:val="CharStyle48"/>
    <w:pPr>
      <w:widowControl w:val="0"/>
      <w:shd w:val="clear" w:color="auto" w:fill="auto"/>
      <w:spacing w:line="475" w:lineRule="exact"/>
    </w:pPr>
    <w:rPr>
      <w:rFonts w:ascii="SimSun" w:eastAsia="SimSun" w:hAnsi="SimSun" w:cs="SimSun"/>
      <w:b w:val="0"/>
      <w:bCs w:val="0"/>
      <w:i w:val="0"/>
      <w:iCs w:val="0"/>
      <w:smallCaps w:val="0"/>
      <w:strike w:val="0"/>
      <w:u w:val="none"/>
      <w:shd w:val="clear" w:color="auto" w:fill="FFFFFF"/>
    </w:rPr>
  </w:style>
  <w:style w:type="paragraph" w:customStyle="1" w:styleId="Style52">
    <w:name w:val="正文文本 (7)"/>
    <w:basedOn w:val="Normal"/>
    <w:link w:val="CharStyle53"/>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易联众信息技术股份有限公司2013年度报告全文</dc:title>
  <dc:subject/>
  <dc:creator>易联众信息技术股份有限公司</dc:creator>
  <cp:keywords/>
</cp:coreProperties>
</file>