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563" w:lineRule="exact"/>
        <w:ind w:left="40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drawing>
          <wp:inline distT="0" distB="0" distL="0" distR="0">
            <wp:extent cx="1144182" cy="162791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44182" cy="1627917"/>
                    </a:xfrm>
                    <a:prstGeom prst="rect">
                      <a:avLst/>
                    </a:prstGeom>
                  </pic:spPr>
                </pic:pic>
              </a:graphicData>
            </a:graphic>
          </wp:inline>
        </w:drawing>
      </w:r>
      <w:r>
        <w:rPr>
          <w:rFonts w:ascii="Times New Roman" w:hAnsi="Times New Roman" w:cs="Times New Roman" w:eastAsia="Times New Roman" w:hint="default"/>
          <w:position w:val="-50"/>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134" w:right="139" w:firstLine="0"/>
        <w:jc w:val="center"/>
        <w:rPr>
          <w:rFonts w:ascii="宋体" w:hAnsi="宋体" w:cs="宋体" w:eastAsia="宋体" w:hint="default"/>
          <w:sz w:val="36"/>
          <w:szCs w:val="36"/>
        </w:rPr>
      </w:pPr>
      <w:r>
        <w:rPr>
          <w:rFonts w:ascii="宋体" w:hAnsi="宋体" w:cs="宋体" w:eastAsia="宋体" w:hint="default"/>
          <w:b/>
          <w:bCs/>
          <w:sz w:val="36"/>
          <w:szCs w:val="36"/>
        </w:rPr>
        <w:t>易联众信息技术股份有限公司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4" w:right="1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134" w:right="1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156"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1"/>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卢永华</w:t>
            </w:r>
          </w:p>
        </w:tc>
      </w:tr>
    </w:tbl>
    <w:p>
      <w:pPr>
        <w:spacing w:line="240" w:lineRule="auto" w:before="2"/>
        <w:rPr>
          <w:rFonts w:ascii="宋体" w:hAnsi="宋体" w:cs="宋体" w:eastAsia="宋体" w:hint="default"/>
          <w:b/>
          <w:bCs/>
          <w:sz w:val="13"/>
          <w:szCs w:val="13"/>
        </w:rPr>
      </w:pPr>
    </w:p>
    <w:p>
      <w:pPr>
        <w:spacing w:line="384" w:lineRule="auto" w:before="14"/>
        <w:ind w:left="153" w:right="150"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公司负责人张曦、主管会计工作负责人陈东红及会计机构负责人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尤泽祥声明：保证年度报告中财务报告的真实、准确、完整。</w:t>
      </w:r>
      <w:r>
        <w:rPr>
          <w:rFonts w:ascii="宋体" w:hAnsi="宋体" w:cs="宋体" w:eastAsia="宋体" w:hint="default"/>
          <w:sz w:val="28"/>
          <w:szCs w:val="28"/>
        </w:rPr>
      </w:r>
    </w:p>
    <w:p>
      <w:pPr>
        <w:spacing w:line="408" w:lineRule="auto" w:before="151"/>
        <w:ind w:left="153" w:right="156" w:firstLine="561"/>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34" w:right="1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before="104"/>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6</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8</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11</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40</w:t>
            </w:r>
          </w:hyperlink>
        </w:p>
        <w:p>
          <w:pPr>
            <w:pStyle w:val="TOC1"/>
            <w:tabs>
              <w:tab w:pos="9786"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56</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62</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71</w:t>
            </w:r>
          </w:hyperlink>
        </w:p>
        <w:p>
          <w:pPr>
            <w:pStyle w:val="TOC1"/>
            <w:tabs>
              <w:tab w:pos="9786"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t>74</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备查文件目录</w:t>
            </w:r>
            <w:r>
              <w:rPr>
                <w:rFonts w:ascii="Times New Roman" w:hAnsi="Times New Roman" w:cs="Times New Roman" w:eastAsia="Times New Roman" w:hint="default"/>
              </w:rPr>
              <w:tab/>
              <w:t>162</w:t>
            </w:r>
          </w:hyperlink>
        </w:p>
        <w:p>
          <w:pPr/>
          <w:r>
            <w:fldChar w:fldCharType="end"/>
          </w:r>
        </w:p>
      </w:sdtContent>
    </w:sdt>
    <w:p>
      <w:pPr>
        <w:spacing w:after="0"/>
        <w:sectPr>
          <w:pgSz w:w="11910" w:h="16840"/>
          <w:pgMar w:header="745" w:footer="979" w:top="1060" w:bottom="1160" w:left="980" w:right="980"/>
        </w:sectPr>
      </w:pPr>
    </w:p>
    <w:p>
      <w:pPr>
        <w:spacing w:before="945"/>
        <w:ind w:left="134" w:right="1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公司、本公司、股份公司、易联众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易联众电子科技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中职动力</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尚洋易捷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北京尚洋易捷信息技术有限公司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中国证券监督管理委员会厦门监管局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古培坚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天健正信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天健正信会计师事务所有限公司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保荐机构、主承销商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律师、律师顾问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北京市天元律师事务所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发行人首次向社会公众发行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股的行为</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125" w:right="0"/>
        <w:jc w:val="left"/>
        <w:rPr>
          <w:b w:val="0"/>
          <w:bCs w:val="0"/>
        </w:rPr>
      </w:pPr>
      <w:bookmarkStart w:name="_bookmark1" w:id="2"/>
      <w:bookmarkEnd w:id="2"/>
      <w:r>
        <w:rPr>
          <w:b w:val="0"/>
          <w:bCs w:val="0"/>
        </w:rPr>
      </w: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19"/>
        <w:gridCol w:w="2316"/>
        <w:gridCol w:w="2146"/>
        <w:gridCol w:w="2188"/>
      </w:tblGrid>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易联众</w:t>
            </w:r>
          </w:p>
        </w:tc>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300096</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易联众</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YLZ Information Technology</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4"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YLZ</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www.ylzinfo.com</w:t>
              </w:r>
            </w:hyperlink>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YLZ@ylzinfo.com</w:t>
              </w:r>
            </w:hyperlink>
          </w:p>
        </w:tc>
      </w:tr>
      <w:tr>
        <w:trPr>
          <w:trHeight w:val="404"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厦门市曾厝垵软件园创新大厦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0"/>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祝少静</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0592-2517011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0592-6307553</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0592-2517008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0592-2517008</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tylee173@163.com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zhushaojing553@163.com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59"/>
        <w:gridCol w:w="5711"/>
      </w:tblGrid>
      <w:tr>
        <w:trPr>
          <w:trHeight w:val="401"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715"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室易联众信息技术股份有限公司董事 会办公室</w:t>
            </w:r>
          </w:p>
        </w:tc>
      </w:tr>
    </w:tbl>
    <w:p>
      <w:pPr>
        <w:spacing w:after="0" w:line="29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r>
        <w:rPr/>
        <w:pict>
          <v:shape style="position:absolute;margin-left:58.104pt;margin-top:353.755615pt;width:156.75pt;height:22.3pt;mso-position-horizontal-relative:page;mso-position-vertical-relative:page;z-index:-832648" type="#_x0000_t202" filled="false" stroked="false">
            <v:textbox inset="0,0,0,0">
              <w:txbxContent>
                <w:p>
                  <w:pPr>
                    <w:pStyle w:val="BodyText"/>
                    <w:spacing w:line="180" w:lineRule="exact"/>
                    <w:ind w:left="0" w:right="0"/>
                    <w:jc w:val="left"/>
                  </w:pPr>
                  <w:r>
                    <w:rPr/>
                    <w:t>资本变更注册登记、</w:t>
                  </w:r>
                </w:p>
              </w:txbxContent>
            </v:textbox>
            <w10:wrap type="none"/>
          </v:shape>
        </w:pict>
      </w:r>
      <w:r>
        <w:rPr/>
        <w:pict>
          <v:group style="position:absolute;margin-left:136.820007pt;margin-top:333.049988pt;width:79.25pt;height:43.5pt;mso-position-horizontal-relative:page;mso-position-vertical-relative:page;z-index:-832624" coordorigin="2736,6661" coordsize="1585,870">
            <v:group style="position:absolute;left:2736;top:6661;width:1585;height:468" coordorigin="2736,6661" coordsize="1585,468">
              <v:shape style="position:absolute;left:2736;top:6661;width:1585;height:468" coordorigin="2736,6661" coordsize="1585,468" path="m2736,7129l4321,7129,4321,6661,2736,6661,2736,7129xe" filled="true" fillcolor="#ffffff" stroked="false">
                <v:path arrowok="t"/>
                <v:fill type="solid"/>
              </v:shape>
            </v:group>
            <v:group style="position:absolute;left:2747;top:7129;width:2;height:392" coordorigin="2747,7129" coordsize="2,392">
              <v:shape style="position:absolute;left:2747;top:7129;width:2;height:392" coordorigin="2747,7129" coordsize="0,392" path="m2747,7129l2747,7520e" filled="false" stroked="true" strokeweight="1.08pt" strokecolor="#ffffff">
                <v:path arrowok="t"/>
              </v:shape>
            </v:group>
            <v:group style="position:absolute;left:2758;top:7129;width:1539;height:392" coordorigin="2758,7129" coordsize="1539,392">
              <v:shape style="position:absolute;left:2758;top:7129;width:1539;height:392" coordorigin="2758,7129" coordsize="1539,392" path="m2758,7520l4297,7520,4297,7129,2758,7129,2758,7520xe" filled="true" fillcolor="#ffffff" stroked="false">
                <v:path arrowok="t"/>
                <v:fill type="solid"/>
              </v:shape>
            </v:group>
            <w10:wrap type="none"/>
          </v:group>
        </w:pict>
      </w: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7"/>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4"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7"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厦门软件园软件技 术服务大楼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5F-B</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企独闽厦总副字第</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05235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350206612040492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61204049-2</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7"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有限公司整体变更 为股份有限公司注 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8"/>
              <w:jc w:val="both"/>
              <w:rPr>
                <w:rFonts w:ascii="宋体" w:hAnsi="宋体" w:cs="宋体" w:eastAsia="宋体" w:hint="default"/>
                <w:sz w:val="18"/>
                <w:szCs w:val="18"/>
              </w:rPr>
            </w:pPr>
            <w:r>
              <w:rPr>
                <w:rFonts w:ascii="宋体" w:hAnsi="宋体" w:cs="宋体" w:eastAsia="宋体" w:hint="default"/>
                <w:sz w:val="18"/>
                <w:szCs w:val="18"/>
              </w:rPr>
              <w:t>厦门火炬高新区软 件园软件技术服务 大楼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5F-B </w:t>
            </w:r>
            <w:r>
              <w:rPr>
                <w:rFonts w:ascii="宋体" w:hAnsi="宋体" w:cs="宋体" w:eastAsia="宋体" w:hint="default"/>
                <w:sz w:val="18"/>
                <w:szCs w:val="18"/>
              </w:rPr>
              <w:t>室</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350298200002795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350206612040492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61204049-2</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首次公开发行股票 资本变更注册登记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厦门市软件园二期 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350298200002795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350206612040492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61204049-2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资本公积转增股本 资本变更注册登记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厦门市软件园二期 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350298200002795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350206612040492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61204049-2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经营范围变更注册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厦门市软件园二期 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350298200002795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350206612040492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61204049-2</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0"/>
              <w:ind w:left="24" w:right="120"/>
              <w:jc w:val="left"/>
              <w:rPr>
                <w:rFonts w:ascii="宋体" w:hAnsi="宋体" w:cs="宋体" w:eastAsia="宋体" w:hint="default"/>
                <w:sz w:val="18"/>
                <w:szCs w:val="18"/>
              </w:rPr>
            </w:pPr>
            <w:r>
              <w:rPr>
                <w:rFonts w:ascii="宋体" w:hAnsi="宋体" w:cs="宋体" w:eastAsia="宋体" w:hint="default"/>
                <w:sz w:val="18"/>
                <w:szCs w:val="18"/>
              </w:rPr>
              <w:t>法定代表人变更注 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厦门市软件园二期 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350298200002795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350206612040492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61204049-2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shape style="position:absolute;margin-left:165.626999pt;margin-top:351.529968pt;width:110.85pt;height:21.95pt;mso-position-horizontal-relative:page;mso-position-vertical-relative:page;z-index:-832600" type="#_x0000_t202" filled="false" stroked="false">
            <v:textbox inset="0,0,0,0">
              <w:txbxContent>
                <w:p>
                  <w:pPr>
                    <w:spacing w:line="240" w:lineRule="auto" w:before="6"/>
                    <w:rPr>
                      <w:rFonts w:ascii="宋体" w:hAnsi="宋体" w:cs="宋体" w:eastAsia="宋体" w:hint="default"/>
                      <w:sz w:val="15"/>
                      <w:szCs w:val="15"/>
                    </w:rPr>
                  </w:pPr>
                </w:p>
                <w:p>
                  <w:pPr>
                    <w:pStyle w:val="BodyText"/>
                    <w:spacing w:line="240" w:lineRule="auto"/>
                    <w:ind w:left="0" w:right="0"/>
                    <w:jc w:val="left"/>
                  </w:pPr>
                  <w:r>
                    <w:rPr/>
                    <w:t>（元）</w:t>
                  </w:r>
                </w:p>
              </w:txbxContent>
            </v:textbox>
            <w10:wrap type="none"/>
          </v:shape>
        </w:pict>
      </w:r>
      <w:r>
        <w:rPr/>
        <w:pict>
          <v:group style="position:absolute;margin-left:189.889999pt;margin-top:350.98999pt;width:87.65pt;height:27.9pt;mso-position-horizontal-relative:page;mso-position-vertical-relative:page;z-index:-832576" coordorigin="3798,7020" coordsize="1753,558">
            <v:group style="position:absolute;left:3809;top:7031;width:2;height:392" coordorigin="3809,7031" coordsize="2,392">
              <v:shape style="position:absolute;left:3809;top:7031;width:2;height:392" coordorigin="3809,7031" coordsize="0,392" path="m3809,7031l3809,7422e" filled="false" stroked="true" strokeweight="1.08pt" strokecolor="#ffffff">
                <v:path arrowok="t"/>
              </v:shape>
            </v:group>
            <v:group style="position:absolute;left:3798;top:7422;width:1753;height:156" coordorigin="3798,7422" coordsize="1753,156">
              <v:shape style="position:absolute;left:3798;top:7422;width:1753;height:156" coordorigin="3798,7422" coordsize="1753,156" path="m3798,7578l5550,7578,5550,7422,3798,7422,3798,7578xe" filled="true" fillcolor="#ffffff" stroked="false">
                <v:path arrowok="t"/>
                <v:fill type="solid"/>
              </v:shape>
            </v:group>
            <v:group style="position:absolute;left:3819;top:7031;width:1710;height:392" coordorigin="3819,7031" coordsize="1710,392">
              <v:shape style="position:absolute;left:3819;top:7031;width:1710;height:392" coordorigin="3819,7031" coordsize="1710,392" path="m3819,7422l5529,7422,5529,7031,3819,7031,3819,7422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6"/>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35"/>
        <w:gridCol w:w="392"/>
        <w:gridCol w:w="1383"/>
        <w:gridCol w:w="1762"/>
        <w:gridCol w:w="1765"/>
        <w:gridCol w:w="1623"/>
      </w:tblGrid>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402,179,494.09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300,929,840.66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33.65%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279,797,747.85</w:t>
            </w:r>
          </w:p>
        </w:tc>
      </w:tr>
      <w:tr>
        <w:trPr>
          <w:trHeight w:val="404"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608" w:right="0"/>
              <w:jc w:val="left"/>
              <w:rPr>
                <w:rFonts w:ascii="Times New Roman" w:hAnsi="Times New Roman" w:cs="Times New Roman" w:eastAsia="Times New Roman" w:hint="default"/>
                <w:sz w:val="18"/>
                <w:szCs w:val="18"/>
              </w:rPr>
            </w:pPr>
            <w:r>
              <w:rPr>
                <w:rFonts w:ascii="Times New Roman"/>
                <w:sz w:val="18"/>
              </w:rPr>
              <w:t>216,115,915.85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149,192,461.19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44.86%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147,221,533.74</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99" w:right="0"/>
              <w:jc w:val="left"/>
              <w:rPr>
                <w:rFonts w:ascii="Times New Roman" w:hAnsi="Times New Roman" w:cs="Times New Roman" w:eastAsia="Times New Roman" w:hint="default"/>
                <w:sz w:val="18"/>
                <w:szCs w:val="18"/>
              </w:rPr>
            </w:pPr>
            <w:r>
              <w:rPr>
                <w:rFonts w:ascii="Times New Roman"/>
                <w:sz w:val="18"/>
              </w:rPr>
              <w:t>37,794,222.76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34,631,402.14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51,247,001.71</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99" w:right="0"/>
              <w:jc w:val="left"/>
              <w:rPr>
                <w:rFonts w:ascii="Times New Roman" w:hAnsi="Times New Roman" w:cs="Times New Roman" w:eastAsia="Times New Roman" w:hint="default"/>
                <w:sz w:val="18"/>
                <w:szCs w:val="18"/>
              </w:rPr>
            </w:pPr>
            <w:r>
              <w:rPr>
                <w:rFonts w:ascii="Times New Roman"/>
                <w:sz w:val="18"/>
              </w:rPr>
              <w:t>50,086,223.67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47,228,584.14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70,709,683.84</w:t>
            </w:r>
          </w:p>
        </w:tc>
      </w:tr>
      <w:tr>
        <w:trPr>
          <w:trHeight w:val="71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46,904,070.65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40,405,024.15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56,241,855.51</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w:t>
            </w:r>
          </w:p>
        </w:tc>
        <w:tc>
          <w:tcPr>
            <w:tcW w:w="392" w:type="dxa"/>
            <w:tcBorders>
              <w:top w:val="single" w:sz="4" w:space="0" w:color="000000"/>
              <w:left w:val="single" w:sz="10" w:space="0" w:color="D2D2D2"/>
              <w:bottom w:val="single" w:sz="4" w:space="0" w:color="000000"/>
              <w:right w:val="nil" w:sz="6" w:space="0" w:color="auto"/>
            </w:tcBorders>
          </w:tcPr>
          <w:p>
            <w:pPr/>
          </w:p>
        </w:tc>
        <w:tc>
          <w:tcPr>
            <w:tcW w:w="1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42,229,402.80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36,527,262.72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48,924,331.98</w:t>
            </w:r>
          </w:p>
        </w:tc>
      </w:tr>
      <w:tr>
        <w:trPr>
          <w:trHeight w:val="71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62,499,903.52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30,520,624.93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51,340,826.82</w:t>
            </w:r>
          </w:p>
        </w:tc>
      </w:tr>
      <w:tr>
        <w:trPr>
          <w:trHeight w:val="716"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0.1453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0.1774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0.2985</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0.094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sz w:val="20"/>
              </w:rPr>
              <w:t>15.96%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0.131</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0"/>
                <w:szCs w:val="20"/>
              </w:rPr>
            </w:pPr>
            <w:r>
              <w:rPr>
                <w:rFonts w:ascii="Times New Roman"/>
                <w:sz w:val="20"/>
              </w:rPr>
              <w:t>0.094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z w:val="20"/>
              </w:rPr>
              <w:t>15.96%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0.131</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430,000,000.00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172,000,000.00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895,487,141.55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808,942,792.13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759,411,423.38</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208,569,482.71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144,528,781.66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44.31%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118,590,176.47</w:t>
            </w:r>
          </w:p>
        </w:tc>
      </w:tr>
      <w:tr>
        <w:trPr>
          <w:trHeight w:val="71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681,641,798.45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653,721,877.67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630,516,853.52</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1.5852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3.6658</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15.62%</w:t>
            </w:r>
          </w:p>
        </w:tc>
      </w:tr>
    </w:tbl>
    <w:p>
      <w:pPr>
        <w:pStyle w:val="BodyText"/>
        <w:spacing w:line="314" w:lineRule="auto" w:before="49"/>
        <w:ind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6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6"/>
        <w:gridCol w:w="4914"/>
      </w:tblGrid>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0.1091</w:t>
            </w:r>
          </w:p>
        </w:tc>
      </w:tr>
    </w:tbl>
    <w:p>
      <w:pPr>
        <w:spacing w:line="240" w:lineRule="auto" w:before="1"/>
        <w:rPr>
          <w:rFonts w:ascii="宋体" w:hAnsi="宋体" w:cs="宋体" w:eastAsia="宋体" w:hint="default"/>
          <w:sz w:val="18"/>
          <w:szCs w:val="18"/>
        </w:rPr>
      </w:pPr>
    </w:p>
    <w:p>
      <w:pPr>
        <w:pStyle w:val="Heading2"/>
        <w:spacing w:line="240" w:lineRule="auto" w:before="26"/>
        <w:ind w:right="1713"/>
        <w:jc w:val="left"/>
        <w:rPr>
          <w:b w:val="0"/>
          <w:bCs w:val="0"/>
        </w:rPr>
      </w:pPr>
      <w:r>
        <w:rPr/>
        <w:t>二、境内外会计准则下会计数据差异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1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2"/>
          <w:szCs w:val="22"/>
        </w:rPr>
      </w:pPr>
    </w:p>
    <w:p>
      <w:pPr>
        <w:pStyle w:val="Heading3"/>
        <w:spacing w:line="240" w:lineRule="auto"/>
        <w:ind w:right="171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713"/>
        <w:jc w:val="left"/>
        <w:rPr>
          <w:b w:val="0"/>
          <w:bCs w:val="0"/>
        </w:rPr>
      </w:pPr>
      <w:r>
        <w:rPr/>
        <w:t>三、非经常性损益的项目及金额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13,251.41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-91,788.07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-63,257.34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5,261,880.29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4,840,540.25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8,804,833.33</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302,116.27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5,516.12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-63,934.86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860,888.35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882,193.49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1,360,821.12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41,691.77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-5,686.62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-703.52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4,674,667.85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3,877,761.43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7,317,523.53</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3"/>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7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7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11"/>
        <w:rPr>
          <w:rFonts w:ascii="宋体" w:hAnsi="宋体" w:cs="宋体" w:eastAsia="宋体" w:hint="default"/>
          <w:sz w:val="21"/>
          <w:szCs w:val="21"/>
        </w:rPr>
      </w:pPr>
    </w:p>
    <w:p>
      <w:pPr>
        <w:pStyle w:val="Heading2"/>
        <w:spacing w:line="240" w:lineRule="auto"/>
        <w:ind w:right="1713"/>
        <w:jc w:val="left"/>
        <w:rPr>
          <w:b w:val="0"/>
          <w:bCs w:val="0"/>
        </w:rPr>
      </w:pPr>
      <w:r>
        <w:rPr/>
        <w:t>四、重大风险提示</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87" w:right="93"/>
        <w:jc w:val="left"/>
      </w:pPr>
      <w:r>
        <w:rPr>
          <w:rFonts w:ascii="Times New Roman" w:hAnsi="Times New Roman" w:cs="Times New Roman" w:eastAsia="Times New Roman" w:hint="default"/>
        </w:rPr>
        <w:t>1</w:t>
      </w:r>
      <w:r>
        <w:rPr/>
        <w:t>、技术研发风险 软件等信息技术类产品具有技术更新快、产品生命周期短的特点，新技术、新产品的研发在创新成果和开发周期上存</w:t>
      </w:r>
    </w:p>
    <w:p>
      <w:pPr>
        <w:pStyle w:val="BodyText"/>
        <w:spacing w:line="316" w:lineRule="auto" w:before="31"/>
        <w:ind w:right="93"/>
        <w:jc w:val="left"/>
      </w:pPr>
      <w:r>
        <w:rPr>
          <w:spacing w:val="-2"/>
        </w:rPr>
        <w:t>在较大的不确定性。如果公司未能及时跟上行业技术更新换代的速度，未能及时将最新技术运用于新产品的升级和开发，则</w:t>
      </w:r>
      <w:r>
        <w:rPr>
          <w:spacing w:val="-63"/>
        </w:rPr>
        <w:t> </w:t>
      </w:r>
      <w:r>
        <w:rPr>
          <w:spacing w:val="-63"/>
        </w:rPr>
      </w:r>
      <w:r>
        <w:rPr/>
        <w:t>难以保持行业领先地位。因此未来，公司将坚持技术领先的发展战略，不断进行技术创新，注重引进和培养优秀技术人才，</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713"/>
        <w:jc w:val="left"/>
      </w:pPr>
      <w:r>
        <w:rPr/>
        <w:t>从而保持核心竞争力，确保行业领先地位。</w:t>
      </w:r>
    </w:p>
    <w:p>
      <w:pPr>
        <w:pStyle w:val="BodyText"/>
        <w:spacing w:line="300" w:lineRule="auto" w:before="77"/>
        <w:ind w:left="587" w:right="93"/>
        <w:jc w:val="left"/>
      </w:pPr>
      <w:r>
        <w:rPr>
          <w:rFonts w:ascii="Times New Roman" w:hAnsi="Times New Roman" w:cs="Times New Roman" w:eastAsia="Times New Roman" w:hint="default"/>
        </w:rPr>
        <w:t>2</w:t>
      </w:r>
      <w:r>
        <w:rPr/>
        <w:t>、市场竞争风险 近年来，民生行业呈加快发展的趋势。随着市场规模的不断扩大，市场竞争越发激烈。尽管公司在国内细分市场拥有</w:t>
      </w:r>
    </w:p>
    <w:p>
      <w:pPr>
        <w:pStyle w:val="BodyText"/>
        <w:spacing w:line="316" w:lineRule="auto" w:before="31"/>
        <w:ind w:right="93"/>
        <w:jc w:val="left"/>
      </w:pPr>
      <w:r>
        <w:rPr>
          <w:spacing w:val="-4"/>
        </w:rPr>
        <w:t>明显的竞争优势，市场竞争的风险仍可能对公司的产品和服务的价格、市场份额等产生不利影响。公司针对面临的市场风险，</w:t>
      </w:r>
      <w:r>
        <w:rPr>
          <w:spacing w:val="-44"/>
        </w:rPr>
        <w:t> </w:t>
      </w:r>
      <w:r>
        <w:rPr>
          <w:spacing w:val="-44"/>
        </w:rPr>
      </w:r>
      <w:r>
        <w:rPr>
          <w:spacing w:val="-2"/>
        </w:rPr>
        <w:t>将充分利用产品、平台、渠道等民生信息服务方面具备的优势及经验，建立完善的政策、市场的分析与监测机制，避免可能</w:t>
      </w:r>
      <w:r>
        <w:rPr>
          <w:spacing w:val="-67"/>
        </w:rPr>
        <w:t> </w:t>
      </w:r>
      <w:r>
        <w:rPr>
          <w:spacing w:val="-67"/>
        </w:rPr>
      </w:r>
      <w:r>
        <w:rPr/>
        <w:t>造成的风险。</w:t>
      </w:r>
    </w:p>
    <w:p>
      <w:pPr>
        <w:pStyle w:val="BodyText"/>
        <w:spacing w:line="300" w:lineRule="auto" w:before="19"/>
        <w:ind w:left="587" w:right="93"/>
        <w:jc w:val="left"/>
      </w:pPr>
      <w:r>
        <w:rPr>
          <w:rFonts w:ascii="Times New Roman" w:hAnsi="Times New Roman" w:cs="Times New Roman" w:eastAsia="Times New Roman" w:hint="default"/>
        </w:rPr>
        <w:t>3</w:t>
      </w:r>
      <w:r>
        <w:rPr/>
        <w:t>、核心技术人员流失的风险 软件企业一般都面临人员流动大、知识结构更新快的问题，行业内的市场竞争也越来越体现为对高素质人才的竞争。</w:t>
      </w:r>
    </w:p>
    <w:p>
      <w:pPr>
        <w:pStyle w:val="BodyText"/>
        <w:spacing w:line="316" w:lineRule="auto" w:before="31"/>
        <w:ind w:right="191"/>
        <w:jc w:val="both"/>
      </w:pPr>
      <w:r>
        <w:rPr>
          <w:spacing w:val="-2"/>
        </w:rPr>
        <w:t>核心骨干人员流失、无法吸引新的优秀人才，将对公司生产经营带来一定的影响。为了稳定公司的人才队伍，保证公司的持</w:t>
      </w:r>
      <w:r>
        <w:rPr>
          <w:spacing w:val="-65"/>
        </w:rPr>
        <w:t> </w:t>
      </w:r>
      <w:r>
        <w:rPr>
          <w:spacing w:val="-65"/>
        </w:rPr>
      </w:r>
      <w:r>
        <w:rPr>
          <w:spacing w:val="-2"/>
        </w:rPr>
        <w:t>续发展动力，公司通过构建具有竞争力的薪酬福利体系，建立公平有序的竞争晋升机制，提供全面完善的培训计划，创造开</w:t>
      </w:r>
      <w:r>
        <w:rPr>
          <w:spacing w:val="-65"/>
        </w:rPr>
        <w:t> </w:t>
      </w:r>
      <w:r>
        <w:rPr>
          <w:spacing w:val="-65"/>
        </w:rPr>
      </w:r>
      <w:r>
        <w:rPr/>
        <w:t>放协作的工作环境，来吸引培养人才，发展壮大队伍。</w:t>
      </w:r>
    </w:p>
    <w:p>
      <w:pPr>
        <w:pStyle w:val="BodyText"/>
        <w:spacing w:line="300" w:lineRule="auto" w:before="19"/>
        <w:ind w:left="587" w:right="93"/>
        <w:jc w:val="left"/>
      </w:pPr>
      <w:r>
        <w:rPr>
          <w:rFonts w:ascii="Times New Roman" w:hAnsi="Times New Roman" w:cs="Times New Roman" w:eastAsia="Times New Roman" w:hint="default"/>
        </w:rPr>
        <w:t>4</w:t>
      </w:r>
      <w:r>
        <w:rPr/>
        <w:t>、业务规模扩大带来的管理风险 随着公司上市和近年的平稳发展，公司业务持续增长，经营规模进一步扩大，由此带来一系列管理风险，对公司的经</w:t>
      </w:r>
    </w:p>
    <w:p>
      <w:pPr>
        <w:pStyle w:val="BodyText"/>
        <w:spacing w:line="316" w:lineRule="auto" w:before="31"/>
        <w:ind w:right="93"/>
        <w:jc w:val="left"/>
      </w:pPr>
      <w:r>
        <w:rPr>
          <w:spacing w:val="-2"/>
        </w:rPr>
        <w:t>营能力，包括管理能力、技术能力、市场营销能力、研发能力等方面提出了更高的要求和更新的挑战，如果不能及时优化经</w:t>
      </w:r>
      <w:r>
        <w:rPr>
          <w:spacing w:val="-67"/>
        </w:rPr>
        <w:t> </w:t>
      </w:r>
      <w:r>
        <w:rPr>
          <w:spacing w:val="-67"/>
        </w:rPr>
      </w:r>
      <w:r>
        <w:rPr/>
        <w:t>营管理体系，完善公司管理架构和实现管理制度升级，将影响公司的经营效率和未来发展。为此公司将不断优化管理制度， 提升管理水平，提高公司的工作效率。</w:t>
      </w:r>
    </w:p>
    <w:p>
      <w:pPr>
        <w:pStyle w:val="BodyText"/>
        <w:spacing w:line="300" w:lineRule="auto" w:before="19"/>
        <w:ind w:left="513" w:right="93" w:firstLine="74"/>
        <w:jc w:val="left"/>
      </w:pPr>
      <w:r>
        <w:rPr>
          <w:rFonts w:ascii="Times New Roman" w:hAnsi="Times New Roman" w:cs="Times New Roman" w:eastAsia="Times New Roman" w:hint="default"/>
        </w:rPr>
        <w:t>5</w:t>
      </w:r>
      <w:r>
        <w:rPr/>
        <w:t>、募集资金投资项目风险 </w:t>
      </w:r>
      <w:r>
        <w:rPr>
          <w:spacing w:val="-2"/>
        </w:rPr>
        <w:t>募集资金投资项目具有软件行业所特有的高投入、高收益和高风险的特点。尽管公司募集资金投向均是公司专注多年主</w:t>
      </w:r>
    </w:p>
    <w:p>
      <w:pPr>
        <w:pStyle w:val="BodyText"/>
        <w:spacing w:line="316" w:lineRule="auto" w:before="31"/>
        <w:ind w:right="191"/>
        <w:jc w:val="both"/>
      </w:pPr>
      <w:r>
        <w:rPr>
          <w:spacing w:val="-2"/>
        </w:rPr>
        <w:t>营业务的升级或必要延伸，但在项目建设及开发过程中，面临着技术开发的不确定性、技术替代、宏观政策变化、市场变化</w:t>
      </w:r>
      <w:r>
        <w:rPr>
          <w:spacing w:val="-67"/>
        </w:rPr>
        <w:t> </w:t>
      </w:r>
      <w:r>
        <w:rPr>
          <w:spacing w:val="-67"/>
        </w:rPr>
      </w:r>
      <w:r>
        <w:rPr>
          <w:spacing w:val="-2"/>
        </w:rPr>
        <w:t>等诸多风险，任何一项因素向不利于公司的方向转化，都有可能影响项目的投资效益。此外，也可能由于主、客观原因导致</w:t>
      </w:r>
      <w:r>
        <w:rPr>
          <w:spacing w:val="-67"/>
        </w:rPr>
        <w:t> </w:t>
      </w:r>
      <w:r>
        <w:rPr>
          <w:spacing w:val="-67"/>
        </w:rPr>
      </w:r>
      <w:r>
        <w:rPr>
          <w:spacing w:val="-2"/>
        </w:rPr>
        <w:t>项目实施延误，或项目在短时间内达不到原设计要求，因此，亦不排除公司在项目管理和组织实施中存在一定的风险。面对</w:t>
      </w:r>
      <w:r>
        <w:rPr>
          <w:spacing w:val="-65"/>
        </w:rPr>
        <w:t> </w:t>
      </w:r>
      <w:r>
        <w:rPr>
          <w:spacing w:val="-65"/>
        </w:rPr>
      </w:r>
      <w:r>
        <w:rPr>
          <w:spacing w:val="-2"/>
        </w:rPr>
        <w:t>募集资金项目风险，公司将认真组织募集资金投资项目的实施，争取尽快投产，促进公司生产规模的扩大和设备技术水平的</w:t>
      </w:r>
      <w:r>
        <w:rPr>
          <w:spacing w:val="-66"/>
        </w:rPr>
        <w:t> </w:t>
      </w:r>
      <w:r>
        <w:rPr>
          <w:spacing w:val="-66"/>
        </w:rPr>
      </w:r>
      <w:r>
        <w:rPr/>
        <w:t>提高，增强公司行业的核心竞争力。</w:t>
      </w:r>
    </w:p>
    <w:p>
      <w:pPr>
        <w:spacing w:after="0" w:line="316"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30"/>
        <w:jc w:val="center"/>
        <w:rPr>
          <w:b w:val="0"/>
          <w:bCs w:val="0"/>
        </w:rPr>
      </w:pPr>
      <w:bookmarkStart w:name="_bookmark3" w:id="4"/>
      <w:bookmarkEnd w:id="4"/>
      <w:r>
        <w:rPr>
          <w:b w:val="0"/>
          <w:bCs w:val="0"/>
        </w:rPr>
      </w:r>
      <w:r>
        <w:rPr/>
        <w:t>第四节</w:t>
      </w:r>
      <w:r>
        <w:rPr>
          <w:spacing w:val="-5"/>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87" w:right="1713"/>
        <w:jc w:val="left"/>
      </w:pPr>
      <w:r>
        <w:rPr/>
        <w:t>（一）整体情况概述</w:t>
      </w:r>
    </w:p>
    <w:p>
      <w:pPr>
        <w:pStyle w:val="BodyText"/>
        <w:spacing w:line="300" w:lineRule="auto" w:before="76"/>
        <w:ind w:right="93" w:firstLine="360"/>
        <w:jc w:val="left"/>
      </w:pPr>
      <w:r>
        <w:rPr>
          <w:rFonts w:ascii="Times New Roman" w:hAnsi="Times New Roman" w:cs="Times New Roman" w:eastAsia="Times New Roman" w:hint="default"/>
        </w:rPr>
        <w:t>2014</w:t>
      </w:r>
      <w:r>
        <w:rPr/>
        <w:t>年，政府继续高举民生大旗，政府工作强调要</w:t>
      </w:r>
      <w:r>
        <w:rPr>
          <w:rFonts w:ascii="Times New Roman" w:hAnsi="Times New Roman" w:cs="Times New Roman" w:eastAsia="Times New Roman" w:hint="default"/>
        </w:rPr>
        <w:t>“</w:t>
      </w:r>
      <w:r>
        <w:rPr/>
        <w:t>以改善民生为根本目的</w:t>
      </w:r>
      <w:r>
        <w:rPr>
          <w:rFonts w:ascii="Times New Roman" w:hAnsi="Times New Roman" w:cs="Times New Roman" w:eastAsia="Times New Roman" w:hint="default"/>
        </w:rPr>
        <w:t>”</w:t>
      </w:r>
      <w:r>
        <w:rPr/>
        <w:t>，公司紧握此发展契机，稳步推进</w:t>
      </w:r>
      <w:r>
        <w:rPr>
          <w:rFonts w:ascii="Times New Roman" w:hAnsi="Times New Roman" w:cs="Times New Roman" w:eastAsia="Times New Roman" w:hint="default"/>
        </w:rPr>
        <w:t>“</w:t>
      </w:r>
      <w:r>
        <w:rPr/>
        <w:t>社会保 </w:t>
      </w:r>
      <w:r>
        <w:rPr>
          <w:spacing w:val="-2"/>
        </w:rPr>
        <w:t>障、劳动就业、医疗卫生</w:t>
      </w:r>
      <w:r>
        <w:rPr>
          <w:rFonts w:ascii="Times New Roman" w:hAnsi="Times New Roman" w:cs="Times New Roman" w:eastAsia="Times New Roman" w:hint="default"/>
          <w:spacing w:val="-2"/>
        </w:rPr>
        <w:t>”</w:t>
      </w:r>
      <w:r>
        <w:rPr>
          <w:spacing w:val="-2"/>
        </w:rPr>
        <w:t>为核心的民生相关业务领域市场，充分发挥产品、渠道组合优势拓展新业务，持续坚持自主创新，</w:t>
      </w:r>
      <w:r>
        <w:rPr>
          <w:spacing w:val="-57"/>
        </w:rPr>
        <w:t> </w:t>
      </w:r>
      <w:r>
        <w:rPr>
          <w:spacing w:val="-57"/>
        </w:rPr>
      </w:r>
      <w:r>
        <w:rPr/>
        <w:t>不断强化管理提升，进一步增强公司整体盈利能力和持续发展能力，积极夯实公司在国内民生信息化领域的领先地位。</w:t>
      </w:r>
    </w:p>
    <w:p>
      <w:pPr>
        <w:pStyle w:val="BodyText"/>
        <w:spacing w:line="240" w:lineRule="auto" w:before="31"/>
        <w:ind w:left="513" w:right="93"/>
        <w:jc w:val="left"/>
      </w:pPr>
      <w:r>
        <w:rPr/>
        <w:t>报告期内，公司实现营业收入</w:t>
      </w:r>
      <w:r>
        <w:rPr>
          <w:rFonts w:ascii="Times New Roman" w:hAnsi="Times New Roman" w:cs="Times New Roman" w:eastAsia="Times New Roman" w:hint="default"/>
        </w:rPr>
        <w:t>40,217.95</w:t>
      </w:r>
      <w:r>
        <w:rPr/>
        <w:t>万元，同比上升</w:t>
      </w:r>
      <w:r>
        <w:rPr>
          <w:rFonts w:ascii="Times New Roman" w:hAnsi="Times New Roman" w:cs="Times New Roman" w:eastAsia="Times New Roman" w:hint="default"/>
        </w:rPr>
        <w:t>33.65%</w:t>
      </w:r>
      <w:r>
        <w:rPr/>
        <w:t>；营业利润</w:t>
      </w:r>
      <w:r>
        <w:rPr>
          <w:rFonts w:ascii="Times New Roman" w:hAnsi="Times New Roman" w:cs="Times New Roman" w:eastAsia="Times New Roman" w:hint="default"/>
        </w:rPr>
        <w:t>3,779.42</w:t>
      </w:r>
      <w:r>
        <w:rPr/>
        <w:t>万元，同比上升</w:t>
      </w:r>
      <w:r>
        <w:rPr>
          <w:rFonts w:ascii="Times New Roman" w:hAnsi="Times New Roman" w:cs="Times New Roman" w:eastAsia="Times New Roman" w:hint="default"/>
        </w:rPr>
        <w:t>9.13%</w:t>
      </w:r>
      <w:r>
        <w:rPr/>
        <w:t>。</w:t>
      </w:r>
    </w:p>
    <w:p>
      <w:pPr>
        <w:pStyle w:val="BodyText"/>
        <w:spacing w:line="240" w:lineRule="auto" w:before="63"/>
        <w:ind w:left="587" w:right="1713"/>
        <w:jc w:val="left"/>
      </w:pPr>
      <w:r>
        <w:rPr/>
        <w:t>（二）报告期内经营情况</w:t>
      </w:r>
    </w:p>
    <w:p>
      <w:pPr>
        <w:pStyle w:val="BodyText"/>
        <w:spacing w:line="300" w:lineRule="auto" w:before="76"/>
        <w:ind w:left="513" w:right="93"/>
        <w:jc w:val="left"/>
      </w:pPr>
      <w:r>
        <w:rPr>
          <w:rFonts w:ascii="Times New Roman" w:hAnsi="Times New Roman" w:cs="Times New Roman" w:eastAsia="Times New Roman" w:hint="default"/>
        </w:rPr>
        <w:t>2014</w:t>
      </w:r>
      <w:r>
        <w:rPr/>
        <w:t>年，公司围绕发展战略重点做了以下工作： </w:t>
      </w:r>
      <w:r>
        <w:rPr>
          <w:spacing w:val="-2"/>
        </w:rPr>
        <w:t>公司劳动保障业务稳步发展，业务市场取得全国性的突破，顺利拿下多个省市级重点项目，整体呈现出市场全面拓展的</w:t>
      </w:r>
    </w:p>
    <w:p>
      <w:pPr>
        <w:pStyle w:val="BodyText"/>
        <w:spacing w:line="316" w:lineRule="auto" w:before="31"/>
        <w:ind w:right="189"/>
        <w:jc w:val="both"/>
      </w:pPr>
      <w:r>
        <w:rPr>
          <w:spacing w:val="-2"/>
        </w:rPr>
        <w:t>态势；与人社部进行深入合作，积极参与人社部医疗服务监控、持卡人基础信息库、跨省异地就医、全民参保登记、机关养</w:t>
      </w:r>
      <w:r>
        <w:rPr>
          <w:spacing w:val="-68"/>
        </w:rPr>
        <w:t> </w:t>
      </w:r>
      <w:r>
        <w:rPr>
          <w:spacing w:val="-68"/>
        </w:rPr>
      </w:r>
      <w:r>
        <w:rPr>
          <w:spacing w:val="-2"/>
        </w:rPr>
        <w:t>老保险等系统的标准规范制定和软件开发，品牌影响力日益彰显。医疗卫生业务产品线持续丰富，全面覆盖了医疗保障、区</w:t>
      </w:r>
      <w:r>
        <w:rPr>
          <w:spacing w:val="-62"/>
        </w:rPr>
        <w:t> </w:t>
      </w:r>
      <w:r>
        <w:rPr>
          <w:spacing w:val="-62"/>
        </w:rPr>
      </w:r>
      <w:r>
        <w:rPr>
          <w:spacing w:val="-2"/>
        </w:rPr>
        <w:t>域卫生、院内信息化、基层医疗服务，并努力拓展公众健康服务等领域。各类智能终端产品业绩良好，取得全国同行的终端</w:t>
      </w:r>
      <w:r>
        <w:rPr>
          <w:spacing w:val="-67"/>
        </w:rPr>
        <w:t> </w:t>
      </w:r>
      <w:r>
        <w:rPr>
          <w:spacing w:val="-67"/>
        </w:rPr>
      </w:r>
      <w:r>
        <w:rPr>
          <w:spacing w:val="-2"/>
        </w:rPr>
        <w:t>销量前三的市场地位。制卡业务实现跨越式增长，卡综合业务能力再升级，在金融服务方面，与开联通网络技术服务有限公</w:t>
      </w:r>
      <w:r>
        <w:rPr>
          <w:spacing w:val="-65"/>
        </w:rPr>
        <w:t> </w:t>
      </w:r>
      <w:r>
        <w:rPr>
          <w:spacing w:val="-65"/>
        </w:rPr>
      </w:r>
      <w:r>
        <w:rPr/>
        <w:t>司合资成立了厦门市民生通电子商务有限公司，为构建卡应用环境中的金融支付业务体系提供了有力支撑。</w:t>
      </w:r>
    </w:p>
    <w:p>
      <w:pPr>
        <w:pStyle w:val="BodyText"/>
        <w:spacing w:line="319" w:lineRule="auto" w:before="19"/>
        <w:ind w:right="189" w:firstLine="360"/>
        <w:jc w:val="both"/>
      </w:pPr>
      <w:r>
        <w:rPr>
          <w:spacing w:val="-2"/>
        </w:rPr>
        <w:t>公司依托基础业务与互联网相结合的模式，初步形成民生云平台与应用同步发展的格局，先后签约了山西省人社公共服</w:t>
      </w:r>
      <w:r>
        <w:rPr/>
        <w:t> </w:t>
      </w:r>
      <w:r>
        <w:rPr>
          <w:spacing w:val="-2"/>
        </w:rPr>
        <w:t>务平台、广西省人社公共服务战略合作平台以及福建省人社公共服务项目，为公司民生云平台的拓展打下坚实的基础。应用</w:t>
      </w:r>
      <w:r>
        <w:rPr>
          <w:spacing w:val="-62"/>
        </w:rPr>
        <w:t> </w:t>
      </w:r>
      <w:r>
        <w:rPr>
          <w:spacing w:val="-62"/>
        </w:rPr>
      </w:r>
      <w:r>
        <w:rPr>
          <w:spacing w:val="-2"/>
        </w:rPr>
        <w:t>上，以社会保障和劳动就业业务为依托的医保通、社保通在多个地市上线运行；人社网上服务延伸的企业申报应用得到进一</w:t>
      </w:r>
      <w:r>
        <w:rPr>
          <w:spacing w:val="-63"/>
        </w:rPr>
        <w:t> </w:t>
      </w:r>
      <w:r>
        <w:rPr>
          <w:spacing w:val="-63"/>
        </w:rPr>
      </w:r>
      <w:r>
        <w:rPr>
          <w:spacing w:val="-2"/>
        </w:rPr>
        <w:t>步发展；掌上医院、职业教育、民生通支付、智慧就业、公安服务等应用正积极研发完善中；以上平台和应用取得的成果加</w:t>
      </w:r>
      <w:r>
        <w:rPr>
          <w:spacing w:val="-68"/>
        </w:rPr>
        <w:t> </w:t>
      </w:r>
      <w:r>
        <w:rPr>
          <w:spacing w:val="-68"/>
        </w:rPr>
      </w:r>
      <w:r>
        <w:rPr/>
        <w:t>速了公司由基础业务向互联网新业务延伸的脚步，为公司走在行业前沿提供充沛动力。</w:t>
      </w:r>
    </w:p>
    <w:p>
      <w:pPr>
        <w:pStyle w:val="BodyText"/>
        <w:spacing w:line="316" w:lineRule="auto" w:before="17"/>
        <w:ind w:right="190" w:firstLine="360"/>
        <w:jc w:val="both"/>
      </w:pPr>
      <w:r>
        <w:rPr>
          <w:spacing w:val="-2"/>
        </w:rPr>
        <w:t>公司始终致力于完善及提升企业管理质效，以适应未来发展的新机遇和新挑战。进一步贯彻规范化管理，加大制度执行</w:t>
      </w:r>
      <w:r>
        <w:rPr/>
        <w:t> </w:t>
      </w:r>
      <w:r>
        <w:rPr>
          <w:spacing w:val="-2"/>
        </w:rPr>
        <w:t>力，强化风险防控理念，完善集团内部、集团与分子公司，各分子公司之间的组织、协同与管理，实现了管理效能的全面提</w:t>
      </w:r>
      <w:r>
        <w:rPr>
          <w:spacing w:val="-67"/>
        </w:rPr>
        <w:t> </w:t>
      </w:r>
      <w:r>
        <w:rPr>
          <w:spacing w:val="-67"/>
        </w:rPr>
      </w:r>
      <w:r>
        <w:rPr>
          <w:spacing w:val="-2"/>
        </w:rPr>
        <w:t>升。公司持续加大核心人才储备力度，注重新员工招聘，员工技能培训和高素质人才引进，提升中高层综合管理能力，建立</w:t>
      </w:r>
      <w:r>
        <w:rPr>
          <w:spacing w:val="-67"/>
        </w:rPr>
        <w:t> </w:t>
      </w:r>
      <w:r>
        <w:rPr>
          <w:spacing w:val="-67"/>
        </w:rPr>
      </w:r>
      <w:r>
        <w:rPr/>
        <w:t>员工人才推荐制度，营造更优的创新环境，为公司持续发展奠定坚实人才基础。</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1</w:t>
      </w:r>
      <w:r>
        <w:rPr/>
        <w:t>）概述</w:t>
      </w:r>
    </w:p>
    <w:p>
      <w:pPr>
        <w:pStyle w:val="BodyText"/>
        <w:spacing w:line="316" w:lineRule="auto" w:before="103"/>
        <w:ind w:right="213" w:firstLine="420"/>
        <w:jc w:val="left"/>
      </w:pPr>
      <w:r>
        <w:rPr/>
        <w:t>报告期内，公司在基础业务（包括软硬件、系统集成、技术服务）方面稳步发展。为进一步加强公司竞争力，公司在 研发、销售、管理、市场开拓等多项工作领域加强管理。</w:t>
      </w:r>
    </w:p>
    <w:p>
      <w:pPr>
        <w:pStyle w:val="BodyText"/>
        <w:spacing w:line="316" w:lineRule="auto" w:before="19"/>
        <w:ind w:right="175" w:firstLine="420"/>
        <w:jc w:val="left"/>
      </w:pPr>
      <w:r>
        <w:rPr/>
        <w:t>报告期内，公司实现营业收入</w:t>
      </w:r>
      <w:r>
        <w:rPr>
          <w:rFonts w:ascii="宋体" w:hAnsi="宋体" w:cs="宋体" w:eastAsia="宋体" w:hint="default"/>
        </w:rPr>
        <w:t>40,217.95</w:t>
      </w:r>
      <w:r>
        <w:rPr/>
        <w:t>万元，较上年同期增长</w:t>
      </w:r>
      <w:r>
        <w:rPr>
          <w:rFonts w:ascii="宋体" w:hAnsi="宋体" w:cs="宋体" w:eastAsia="宋体" w:hint="default"/>
        </w:rPr>
        <w:t>33.65%</w:t>
      </w:r>
      <w:r>
        <w:rPr/>
        <w:t>，营业成本</w:t>
      </w:r>
      <w:r>
        <w:rPr>
          <w:rFonts w:ascii="宋体" w:hAnsi="宋体" w:cs="宋体" w:eastAsia="宋体" w:hint="default"/>
        </w:rPr>
        <w:t>21,611.59</w:t>
      </w:r>
      <w:r>
        <w:rPr/>
        <w:t>万元，较上年同期增长 </w:t>
      </w:r>
      <w:r>
        <w:rPr>
          <w:rFonts w:ascii="宋体" w:hAnsi="宋体" w:cs="宋体" w:eastAsia="宋体" w:hint="default"/>
        </w:rPr>
        <w:t>44.86%</w:t>
      </w:r>
      <w:r>
        <w:rPr/>
        <w:t>，营业利润</w:t>
      </w:r>
      <w:r>
        <w:rPr>
          <w:spacing w:val="-42"/>
        </w:rPr>
        <w:t> </w:t>
      </w:r>
      <w:r>
        <w:rPr>
          <w:rFonts w:ascii="宋体" w:hAnsi="宋体" w:cs="宋体" w:eastAsia="宋体" w:hint="default"/>
        </w:rPr>
        <w:t>3,779.42</w:t>
      </w:r>
      <w:r>
        <w:rPr/>
        <w:t>万元，较上年同期增长</w:t>
      </w:r>
      <w:r>
        <w:rPr>
          <w:rFonts w:ascii="宋体" w:hAnsi="宋体" w:cs="宋体" w:eastAsia="宋体" w:hint="default"/>
        </w:rPr>
        <w:t>9.13%</w:t>
      </w:r>
      <w:r>
        <w:rPr/>
        <w:t>，利润总额</w:t>
      </w:r>
      <w:r>
        <w:rPr>
          <w:spacing w:val="-40"/>
        </w:rPr>
        <w:t> </w:t>
      </w:r>
      <w:r>
        <w:rPr>
          <w:rFonts w:ascii="宋体" w:hAnsi="宋体" w:cs="宋体" w:eastAsia="宋体" w:hint="default"/>
        </w:rPr>
        <w:t>5,008.62</w:t>
      </w:r>
      <w:r>
        <w:rPr/>
        <w:t>万元，较上年同期增长</w:t>
      </w:r>
      <w:r>
        <w:rPr>
          <w:rFonts w:ascii="宋体" w:hAnsi="宋体" w:cs="宋体" w:eastAsia="宋体" w:hint="default"/>
        </w:rPr>
        <w:t>6.05%</w:t>
      </w:r>
      <w:r>
        <w:rPr/>
        <w:t>，归属于母公司 所有者的净利润</w:t>
      </w:r>
      <w:r>
        <w:rPr>
          <w:spacing w:val="-2"/>
        </w:rPr>
        <w:t> </w:t>
      </w:r>
      <w:r>
        <w:rPr>
          <w:rFonts w:ascii="宋体" w:hAnsi="宋体" w:cs="宋体" w:eastAsia="宋体" w:hint="default"/>
        </w:rPr>
        <w:t>4,690.41</w:t>
      </w:r>
      <w:r>
        <w:rPr/>
        <w:t>万元，较上年同期增长</w:t>
      </w:r>
      <w:r>
        <w:rPr>
          <w:rFonts w:ascii="宋体" w:hAnsi="宋体" w:cs="宋体" w:eastAsia="宋体" w:hint="default"/>
        </w:rPr>
        <w:t>16.08%</w:t>
      </w:r>
      <w:r>
        <w:rPr/>
        <w:t>。</w:t>
      </w:r>
    </w:p>
    <w:p>
      <w:pPr>
        <w:pStyle w:val="BodyText"/>
        <w:spacing w:line="316" w:lineRule="auto" w:before="19"/>
        <w:ind w:right="213" w:firstLine="420"/>
        <w:jc w:val="left"/>
      </w:pPr>
      <w:r>
        <w:rPr/>
        <w:t>报告期内，公司管理费用较上年同期增长</w:t>
      </w:r>
      <w:r>
        <w:rPr>
          <w:rFonts w:ascii="宋体" w:hAnsi="宋体" w:cs="宋体" w:eastAsia="宋体" w:hint="default"/>
        </w:rPr>
        <w:t>23.68%</w:t>
      </w:r>
      <w:r>
        <w:rPr/>
        <w:t>，主要是由于公司本年度增加对研究开发项目的投入、人员规模、上 调薪资所致。</w:t>
      </w:r>
    </w:p>
    <w:p>
      <w:pPr>
        <w:pStyle w:val="BodyText"/>
        <w:spacing w:line="240" w:lineRule="auto" w:before="19"/>
        <w:ind w:left="573" w:right="93"/>
        <w:jc w:val="left"/>
      </w:pPr>
      <w:r>
        <w:rPr/>
        <w:t>报告期内，公司销售费用较上年同期增加</w:t>
      </w:r>
      <w:r>
        <w:rPr>
          <w:rFonts w:ascii="宋体" w:hAnsi="宋体" w:cs="宋体" w:eastAsia="宋体" w:hint="default"/>
        </w:rPr>
        <w:t>28.93%</w:t>
      </w:r>
      <w:r>
        <w:rPr/>
        <w:t>，主要是由于公司本年度增加营销投入、职工薪酬、差旅费等。</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89" w:firstLine="420"/>
        <w:jc w:val="left"/>
      </w:pPr>
      <w:r>
        <w:rPr>
          <w:spacing w:val="-3"/>
        </w:rPr>
        <w:t>报告期内，公司研发投入总计</w:t>
      </w:r>
      <w:r>
        <w:rPr>
          <w:spacing w:val="-25"/>
        </w:rPr>
        <w:t> </w:t>
      </w:r>
      <w:r>
        <w:rPr>
          <w:rFonts w:ascii="宋体" w:hAnsi="宋体" w:cs="宋体" w:eastAsia="宋体" w:hint="default"/>
        </w:rPr>
        <w:t>6,066.95</w:t>
      </w:r>
      <w:r>
        <w:rPr/>
        <w:t>万元，占当期营业收入的</w:t>
      </w:r>
      <w:r>
        <w:rPr>
          <w:spacing w:val="-24"/>
        </w:rPr>
        <w:t> </w:t>
      </w:r>
      <w:r>
        <w:rPr>
          <w:rFonts w:ascii="宋体" w:hAnsi="宋体" w:cs="宋体" w:eastAsia="宋体" w:hint="default"/>
        </w:rPr>
        <w:t>15.08</w:t>
      </w:r>
      <w:r>
        <w:rPr>
          <w:rFonts w:ascii="宋体" w:hAnsi="宋体" w:cs="宋体" w:eastAsia="宋体" w:hint="default"/>
          <w:spacing w:val="-58"/>
        </w:rPr>
        <w:t> </w:t>
      </w:r>
      <w:r>
        <w:rPr>
          <w:rFonts w:ascii="宋体" w:hAnsi="宋体" w:cs="宋体" w:eastAsia="宋体" w:hint="default"/>
        </w:rPr>
        <w:t>%</w:t>
      </w:r>
      <w:r>
        <w:rPr/>
        <w:t>，主要是由于公司为增强公司的市场竟争力， 持续加大了研发投入。</w:t>
      </w:r>
    </w:p>
    <w:p>
      <w:pPr>
        <w:pStyle w:val="BodyText"/>
        <w:spacing w:line="316" w:lineRule="auto" w:before="17"/>
        <w:ind w:right="178" w:firstLine="420"/>
        <w:jc w:val="left"/>
      </w:pPr>
      <w:r>
        <w:rPr>
          <w:spacing w:val="-1"/>
        </w:rPr>
        <w:t>报告期内，公司经营活动产生的现金流量净额较上年同期增长</w:t>
      </w:r>
      <w:r>
        <w:rPr>
          <w:rFonts w:ascii="宋体" w:hAnsi="宋体" w:cs="宋体" w:eastAsia="宋体" w:hint="default"/>
          <w:spacing w:val="-1"/>
        </w:rPr>
        <w:t>104.78%</w:t>
      </w:r>
      <w:r>
        <w:rPr>
          <w:spacing w:val="-1"/>
        </w:rPr>
        <w:t>，主要是由于公司本年度营收增长和及时催收货</w:t>
      </w:r>
      <w:r>
        <w:rPr/>
        <w:t> 款所致。</w:t>
      </w:r>
    </w:p>
    <w:p>
      <w:pPr>
        <w:pStyle w:val="BodyText"/>
        <w:spacing w:line="240" w:lineRule="auto" w:before="19"/>
        <w:ind w:left="573" w:right="93"/>
        <w:jc w:val="left"/>
      </w:pPr>
      <w:r>
        <w:rPr/>
        <w:t>报告期内，投资活动产生的现金净流出较上年同期减少</w:t>
      </w:r>
      <w:r>
        <w:rPr>
          <w:rFonts w:ascii="宋体" w:hAnsi="宋体" w:cs="宋体" w:eastAsia="宋体" w:hint="default"/>
        </w:rPr>
        <w:t>92.67%</w:t>
      </w:r>
      <w:r>
        <w:rPr/>
        <w:t>，主要原因是本年定期存款较上年减少所致。</w:t>
      </w:r>
    </w:p>
    <w:p>
      <w:pPr>
        <w:pStyle w:val="BodyText"/>
        <w:spacing w:line="240" w:lineRule="auto" w:before="117"/>
        <w:ind w:right="1713"/>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1"/>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713"/>
        <w:jc w:val="left"/>
      </w:pPr>
      <w:r>
        <w:rPr>
          <w:rFonts w:ascii="Times New Roman" w:hAnsi="Times New Roman" w:cs="Times New Roman" w:eastAsia="Times New Roman" w:hint="default"/>
        </w:rPr>
        <w:t>3</w:t>
      </w:r>
      <w:r>
        <w:rPr/>
        <w:t>）收入</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402,179,494.09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300,929,840.66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33.65%</w:t>
            </w:r>
          </w:p>
        </w:tc>
      </w:tr>
    </w:tbl>
    <w:p>
      <w:pPr>
        <w:pStyle w:val="BodyText"/>
        <w:spacing w:line="240" w:lineRule="auto" w:before="49"/>
        <w:ind w:right="1713"/>
        <w:jc w:val="left"/>
      </w:pPr>
      <w:r>
        <w:rPr/>
        <w:t>驱动收入变化的因素</w:t>
      </w:r>
    </w:p>
    <w:p>
      <w:pPr>
        <w:spacing w:line="240" w:lineRule="auto" w:before="5"/>
        <w:rPr>
          <w:rFonts w:ascii="宋体" w:hAnsi="宋体" w:cs="宋体" w:eastAsia="宋体" w:hint="default"/>
          <w:sz w:val="19"/>
          <w:szCs w:val="19"/>
        </w:rPr>
      </w:pPr>
    </w:p>
    <w:p>
      <w:pPr>
        <w:spacing w:line="2203" w:lineRule="exact"/>
        <w:ind w:left="1122"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385.1pt;height:110.2pt;mso-position-horizontal-relative:char;mso-position-vertical-relative:line" coordorigin="0,0" coordsize="7702,2204">
            <v:shape style="position:absolute;left:9;top:13;width:7680;height:2175" type="#_x0000_t75" stroked="false">
              <v:imagedata r:id="rId14" o:title=""/>
            </v:shape>
            <v:group style="position:absolute;left:10;top:10;width:7682;height:2" coordorigin="10,10" coordsize="7682,2">
              <v:shape style="position:absolute;left:10;top:10;width:7682;height:2" coordorigin="10,10" coordsize="7682,0" path="m10,10l7692,10e" filled="false" stroked="true" strokeweight=".48001pt" strokecolor="#000000">
                <v:path arrowok="t"/>
              </v:shape>
            </v:group>
            <v:group style="position:absolute;left:5;top:5;width:2;height:2194" coordorigin="5,5" coordsize="2,2194">
              <v:shape style="position:absolute;left:5;top:5;width:2;height:2194" coordorigin="5,5" coordsize="0,2194" path="m5,5l5,2198e" filled="false" stroked="true" strokeweight=".48pt" strokecolor="#000000">
                <v:path arrowok="t"/>
              </v:shape>
            </v:group>
            <v:group style="position:absolute;left:7696;top:5;width:2;height:2194" coordorigin="7696,5" coordsize="2,2194">
              <v:shape style="position:absolute;left:7696;top:5;width:2;height:2194" coordorigin="7696,5" coordsize="0,2194" path="m7696,5l7696,2198e" filled="false" stroked="true" strokeweight=".48001pt" strokecolor="#000000">
                <v:path arrowok="t"/>
              </v:shape>
            </v:group>
            <v:group style="position:absolute;left:10;top:2194;width:7682;height:2" coordorigin="10,2194" coordsize="7682,2">
              <v:shape style="position:absolute;left:10;top:2194;width:7682;height:2" coordorigin="10,2194" coordsize="7682,0" path="m10,2194l7692,2194e" filled="false" stroked="true" strokeweight=".48001pt" strokecolor="#000000">
                <v:path arrowok="t"/>
              </v:shape>
            </v:group>
          </v:group>
        </w:pict>
      </w:r>
      <w:r>
        <w:rPr>
          <w:rFonts w:ascii="宋体" w:hAnsi="宋体" w:cs="宋体" w:eastAsia="宋体" w:hint="default"/>
          <w:position w:val="-43"/>
          <w:sz w:val="20"/>
          <w:szCs w:val="20"/>
        </w:rPr>
      </w:r>
    </w:p>
    <w:p>
      <w:pPr>
        <w:spacing w:line="240" w:lineRule="auto" w:before="6"/>
        <w:rPr>
          <w:rFonts w:ascii="宋体" w:hAnsi="宋体" w:cs="宋体" w:eastAsia="宋体" w:hint="default"/>
          <w:sz w:val="8"/>
          <w:szCs w:val="8"/>
        </w:rPr>
      </w:pPr>
    </w:p>
    <w:p>
      <w:pPr>
        <w:pStyle w:val="BodyText"/>
        <w:spacing w:line="295" w:lineRule="auto" w:before="44"/>
        <w:ind w:right="93" w:firstLine="336"/>
        <w:jc w:val="left"/>
        <w:rPr>
          <w:sz w:val="21"/>
          <w:szCs w:val="21"/>
        </w:rPr>
      </w:pPr>
      <w:r>
        <w:rPr/>
        <w:t>报告期，公司实现营业收入</w:t>
      </w:r>
      <w:r>
        <w:rPr>
          <w:rFonts w:ascii="Times New Roman" w:hAnsi="Times New Roman" w:cs="Times New Roman" w:eastAsia="Times New Roman" w:hint="default"/>
        </w:rPr>
        <w:t>40,217.95</w:t>
      </w:r>
      <w:r>
        <w:rPr/>
        <w:t>万元，较上年同期增长</w:t>
      </w:r>
      <w:r>
        <w:rPr>
          <w:rFonts w:ascii="Times New Roman" w:hAnsi="Times New Roman" w:cs="Times New Roman" w:eastAsia="Times New Roman" w:hint="default"/>
        </w:rPr>
        <w:t>33.65%</w:t>
      </w:r>
      <w:r>
        <w:rPr/>
        <w:t>，其中：</w:t>
      </w:r>
      <w:r>
        <w:rPr>
          <w:rFonts w:ascii="Times New Roman" w:hAnsi="Times New Roman" w:cs="Times New Roman" w:eastAsia="Times New Roman" w:hint="default"/>
        </w:rPr>
        <w:t>1</w:t>
      </w:r>
      <w:r>
        <w:rPr/>
        <w:t>）定制软件及</w:t>
      </w:r>
      <w:r>
        <w:rPr>
          <w:rFonts w:ascii="Times New Roman" w:hAnsi="Times New Roman" w:cs="Times New Roman" w:eastAsia="Times New Roman" w:hint="default"/>
        </w:rPr>
        <w:t>IC</w:t>
      </w:r>
      <w:r>
        <w:rPr/>
        <w:t>实现收入</w:t>
      </w:r>
      <w:r>
        <w:rPr>
          <w:rFonts w:ascii="Times New Roman" w:hAnsi="Times New Roman" w:cs="Times New Roman" w:eastAsia="Times New Roman" w:hint="default"/>
        </w:rPr>
        <w:t>20,641.79</w:t>
      </w:r>
      <w:r>
        <w:rPr/>
        <w:t>万元， </w:t>
      </w:r>
      <w:r>
        <w:rPr>
          <w:spacing w:val="-1"/>
        </w:rPr>
        <w:t>较去年同期增长</w:t>
      </w:r>
      <w:r>
        <w:rPr>
          <w:rFonts w:ascii="Times New Roman" w:hAnsi="Times New Roman" w:cs="Times New Roman" w:eastAsia="Times New Roman" w:hint="default"/>
          <w:spacing w:val="-1"/>
        </w:rPr>
        <w:t>9.88%</w:t>
      </w:r>
      <w:r>
        <w:rPr>
          <w:spacing w:val="-1"/>
        </w:rPr>
        <w:t>，主要是湖南省和安徽省数据采集业务增长所致；</w:t>
      </w:r>
      <w:r>
        <w:rPr>
          <w:rFonts w:ascii="Times New Roman" w:hAnsi="Times New Roman" w:cs="Times New Roman" w:eastAsia="Times New Roman" w:hint="default"/>
          <w:spacing w:val="-1"/>
        </w:rPr>
        <w:t>2</w:t>
      </w:r>
      <w:r>
        <w:rPr>
          <w:spacing w:val="-1"/>
        </w:rPr>
        <w:t>）技术服务实现收入</w:t>
      </w:r>
      <w:r>
        <w:rPr>
          <w:rFonts w:ascii="Times New Roman" w:hAnsi="Times New Roman" w:cs="Times New Roman" w:eastAsia="Times New Roman" w:hint="default"/>
          <w:spacing w:val="-1"/>
        </w:rPr>
        <w:t>6,312.39</w:t>
      </w:r>
      <w:r>
        <w:rPr>
          <w:spacing w:val="-1"/>
        </w:rPr>
        <w:t>万元，较去年同期增</w:t>
      </w:r>
      <w:r>
        <w:rPr>
          <w:spacing w:val="-40"/>
        </w:rPr>
        <w:t> </w:t>
      </w:r>
      <w:r>
        <w:rPr>
          <w:spacing w:val="-40"/>
        </w:rPr>
      </w:r>
      <w:r>
        <w:rPr/>
        <w:t>长</w:t>
      </w:r>
      <w:r>
        <w:rPr>
          <w:rFonts w:ascii="Times New Roman" w:hAnsi="Times New Roman" w:cs="Times New Roman" w:eastAsia="Times New Roman" w:hint="default"/>
        </w:rPr>
        <w:t>54.97%</w:t>
      </w:r>
      <w:r>
        <w:rPr/>
        <w:t>，主要是公司前期信息系统建设进入收费运营维护阶段，以及福建、山西等省对定点药店、医院收取的服务费增 </w:t>
      </w:r>
      <w:r>
        <w:rPr>
          <w:spacing w:val="-1"/>
        </w:rPr>
        <w:t>长；</w:t>
      </w:r>
      <w:r>
        <w:rPr>
          <w:rFonts w:ascii="Times New Roman" w:hAnsi="Times New Roman" w:cs="Times New Roman" w:eastAsia="Times New Roman" w:hint="default"/>
          <w:spacing w:val="-1"/>
        </w:rPr>
        <w:t>3</w:t>
      </w:r>
      <w:r>
        <w:rPr>
          <w:spacing w:val="-1"/>
        </w:rPr>
        <w:t>）系统集成及硬件实现收入</w:t>
      </w:r>
      <w:r>
        <w:rPr>
          <w:rFonts w:ascii="Times New Roman" w:hAnsi="Times New Roman" w:cs="Times New Roman" w:eastAsia="Times New Roman" w:hint="default"/>
          <w:spacing w:val="-1"/>
        </w:rPr>
        <w:t>12,935.93</w:t>
      </w:r>
      <w:r>
        <w:rPr>
          <w:spacing w:val="-1"/>
        </w:rPr>
        <w:t>万元，较去年同期增长</w:t>
      </w:r>
      <w:r>
        <w:rPr>
          <w:rFonts w:ascii="Times New Roman" w:hAnsi="Times New Roman" w:cs="Times New Roman" w:eastAsia="Times New Roman" w:hint="default"/>
          <w:spacing w:val="-1"/>
        </w:rPr>
        <w:t>83.04%</w:t>
      </w:r>
      <w:r>
        <w:rPr>
          <w:spacing w:val="-1"/>
        </w:rPr>
        <w:t>，主要是报告期公司信息机（自助服务终端）扩大</w:t>
      </w:r>
      <w:r>
        <w:rPr>
          <w:spacing w:val="-39"/>
        </w:rPr>
        <w:t> </w:t>
      </w:r>
      <w:r>
        <w:rPr>
          <w:spacing w:val="-39"/>
        </w:rPr>
      </w:r>
      <w:r>
        <w:rPr/>
        <w:t>销售规模</w:t>
      </w:r>
      <w:r>
        <w:rPr>
          <w:sz w:val="21"/>
          <w:szCs w:val="21"/>
        </w:rPr>
        <w:t>。</w:t>
      </w:r>
    </w:p>
    <w:p>
      <w:pPr>
        <w:pStyle w:val="BodyText"/>
        <w:spacing w:line="240" w:lineRule="auto" w:before="50"/>
        <w:ind w:right="1713"/>
        <w:jc w:val="left"/>
      </w:pPr>
      <w:r>
        <w:rPr/>
        <w:t>公司实物销售收入是否大于劳务收入</w:t>
      </w:r>
    </w:p>
    <w:p>
      <w:pPr>
        <w:pStyle w:val="BodyText"/>
        <w:spacing w:line="240" w:lineRule="auto" w:before="115"/>
        <w:ind w:right="1713"/>
        <w:jc w:val="left"/>
      </w:pPr>
      <w:r>
        <w:rPr/>
        <w:pict>
          <v:shape style="position:absolute;margin-left:58.104pt;margin-top:63.661709pt;width:156.75pt;height:19.7pt;mso-position-horizontal-relative:page;mso-position-vertical-relative:paragraph;z-index:-832528" type="#_x0000_t202" filled="false" stroked="false">
            <v:textbox inset="0,0,0,0">
              <w:txbxContent>
                <w:p>
                  <w:pPr>
                    <w:pStyle w:val="BodyText"/>
                    <w:spacing w:line="240" w:lineRule="auto" w:before="49"/>
                    <w:ind w:left="0" w:right="0"/>
                    <w:jc w:val="left"/>
                  </w:pPr>
                  <w:r>
                    <w:rPr/>
                    <w:t>信息机（自助终端）</w:t>
                  </w:r>
                </w:p>
              </w:txbxContent>
            </v:textbox>
            <w10:wrap type="none"/>
          </v:shape>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5"/>
        <w:gridCol w:w="1597"/>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4"/>
              <w:jc w:val="right"/>
              <w:rPr>
                <w:rFonts w:ascii="Times New Roman" w:hAnsi="Times New Roman" w:cs="Times New Roman" w:eastAsia="Times New Roman" w:hint="default"/>
                <w:sz w:val="20"/>
                <w:szCs w:val="20"/>
              </w:rPr>
            </w:pPr>
            <w:r>
              <w:rPr>
                <w:rFonts w:ascii="Times New Roman"/>
                <w:w w:val="95"/>
                <w:sz w:val="20"/>
              </w:rPr>
              <w:t>2,022</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1,564</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29.28%</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4"/>
              <w:jc w:val="right"/>
              <w:rPr>
                <w:rFonts w:ascii="Times New Roman" w:hAnsi="Times New Roman" w:cs="Times New Roman" w:eastAsia="Times New Roman" w:hint="default"/>
                <w:sz w:val="20"/>
                <w:szCs w:val="20"/>
              </w:rPr>
            </w:pPr>
            <w:r>
              <w:rPr>
                <w:rFonts w:ascii="Times New Roman"/>
                <w:w w:val="95"/>
                <w:sz w:val="20"/>
              </w:rPr>
              <w:t>2,303</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1"/>
              <w:jc w:val="right"/>
              <w:rPr>
                <w:rFonts w:ascii="Times New Roman" w:hAnsi="Times New Roman" w:cs="Times New Roman" w:eastAsia="Times New Roman" w:hint="default"/>
                <w:sz w:val="20"/>
                <w:szCs w:val="20"/>
              </w:rPr>
            </w:pPr>
            <w:r>
              <w:rPr>
                <w:rFonts w:ascii="Times New Roman"/>
                <w:w w:val="95"/>
                <w:sz w:val="20"/>
              </w:rPr>
              <w:t>1,418</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62.41%</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5"/>
              <w:jc w:val="right"/>
              <w:rPr>
                <w:rFonts w:ascii="Times New Roman" w:hAnsi="Times New Roman" w:cs="Times New Roman" w:eastAsia="Times New Roman" w:hint="default"/>
                <w:sz w:val="20"/>
                <w:szCs w:val="20"/>
              </w:rPr>
            </w:pPr>
            <w:r>
              <w:rPr>
                <w:rFonts w:ascii="Times New Roman"/>
                <w:spacing w:val="-1"/>
                <w:sz w:val="20"/>
              </w:rPr>
              <w:t>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2"/>
              <w:jc w:val="right"/>
              <w:rPr>
                <w:rFonts w:ascii="Times New Roman" w:hAnsi="Times New Roman" w:cs="Times New Roman" w:eastAsia="Times New Roman" w:hint="default"/>
                <w:sz w:val="20"/>
                <w:szCs w:val="20"/>
              </w:rPr>
            </w:pPr>
            <w:r>
              <w:rPr>
                <w:rFonts w:ascii="Times New Roman"/>
                <w:spacing w:val="-1"/>
                <w:sz w:val="20"/>
              </w:rPr>
              <w:t>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53.42%</w:t>
            </w:r>
          </w:p>
        </w:tc>
      </w:tr>
      <w:tr>
        <w:trPr>
          <w:trHeight w:val="404"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5"/>
              <w:jc w:val="right"/>
              <w:rPr>
                <w:rFonts w:ascii="Times New Roman" w:hAnsi="Times New Roman" w:cs="Times New Roman" w:eastAsia="Times New Roman" w:hint="default"/>
                <w:sz w:val="20"/>
                <w:szCs w:val="20"/>
              </w:rPr>
            </w:pPr>
            <w:r>
              <w:rPr>
                <w:rFonts w:ascii="Times New Roman"/>
                <w:spacing w:val="-1"/>
                <w:sz w:val="20"/>
              </w:rPr>
              <w:t>14,370,430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9,486,657</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51.48%</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5"/>
              <w:jc w:val="right"/>
              <w:rPr>
                <w:rFonts w:ascii="Times New Roman" w:hAnsi="Times New Roman" w:cs="Times New Roman" w:eastAsia="Times New Roman" w:hint="default"/>
                <w:sz w:val="20"/>
                <w:szCs w:val="20"/>
              </w:rPr>
            </w:pPr>
            <w:r>
              <w:rPr>
                <w:rFonts w:ascii="Times New Roman"/>
                <w:spacing w:val="-1"/>
                <w:sz w:val="20"/>
              </w:rPr>
              <w:t>14,771,890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9,311,143</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58.65%</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5"/>
              <w:jc w:val="right"/>
              <w:rPr>
                <w:rFonts w:ascii="Times New Roman" w:hAnsi="Times New Roman" w:cs="Times New Roman" w:eastAsia="Times New Roman" w:hint="default"/>
                <w:sz w:val="20"/>
                <w:szCs w:val="20"/>
              </w:rPr>
            </w:pPr>
            <w:r>
              <w:rPr>
                <w:rFonts w:ascii="Times New Roman"/>
                <w:w w:val="95"/>
                <w:sz w:val="20"/>
              </w:rPr>
              <w:t>2,559,850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2,158,390</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18.60%</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4"/>
              <w:jc w:val="right"/>
              <w:rPr>
                <w:rFonts w:ascii="Times New Roman" w:hAnsi="Times New Roman" w:cs="Times New Roman" w:eastAsia="Times New Roman" w:hint="default"/>
                <w:sz w:val="20"/>
                <w:szCs w:val="20"/>
              </w:rPr>
            </w:pPr>
            <w:r>
              <w:rPr>
                <w:rFonts w:ascii="Times New Roman"/>
                <w:spacing w:val="-1"/>
                <w:sz w:val="20"/>
              </w:rPr>
              <w:t>25,020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11,696</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113.92%</w:t>
            </w:r>
            <w:r>
              <w:rPr>
                <w:rFonts w:ascii="Times New Roman"/>
                <w:sz w:val="20"/>
              </w:rPr>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4"/>
              <w:jc w:val="right"/>
              <w:rPr>
                <w:rFonts w:ascii="Times New Roman" w:hAnsi="Times New Roman" w:cs="Times New Roman" w:eastAsia="Times New Roman" w:hint="default"/>
                <w:sz w:val="20"/>
                <w:szCs w:val="20"/>
              </w:rPr>
            </w:pPr>
            <w:r>
              <w:rPr>
                <w:rFonts w:ascii="Times New Roman"/>
                <w:spacing w:val="-1"/>
                <w:sz w:val="20"/>
              </w:rPr>
              <w:t>22,034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w w:val="95"/>
                <w:sz w:val="20"/>
              </w:rPr>
              <w:t>11,039</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7"/>
              <w:jc w:val="right"/>
              <w:rPr>
                <w:rFonts w:ascii="Times New Roman" w:hAnsi="Times New Roman" w:cs="Times New Roman" w:eastAsia="Times New Roman" w:hint="default"/>
                <w:sz w:val="20"/>
                <w:szCs w:val="20"/>
              </w:rPr>
            </w:pPr>
            <w:r>
              <w:rPr>
                <w:rFonts w:ascii="Times New Roman"/>
                <w:sz w:val="20"/>
              </w:rPr>
              <w:t>99.60%</w:t>
            </w:r>
          </w:p>
        </w:tc>
      </w:tr>
      <w:tr>
        <w:trPr>
          <w:trHeight w:val="401"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4"/>
              <w:jc w:val="right"/>
              <w:rPr>
                <w:rFonts w:ascii="Times New Roman" w:hAnsi="Times New Roman" w:cs="Times New Roman" w:eastAsia="Times New Roman" w:hint="default"/>
                <w:sz w:val="20"/>
                <w:szCs w:val="20"/>
              </w:rPr>
            </w:pPr>
            <w:r>
              <w:rPr>
                <w:rFonts w:ascii="Times New Roman"/>
                <w:w w:val="95"/>
                <w:sz w:val="20"/>
              </w:rPr>
              <w:t>3,339</w:t>
            </w:r>
            <w:r>
              <w:rPr>
                <w:rFonts w:ascii="Times New Roman"/>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9"/>
              <w:jc w:val="right"/>
              <w:rPr>
                <w:rFonts w:ascii="Times New Roman" w:hAnsi="Times New Roman" w:cs="Times New Roman" w:eastAsia="Times New Roman" w:hint="default"/>
                <w:sz w:val="20"/>
                <w:szCs w:val="20"/>
              </w:rPr>
            </w:pPr>
            <w:r>
              <w:rPr>
                <w:rFonts w:ascii="Times New Roman"/>
                <w:sz w:val="20"/>
              </w:rPr>
              <w:t>6,325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0"/>
              <w:jc w:val="right"/>
              <w:rPr>
                <w:rFonts w:ascii="Times New Roman" w:hAnsi="Times New Roman" w:cs="Times New Roman" w:eastAsia="Times New Roman" w:hint="default"/>
                <w:sz w:val="20"/>
                <w:szCs w:val="20"/>
              </w:rPr>
            </w:pPr>
            <w:r>
              <w:rPr>
                <w:rFonts w:ascii="Times New Roman"/>
                <w:w w:val="95"/>
                <w:sz w:val="20"/>
              </w:rPr>
              <w:t>-47.21%</w:t>
            </w:r>
            <w:r>
              <w:rPr>
                <w:rFonts w:ascii="Times New Roman"/>
                <w:sz w:val="20"/>
              </w:rPr>
            </w:r>
          </w:p>
        </w:tc>
      </w:tr>
    </w:tbl>
    <w:p>
      <w:pPr>
        <w:pStyle w:val="BodyText"/>
        <w:spacing w:line="240" w:lineRule="auto" w:before="49"/>
        <w:ind w:right="171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3"/>
        <w:ind w:left="513" w:right="24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报告期内，公司信息机（自助终端）项目生产量增长</w:t>
      </w:r>
      <w:r>
        <w:rPr>
          <w:rFonts w:ascii="Times New Roman" w:hAnsi="Times New Roman" w:cs="Times New Roman" w:eastAsia="Times New Roman" w:hint="default"/>
        </w:rPr>
        <w:t>62.41%</w:t>
      </w:r>
      <w:r>
        <w:rPr/>
        <w:t>，销售量增长</w:t>
      </w:r>
      <w:r>
        <w:rPr>
          <w:rFonts w:ascii="Times New Roman" w:hAnsi="Times New Roman" w:cs="Times New Roman" w:eastAsia="Times New Roman" w:hint="default"/>
        </w:rPr>
        <w:t>29.28%</w:t>
      </w:r>
      <w:r>
        <w:rPr/>
        <w:t>，主要是由于该项目在本年度广泛布</w:t>
      </w:r>
    </w:p>
    <w:p>
      <w:pPr>
        <w:spacing w:after="0" w:line="338"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203"/>
        <w:jc w:val="left"/>
      </w:pPr>
      <w:r>
        <w:rPr/>
        <w:t>点，业务量增长较多。公司</w:t>
      </w:r>
      <w:r>
        <w:rPr>
          <w:rFonts w:ascii="Times New Roman" w:hAnsi="Times New Roman" w:cs="Times New Roman" w:eastAsia="Times New Roman" w:hint="default"/>
        </w:rPr>
        <w:t>IC</w:t>
      </w:r>
      <w:r>
        <w:rPr/>
        <w:t>卡业务生产量增长</w:t>
      </w:r>
      <w:r>
        <w:rPr>
          <w:rFonts w:ascii="Times New Roman" w:hAnsi="Times New Roman" w:cs="Times New Roman" w:eastAsia="Times New Roman" w:hint="default"/>
        </w:rPr>
        <w:t>58.65%</w:t>
      </w:r>
      <w:r>
        <w:rPr/>
        <w:t>，销售量增长</w:t>
      </w:r>
      <w:r>
        <w:rPr>
          <w:rFonts w:ascii="Times New Roman" w:hAnsi="Times New Roman" w:cs="Times New Roman" w:eastAsia="Times New Roman" w:hint="default"/>
        </w:rPr>
        <w:t>51.48%</w:t>
      </w:r>
      <w:r>
        <w:rPr/>
        <w:t>，主要是由于安徽、山西、广西等省业务增长 较多。</w:t>
      </w:r>
    </w:p>
    <w:p>
      <w:pPr>
        <w:pStyle w:val="BodyText"/>
        <w:spacing w:line="240" w:lineRule="auto" w:before="72"/>
        <w:ind w:right="0"/>
        <w:jc w:val="left"/>
      </w:pPr>
      <w:r>
        <w:rPr/>
        <w:t>公司重大的在手订单情况</w:t>
      </w:r>
    </w:p>
    <w:p>
      <w:pPr>
        <w:pStyle w:val="BodyText"/>
        <w:spacing w:line="340" w:lineRule="auto" w:before="115"/>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338" w:lineRule="auto" w:before="41"/>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4</w:t>
      </w:r>
      <w:r>
        <w:rPr/>
        <w:t>）成本</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7"/>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137,312,872.91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76,471,316.71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79.56%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78,803,042.94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72,721,144.48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8.36%</w:t>
            </w:r>
          </w:p>
        </w:tc>
      </w:tr>
    </w:tbl>
    <w:p>
      <w:pPr>
        <w:pStyle w:val="BodyText"/>
        <w:spacing w:line="240" w:lineRule="auto" w:before="49"/>
        <w:ind w:right="0"/>
        <w:jc w:val="left"/>
      </w:pPr>
      <w:r>
        <w:rPr>
          <w:rFonts w:ascii="Times New Roman" w:hAnsi="Times New Roman" w:cs="Times New Roman" w:eastAsia="Times New Roman" w:hint="default"/>
        </w:rPr>
        <w:t>5</w:t>
      </w:r>
      <w:r>
        <w:rPr/>
        <w:t>）费用</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9"/>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33,002,776.18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25,597,849.21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28.93%</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主要原因：公司本年度增加营销投 入、职工薪酬、差旅费等。</w:t>
            </w:r>
          </w:p>
        </w:tc>
      </w:tr>
      <w:tr>
        <w:trPr>
          <w:trHeight w:val="391"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113,092,015.40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91,437,225.70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23.68%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主要原因包括：①本年度增加对研究 开发项目的投入②本年度人员规模 增加及上调薪资导致职工薪酬增加。</w:t>
            </w:r>
          </w:p>
        </w:tc>
      </w:tr>
      <w:tr>
        <w:trPr>
          <w:trHeight w:val="394"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-6,221,071.70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-6,980,172.06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5,932,575.30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8,885,820.58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6</w:t>
      </w:r>
      <w:r>
        <w:rPr/>
        <w:t>）研发投入</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9" w:lineRule="auto" w:before="103"/>
        <w:ind w:right="149" w:firstLine="420"/>
        <w:jc w:val="both"/>
      </w:pPr>
      <w:r>
        <w:rPr/>
        <w:t>公司自成立以来，一直将技术创新、产品研发作为企业发展壮大的动力。报告期内，为增强公司的技术研发实力和产 </w:t>
      </w:r>
      <w:r>
        <w:rPr>
          <w:spacing w:val="-2"/>
        </w:rPr>
        <w:t>品的市场竞争力，公司持续不断推进技术创新，易联众电子病历管理系统、社区化在线学习云服务平台、易联众民生一体化</w:t>
      </w:r>
      <w:r>
        <w:rPr>
          <w:spacing w:val="-64"/>
        </w:rPr>
        <w:t> </w:t>
      </w:r>
      <w:r>
        <w:rPr>
          <w:spacing w:val="-64"/>
        </w:rPr>
      </w:r>
      <w:r>
        <w:rPr>
          <w:spacing w:val="-2"/>
        </w:rPr>
        <w:t>信息服务平台、易联众居民健康信息系统、社会保险核心平台工伤生育保险信息管理系统等产品的研发投入力度，以保障公</w:t>
      </w:r>
      <w:r>
        <w:rPr>
          <w:spacing w:val="-63"/>
        </w:rPr>
        <w:t> </w:t>
      </w:r>
      <w:r>
        <w:rPr>
          <w:spacing w:val="-63"/>
        </w:rPr>
      </w:r>
      <w:r>
        <w:rPr/>
        <w:t>司在行业内的技术领先地位。</w:t>
      </w:r>
    </w:p>
    <w:p>
      <w:pPr>
        <w:pStyle w:val="BodyText"/>
        <w:spacing w:line="297" w:lineRule="auto" w:before="58"/>
        <w:ind w:right="148" w:firstLine="360"/>
        <w:jc w:val="both"/>
      </w:pPr>
      <w:r>
        <w:rPr/>
        <w:t>报告期内研发投入总计</w:t>
      </w:r>
      <w:r>
        <w:rPr>
          <w:rFonts w:ascii="Times New Roman" w:hAnsi="Times New Roman" w:cs="Times New Roman" w:eastAsia="Times New Roman" w:hint="default"/>
        </w:rPr>
        <w:t>6066.95</w:t>
      </w:r>
      <w:r>
        <w:rPr/>
        <w:t>万元，其中资本化金额</w:t>
      </w:r>
      <w:r>
        <w:rPr>
          <w:rFonts w:ascii="Times New Roman" w:hAnsi="Times New Roman" w:cs="Times New Roman" w:eastAsia="Times New Roman" w:hint="default"/>
        </w:rPr>
        <w:t>1161.57</w:t>
      </w:r>
      <w:r>
        <w:rPr/>
        <w:t>万元，资本化金额占研发投入比重为</w:t>
      </w:r>
      <w:r>
        <w:rPr>
          <w:spacing w:val="-58"/>
        </w:rPr>
        <w:t> </w:t>
      </w:r>
      <w:r>
        <w:rPr>
          <w:rFonts w:ascii="Times New Roman" w:hAnsi="Times New Roman" w:cs="Times New Roman" w:eastAsia="Times New Roman" w:hint="default"/>
          <w:spacing w:val="-3"/>
        </w:rPr>
        <w:t>19.15%</w:t>
      </w:r>
      <w:r>
        <w:rPr>
          <w:spacing w:val="-3"/>
        </w:rPr>
        <w:t>，报告期内研</w:t>
      </w:r>
      <w:r>
        <w:rPr/>
        <w:t> 发投入占当期营业收入的</w:t>
      </w:r>
      <w:r>
        <w:rPr>
          <w:spacing w:val="-22"/>
        </w:rPr>
        <w:t> </w:t>
      </w:r>
      <w:r>
        <w:rPr>
          <w:rFonts w:ascii="Times New Roman" w:hAnsi="Times New Roman" w:cs="Times New Roman" w:eastAsia="Times New Roman" w:hint="default"/>
        </w:rPr>
        <w:t>15.08%</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60,660,686.82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45,365,756.12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36,650,711.24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13.10%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11,615,711.07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4,430,286.27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11,359,400.00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30.99%</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20.20%</w:t>
            </w:r>
          </w:p>
        </w:tc>
      </w:tr>
    </w:tbl>
    <w:p>
      <w:pPr>
        <w:pStyle w:val="BodyText"/>
        <w:spacing w:line="240" w:lineRule="auto" w:before="49"/>
        <w:ind w:right="1713"/>
        <w:jc w:val="left"/>
      </w:pPr>
      <w:r>
        <w:rPr/>
        <w:t>研发投入资本化率大幅变动的原因及其合理性说明</w:t>
      </w:r>
    </w:p>
    <w:p>
      <w:pPr>
        <w:pStyle w:val="BodyText"/>
        <w:spacing w:line="240" w:lineRule="auto" w:before="115"/>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01" w:firstLine="420"/>
        <w:jc w:val="both"/>
      </w:pPr>
      <w:r>
        <w:rPr/>
        <w:t>报告期内，公司研发投入总计</w:t>
      </w:r>
      <w:r>
        <w:rPr>
          <w:rFonts w:ascii="Times New Roman" w:hAnsi="Times New Roman" w:cs="Times New Roman" w:eastAsia="Times New Roman" w:hint="default"/>
        </w:rPr>
        <w:t>6066.95</w:t>
      </w:r>
      <w:r>
        <w:rPr/>
        <w:t>万元，占当期营业收入的</w:t>
      </w:r>
      <w:r>
        <w:rPr>
          <w:rFonts w:ascii="Times New Roman" w:hAnsi="Times New Roman" w:cs="Times New Roman" w:eastAsia="Times New Roman" w:hint="default"/>
        </w:rPr>
        <w:t>15.08%</w:t>
      </w:r>
      <w:r>
        <w:rPr/>
        <w:t>，主要是由于公司为增强公司的竟争力，持续加 大了研发投入。本期研发投入资本化率为</w:t>
      </w:r>
      <w:r>
        <w:rPr>
          <w:rFonts w:ascii="Times New Roman" w:hAnsi="Times New Roman" w:cs="Times New Roman" w:eastAsia="Times New Roman" w:hint="default"/>
        </w:rPr>
        <w:t>19.15%</w:t>
      </w:r>
      <w:r>
        <w:rPr/>
        <w:t>，较上年增加</w:t>
      </w:r>
      <w:r>
        <w:rPr>
          <w:rFonts w:ascii="Times New Roman" w:hAnsi="Times New Roman" w:cs="Times New Roman" w:eastAsia="Times New Roman" w:hint="default"/>
        </w:rPr>
        <w:t>9.38%</w:t>
      </w:r>
      <w:r>
        <w:rPr/>
        <w:t>，主要是因为本期易联众电子病历管理系统、社区化在 </w:t>
      </w:r>
      <w:r>
        <w:rPr>
          <w:spacing w:val="-1"/>
        </w:rPr>
        <w:t>线学习云服务平台、易联众社保公共服务平台（一期）、易联众</w:t>
      </w:r>
      <w:r>
        <w:rPr>
          <w:rFonts w:ascii="Times New Roman" w:hAnsi="Times New Roman" w:cs="Times New Roman" w:eastAsia="Times New Roman" w:hint="default"/>
          <w:spacing w:val="-1"/>
        </w:rPr>
        <w:t>"</w:t>
      </w:r>
      <w:r>
        <w:rPr>
          <w:spacing w:val="-1"/>
        </w:rPr>
        <w:t>健康云</w:t>
      </w:r>
      <w:r>
        <w:rPr>
          <w:rFonts w:ascii="Times New Roman" w:hAnsi="Times New Roman" w:cs="Times New Roman" w:eastAsia="Times New Roman" w:hint="default"/>
          <w:spacing w:val="-1"/>
        </w:rPr>
        <w:t>"</w:t>
      </w:r>
      <w:r>
        <w:rPr>
          <w:spacing w:val="-1"/>
        </w:rPr>
        <w:t>平台</w:t>
      </w:r>
      <w:r>
        <w:rPr>
          <w:rFonts w:ascii="Times New Roman" w:hAnsi="Times New Roman" w:cs="Times New Roman" w:eastAsia="Times New Roman" w:hint="default"/>
          <w:spacing w:val="-1"/>
        </w:rPr>
        <w:t>(</w:t>
      </w:r>
      <w:r>
        <w:rPr>
          <w:spacing w:val="-1"/>
        </w:rPr>
        <w:t>一期）等项目达到资本化条件形成无形资产。</w:t>
      </w:r>
    </w:p>
    <w:p>
      <w:pPr>
        <w:pStyle w:val="BodyText"/>
        <w:spacing w:line="240" w:lineRule="auto" w:before="53"/>
        <w:ind w:right="1713"/>
        <w:jc w:val="left"/>
      </w:pPr>
      <w:r>
        <w:rPr>
          <w:rFonts w:ascii="Times New Roman" w:hAnsi="Times New Roman" w:cs="Times New Roman" w:eastAsia="Times New Roman" w:hint="default"/>
        </w:rPr>
        <w:t>7</w:t>
      </w:r>
      <w:r>
        <w:rPr/>
        <w:t>）现金流</w:t>
      </w:r>
    </w:p>
    <w:p>
      <w:pPr>
        <w:pStyle w:val="BodyText"/>
        <w:spacing w:line="240" w:lineRule="auto" w:before="101"/>
        <w:ind w:left="0" w:right="190"/>
        <w:jc w:val="right"/>
      </w:pPr>
      <w:r>
        <w:rPr/>
        <w:t>单位：元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442,335,536.59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387,167,089.04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14.25%</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379,835,633.07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356,646,464.11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62,499,903.52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30,520,624.93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104.78%</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27,163,066.25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12,552,596.94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116.39%</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33,858,926.20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103,941,060.03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-67.42%</w:t>
            </w:r>
          </w:p>
        </w:tc>
      </w:tr>
      <w:tr>
        <w:trPr>
          <w:trHeight w:val="716"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-6,695,859.95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-91,388,463.09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-92.67%</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-26.53%</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25,170,746.09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19,783,683.18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27.23%</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-23.370,746.09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-17,333,683.18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34.83%</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32,433,297.48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-78,201,521.34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w:t>
            </w:r>
          </w:p>
        </w:tc>
      </w:tr>
    </w:tbl>
    <w:p>
      <w:pPr>
        <w:pStyle w:val="BodyText"/>
        <w:spacing w:line="240" w:lineRule="auto" w:before="49"/>
        <w:ind w:right="171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228" w:firstLine="420"/>
        <w:jc w:val="left"/>
      </w:pPr>
      <w:r>
        <w:rPr/>
        <w:t>报告期内，公司经营活动产生的现金流量净额较上年同期增加</w:t>
      </w:r>
      <w:r>
        <w:rPr>
          <w:rFonts w:ascii="Times New Roman" w:hAnsi="Times New Roman" w:cs="Times New Roman" w:eastAsia="Times New Roman" w:hint="default"/>
        </w:rPr>
        <w:t>104.78%</w:t>
      </w:r>
      <w:r>
        <w:rPr/>
        <w:t>，主要原因是本年度营业收入增长</w:t>
      </w:r>
      <w:r>
        <w:rPr>
          <w:rFonts w:ascii="Times New Roman" w:hAnsi="Times New Roman" w:cs="Times New Roman" w:eastAsia="Times New Roman" w:hint="default"/>
        </w:rPr>
        <w:t>33.65%,</w:t>
      </w:r>
      <w:r>
        <w:rPr/>
        <w:t>同时 积极催收货款，致使本期经营活动产生的现金流量净额较上年同期出现较大幅度增加。</w:t>
      </w:r>
    </w:p>
    <w:p>
      <w:pPr>
        <w:pStyle w:val="BodyText"/>
        <w:spacing w:line="338" w:lineRule="auto" w:before="73"/>
        <w:ind w:left="573" w:right="918"/>
        <w:jc w:val="left"/>
      </w:pPr>
      <w:r>
        <w:rPr/>
        <w:t>报告期内，公司投资活动产生的现金净流出较上年同期减少</w:t>
      </w:r>
      <w:r>
        <w:rPr>
          <w:rFonts w:ascii="Times New Roman" w:hAnsi="Times New Roman" w:cs="Times New Roman" w:eastAsia="Times New Roman" w:hint="default"/>
        </w:rPr>
        <w:t>92.67%</w:t>
      </w:r>
      <w:r>
        <w:rPr/>
        <w:t>，主要原因是本年定期存款较上年减少。 报告期内，公司筹资活动产生的现金净流出较上年同期增加</w:t>
      </w:r>
      <w:r>
        <w:rPr>
          <w:rFonts w:ascii="Times New Roman" w:hAnsi="Times New Roman" w:cs="Times New Roman" w:eastAsia="Times New Roman" w:hint="default"/>
        </w:rPr>
        <w:t>34.83%</w:t>
      </w:r>
      <w:r>
        <w:rPr/>
        <w:t>，主要原因是购买子公司少数股权所致。</w:t>
      </w:r>
    </w:p>
    <w:p>
      <w:pPr>
        <w:pStyle w:val="BodyText"/>
        <w:spacing w:line="240" w:lineRule="auto" w:before="22"/>
        <w:ind w:right="1713"/>
        <w:jc w:val="left"/>
      </w:pPr>
      <w:r>
        <w:rPr/>
        <w:t>报告期内公司经营活动的现金流量与本年度净利润存在重大差异的原因说明</w:t>
      </w:r>
    </w:p>
    <w:p>
      <w:pPr>
        <w:pStyle w:val="BodyText"/>
        <w:spacing w:line="340" w:lineRule="auto" w:before="115"/>
        <w:ind w:right="73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57,990,490.68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14.42%</w:t>
            </w:r>
          </w:p>
        </w:tc>
      </w:tr>
    </w:tbl>
    <w:p>
      <w:pPr>
        <w:pStyle w:val="BodyText"/>
        <w:spacing w:line="240" w:lineRule="auto" w:before="49"/>
        <w:ind w:right="1713"/>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40" w:lineRule="auto" w:before="44"/>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87,087,257.88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47.61%</w:t>
            </w:r>
          </w:p>
        </w:tc>
      </w:tr>
    </w:tbl>
    <w:p>
      <w:pPr>
        <w:pStyle w:val="BodyText"/>
        <w:spacing w:line="240" w:lineRule="auto" w:before="49"/>
        <w:ind w:right="1713"/>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40" w:lineRule="auto" w:before="101"/>
        <w:ind w:right="4053"/>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38" w:lineRule="auto" w:before="41"/>
        <w:ind w:left="513" w:right="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报告期内，公司继续推进招股说明书中披露的战略发展规划。针对不同服务群体，包括政府相关部门、业务衍生机构、</w:t>
      </w:r>
    </w:p>
    <w:p>
      <w:pPr>
        <w:pStyle w:val="BodyText"/>
        <w:spacing w:line="314" w:lineRule="auto" w:before="3"/>
        <w:ind w:right="191"/>
        <w:jc w:val="both"/>
      </w:pPr>
      <w:r>
        <w:rPr>
          <w:spacing w:val="-2"/>
        </w:rPr>
        <w:t>社会公众，进一步提升公司的综合运营能力，通过对研发中心、运维中心、民生信息服务中心、社保卡及读写终端制作中心</w:t>
      </w:r>
      <w:r>
        <w:rPr>
          <w:spacing w:val="-67"/>
        </w:rPr>
        <w:t> </w:t>
      </w:r>
      <w:r>
        <w:rPr>
          <w:spacing w:val="-67"/>
        </w:rPr>
      </w:r>
      <w:r>
        <w:rPr>
          <w:spacing w:val="-2"/>
        </w:rPr>
        <w:t>的业务资源整合升级，完善研发、市场、服务的业务运营架构，强化公司在</w:t>
      </w:r>
      <w:r>
        <w:rPr>
          <w:rFonts w:ascii="Times New Roman" w:hAnsi="Times New Roman" w:cs="Times New Roman" w:eastAsia="Times New Roman" w:hint="default"/>
          <w:spacing w:val="-2"/>
        </w:rPr>
        <w:t>“</w:t>
      </w:r>
      <w:r>
        <w:rPr>
          <w:spacing w:val="-2"/>
        </w:rPr>
        <w:t>以劳动和社会保障为核心</w:t>
      </w:r>
      <w:r>
        <w:rPr>
          <w:rFonts w:ascii="Times New Roman" w:hAnsi="Times New Roman" w:cs="Times New Roman" w:eastAsia="Times New Roman" w:hint="default"/>
          <w:spacing w:val="-2"/>
        </w:rPr>
        <w:t>”</w:t>
      </w:r>
      <w:r>
        <w:rPr>
          <w:spacing w:val="-2"/>
        </w:rPr>
        <w:t>的民生行业应用解决</w:t>
      </w:r>
      <w:r>
        <w:rPr>
          <w:spacing w:val="-45"/>
        </w:rPr>
        <w:t> </w:t>
      </w:r>
      <w:r>
        <w:rPr>
          <w:spacing w:val="-2"/>
        </w:rPr>
        <w:t>方案和信息服务领域的领先优势。公司将顺应市场要求，求新求变，积极开展基础业务微创新，进一步推进民生信息服务中</w:t>
      </w:r>
      <w:r>
        <w:rPr>
          <w:spacing w:val="-64"/>
        </w:rPr>
        <w:t> </w:t>
      </w:r>
      <w:r>
        <w:rPr>
          <w:spacing w:val="-64"/>
        </w:rPr>
      </w:r>
      <w:r>
        <w:rPr>
          <w:spacing w:val="-2"/>
        </w:rPr>
        <w:t>心平台建设，构建市场化、社会化的网络服务平台，通过运营模式的创新，为参保人群提供全面的综合民生信息服务，逐步</w:t>
      </w:r>
      <w:r>
        <w:rPr>
          <w:spacing w:val="-67"/>
        </w:rPr>
        <w:t> </w:t>
      </w:r>
      <w:r>
        <w:rPr>
          <w:spacing w:val="-67"/>
        </w:rPr>
      </w:r>
      <w:r>
        <w:rPr/>
        <w:t>将公司发展成为国内领先的民生行业信息服务提供商。</w:t>
      </w:r>
    </w:p>
    <w:p>
      <w:pPr>
        <w:pStyle w:val="BodyText"/>
        <w:spacing w:line="360" w:lineRule="auto" w:before="61"/>
        <w:ind w:left="513" w:right="93" w:hanging="360"/>
        <w:jc w:val="left"/>
      </w:pPr>
      <w:r>
        <w:rPr/>
        <w:t>前期披露的发展战略和经营计划在报告期内的进展情况 </w:t>
      </w:r>
      <w:r>
        <w:rPr>
          <w:spacing w:val="-2"/>
        </w:rPr>
        <w:t>本报告期内，公司紧紧围绕发展战略和经营计划开展工作，完成了既定目标。公司将在原有市场的基础上，继续突出优</w:t>
      </w:r>
    </w:p>
    <w:p>
      <w:pPr>
        <w:pStyle w:val="BodyText"/>
        <w:spacing w:line="222" w:lineRule="exact"/>
        <w:ind w:right="0"/>
        <w:jc w:val="left"/>
      </w:pPr>
      <w:r>
        <w:rPr/>
        <w:t>势，扬长避短。注重省级中心市场开发，并利用平台优势向全省其他区域渗透。根据实际市场需求状况，细分客户，细分市</w:t>
      </w:r>
    </w:p>
    <w:p>
      <w:pPr>
        <w:pStyle w:val="BodyText"/>
        <w:spacing w:line="338" w:lineRule="auto" w:before="76"/>
        <w:ind w:right="93"/>
        <w:jc w:val="left"/>
      </w:pPr>
      <w:r>
        <w:rPr>
          <w:spacing w:val="-2"/>
        </w:rPr>
        <w:t>场，设法提供满足客户需求的产品和服务。面对行业竞争突出技术优势，保持良好口碑。建立起企业风险防控体制，及早注</w:t>
      </w:r>
      <w:r>
        <w:rPr>
          <w:spacing w:val="-67"/>
        </w:rPr>
        <w:t> </w:t>
      </w:r>
      <w:r>
        <w:rPr>
          <w:spacing w:val="-67"/>
        </w:rPr>
      </w:r>
      <w:r>
        <w:rPr/>
        <w:t>意规避市场风险，防范风险带来的压力。争取发展成为国内覆盖人群面最大、服务最便捷的综合民生信息服务提供商。 公司实际经营业绩较曾公开披露过的本年度盈利预测低于或高于</w:t>
      </w:r>
      <w:r>
        <w:rPr>
          <w:spacing w:val="-44"/>
        </w:rPr>
        <w:t> </w:t>
      </w:r>
      <w:r>
        <w:rPr>
          <w:rFonts w:ascii="Times New Roman" w:hAnsi="Times New Roman" w:cs="Times New Roman" w:eastAsia="Times New Roman" w:hint="default"/>
        </w:rPr>
        <w:t>20%</w:t>
      </w:r>
      <w:r>
        <w:rPr/>
        <w:t>以上的差异原因</w:t>
      </w:r>
    </w:p>
    <w:p>
      <w:pPr>
        <w:pStyle w:val="BodyText"/>
        <w:spacing w:line="240" w:lineRule="auto" w:before="20"/>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1713"/>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1713"/>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1"/>
        <w:ind w:left="0" w:right="19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402,179,494.09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186,063,578.24</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206,417,928.16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102,424,191.20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63,123,909.61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47,666,062.18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129,359,331.28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34,993,639.92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3,278,325.04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979,684.94</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170,249,807.65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95,786,554.19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51,792,629.46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29,244,131.68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53,401,265.08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20,079,026.53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36,959,915.61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12,621,279.91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3,068,074.10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-1,192,865.71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27,918,696.41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11,840,594.91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2,050,521.78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280,232.20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25,940,328.48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9,136,766.90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6,313,802.26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929,569.48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1,092,233.01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765,262.94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8,412,986.88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3,843,012.92</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258,119.66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223,416.90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620,164.64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289,555.24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177,327.34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169,235.95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13,170,057.46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1,658,180.71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753,564.27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389,623.49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18"/>
        <w:jc w:val="left"/>
      </w:pPr>
      <w:r>
        <w:rPr>
          <w:rFonts w:ascii="Times New Roman" w:hAnsi="Times New Roman" w:cs="Times New Roman" w:eastAsia="Times New Roman" w:hint="default"/>
        </w:rPr>
        <w:t>2</w:t>
      </w:r>
      <w:r>
        <w:rPr/>
        <w:t>）占比</w:t>
      </w:r>
      <w:r>
        <w:rPr>
          <w:spacing w:val="-47"/>
        </w:rPr>
        <w:t> </w:t>
      </w:r>
      <w:r>
        <w:rPr>
          <w:rFonts w:ascii="Times New Roman" w:hAnsi="Times New Roman" w:cs="Times New Roman" w:eastAsia="Times New Roman" w:hint="default"/>
        </w:rPr>
        <w:t>10%</w:t>
      </w:r>
      <w:r>
        <w:rPr/>
        <w:t>以上的产品、行业或地区情况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499" w:space="5421"/>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402,179,494.09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216,115,915.85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206,417,928.16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103,993,736.96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63,123,909.61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15,457,847.43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129,359,331.28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94,365,691.36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74.24%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170,249,807.65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74,463,253.46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51,792,629.46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22,548,497.78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53,401,265.08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33,322,238.55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r>
    </w:tbl>
    <w:p>
      <w:pPr>
        <w:pStyle w:val="BodyText"/>
        <w:spacing w:line="240" w:lineRule="auto" w:before="49"/>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50"/>
        <w:jc w:val="right"/>
      </w:pPr>
      <w:r>
        <w:rPr/>
        <w:t>单位：元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6"/>
        <w:gridCol w:w="1165"/>
        <w:gridCol w:w="1063"/>
        <w:gridCol w:w="1196"/>
        <w:gridCol w:w="1063"/>
        <w:gridCol w:w="797"/>
        <w:gridCol w:w="2919"/>
      </w:tblGrid>
      <w:tr>
        <w:trPr>
          <w:trHeight w:val="380"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5"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3" w:space="0" w:color="FFFFFF"/>
              <w:left w:val="single" w:sz="4" w:space="0" w:color="000000"/>
              <w:right w:val="single" w:sz="4" w:space="0" w:color="000000"/>
            </w:tcBorders>
            <w:shd w:val="clear" w:color="auto" w:fill="D2D2D2"/>
          </w:tcPr>
          <w:p>
            <w:pPr>
              <w:pStyle w:val="TableParagraph"/>
              <w:spacing w:line="314" w:lineRule="auto" w:before="61"/>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396,391,272.0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44.27%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392,227,331.53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48.49%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-4.22%</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232,640,574.7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25.98%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191,320,769.62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23.65%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2.33%</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75,603,379.09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57,726,393.89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5" w:type="dxa"/>
            <w:tcBorders>
              <w:top w:val="single" w:sz="4" w:space="0" w:color="000000"/>
              <w:left w:val="single" w:sz="12"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5,275,064.60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3,519,980.33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113,870,493.7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12.72%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95,563,654.98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11.81%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0.91%</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77"/>
        <w:gridCol w:w="1052"/>
        <w:gridCol w:w="1206"/>
        <w:gridCol w:w="1040"/>
        <w:gridCol w:w="808"/>
        <w:gridCol w:w="2919"/>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7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24"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0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0" w:type="dxa"/>
            <w:vMerge w:val="restart"/>
            <w:tcBorders>
              <w:top w:val="single" w:sz="14" w:space="0" w:color="FFFFFF"/>
              <w:left w:val="single" w:sz="4" w:space="0" w:color="000000"/>
              <w:right w:val="single" w:sz="4" w:space="0" w:color="000000"/>
            </w:tcBorders>
            <w:shd w:val="clear" w:color="auto" w:fill="D2D2D2"/>
          </w:tcPr>
          <w:p>
            <w:pPr>
              <w:pStyle w:val="TableParagraph"/>
              <w:spacing w:line="314" w:lineRule="auto" w:before="58"/>
              <w:ind w:left="424"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77"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4,684,166.88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0.52%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 w:right="0"/>
              <w:jc w:val="left"/>
              <w:rPr>
                <w:rFonts w:ascii="Times New Roman" w:hAnsi="Times New Roman" w:cs="Times New Roman" w:eastAsia="Times New Roman" w:hint="default"/>
                <w:sz w:val="18"/>
                <w:szCs w:val="18"/>
              </w:rPr>
            </w:pPr>
            <w:r>
              <w:rPr>
                <w:rFonts w:ascii="Times New Roman"/>
                <w:sz w:val="18"/>
              </w:rPr>
              <w:t>6,691,666.80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0.83%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-0.31%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4"/>
        <w:gridCol w:w="1058"/>
        <w:gridCol w:w="670"/>
        <w:gridCol w:w="1594"/>
        <w:gridCol w:w="925"/>
        <w:gridCol w:w="139"/>
        <w:gridCol w:w="1063"/>
        <w:gridCol w:w="929"/>
        <w:gridCol w:w="1058"/>
      </w:tblGrid>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9,250,000.00</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4,050,000.00</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128.40%</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2" w:right="70"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5"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广东易联众计算机技术有 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软件开发及应用系统 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陈企珠</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-29,126.07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4"/>
              <w:jc w:val="center"/>
              <w:rPr>
                <w:rFonts w:ascii="宋体" w:hAnsi="宋体" w:cs="宋体" w:eastAsia="宋体" w:hint="default"/>
                <w:sz w:val="18"/>
                <w:szCs w:val="18"/>
              </w:rPr>
            </w:pPr>
            <w:r>
              <w:rPr>
                <w:rFonts w:ascii="宋体" w:hAnsi="宋体" w:cs="宋体" w:eastAsia="宋体" w:hint="default"/>
                <w:sz w:val="18"/>
                <w:szCs w:val="18"/>
              </w:rPr>
              <w:t>安徽易联众信息技术有限</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软件开发及应用系统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福州实达医</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 w:right="0"/>
              <w:jc w:val="center"/>
              <w:rPr>
                <w:rFonts w:ascii="Times New Roman" w:hAnsi="Times New Roman" w:cs="Times New Roman" w:eastAsia="Times New Roman" w:hint="default"/>
                <w:sz w:val="18"/>
                <w:szCs w:val="18"/>
              </w:rPr>
            </w:pPr>
            <w:r>
              <w:rPr>
                <w:rFonts w:ascii="Times New Roman"/>
                <w:sz w:val="18"/>
              </w:rPr>
              <w:t>6,361,173.7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37"/>
        <w:gridCol w:w="1728"/>
        <w:gridCol w:w="1594"/>
        <w:gridCol w:w="1064"/>
        <w:gridCol w:w="1063"/>
        <w:gridCol w:w="929"/>
        <w:gridCol w:w="1058"/>
      </w:tblGrid>
      <w:tr>
        <w:trPr>
          <w:trHeight w:val="675"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7"/>
              <w:jc w:val="left"/>
              <w:rPr>
                <w:rFonts w:ascii="宋体" w:hAnsi="宋体" w:cs="宋体" w:eastAsia="宋体" w:hint="default"/>
                <w:sz w:val="18"/>
                <w:szCs w:val="18"/>
              </w:rPr>
            </w:pPr>
            <w:r>
              <w:rPr>
                <w:rFonts w:ascii="宋体" w:hAnsi="宋体" w:cs="宋体" w:eastAsia="宋体" w:hint="default"/>
                <w:sz w:val="18"/>
                <w:szCs w:val="18"/>
              </w:rPr>
              <w:t>疗系统有限 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w:t>
            </w:r>
          </w:p>
        </w:tc>
        <w:tc>
          <w:tcPr>
            <w:tcW w:w="1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18"/>
        <w:jc w:val="left"/>
      </w:pPr>
      <w:r>
        <w:rPr>
          <w:rFonts w:ascii="Times New Roman" w:hAnsi="Times New Roman" w:cs="Times New Roman" w:eastAsia="Times New Roman" w:hint="default"/>
        </w:rPr>
        <w:t>2</w:t>
      </w:r>
      <w:r>
        <w:rPr/>
        <w:t>）募集资金使用情况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rFonts w:ascii="Times New Roman" w:hAnsi="Times New Roman" w:cs="Times New Roman" w:eastAsia="Times New Roman" w:hint="default"/>
        </w:rPr>
        <w:t>1.</w:t>
      </w:r>
      <w:r>
        <w:rPr/>
        <w:t>募集资金总体使用情况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91" w:space="6650"/>
            <w:col w:w="120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2"/>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39,373.9</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7,333.55</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32,634.67</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5,637.14</w:t>
            </w:r>
          </w:p>
        </w:tc>
      </w:tr>
      <w:tr>
        <w:trPr>
          <w:trHeight w:val="407"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14.32%</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3"/>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日，募集资金累计投入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32,634.67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万元，尚未使用的金额为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9,053.67</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万元（其中募集资金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6,739.23</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万元，专户存储累计利息扣除手续费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2,314.44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万元）。尚未使用的募集资金均存储于募集资金专户中。</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pStyle w:val="BodyText"/>
        <w:spacing w:line="240" w:lineRule="auto" w:before="49"/>
        <w:ind w:right="-18"/>
        <w:jc w:val="left"/>
      </w:pPr>
      <w:r>
        <w:rPr>
          <w:rFonts w:ascii="Times New Roman" w:hAnsi="Times New Roman" w:cs="Times New Roman" w:eastAsia="Times New Roman" w:hint="default"/>
        </w:rPr>
        <w:t>2.</w:t>
      </w:r>
      <w:r>
        <w:rPr/>
        <w:t>募集资金承诺项目情况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91" w:space="6650"/>
            <w:col w:w="12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16"/>
        <w:gridCol w:w="694"/>
        <w:gridCol w:w="767"/>
        <w:gridCol w:w="720"/>
        <w:gridCol w:w="720"/>
        <w:gridCol w:w="722"/>
        <w:gridCol w:w="722"/>
        <w:gridCol w:w="721"/>
        <w:gridCol w:w="722"/>
        <w:gridCol w:w="722"/>
        <w:gridCol w:w="723"/>
        <w:gridCol w:w="722"/>
      </w:tblGrid>
      <w:tr>
        <w:trPr>
          <w:trHeight w:val="1649"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62" w:right="7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75" w:right="6"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0" w:right="84"/>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both"/>
              <w:rPr>
                <w:rFonts w:ascii="宋体" w:hAnsi="宋体" w:cs="宋体" w:eastAsia="宋体" w:hint="default"/>
                <w:sz w:val="18"/>
                <w:szCs w:val="18"/>
              </w:rPr>
            </w:pPr>
            <w:r>
              <w:rPr>
                <w:rFonts w:ascii="宋体" w:hAnsi="宋体" w:cs="宋体" w:eastAsia="宋体" w:hint="default"/>
                <w:sz w:val="18"/>
                <w:szCs w:val="18"/>
              </w:rPr>
              <w:t>研发中心平台建设 与软件升级产业化 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5,217.02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5,217.02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2,064.69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4,048.82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77.61%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2,286.88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40"/>
              <w:jc w:val="left"/>
              <w:rPr>
                <w:rFonts w:ascii="宋体" w:hAnsi="宋体" w:cs="宋体" w:eastAsia="宋体" w:hint="default"/>
                <w:sz w:val="18"/>
                <w:szCs w:val="18"/>
              </w:rPr>
            </w:pPr>
            <w:r>
              <w:rPr>
                <w:rFonts w:ascii="宋体" w:hAnsi="宋体" w:cs="宋体" w:eastAsia="宋体" w:hint="default"/>
                <w:sz w:val="18"/>
                <w:szCs w:val="18"/>
              </w:rPr>
              <w:t>运维体系及灾备服 务平台项目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4,989.72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1,959.68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1,870.77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95.46%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1,348.46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0"/>
              <w:jc w:val="left"/>
              <w:rPr>
                <w:rFonts w:ascii="宋体" w:hAnsi="宋体" w:cs="宋体" w:eastAsia="宋体" w:hint="default"/>
                <w:sz w:val="18"/>
                <w:szCs w:val="18"/>
              </w:rPr>
            </w:pPr>
            <w:r>
              <w:rPr>
                <w:rFonts w:ascii="宋体" w:hAnsi="宋体" w:cs="宋体" w:eastAsia="宋体" w:hint="default"/>
                <w:sz w:val="18"/>
                <w:szCs w:val="18"/>
              </w:rPr>
              <w:t>民生一体化综合信 息服务平台项目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1,229.66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3,938.16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81.86%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652.48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1,288.37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0"/>
              <w:jc w:val="left"/>
              <w:rPr>
                <w:rFonts w:ascii="宋体" w:hAnsi="宋体" w:cs="宋体" w:eastAsia="宋体" w:hint="default"/>
                <w:sz w:val="18"/>
                <w:szCs w:val="18"/>
              </w:rPr>
            </w:pPr>
            <w:r>
              <w:rPr>
                <w:rFonts w:ascii="宋体" w:hAnsi="宋体" w:cs="宋体" w:eastAsia="宋体" w:hint="default"/>
                <w:sz w:val="18"/>
                <w:szCs w:val="18"/>
              </w:rPr>
              <w:t>社会保障卡及读写 终端制作中心项目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3,761.23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3,761.23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3,178.77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84.51%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2,770.97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6"/>
              <w:jc w:val="center"/>
              <w:rPr>
                <w:rFonts w:ascii="Times New Roman" w:hAnsi="Times New Roman" w:cs="Times New Roman" w:eastAsia="Times New Roman" w:hint="default"/>
                <w:sz w:val="18"/>
                <w:szCs w:val="18"/>
              </w:rPr>
            </w:pPr>
            <w:r>
              <w:rPr>
                <w:rFonts w:ascii="Times New Roman"/>
                <w:sz w:val="18"/>
              </w:rPr>
              <w:t>--</w:t>
            </w:r>
          </w:p>
        </w:tc>
        <w:tc>
          <w:tcPr>
            <w:tcW w:w="7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18,779.07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15,749.0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3,303.82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 w:right="0"/>
              <w:jc w:val="left"/>
              <w:rPr>
                <w:rFonts w:ascii="Times New Roman" w:hAnsi="Times New Roman" w:cs="Times New Roman" w:eastAsia="Times New Roman" w:hint="default"/>
                <w:sz w:val="18"/>
                <w:szCs w:val="18"/>
              </w:rPr>
            </w:pPr>
            <w:r>
              <w:rPr>
                <w:rFonts w:ascii="Times New Roman"/>
                <w:sz w:val="18"/>
              </w:rPr>
              <w:t>13,036.5</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2,302.88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7,694.68</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16"/>
        <w:gridCol w:w="694"/>
        <w:gridCol w:w="767"/>
        <w:gridCol w:w="720"/>
        <w:gridCol w:w="720"/>
        <w:gridCol w:w="697"/>
        <w:gridCol w:w="748"/>
        <w:gridCol w:w="721"/>
        <w:gridCol w:w="722"/>
        <w:gridCol w:w="722"/>
        <w:gridCol w:w="723"/>
        <w:gridCol w:w="722"/>
      </w:tblGrid>
      <w:tr>
        <w:trPr>
          <w:trHeight w:val="368"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2</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6"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投资设立大连易联 众科技有限公司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92.9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both"/>
              <w:rPr>
                <w:rFonts w:ascii="宋体" w:hAnsi="宋体" w:cs="宋体" w:eastAsia="宋体" w:hint="default"/>
                <w:sz w:val="18"/>
                <w:szCs w:val="18"/>
              </w:rPr>
            </w:pPr>
            <w:r>
              <w:rPr>
                <w:rFonts w:ascii="宋体" w:hAnsi="宋体" w:cs="宋体" w:eastAsia="宋体" w:hint="default"/>
                <w:sz w:val="18"/>
                <w:szCs w:val="18"/>
              </w:rPr>
              <w:t>投资设立福建易联 众电子科技有限公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w:t>
            </w:r>
          </w:p>
        </w:tc>
        <w:tc>
          <w:tcPr>
            <w:tcW w:w="720"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z w:val="18"/>
              </w:rPr>
              <w:t>510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-192.19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-334.53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4" w:right="11"/>
              <w:jc w:val="left"/>
              <w:rPr>
                <w:rFonts w:ascii="宋体" w:hAnsi="宋体" w:cs="宋体" w:eastAsia="宋体" w:hint="default"/>
                <w:sz w:val="18"/>
                <w:szCs w:val="18"/>
              </w:rPr>
            </w:pPr>
            <w:r>
              <w:rPr>
                <w:rFonts w:ascii="宋体" w:hAnsi="宋体" w:cs="宋体" w:eastAsia="宋体" w:hint="default"/>
                <w:sz w:val="18"/>
                <w:szCs w:val="18"/>
              </w:rPr>
              <w:t>购置福州软件园产 业基地二期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 楼项目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29.73</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2,995.2</w:t>
            </w:r>
          </w:p>
          <w:p>
            <w:pPr>
              <w:pStyle w:val="TableParagraph"/>
              <w:spacing w:line="240" w:lineRule="auto" w:before="105"/>
              <w:ind w:right="46"/>
              <w:jc w:val="right"/>
              <w:rPr>
                <w:rFonts w:ascii="Times New Roman" w:hAnsi="Times New Roman" w:cs="Times New Roman" w:eastAsia="Times New Roman" w:hint="default"/>
                <w:sz w:val="18"/>
                <w:szCs w:val="18"/>
              </w:rPr>
            </w:pPr>
            <w:r>
              <w:rPr>
                <w:rFonts w:ascii="Times New Roman"/>
                <w:sz w:val="18"/>
              </w:rPr>
              <w:t>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93.60%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用于购 买办公 </w:t>
            </w:r>
            <w:r>
              <w:rPr>
                <w:rFonts w:ascii="宋体" w:hAnsi="宋体" w:cs="宋体" w:eastAsia="宋体" w:hint="default"/>
                <w:spacing w:val="-14"/>
                <w:sz w:val="18"/>
                <w:szCs w:val="18"/>
              </w:rPr>
              <w:t>楼，没有</w:t>
            </w:r>
            <w:r>
              <w:rPr>
                <w:rFonts w:ascii="宋体" w:hAnsi="宋体" w:cs="宋体" w:eastAsia="宋体" w:hint="default"/>
                <w:sz w:val="18"/>
                <w:szCs w:val="18"/>
              </w:rPr>
              <w:t> 产生直 接经济 效益</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16,000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16,000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4,000</w:t>
            </w: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16,000</w:t>
            </w:r>
          </w:p>
        </w:tc>
        <w:tc>
          <w:tcPr>
            <w:tcW w:w="748"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16" w:type="dxa"/>
            <w:vMerge/>
            <w:tcBorders>
              <w:left w:val="single" w:sz="4" w:space="0" w:color="000000"/>
              <w:right w:val="single" w:sz="4" w:space="0" w:color="000000"/>
            </w:tcBorders>
            <w:shd w:val="clear" w:color="auto" w:fill="D2D2D2"/>
          </w:tcPr>
          <w:p>
            <w:pPr/>
          </w:p>
        </w:tc>
        <w:tc>
          <w:tcPr>
            <w:tcW w:w="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67" w:type="dxa"/>
            <w:vMerge/>
            <w:tcBorders>
              <w:left w:val="single" w:sz="10"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10"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6" w:type="dxa"/>
            <w:vMerge/>
            <w:tcBorders>
              <w:left w:val="single" w:sz="4" w:space="0" w:color="000000"/>
              <w:bottom w:val="single" w:sz="4" w:space="0" w:color="000000"/>
              <w:right w:val="single" w:sz="4" w:space="0" w:color="000000"/>
            </w:tcBorders>
            <w:shd w:val="clear" w:color="auto" w:fill="D2D2D2"/>
          </w:tcPr>
          <w:p>
            <w:pPr/>
          </w:p>
        </w:tc>
        <w:tc>
          <w:tcPr>
            <w:tcW w:w="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10"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22,500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19,710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4,029.73</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z w:val="18"/>
              </w:rPr>
              <w:t>19,598.</w:t>
            </w:r>
          </w:p>
          <w:p>
            <w:pPr>
              <w:pStyle w:val="TableParagraph"/>
              <w:spacing w:line="240" w:lineRule="auto" w:before="105"/>
              <w:ind w:right="36"/>
              <w:jc w:val="right"/>
              <w:rPr>
                <w:rFonts w:ascii="Times New Roman" w:hAnsi="Times New Roman" w:cs="Times New Roman" w:eastAsia="Times New Roman" w:hint="default"/>
                <w:sz w:val="18"/>
                <w:szCs w:val="18"/>
              </w:rPr>
            </w:pPr>
            <w:r>
              <w:rPr>
                <w:rFonts w:ascii="Times New Roman"/>
                <w:sz w:val="18"/>
              </w:rPr>
              <w:t>15</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-192.19</w:t>
            </w:r>
          </w:p>
        </w:tc>
        <w:tc>
          <w:tcPr>
            <w:tcW w:w="722"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-437.76</w:t>
            </w: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67" w:type="dxa"/>
            <w:vMerge/>
            <w:tcBorders>
              <w:left w:val="single" w:sz="10"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3"/>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10" w:space="0" w:color="D2D2D2"/>
              <w:right w:val="single" w:sz="4" w:space="0" w:color="000000"/>
            </w:tcBorders>
          </w:tcPr>
          <w:p>
            <w:pPr/>
          </w:p>
        </w:tc>
        <w:tc>
          <w:tcPr>
            <w:tcW w:w="722" w:type="dxa"/>
            <w:vMerge/>
            <w:tcBorders>
              <w:left w:val="single" w:sz="4" w:space="0" w:color="000000"/>
              <w:right w:val="single" w:sz="10" w:space="0" w:color="D2D2D2"/>
            </w:tcBorders>
          </w:tcPr>
          <w:p>
            <w:pP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10" w:space="0" w:color="D2D2D2"/>
            </w:tcBorders>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7,333.55</w:t>
            </w:r>
          </w:p>
        </w:tc>
        <w:tc>
          <w:tcPr>
            <w:tcW w:w="697" w:type="dxa"/>
            <w:vMerge w:val="restart"/>
            <w:tcBorders>
              <w:top w:val="single" w:sz="4" w:space="0" w:color="000000"/>
              <w:left w:val="single" w:sz="4" w:space="0" w:color="000000"/>
              <w:right w:val="single" w:sz="9" w:space="0" w:color="D2D2D2"/>
            </w:tcBorders>
          </w:tcPr>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z w:val="18"/>
              </w:rPr>
              <w:t>32,634.</w:t>
            </w:r>
          </w:p>
          <w:p>
            <w:pPr>
              <w:pStyle w:val="TableParagraph"/>
              <w:spacing w:line="240" w:lineRule="auto" w:before="105"/>
              <w:ind w:right="36"/>
              <w:jc w:val="right"/>
              <w:rPr>
                <w:rFonts w:ascii="Times New Roman" w:hAnsi="Times New Roman" w:cs="Times New Roman" w:eastAsia="Times New Roman" w:hint="default"/>
                <w:sz w:val="18"/>
                <w:szCs w:val="18"/>
              </w:rPr>
            </w:pPr>
            <w:r>
              <w:rPr>
                <w:rFonts w:ascii="Times New Roman"/>
                <w:sz w:val="18"/>
              </w:rPr>
              <w:t>67</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2,110.69</w:t>
            </w:r>
          </w:p>
        </w:tc>
        <w:tc>
          <w:tcPr>
            <w:tcW w:w="722"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7256.92</w:t>
            </w: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46"/>
              <w:jc w:val="right"/>
              <w:rPr>
                <w:rFonts w:ascii="Times New Roman" w:hAnsi="Times New Roman" w:cs="Times New Roman" w:eastAsia="Times New Roman" w:hint="default"/>
                <w:sz w:val="18"/>
                <w:szCs w:val="18"/>
              </w:rPr>
            </w:pPr>
            <w:r>
              <w:rPr>
                <w:rFonts w:ascii="Times New Roman"/>
                <w:sz w:val="18"/>
              </w:rPr>
              <w:t>--</w:t>
            </w:r>
          </w:p>
        </w:tc>
        <w:tc>
          <w:tcPr>
            <w:tcW w:w="767" w:type="dxa"/>
            <w:vMerge/>
            <w:tcBorders>
              <w:left w:val="single" w:sz="10"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9"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3"/>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10" w:space="0" w:color="D2D2D2"/>
              <w:right w:val="single" w:sz="4" w:space="0" w:color="000000"/>
            </w:tcBorders>
          </w:tcPr>
          <w:p>
            <w:pPr/>
          </w:p>
        </w:tc>
        <w:tc>
          <w:tcPr>
            <w:tcW w:w="722" w:type="dxa"/>
            <w:vMerge/>
            <w:tcBorders>
              <w:left w:val="single" w:sz="4" w:space="0" w:color="000000"/>
              <w:right w:val="single" w:sz="10" w:space="0" w:color="D2D2D2"/>
            </w:tcBorders>
          </w:tcPr>
          <w:p>
            <w:pP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9"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10"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10" w:space="0" w:color="D2D2D2"/>
            </w:tcBorders>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8"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5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7" w:type="dxa"/>
            <w:gridSpan w:val="11"/>
            <w:vMerge w:val="restart"/>
            <w:tcBorders>
              <w:top w:val="single" w:sz="4" w:space="0" w:color="000000"/>
              <w:left w:val="single" w:sz="10" w:space="0" w:color="D2D2D2"/>
              <w:right w:val="single" w:sz="4" w:space="0" w:color="000000"/>
            </w:tcBorders>
          </w:tcPr>
          <w:p>
            <w:pPr>
              <w:pStyle w:val="TableParagraph"/>
              <w:spacing w:line="316" w:lineRule="auto" w:before="49"/>
              <w:ind w:left="34" w:right="21"/>
              <w:jc w:val="left"/>
              <w:rPr>
                <w:rFonts w:ascii="宋体" w:hAnsi="宋体" w:cs="宋体" w:eastAsia="宋体" w:hint="default"/>
                <w:sz w:val="18"/>
                <w:szCs w:val="18"/>
              </w:rPr>
            </w:pPr>
            <w:r>
              <w:rPr>
                <w:rFonts w:ascii="宋体" w:hAnsi="宋体" w:cs="宋体" w:eastAsia="宋体" w:hint="default"/>
                <w:spacing w:val="-1"/>
                <w:sz w:val="18"/>
                <w:szCs w:val="18"/>
              </w:rPr>
              <w:t>运维体系及灾备服务平台项目、投资设立大连易联众科技有限公司项目可行性发生重大变化，详见附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年度变更募集资金投资项目情况表。</w:t>
            </w:r>
          </w:p>
        </w:tc>
      </w:tr>
      <w:tr>
        <w:trPr>
          <w:trHeight w:val="703" w:hRule="exact"/>
        </w:trPr>
        <w:tc>
          <w:tcPr>
            <w:tcW w:w="16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57" w:type="dxa"/>
            <w:gridSpan w:val="11"/>
            <w:vMerge/>
            <w:tcBorders>
              <w:left w:val="single" w:sz="10" w:space="0" w:color="D2D2D2"/>
              <w:right w:val="single" w:sz="4" w:space="0" w:color="000000"/>
            </w:tcBorders>
          </w:tcPr>
          <w:p>
            <w:pPr/>
          </w:p>
        </w:tc>
      </w:tr>
      <w:tr>
        <w:trPr>
          <w:trHeight w:val="161" w:hRule="exact"/>
        </w:trPr>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7" w:type="dxa"/>
            <w:gridSpan w:val="11"/>
            <w:vMerge/>
            <w:tcBorders>
              <w:left w:val="single" w:sz="10" w:space="0" w:color="D2D2D2"/>
              <w:bottom w:val="single" w:sz="4" w:space="0" w:color="000000"/>
              <w:right w:val="single" w:sz="4" w:space="0" w:color="000000"/>
            </w:tcBorders>
          </w:tcPr>
          <w:p>
            <w:pPr/>
          </w:p>
        </w:tc>
      </w:tr>
      <w:tr>
        <w:trPr>
          <w:trHeight w:val="403" w:hRule="exact"/>
        </w:trPr>
        <w:tc>
          <w:tcPr>
            <w:tcW w:w="1616" w:type="dxa"/>
            <w:vMerge w:val="restart"/>
            <w:tcBorders>
              <w:top w:val="single" w:sz="4" w:space="0" w:color="000000"/>
              <w:left w:val="single" w:sz="4" w:space="0" w:color="000000"/>
              <w:right w:val="single" w:sz="4" w:space="0" w:color="000000"/>
            </w:tcBorders>
            <w:shd w:val="clear" w:color="auto" w:fill="D2D2D2"/>
          </w:tcPr>
          <w:p>
            <w:pPr/>
          </w:p>
        </w:tc>
        <w:tc>
          <w:tcPr>
            <w:tcW w:w="795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736" w:hRule="exact"/>
        </w:trPr>
        <w:tc>
          <w:tcPr>
            <w:tcW w:w="1616" w:type="dxa"/>
            <w:vMerge/>
            <w:tcBorders>
              <w:left w:val="single" w:sz="4" w:space="0" w:color="000000"/>
              <w:bottom w:val="nil" w:sz="6" w:space="0" w:color="auto"/>
              <w:right w:val="single" w:sz="4" w:space="0" w:color="000000"/>
            </w:tcBorders>
            <w:shd w:val="clear" w:color="auto" w:fill="D2D2D2"/>
          </w:tcPr>
          <w:p>
            <w:pPr/>
          </w:p>
        </w:tc>
        <w:tc>
          <w:tcPr>
            <w:tcW w:w="7957" w:type="dxa"/>
            <w:gridSpan w:val="11"/>
            <w:vMerge w:val="restart"/>
            <w:tcBorders>
              <w:top w:val="single" w:sz="4" w:space="0" w:color="000000"/>
              <w:left w:val="single" w:sz="10" w:space="0" w:color="D2D2D2"/>
              <w:right w:val="single" w:sz="4" w:space="0" w:color="000000"/>
            </w:tcBorders>
          </w:tcPr>
          <w:p>
            <w:pPr>
              <w:pStyle w:val="TableParagraph"/>
              <w:spacing w:line="240" w:lineRule="auto" w:before="49"/>
              <w:ind w:left="555" w:right="0"/>
              <w:jc w:val="center"/>
              <w:rPr>
                <w:rFonts w:ascii="宋体" w:hAnsi="宋体" w:cs="宋体" w:eastAsia="宋体" w:hint="default"/>
                <w:sz w:val="18"/>
                <w:szCs w:val="18"/>
              </w:rPr>
            </w:pPr>
            <w:r>
              <w:rPr>
                <w:rFonts w:ascii="宋体" w:hAnsi="宋体" w:cs="宋体" w:eastAsia="宋体" w:hint="default"/>
                <w:sz w:val="18"/>
                <w:szCs w:val="18"/>
              </w:rPr>
              <w:t>本公司募集资金净额</w:t>
            </w:r>
            <w:r>
              <w:rPr>
                <w:rFonts w:ascii="宋体" w:hAnsi="宋体" w:cs="宋体" w:eastAsia="宋体" w:hint="default"/>
                <w:spacing w:val="-53"/>
                <w:sz w:val="18"/>
                <w:szCs w:val="18"/>
              </w:rPr>
              <w:t> </w:t>
            </w:r>
            <w:r>
              <w:rPr>
                <w:rFonts w:ascii="宋体" w:hAnsi="宋体" w:cs="宋体" w:eastAsia="宋体" w:hint="default"/>
                <w:sz w:val="18"/>
                <w:szCs w:val="18"/>
              </w:rPr>
              <w:t>39,373.90</w:t>
            </w:r>
            <w:r>
              <w:rPr>
                <w:rFonts w:ascii="宋体" w:hAnsi="宋体" w:cs="宋体" w:eastAsia="宋体" w:hint="default"/>
                <w:spacing w:val="-50"/>
                <w:sz w:val="18"/>
                <w:szCs w:val="18"/>
              </w:rPr>
              <w:t> </w:t>
            </w:r>
            <w:r>
              <w:rPr>
                <w:rFonts w:ascii="宋体" w:hAnsi="宋体" w:cs="宋体" w:eastAsia="宋体" w:hint="default"/>
                <w:sz w:val="18"/>
                <w:szCs w:val="18"/>
              </w:rPr>
              <w:t>万元，与承诺募投项目资金</w:t>
            </w:r>
            <w:r>
              <w:rPr>
                <w:rFonts w:ascii="宋体" w:hAnsi="宋体" w:cs="宋体" w:eastAsia="宋体" w:hint="default"/>
                <w:spacing w:val="-50"/>
                <w:sz w:val="18"/>
                <w:szCs w:val="18"/>
              </w:rPr>
              <w:t> </w:t>
            </w:r>
            <w:r>
              <w:rPr>
                <w:rFonts w:ascii="宋体" w:hAnsi="宋体" w:cs="宋体" w:eastAsia="宋体" w:hint="default"/>
                <w:sz w:val="18"/>
                <w:szCs w:val="18"/>
              </w:rPr>
              <w:t>18,779.07</w:t>
            </w:r>
            <w:r>
              <w:rPr>
                <w:rFonts w:ascii="宋体" w:hAnsi="宋体" w:cs="宋体" w:eastAsia="宋体" w:hint="default"/>
                <w:spacing w:val="-50"/>
                <w:sz w:val="18"/>
                <w:szCs w:val="18"/>
              </w:rPr>
              <w:t> </w:t>
            </w:r>
            <w:r>
              <w:rPr>
                <w:rFonts w:ascii="宋体" w:hAnsi="宋体" w:cs="宋体" w:eastAsia="宋体" w:hint="default"/>
                <w:spacing w:val="-3"/>
                <w:sz w:val="18"/>
                <w:szCs w:val="18"/>
              </w:rPr>
              <w:t>万元相比，超募资金为</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20,594.83</w:t>
            </w:r>
            <w:r>
              <w:rPr>
                <w:rFonts w:ascii="宋体" w:hAnsi="宋体" w:cs="宋体" w:eastAsia="宋体" w:hint="default"/>
                <w:spacing w:val="-49"/>
                <w:sz w:val="18"/>
                <w:szCs w:val="18"/>
              </w:rPr>
              <w:t> </w:t>
            </w:r>
            <w:r>
              <w:rPr>
                <w:rFonts w:ascii="宋体" w:hAnsi="宋体" w:cs="宋体" w:eastAsia="宋体" w:hint="default"/>
                <w:sz w:val="18"/>
                <w:szCs w:val="18"/>
              </w:rPr>
              <w:t>万元，超募资金实际使用情况如下：</w:t>
            </w:r>
          </w:p>
          <w:p>
            <w:pPr>
              <w:pStyle w:val="TableParagraph"/>
              <w:spacing w:line="316" w:lineRule="auto" w:before="115"/>
              <w:ind w:left="34" w:right="19" w:firstLine="360"/>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pacing w:val="-8"/>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8</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27</w:t>
            </w:r>
            <w:r>
              <w:rPr>
                <w:rFonts w:ascii="宋体" w:hAnsi="宋体" w:cs="宋体" w:eastAsia="宋体" w:hint="default"/>
                <w:spacing w:val="-50"/>
                <w:sz w:val="18"/>
                <w:szCs w:val="18"/>
              </w:rPr>
              <w:t> </w:t>
            </w:r>
            <w:r>
              <w:rPr>
                <w:rFonts w:ascii="宋体" w:hAnsi="宋体" w:cs="宋体" w:eastAsia="宋体" w:hint="default"/>
                <w:sz w:val="18"/>
                <w:szCs w:val="18"/>
              </w:rPr>
              <w:t>日第一届董事会第七次会议审议通过，本公司使用超募资金</w:t>
            </w:r>
            <w:r>
              <w:rPr>
                <w:rFonts w:ascii="宋体" w:hAnsi="宋体" w:cs="宋体" w:eastAsia="宋体" w:hint="default"/>
                <w:spacing w:val="-50"/>
                <w:sz w:val="18"/>
                <w:szCs w:val="18"/>
              </w:rPr>
              <w:t> </w:t>
            </w:r>
            <w:r>
              <w:rPr>
                <w:rFonts w:ascii="宋体" w:hAnsi="宋体" w:cs="宋体" w:eastAsia="宋体" w:hint="default"/>
                <w:sz w:val="18"/>
                <w:szCs w:val="18"/>
              </w:rPr>
              <w:t>4,000</w:t>
            </w:r>
            <w:r>
              <w:rPr>
                <w:rFonts w:ascii="宋体" w:hAnsi="宋体" w:cs="宋体" w:eastAsia="宋体" w:hint="default"/>
                <w:spacing w:val="-51"/>
                <w:sz w:val="18"/>
                <w:szCs w:val="18"/>
              </w:rPr>
              <w:t> </w:t>
            </w:r>
            <w:r>
              <w:rPr>
                <w:rFonts w:ascii="宋体" w:hAnsi="宋体" w:cs="宋体" w:eastAsia="宋体" w:hint="default"/>
                <w:sz w:val="18"/>
                <w:szCs w:val="18"/>
              </w:rPr>
              <w:t>万元用于永 久性补充公司流动资金。</w:t>
            </w:r>
          </w:p>
          <w:p>
            <w:pPr>
              <w:pStyle w:val="TableParagraph"/>
              <w:spacing w:line="240" w:lineRule="auto" w:before="60"/>
              <w:ind w:left="394" w:right="0"/>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宋体" w:hAnsi="宋体" w:cs="宋体" w:eastAsia="宋体" w:hint="default"/>
                <w:spacing w:val="-8"/>
                <w:sz w:val="18"/>
                <w:szCs w:val="18"/>
              </w:rPr>
              <w:t>、</w:t>
            </w:r>
            <w:r>
              <w:rPr>
                <w:rFonts w:ascii="宋体" w:hAnsi="宋体" w:cs="宋体" w:eastAsia="宋体" w:hint="default"/>
                <w:spacing w:val="-8"/>
                <w:sz w:val="18"/>
                <w:szCs w:val="18"/>
              </w:rPr>
              <w:t>2010</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日第一届董事会第八次会议审议通过，本公司使用超募资金</w:t>
            </w:r>
            <w:r>
              <w:rPr>
                <w:rFonts w:ascii="宋体" w:hAnsi="宋体" w:cs="宋体" w:eastAsia="宋体" w:hint="default"/>
                <w:spacing w:val="-51"/>
                <w:sz w:val="18"/>
                <w:szCs w:val="18"/>
              </w:rPr>
              <w:t> </w:t>
            </w:r>
            <w:r>
              <w:rPr>
                <w:rFonts w:ascii="宋体" w:hAnsi="宋体" w:cs="宋体" w:eastAsia="宋体" w:hint="default"/>
                <w:sz w:val="18"/>
                <w:szCs w:val="18"/>
              </w:rPr>
              <w:t>600</w:t>
            </w:r>
            <w:r>
              <w:rPr>
                <w:rFonts w:ascii="宋体" w:hAnsi="宋体" w:cs="宋体" w:eastAsia="宋体" w:hint="default"/>
                <w:spacing w:val="-51"/>
                <w:sz w:val="18"/>
                <w:szCs w:val="18"/>
              </w:rPr>
              <w:t> </w:t>
            </w:r>
            <w:r>
              <w:rPr>
                <w:rFonts w:ascii="宋体" w:hAnsi="宋体" w:cs="宋体" w:eastAsia="宋体" w:hint="default"/>
                <w:sz w:val="18"/>
                <w:szCs w:val="18"/>
              </w:rPr>
              <w:t>万元投资设立</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45"/>
                <w:sz w:val="18"/>
                <w:szCs w:val="18"/>
              </w:rPr>
              <w:t> </w:t>
            </w:r>
            <w:r>
              <w:rPr>
                <w:rFonts w:ascii="宋体" w:hAnsi="宋体" w:cs="宋体" w:eastAsia="宋体" w:hint="default"/>
                <w:sz w:val="18"/>
                <w:szCs w:val="18"/>
              </w:rPr>
              <w:t>180</w:t>
            </w:r>
            <w:r>
              <w:rPr>
                <w:rFonts w:ascii="宋体" w:hAnsi="宋体" w:cs="宋体" w:eastAsia="宋体" w:hint="default"/>
                <w:spacing w:val="-45"/>
                <w:sz w:val="18"/>
                <w:szCs w:val="18"/>
              </w:rPr>
              <w:t> </w:t>
            </w:r>
            <w:r>
              <w:rPr>
                <w:rFonts w:ascii="宋体" w:hAnsi="宋体" w:cs="宋体" w:eastAsia="宋体" w:hint="default"/>
                <w:sz w:val="18"/>
                <w:szCs w:val="18"/>
              </w:rPr>
              <w:t>万元用于福建易联众电子科</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pacing w:val="-3"/>
                <w:sz w:val="18"/>
                <w:szCs w:val="18"/>
              </w:rPr>
              <w:t>技有限公司的首期注册资金。</w:t>
            </w:r>
            <w:r>
              <w:rPr>
                <w:rFonts w:ascii="宋体" w:hAnsi="宋体" w:cs="宋体" w:eastAsia="宋体" w:hint="default"/>
                <w:spacing w:val="-3"/>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4"/>
                <w:sz w:val="18"/>
                <w:szCs w:val="18"/>
              </w:rPr>
              <w:t>月，本公司使用超募资金</w:t>
            </w:r>
            <w:r>
              <w:rPr>
                <w:rFonts w:ascii="宋体" w:hAnsi="宋体" w:cs="宋体" w:eastAsia="宋体" w:hint="default"/>
                <w:spacing w:val="-44"/>
                <w:sz w:val="18"/>
                <w:szCs w:val="18"/>
              </w:rPr>
              <w:t> </w:t>
            </w:r>
            <w:r>
              <w:rPr>
                <w:rFonts w:ascii="宋体" w:hAnsi="宋体" w:cs="宋体" w:eastAsia="宋体" w:hint="default"/>
                <w:sz w:val="18"/>
                <w:szCs w:val="18"/>
              </w:rPr>
              <w:t>420</w:t>
            </w:r>
            <w:r>
              <w:rPr>
                <w:rFonts w:ascii="宋体" w:hAnsi="宋体" w:cs="宋体" w:eastAsia="宋体" w:hint="default"/>
                <w:spacing w:val="-44"/>
                <w:sz w:val="18"/>
                <w:szCs w:val="18"/>
              </w:rPr>
              <w:t> </w:t>
            </w:r>
            <w:r>
              <w:rPr>
                <w:rFonts w:ascii="宋体" w:hAnsi="宋体" w:cs="宋体" w:eastAsia="宋体" w:hint="default"/>
                <w:sz w:val="18"/>
                <w:szCs w:val="18"/>
              </w:rPr>
              <w:t>万元用于福建易联众电子科技有</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限公司的第二期出资。</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日，经本公司第一届董事会第十七次会议审议通过，将所持有</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r>
              <w:rPr>
                <w:rFonts w:ascii="宋体" w:hAnsi="宋体" w:cs="宋体" w:eastAsia="宋体" w:hint="default"/>
                <w:spacing w:val="-43"/>
                <w:sz w:val="18"/>
                <w:szCs w:val="18"/>
              </w:rPr>
              <w:t> </w:t>
            </w:r>
            <w:r>
              <w:rPr>
                <w:rFonts w:ascii="宋体" w:hAnsi="宋体" w:cs="宋体" w:eastAsia="宋体" w:hint="default"/>
                <w:spacing w:val="-5"/>
                <w:sz w:val="18"/>
                <w:szCs w:val="18"/>
              </w:rPr>
              <w:t>9%</w:t>
            </w:r>
            <w:r>
              <w:rPr>
                <w:rFonts w:ascii="宋体" w:hAnsi="宋体" w:cs="宋体" w:eastAsia="宋体" w:hint="default"/>
                <w:spacing w:val="-5"/>
                <w:sz w:val="18"/>
                <w:szCs w:val="18"/>
              </w:rPr>
              <w:t>的股权（出资额为</w:t>
            </w:r>
            <w:r>
              <w:rPr>
                <w:rFonts w:ascii="宋体" w:hAnsi="宋体" w:cs="宋体" w:eastAsia="宋体" w:hint="default"/>
                <w:spacing w:val="-44"/>
                <w:sz w:val="18"/>
                <w:szCs w:val="18"/>
              </w:rPr>
              <w:t> </w:t>
            </w:r>
            <w:r>
              <w:rPr>
                <w:rFonts w:ascii="宋体" w:hAnsi="宋体" w:cs="宋体" w:eastAsia="宋体" w:hint="default"/>
                <w:sz w:val="18"/>
                <w:szCs w:val="18"/>
              </w:rPr>
              <w:t>90</w:t>
            </w:r>
            <w:r>
              <w:rPr>
                <w:rFonts w:ascii="宋体" w:hAnsi="宋体" w:cs="宋体" w:eastAsia="宋体" w:hint="default"/>
                <w:spacing w:val="-43"/>
                <w:sz w:val="18"/>
                <w:szCs w:val="18"/>
              </w:rPr>
              <w:t> </w:t>
            </w:r>
            <w:r>
              <w:rPr>
                <w:rFonts w:ascii="宋体" w:hAnsi="宋体" w:cs="宋体" w:eastAsia="宋体" w:hint="default"/>
                <w:spacing w:val="-7"/>
                <w:sz w:val="18"/>
                <w:szCs w:val="18"/>
              </w:rPr>
              <w:t>万元人民币）以</w:t>
            </w:r>
            <w:r>
              <w:rPr>
                <w:rFonts w:ascii="宋体" w:hAnsi="宋体" w:cs="宋体" w:eastAsia="宋体" w:hint="default"/>
                <w:spacing w:val="-43"/>
                <w:sz w:val="18"/>
                <w:szCs w:val="18"/>
              </w:rPr>
              <w:t> </w:t>
            </w:r>
            <w:r>
              <w:rPr>
                <w:rFonts w:ascii="宋体" w:hAnsi="宋体" w:cs="宋体" w:eastAsia="宋体" w:hint="default"/>
                <w:sz w:val="18"/>
                <w:szCs w:val="18"/>
              </w:rPr>
              <w:t>90</w:t>
            </w:r>
            <w:r>
              <w:rPr>
                <w:rFonts w:ascii="宋体" w:hAnsi="宋体" w:cs="宋体" w:eastAsia="宋体" w:hint="default"/>
                <w:spacing w:val="-43"/>
                <w:sz w:val="18"/>
                <w:szCs w:val="18"/>
              </w:rPr>
              <w:t> </w:t>
            </w:r>
            <w:r>
              <w:rPr>
                <w:rFonts w:ascii="宋体" w:hAnsi="宋体" w:cs="宋体" w:eastAsia="宋体" w:hint="default"/>
                <w:sz w:val="18"/>
                <w:szCs w:val="18"/>
              </w:rPr>
              <w:t>万元人民币的价格转让给福</w:t>
            </w:r>
          </w:p>
          <w:p>
            <w:pPr>
              <w:pStyle w:val="TableParagraph"/>
              <w:spacing w:line="316" w:lineRule="auto" w:before="76"/>
              <w:ind w:left="34" w:right="17"/>
              <w:jc w:val="left"/>
              <w:rPr>
                <w:rFonts w:ascii="宋体" w:hAnsi="宋体" w:cs="宋体" w:eastAsia="宋体" w:hint="default"/>
                <w:sz w:val="18"/>
                <w:szCs w:val="18"/>
              </w:rPr>
            </w:pPr>
            <w:r>
              <w:rPr>
                <w:rFonts w:ascii="宋体" w:hAnsi="宋体" w:cs="宋体" w:eastAsia="宋体" w:hint="default"/>
                <w:sz w:val="18"/>
                <w:szCs w:val="18"/>
              </w:rPr>
              <w:t>建易联众电子科技有限公司的三位技术人员施莹、高扬和阮文华，股权转让款已于</w:t>
            </w:r>
            <w:r>
              <w:rPr>
                <w:rFonts w:ascii="宋体" w:hAnsi="宋体" w:cs="宋体" w:eastAsia="宋体" w:hint="default"/>
                <w:spacing w:val="-50"/>
                <w:sz w:val="18"/>
                <w:szCs w:val="18"/>
              </w:rPr>
              <w:t> </w:t>
            </w:r>
            <w:r>
              <w:rPr>
                <w:rFonts w:ascii="宋体" w:hAnsi="宋体" w:cs="宋体" w:eastAsia="宋体" w:hint="default"/>
                <w:sz w:val="18"/>
                <w:szCs w:val="18"/>
              </w:rPr>
              <w:t>2013</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10</w:t>
            </w:r>
            <w:r>
              <w:rPr>
                <w:rFonts w:ascii="宋体" w:hAnsi="宋体" w:cs="宋体" w:eastAsia="宋体" w:hint="default"/>
                <w:spacing w:val="-51"/>
                <w:sz w:val="18"/>
                <w:szCs w:val="18"/>
              </w:rPr>
              <w:t> </w:t>
            </w:r>
            <w:r>
              <w:rPr>
                <w:rFonts w:ascii="宋体" w:hAnsi="宋体" w:cs="宋体" w:eastAsia="宋体" w:hint="default"/>
                <w:sz w:val="18"/>
                <w:szCs w:val="18"/>
              </w:rPr>
              <w:t>日 归还至募集资金专用账户。</w:t>
            </w:r>
          </w:p>
          <w:p>
            <w:pPr>
              <w:pStyle w:val="TableParagraph"/>
              <w:spacing w:line="357" w:lineRule="auto" w:before="59"/>
              <w:ind w:left="394" w:right="21"/>
              <w:jc w:val="left"/>
              <w:rPr>
                <w:rFonts w:ascii="宋体" w:hAnsi="宋体" w:cs="宋体" w:eastAsia="宋体" w:hint="default"/>
                <w:sz w:val="18"/>
                <w:szCs w:val="18"/>
              </w:rPr>
            </w:pPr>
            <w:r>
              <w:rPr>
                <w:rFonts w:ascii="宋体" w:hAnsi="宋体" w:cs="宋体" w:eastAsia="宋体" w:hint="default"/>
                <w:sz w:val="18"/>
                <w:szCs w:val="18"/>
              </w:rPr>
              <w:t>公司使用超募资金投资的子公司—福建易联众电子科技未达到预计效益的情况和原因 </w:t>
            </w:r>
            <w:r>
              <w:rPr>
                <w:rFonts w:ascii="宋体" w:hAnsi="宋体" w:cs="宋体" w:eastAsia="宋体" w:hint="default"/>
                <w:spacing w:val="-1"/>
                <w:sz w:val="18"/>
                <w:szCs w:val="18"/>
              </w:rPr>
              <w:t>本报告期，福建易联众电子科技实际实现的效益与预计效益存在差异的主要原因是：福建易联众</w:t>
            </w:r>
          </w:p>
          <w:p>
            <w:pPr>
              <w:pStyle w:val="TableParagraph"/>
              <w:spacing w:line="224" w:lineRule="exact"/>
              <w:ind w:left="34" w:right="-15"/>
              <w:jc w:val="left"/>
              <w:rPr>
                <w:rFonts w:ascii="宋体" w:hAnsi="宋体" w:cs="宋体" w:eastAsia="宋体" w:hint="default"/>
                <w:sz w:val="18"/>
                <w:szCs w:val="18"/>
              </w:rPr>
            </w:pPr>
            <w:r>
              <w:rPr>
                <w:rFonts w:ascii="宋体" w:hAnsi="宋体" w:cs="宋体" w:eastAsia="宋体" w:hint="default"/>
                <w:sz w:val="18"/>
                <w:szCs w:val="18"/>
              </w:rPr>
              <w:t>电子科技针对银行安全认证及相关产品正在进行福建省外的全国市场的业务拓展没有达到预期目标。</w:t>
            </w:r>
          </w:p>
        </w:tc>
      </w:tr>
      <w:tr>
        <w:trPr>
          <w:trHeight w:val="706" w:hRule="exact"/>
        </w:trPr>
        <w:tc>
          <w:tcPr>
            <w:tcW w:w="16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57" w:type="dxa"/>
            <w:gridSpan w:val="11"/>
            <w:vMerge/>
            <w:tcBorders>
              <w:left w:val="single" w:sz="10" w:space="0" w:color="D2D2D2"/>
              <w:right w:val="single" w:sz="4" w:space="0" w:color="000000"/>
            </w:tcBorders>
          </w:tcPr>
          <w:p>
            <w:pPr/>
          </w:p>
        </w:tc>
      </w:tr>
      <w:tr>
        <w:trPr>
          <w:trHeight w:val="2136" w:hRule="exact"/>
        </w:trPr>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7"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1"/>
        <w:gridCol w:w="7941"/>
      </w:tblGrid>
      <w:tr>
        <w:trPr>
          <w:trHeight w:val="8874"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9"/>
              <w:jc w:val="left"/>
              <w:rPr>
                <w:rFonts w:ascii="宋体" w:hAnsi="宋体" w:cs="宋体" w:eastAsia="宋体" w:hint="default"/>
                <w:sz w:val="18"/>
                <w:szCs w:val="18"/>
              </w:rPr>
            </w:pPr>
            <w:r>
              <w:rPr>
                <w:rFonts w:ascii="宋体" w:hAnsi="宋体" w:cs="宋体" w:eastAsia="宋体" w:hint="default"/>
                <w:spacing w:val="-1"/>
                <w:sz w:val="18"/>
                <w:szCs w:val="18"/>
              </w:rPr>
              <w:t>本报告期，虽然利润实现上没有达到预期的目标，公司推出的新产品银行智能填单系统及多功能助农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终端已经在福建、贵州、云南、江苏、河南等地用户开始试用、推广。”</w:t>
            </w:r>
          </w:p>
          <w:p>
            <w:pPr>
              <w:pStyle w:val="TableParagraph"/>
              <w:spacing w:line="240" w:lineRule="auto" w:before="58"/>
              <w:ind w:left="386" w:right="0"/>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宋体" w:hAnsi="宋体" w:cs="宋体" w:eastAsia="宋体" w:hint="default"/>
                <w:spacing w:val="-8"/>
                <w:sz w:val="18"/>
                <w:szCs w:val="18"/>
              </w:rPr>
              <w:t>、</w:t>
            </w:r>
            <w:r>
              <w:rPr>
                <w:rFonts w:ascii="宋体" w:hAnsi="宋体" w:cs="宋体" w:eastAsia="宋体" w:hint="default"/>
                <w:spacing w:val="-8"/>
                <w:sz w:val="18"/>
                <w:szCs w:val="18"/>
              </w:rPr>
              <w:t>2010</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日第一届董事会第八次会议审议通过，本公司使用超募资金</w:t>
            </w:r>
            <w:r>
              <w:rPr>
                <w:rFonts w:ascii="宋体" w:hAnsi="宋体" w:cs="宋体" w:eastAsia="宋体" w:hint="default"/>
                <w:spacing w:val="-51"/>
                <w:sz w:val="18"/>
                <w:szCs w:val="18"/>
              </w:rPr>
              <w:t> </w:t>
            </w:r>
            <w:r>
              <w:rPr>
                <w:rFonts w:ascii="宋体" w:hAnsi="宋体" w:cs="宋体" w:eastAsia="宋体" w:hint="default"/>
                <w:sz w:val="18"/>
                <w:szCs w:val="18"/>
              </w:rPr>
              <w:t>2,700</w:t>
            </w:r>
            <w:r>
              <w:rPr>
                <w:rFonts w:ascii="宋体" w:hAnsi="宋体" w:cs="宋体" w:eastAsia="宋体" w:hint="default"/>
                <w:spacing w:val="-52"/>
                <w:sz w:val="18"/>
                <w:szCs w:val="18"/>
              </w:rPr>
              <w:t> </w:t>
            </w:r>
            <w:r>
              <w:rPr>
                <w:rFonts w:ascii="宋体" w:hAnsi="宋体" w:cs="宋体" w:eastAsia="宋体" w:hint="default"/>
                <w:sz w:val="18"/>
                <w:szCs w:val="18"/>
              </w:rPr>
              <w:t>万元投资设</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立大连易联众科技有限公司。</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46"/>
                <w:sz w:val="18"/>
                <w:szCs w:val="18"/>
              </w:rPr>
              <w:t> </w:t>
            </w:r>
            <w:r>
              <w:rPr>
                <w:rFonts w:ascii="宋体" w:hAnsi="宋体" w:cs="宋体" w:eastAsia="宋体" w:hint="default"/>
                <w:sz w:val="18"/>
                <w:szCs w:val="18"/>
              </w:rPr>
              <w:t>945</w:t>
            </w:r>
            <w:r>
              <w:rPr>
                <w:rFonts w:ascii="宋体" w:hAnsi="宋体" w:cs="宋体" w:eastAsia="宋体" w:hint="default"/>
                <w:spacing w:val="-46"/>
                <w:sz w:val="18"/>
                <w:szCs w:val="18"/>
              </w:rPr>
              <w:t> </w:t>
            </w:r>
            <w:r>
              <w:rPr>
                <w:rFonts w:ascii="宋体" w:hAnsi="宋体" w:cs="宋体" w:eastAsia="宋体" w:hint="default"/>
                <w:sz w:val="18"/>
                <w:szCs w:val="18"/>
              </w:rPr>
              <w:t>万元用于大连易联众科技有限</w:t>
            </w:r>
          </w:p>
          <w:p>
            <w:pPr>
              <w:pStyle w:val="TableParagraph"/>
              <w:spacing w:line="316" w:lineRule="auto" w:before="76"/>
              <w:ind w:left="26" w:right="24"/>
              <w:jc w:val="left"/>
              <w:rPr>
                <w:rFonts w:ascii="宋体" w:hAnsi="宋体" w:cs="宋体" w:eastAsia="宋体" w:hint="default"/>
                <w:sz w:val="18"/>
                <w:szCs w:val="18"/>
              </w:rPr>
            </w:pPr>
            <w:r>
              <w:rPr>
                <w:rFonts w:ascii="宋体" w:hAnsi="宋体" w:cs="宋体" w:eastAsia="宋体" w:hint="default"/>
                <w:sz w:val="18"/>
                <w:szCs w:val="18"/>
              </w:rPr>
              <w:t>公司的首期注册资金。</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48"/>
                <w:sz w:val="18"/>
                <w:szCs w:val="18"/>
              </w:rPr>
              <w:t> </w:t>
            </w:r>
            <w:r>
              <w:rPr>
                <w:rFonts w:ascii="宋体" w:hAnsi="宋体" w:cs="宋体" w:eastAsia="宋体" w:hint="default"/>
                <w:sz w:val="18"/>
                <w:szCs w:val="18"/>
              </w:rPr>
              <w:t>1,755</w:t>
            </w:r>
            <w:r>
              <w:rPr>
                <w:rFonts w:ascii="宋体" w:hAnsi="宋体" w:cs="宋体" w:eastAsia="宋体" w:hint="default"/>
                <w:spacing w:val="-44"/>
                <w:sz w:val="18"/>
                <w:szCs w:val="18"/>
              </w:rPr>
              <w:t> </w:t>
            </w:r>
            <w:r>
              <w:rPr>
                <w:rFonts w:ascii="宋体" w:hAnsi="宋体" w:cs="宋体" w:eastAsia="宋体" w:hint="default"/>
                <w:sz w:val="18"/>
                <w:szCs w:val="18"/>
              </w:rPr>
              <w:t>万元用于大连易联众科技有限公司 第二期出资。</w:t>
            </w:r>
          </w:p>
          <w:p>
            <w:pPr>
              <w:pStyle w:val="TableParagraph"/>
              <w:spacing w:line="316" w:lineRule="auto" w:before="57"/>
              <w:ind w:left="26" w:right="55" w:firstLine="42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日经第二届董事会第九次会议审议通过，并经公司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 审议通过，公司决定终止超募资金投资项目—大连易联众科技有限公司。</w:t>
            </w:r>
          </w:p>
          <w:p>
            <w:pPr>
              <w:pStyle w:val="TableParagraph"/>
              <w:spacing w:line="240" w:lineRule="auto" w:before="59"/>
              <w:ind w:left="44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4"/>
                <w:sz w:val="18"/>
                <w:szCs w:val="18"/>
              </w:rPr>
              <w:t> </w:t>
            </w:r>
            <w:r>
              <w:rPr>
                <w:rFonts w:ascii="宋体" w:hAnsi="宋体" w:cs="宋体" w:eastAsia="宋体" w:hint="default"/>
                <w:sz w:val="18"/>
                <w:szCs w:val="18"/>
              </w:rPr>
              <w:t>月，公司完成了对大连易联众科技有限公司的注销登记工作。公司对大连易联众依法</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清算后剩余财产</w:t>
            </w:r>
            <w:r>
              <w:rPr>
                <w:rFonts w:ascii="宋体" w:hAnsi="宋体" w:cs="宋体" w:eastAsia="宋体" w:hint="default"/>
                <w:spacing w:val="-47"/>
                <w:sz w:val="18"/>
                <w:szCs w:val="18"/>
              </w:rPr>
              <w:t> </w:t>
            </w:r>
            <w:r>
              <w:rPr>
                <w:rFonts w:ascii="宋体" w:hAnsi="宋体" w:cs="宋体" w:eastAsia="宋体" w:hint="default"/>
                <w:sz w:val="18"/>
                <w:szCs w:val="18"/>
              </w:rPr>
              <w:t>2607.10</w:t>
            </w:r>
            <w:r>
              <w:rPr>
                <w:rFonts w:ascii="宋体" w:hAnsi="宋体" w:cs="宋体" w:eastAsia="宋体" w:hint="default"/>
                <w:spacing w:val="-46"/>
                <w:sz w:val="18"/>
                <w:szCs w:val="18"/>
              </w:rPr>
              <w:t> </w:t>
            </w:r>
            <w:r>
              <w:rPr>
                <w:rFonts w:ascii="宋体" w:hAnsi="宋体" w:cs="宋体" w:eastAsia="宋体" w:hint="default"/>
                <w:sz w:val="18"/>
                <w:szCs w:val="18"/>
              </w:rPr>
              <w:t>万元已转回超募资金专户。</w:t>
            </w:r>
          </w:p>
          <w:p>
            <w:pPr>
              <w:pStyle w:val="TableParagraph"/>
              <w:spacing w:line="240" w:lineRule="auto" w:before="117"/>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日第一届董事会第十一次会议审议通过，本公司使用超募资金</w:t>
            </w:r>
            <w:r>
              <w:rPr>
                <w:rFonts w:ascii="宋体" w:hAnsi="宋体" w:cs="宋体" w:eastAsia="宋体" w:hint="default"/>
                <w:spacing w:val="-46"/>
                <w:sz w:val="18"/>
                <w:szCs w:val="18"/>
              </w:rPr>
              <w:t> </w:t>
            </w:r>
            <w:r>
              <w:rPr>
                <w:rFonts w:ascii="宋体" w:hAnsi="宋体" w:cs="宋体" w:eastAsia="宋体" w:hint="default"/>
                <w:sz w:val="18"/>
                <w:szCs w:val="18"/>
              </w:rPr>
              <w:t>3,800</w:t>
            </w:r>
            <w:r>
              <w:rPr>
                <w:rFonts w:ascii="宋体" w:hAnsi="宋体" w:cs="宋体" w:eastAsia="宋体" w:hint="default"/>
                <w:spacing w:val="-45"/>
                <w:sz w:val="18"/>
                <w:szCs w:val="18"/>
              </w:rPr>
              <w:t> </w:t>
            </w:r>
            <w:r>
              <w:rPr>
                <w:rFonts w:ascii="宋体" w:hAnsi="宋体" w:cs="宋体" w:eastAsia="宋体" w:hint="default"/>
                <w:sz w:val="18"/>
                <w:szCs w:val="18"/>
              </w:rPr>
              <w:t>万元用</w:t>
            </w:r>
          </w:p>
          <w:p>
            <w:pPr>
              <w:pStyle w:val="TableParagraph"/>
              <w:spacing w:line="316" w:lineRule="auto" w:before="77"/>
              <w:ind w:left="26" w:right="27"/>
              <w:jc w:val="left"/>
              <w:rPr>
                <w:rFonts w:ascii="宋体" w:hAnsi="宋体" w:cs="宋体" w:eastAsia="宋体" w:hint="default"/>
                <w:sz w:val="18"/>
                <w:szCs w:val="18"/>
              </w:rPr>
            </w:pPr>
            <w:r>
              <w:rPr>
                <w:rFonts w:ascii="宋体" w:hAnsi="宋体" w:cs="宋体" w:eastAsia="宋体" w:hint="default"/>
                <w:sz w:val="18"/>
                <w:szCs w:val="18"/>
              </w:rPr>
              <w:t>于临时补充公司流动资金，使用期限不超过董事会批准之日起</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日，本公司已 在规定期限内将上述资金一次性全部归还至募集资金专用账户。</w:t>
            </w:r>
          </w:p>
          <w:p>
            <w:pPr>
              <w:pStyle w:val="TableParagraph"/>
              <w:spacing w:line="240" w:lineRule="auto" w:before="57"/>
              <w:ind w:left="386" w:right="0"/>
              <w:jc w:val="left"/>
              <w:rPr>
                <w:rFonts w:ascii="宋体" w:hAnsi="宋体" w:cs="宋体" w:eastAsia="宋体" w:hint="default"/>
                <w:sz w:val="18"/>
                <w:szCs w:val="18"/>
              </w:rPr>
            </w:pPr>
            <w:r>
              <w:rPr>
                <w:rFonts w:ascii="宋体" w:hAnsi="宋体" w:cs="宋体" w:eastAsia="宋体" w:hint="default"/>
                <w:spacing w:val="-8"/>
                <w:sz w:val="18"/>
                <w:szCs w:val="18"/>
              </w:rPr>
              <w:t>5</w:t>
            </w:r>
            <w:r>
              <w:rPr>
                <w:rFonts w:ascii="宋体" w:hAnsi="宋体" w:cs="宋体" w:eastAsia="宋体" w:hint="default"/>
                <w:spacing w:val="-8"/>
                <w:sz w:val="18"/>
                <w:szCs w:val="18"/>
              </w:rPr>
              <w:t>、</w:t>
            </w:r>
            <w:r>
              <w:rPr>
                <w:rFonts w:ascii="宋体" w:hAnsi="宋体" w:cs="宋体" w:eastAsia="宋体" w:hint="default"/>
                <w:spacing w:val="-8"/>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8</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28</w:t>
            </w:r>
            <w:r>
              <w:rPr>
                <w:rFonts w:ascii="宋体" w:hAnsi="宋体" w:cs="宋体" w:eastAsia="宋体" w:hint="default"/>
                <w:spacing w:val="-51"/>
                <w:sz w:val="18"/>
                <w:szCs w:val="18"/>
              </w:rPr>
              <w:t> </w:t>
            </w:r>
            <w:r>
              <w:rPr>
                <w:rFonts w:ascii="宋体" w:hAnsi="宋体" w:cs="宋体" w:eastAsia="宋体" w:hint="default"/>
                <w:sz w:val="18"/>
                <w:szCs w:val="18"/>
              </w:rPr>
              <w:t>日第一届董事会第十七次会议审议通过，本公司使用超募资金</w:t>
            </w:r>
            <w:r>
              <w:rPr>
                <w:rFonts w:ascii="宋体" w:hAnsi="宋体" w:cs="宋体" w:eastAsia="宋体" w:hint="default"/>
                <w:spacing w:val="-51"/>
                <w:sz w:val="18"/>
                <w:szCs w:val="18"/>
              </w:rPr>
              <w:t> </w:t>
            </w:r>
            <w:r>
              <w:rPr>
                <w:rFonts w:ascii="宋体" w:hAnsi="宋体" w:cs="宋体" w:eastAsia="宋体" w:hint="default"/>
                <w:sz w:val="18"/>
                <w:szCs w:val="18"/>
              </w:rPr>
              <w:t>4,000</w:t>
            </w:r>
            <w:r>
              <w:rPr>
                <w:rFonts w:ascii="宋体" w:hAnsi="宋体" w:cs="宋体" w:eastAsia="宋体" w:hint="default"/>
                <w:spacing w:val="-50"/>
                <w:sz w:val="18"/>
                <w:szCs w:val="18"/>
              </w:rPr>
              <w:t> </w:t>
            </w:r>
            <w:r>
              <w:rPr>
                <w:rFonts w:ascii="宋体" w:hAnsi="宋体" w:cs="宋体" w:eastAsia="宋体" w:hint="default"/>
                <w:sz w:val="18"/>
                <w:szCs w:val="18"/>
              </w:rPr>
              <w:t>万元用于</w:t>
            </w:r>
          </w:p>
          <w:p>
            <w:pPr>
              <w:pStyle w:val="TableParagraph"/>
              <w:spacing w:line="316" w:lineRule="auto" w:before="76"/>
              <w:ind w:left="26" w:right="20"/>
              <w:jc w:val="left"/>
              <w:rPr>
                <w:rFonts w:ascii="宋体" w:hAnsi="宋体" w:cs="宋体" w:eastAsia="宋体" w:hint="default"/>
                <w:sz w:val="18"/>
                <w:szCs w:val="18"/>
              </w:rPr>
            </w:pPr>
            <w:r>
              <w:rPr>
                <w:rFonts w:ascii="宋体" w:hAnsi="宋体" w:cs="宋体" w:eastAsia="宋体" w:hint="default"/>
                <w:spacing w:val="-5"/>
                <w:sz w:val="18"/>
                <w:szCs w:val="18"/>
              </w:rPr>
              <w:t>永久性补充公司流动资金，截止目前该</w:t>
            </w:r>
            <w:r>
              <w:rPr>
                <w:rFonts w:ascii="宋体" w:hAnsi="宋体" w:cs="宋体" w:eastAsia="宋体" w:hint="default"/>
                <w:spacing w:val="-37"/>
                <w:sz w:val="18"/>
                <w:szCs w:val="18"/>
              </w:rPr>
              <w:t> </w:t>
            </w:r>
            <w:r>
              <w:rPr>
                <w:rFonts w:ascii="宋体" w:hAnsi="宋体" w:cs="宋体" w:eastAsia="宋体" w:hint="default"/>
                <w:spacing w:val="-1"/>
                <w:sz w:val="18"/>
                <w:szCs w:val="18"/>
              </w:rPr>
              <w:t>4,000</w:t>
            </w:r>
            <w:r>
              <w:rPr>
                <w:rFonts w:ascii="宋体" w:hAnsi="宋体" w:cs="宋体" w:eastAsia="宋体" w:hint="default"/>
                <w:spacing w:val="16"/>
                <w:sz w:val="18"/>
                <w:szCs w:val="18"/>
              </w:rPr>
              <w:t> </w:t>
            </w:r>
            <w:r>
              <w:rPr>
                <w:rFonts w:ascii="宋体" w:hAnsi="宋体" w:cs="宋体" w:eastAsia="宋体" w:hint="default"/>
                <w:spacing w:val="-1"/>
                <w:sz w:val="18"/>
                <w:szCs w:val="18"/>
              </w:rPr>
              <w:t>万元超募资金实际已全部用于公司社会保障卡项目等日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常经营所需流动资金。</w:t>
            </w:r>
          </w:p>
          <w:p>
            <w:pPr>
              <w:pStyle w:val="TableParagraph"/>
              <w:spacing w:line="240" w:lineRule="auto" w:before="59"/>
              <w:ind w:left="386"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日第二届董事会第五次会议审议通过，本公司使用超募资金</w:t>
            </w:r>
            <w:r>
              <w:rPr>
                <w:rFonts w:ascii="宋体" w:hAnsi="宋体" w:cs="宋体" w:eastAsia="宋体" w:hint="default"/>
                <w:spacing w:val="-46"/>
                <w:sz w:val="18"/>
                <w:szCs w:val="18"/>
              </w:rPr>
              <w:t> </w:t>
            </w:r>
            <w:r>
              <w:rPr>
                <w:rFonts w:ascii="宋体" w:hAnsi="宋体" w:cs="宋体" w:eastAsia="宋体" w:hint="default"/>
                <w:sz w:val="18"/>
                <w:szCs w:val="18"/>
              </w:rPr>
              <w:t>3,200</w:t>
            </w:r>
            <w:r>
              <w:rPr>
                <w:rFonts w:ascii="宋体" w:hAnsi="宋体" w:cs="宋体" w:eastAsia="宋体" w:hint="default"/>
                <w:spacing w:val="-45"/>
                <w:sz w:val="18"/>
                <w:szCs w:val="18"/>
              </w:rPr>
              <w:t> </w:t>
            </w:r>
            <w:r>
              <w:rPr>
                <w:rFonts w:ascii="宋体" w:hAnsi="宋体" w:cs="宋体" w:eastAsia="宋体" w:hint="default"/>
                <w:sz w:val="18"/>
                <w:szCs w:val="18"/>
              </w:rPr>
              <w:t>万元用于</w:t>
            </w:r>
          </w:p>
          <w:p>
            <w:pPr>
              <w:pStyle w:val="TableParagraph"/>
              <w:spacing w:line="316" w:lineRule="auto" w:before="76"/>
              <w:ind w:left="26" w:right="21"/>
              <w:jc w:val="left"/>
              <w:rPr>
                <w:rFonts w:ascii="宋体" w:hAnsi="宋体" w:cs="宋体" w:eastAsia="宋体" w:hint="default"/>
                <w:sz w:val="18"/>
                <w:szCs w:val="18"/>
              </w:rPr>
            </w:pPr>
            <w:r>
              <w:rPr>
                <w:rFonts w:ascii="宋体" w:hAnsi="宋体" w:cs="宋体" w:eastAsia="宋体" w:hint="default"/>
                <w:sz w:val="18"/>
                <w:szCs w:val="18"/>
              </w:rPr>
              <w:t>购置位于福州市鼓楼区软件大道</w:t>
            </w:r>
            <w:r>
              <w:rPr>
                <w:rFonts w:ascii="宋体" w:hAnsi="宋体" w:cs="宋体" w:eastAsia="宋体" w:hint="default"/>
                <w:spacing w:val="-45"/>
                <w:sz w:val="18"/>
                <w:szCs w:val="18"/>
              </w:rPr>
              <w:t> </w:t>
            </w:r>
            <w:r>
              <w:rPr>
                <w:rFonts w:ascii="宋体" w:hAnsi="宋体" w:cs="宋体" w:eastAsia="宋体" w:hint="default"/>
                <w:sz w:val="18"/>
                <w:szCs w:val="18"/>
              </w:rPr>
              <w:t>89</w:t>
            </w:r>
            <w:r>
              <w:rPr>
                <w:rFonts w:ascii="宋体" w:hAnsi="宋体" w:cs="宋体" w:eastAsia="宋体" w:hint="default"/>
                <w:spacing w:val="-45"/>
                <w:sz w:val="18"/>
                <w:szCs w:val="18"/>
              </w:rPr>
              <w:t> </w:t>
            </w:r>
            <w:r>
              <w:rPr>
                <w:rFonts w:ascii="宋体" w:hAnsi="宋体" w:cs="宋体" w:eastAsia="宋体" w:hint="default"/>
                <w:sz w:val="18"/>
                <w:szCs w:val="18"/>
              </w:rPr>
              <w:t>号的“福州软件园动漫游戏产业基地二期”的</w:t>
            </w:r>
            <w:r>
              <w:rPr>
                <w:rFonts w:ascii="宋体" w:hAnsi="宋体" w:cs="宋体" w:eastAsia="宋体" w:hint="default"/>
                <w:spacing w:val="-46"/>
                <w:sz w:val="18"/>
                <w:szCs w:val="18"/>
              </w:rPr>
              <w:t> </w:t>
            </w:r>
            <w:r>
              <w:rPr>
                <w:rFonts w:ascii="宋体" w:hAnsi="宋体" w:cs="宋体" w:eastAsia="宋体" w:hint="default"/>
                <w:sz w:val="18"/>
                <w:szCs w:val="18"/>
              </w:rPr>
              <w:t>3691.2</w:t>
            </w:r>
            <w:r>
              <w:rPr>
                <w:rFonts w:ascii="宋体" w:hAnsi="宋体" w:cs="宋体" w:eastAsia="宋体" w:hint="default"/>
                <w:spacing w:val="-44"/>
                <w:sz w:val="18"/>
                <w:szCs w:val="18"/>
              </w:rPr>
              <w:t> </w:t>
            </w:r>
            <w:r>
              <w:rPr>
                <w:rFonts w:ascii="宋体" w:hAnsi="宋体" w:cs="宋体" w:eastAsia="宋体" w:hint="default"/>
                <w:sz w:val="18"/>
                <w:szCs w:val="18"/>
              </w:rPr>
              <w:t>平方米</w:t>
            </w:r>
            <w:r>
              <w:rPr>
                <w:rFonts w:ascii="宋体" w:hAnsi="宋体" w:cs="宋体" w:eastAsia="宋体" w:hint="default"/>
                <w:spacing w:val="-46"/>
                <w:sz w:val="18"/>
                <w:szCs w:val="18"/>
              </w:rPr>
              <w:t> </w:t>
            </w:r>
            <w:r>
              <w:rPr>
                <w:rFonts w:ascii="宋体" w:hAnsi="宋体" w:cs="宋体" w:eastAsia="宋体" w:hint="default"/>
                <w:sz w:val="18"/>
                <w:szCs w:val="18"/>
              </w:rPr>
              <w:t>A3</w:t>
            </w:r>
            <w:r>
              <w:rPr>
                <w:rFonts w:ascii="宋体" w:hAnsi="宋体" w:cs="宋体" w:eastAsia="宋体" w:hint="default"/>
                <w:spacing w:val="1"/>
                <w:sz w:val="18"/>
                <w:szCs w:val="18"/>
              </w:rPr>
              <w:t> </w:t>
            </w:r>
            <w:r>
              <w:rPr>
                <w:rFonts w:ascii="宋体" w:hAnsi="宋体" w:cs="宋体" w:eastAsia="宋体" w:hint="default"/>
                <w:spacing w:val="-1"/>
                <w:sz w:val="18"/>
                <w:szCs w:val="18"/>
              </w:rPr>
              <w:t>独栋研发楼，用于公司在福州地区子公司、办事处及相关部门的办公场所。截至本报告期末止，该项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目实际投入</w:t>
            </w:r>
            <w:r>
              <w:rPr>
                <w:rFonts w:ascii="宋体" w:hAnsi="宋体" w:cs="宋体" w:eastAsia="宋体" w:hint="default"/>
                <w:spacing w:val="-45"/>
                <w:sz w:val="18"/>
                <w:szCs w:val="18"/>
              </w:rPr>
              <w:t> </w:t>
            </w:r>
            <w:r>
              <w:rPr>
                <w:rFonts w:ascii="宋体" w:hAnsi="宋体" w:cs="宋体" w:eastAsia="宋体" w:hint="default"/>
                <w:sz w:val="18"/>
                <w:szCs w:val="18"/>
              </w:rPr>
              <w:t>2,995.25</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316" w:lineRule="auto" w:before="59"/>
              <w:ind w:left="26" w:right="27" w:firstLine="36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日，该办公楼已达到预计使用状态，由在建工程转入公司固定资产。截至本报告 公告日，该办公楼尚未办理产权登记手续。</w:t>
            </w:r>
          </w:p>
          <w:p>
            <w:pPr>
              <w:pStyle w:val="TableParagraph"/>
              <w:spacing w:line="316" w:lineRule="auto" w:before="57"/>
              <w:ind w:left="26" w:right="19" w:firstLine="360"/>
              <w:jc w:val="left"/>
              <w:rPr>
                <w:rFonts w:ascii="宋体" w:hAnsi="宋体" w:cs="宋体" w:eastAsia="宋体" w:hint="default"/>
                <w:sz w:val="18"/>
                <w:szCs w:val="18"/>
              </w:rPr>
            </w:pPr>
            <w:r>
              <w:rPr>
                <w:rFonts w:ascii="宋体" w:hAnsi="宋体" w:cs="宋体" w:eastAsia="宋体" w:hint="default"/>
                <w:spacing w:val="-5"/>
                <w:sz w:val="18"/>
                <w:szCs w:val="18"/>
              </w:rPr>
              <w:t>7</w:t>
            </w:r>
            <w:r>
              <w:rPr>
                <w:rFonts w:ascii="宋体" w:hAnsi="宋体" w:cs="宋体" w:eastAsia="宋体" w:hint="default"/>
                <w:spacing w:val="-5"/>
                <w:sz w:val="18"/>
                <w:szCs w:val="18"/>
              </w:rPr>
              <w:t>、</w:t>
            </w:r>
            <w:r>
              <w:rPr>
                <w:rFonts w:ascii="宋体" w:hAnsi="宋体" w:cs="宋体" w:eastAsia="宋体" w:hint="default"/>
                <w:spacing w:val="-5"/>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17</w:t>
            </w:r>
            <w:r>
              <w:rPr>
                <w:rFonts w:ascii="宋体" w:hAnsi="宋体" w:cs="宋体" w:eastAsia="宋体" w:hint="default"/>
                <w:spacing w:val="-41"/>
                <w:sz w:val="18"/>
                <w:szCs w:val="18"/>
              </w:rPr>
              <w:t> </w:t>
            </w:r>
            <w:r>
              <w:rPr>
                <w:rFonts w:ascii="宋体" w:hAnsi="宋体" w:cs="宋体" w:eastAsia="宋体" w:hint="default"/>
                <w:spacing w:val="-3"/>
                <w:sz w:val="18"/>
                <w:szCs w:val="18"/>
              </w:rPr>
              <w:t>日，经公司第二届董事会第七次会议审议通过，公司使用超募资金</w:t>
            </w:r>
            <w:r>
              <w:rPr>
                <w:rFonts w:ascii="宋体" w:hAnsi="宋体" w:cs="宋体" w:eastAsia="宋体" w:hint="default"/>
                <w:spacing w:val="-41"/>
                <w:sz w:val="18"/>
                <w:szCs w:val="18"/>
              </w:rPr>
              <w:t> </w:t>
            </w:r>
            <w:r>
              <w:rPr>
                <w:rFonts w:ascii="宋体" w:hAnsi="宋体" w:cs="宋体" w:eastAsia="宋体" w:hint="default"/>
                <w:sz w:val="18"/>
                <w:szCs w:val="18"/>
              </w:rPr>
              <w:t>4,000</w:t>
            </w:r>
            <w:r>
              <w:rPr>
                <w:rFonts w:ascii="宋体" w:hAnsi="宋体" w:cs="宋体" w:eastAsia="宋体" w:hint="default"/>
                <w:spacing w:val="-40"/>
                <w:sz w:val="18"/>
                <w:szCs w:val="18"/>
              </w:rPr>
              <w:t> </w:t>
            </w:r>
            <w:r>
              <w:rPr>
                <w:rFonts w:ascii="宋体" w:hAnsi="宋体" w:cs="宋体" w:eastAsia="宋体" w:hint="default"/>
                <w:sz w:val="18"/>
                <w:szCs w:val="18"/>
              </w:rPr>
              <w:t>万元 用于永久性补充公司流动资金。</w:t>
            </w:r>
          </w:p>
          <w:p>
            <w:pPr>
              <w:pStyle w:val="TableParagraph"/>
              <w:spacing w:line="316" w:lineRule="auto" w:before="59"/>
              <w:ind w:left="26" w:right="24" w:firstLine="36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日，经公司</w:t>
            </w:r>
            <w:r>
              <w:rPr>
                <w:rFonts w:ascii="宋体" w:hAnsi="宋体" w:cs="宋体" w:eastAsia="宋体" w:hint="default"/>
                <w:spacing w:val="-49"/>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年年度股东大会审议通过，公司使用超募资金</w:t>
            </w:r>
            <w:r>
              <w:rPr>
                <w:rFonts w:ascii="宋体" w:hAnsi="宋体" w:cs="宋体" w:eastAsia="宋体" w:hint="default"/>
                <w:spacing w:val="-46"/>
                <w:sz w:val="18"/>
                <w:szCs w:val="18"/>
              </w:rPr>
              <w:t> </w:t>
            </w:r>
            <w:r>
              <w:rPr>
                <w:rFonts w:ascii="宋体" w:hAnsi="宋体" w:cs="宋体" w:eastAsia="宋体" w:hint="default"/>
                <w:sz w:val="18"/>
                <w:szCs w:val="18"/>
              </w:rPr>
              <w:t>4,000</w:t>
            </w:r>
            <w:r>
              <w:rPr>
                <w:rFonts w:ascii="宋体" w:hAnsi="宋体" w:cs="宋体" w:eastAsia="宋体" w:hint="default"/>
                <w:spacing w:val="-45"/>
                <w:sz w:val="18"/>
                <w:szCs w:val="18"/>
              </w:rPr>
              <w:t> </w:t>
            </w:r>
            <w:r>
              <w:rPr>
                <w:rFonts w:ascii="宋体" w:hAnsi="宋体" w:cs="宋体" w:eastAsia="宋体" w:hint="default"/>
                <w:sz w:val="18"/>
                <w:szCs w:val="18"/>
              </w:rPr>
              <w:t>万元用 于永久性补充公司流动资金。</w:t>
            </w:r>
          </w:p>
          <w:p>
            <w:pPr>
              <w:pStyle w:val="TableParagraph"/>
              <w:spacing w:line="240" w:lineRule="auto" w:before="59"/>
              <w:ind w:left="386"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日止，公司累计使用超募资金人民币</w:t>
            </w:r>
            <w:r>
              <w:rPr>
                <w:rFonts w:ascii="宋体" w:hAnsi="宋体" w:cs="宋体" w:eastAsia="宋体" w:hint="default"/>
                <w:spacing w:val="-46"/>
                <w:sz w:val="18"/>
                <w:szCs w:val="18"/>
              </w:rPr>
              <w:t> </w:t>
            </w:r>
            <w:r>
              <w:rPr>
                <w:rFonts w:ascii="宋体" w:hAnsi="宋体" w:cs="宋体" w:eastAsia="宋体" w:hint="default"/>
                <w:sz w:val="18"/>
                <w:szCs w:val="18"/>
              </w:rPr>
              <w:t>19,598.15</w:t>
            </w:r>
            <w:r>
              <w:rPr>
                <w:rFonts w:ascii="宋体" w:hAnsi="宋体" w:cs="宋体" w:eastAsia="宋体" w:hint="default"/>
                <w:spacing w:val="-45"/>
                <w:sz w:val="18"/>
                <w:szCs w:val="18"/>
              </w:rPr>
              <w:t> </w:t>
            </w:r>
            <w:r>
              <w:rPr>
                <w:rFonts w:ascii="宋体" w:hAnsi="宋体" w:cs="宋体" w:eastAsia="宋体" w:hint="default"/>
                <w:sz w:val="18"/>
                <w:szCs w:val="18"/>
              </w:rPr>
              <w:t>万元。</w:t>
            </w: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15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1" w:type="dxa"/>
            <w:vMerge/>
            <w:tcBorders>
              <w:left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253" w:hRule="exact"/>
        </w:trPr>
        <w:tc>
          <w:tcPr>
            <w:tcW w:w="1631" w:type="dxa"/>
            <w:vMerge/>
            <w:tcBorders>
              <w:left w:val="single" w:sz="4" w:space="0" w:color="000000"/>
              <w:bottom w:val="single" w:sz="4" w:space="0" w:color="FFFFFF"/>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日，本公司第一届董事会第二十次会议审议通过了《关于变更募投项目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社会</w:t>
            </w:r>
          </w:p>
          <w:p>
            <w:pPr>
              <w:pStyle w:val="TableParagraph"/>
              <w:spacing w:line="240" w:lineRule="auto" w:before="60"/>
              <w:ind w:left="26" w:right="0"/>
              <w:jc w:val="both"/>
              <w:rPr>
                <w:rFonts w:ascii="宋体" w:hAnsi="宋体" w:cs="宋体" w:eastAsia="宋体" w:hint="default"/>
                <w:sz w:val="18"/>
                <w:szCs w:val="18"/>
              </w:rPr>
            </w:pPr>
            <w:r>
              <w:rPr>
                <w:rFonts w:ascii="宋体" w:hAnsi="宋体" w:cs="宋体" w:eastAsia="宋体" w:hint="default"/>
                <w:sz w:val="18"/>
                <w:szCs w:val="18"/>
              </w:rPr>
              <w:t>保障卡及读写终端制作中心项目实施地点的议案》，由于福建省政府于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年下半年率先开始推行</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社保卡和就诊一卡通项目建设，本公司承接了福建省全省金融社保卡业务，组建了</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人的卡业务数</w:t>
            </w:r>
          </w:p>
          <w:p>
            <w:pPr>
              <w:pStyle w:val="TableParagraph"/>
              <w:spacing w:line="312" w:lineRule="auto" w:before="63"/>
              <w:ind w:left="26" w:right="21"/>
              <w:jc w:val="both"/>
              <w:rPr>
                <w:rFonts w:ascii="宋体" w:hAnsi="宋体" w:cs="宋体" w:eastAsia="宋体" w:hint="default"/>
                <w:sz w:val="18"/>
                <w:szCs w:val="18"/>
              </w:rPr>
            </w:pPr>
            <w:r>
              <w:rPr>
                <w:rFonts w:ascii="宋体" w:hAnsi="宋体" w:cs="宋体" w:eastAsia="宋体" w:hint="default"/>
                <w:sz w:val="18"/>
                <w:szCs w:val="18"/>
              </w:rPr>
              <w:t>据采集和处理团队，加上生产线建设用地，原规划场地厦门市软件园二期公司办公大楼面积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 </w:t>
            </w:r>
            <w:r>
              <w:rPr>
                <w:rFonts w:ascii="宋体" w:hAnsi="宋体" w:cs="宋体" w:eastAsia="宋体" w:hint="default"/>
                <w:spacing w:val="-1"/>
                <w:sz w:val="18"/>
                <w:szCs w:val="18"/>
              </w:rPr>
              <w:t>方米，不能满足项目建设发展需求，长远来看，产业发展空间受限，而且软件园二期公司办公大楼现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有剩余空间不能满足项目实施产地扩充的要求。因此，决定将该募投项目实施地点变更至厦门思明区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前埔西路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263 </w:t>
            </w:r>
            <w:r>
              <w:rPr>
                <w:rFonts w:ascii="宋体" w:hAnsi="宋体" w:cs="宋体" w:eastAsia="宋体" w:hint="default"/>
                <w:sz w:val="18"/>
                <w:szCs w:val="18"/>
              </w:rPr>
              <w:t>号，场地面积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2613 </w:t>
            </w:r>
            <w:r>
              <w:rPr>
                <w:rFonts w:ascii="宋体" w:hAnsi="宋体" w:cs="宋体" w:eastAsia="宋体" w:hint="default"/>
                <w:sz w:val="18"/>
                <w:szCs w:val="18"/>
              </w:rPr>
              <w:t>平方米能够适应募投项目建设需求，实现公司产业发展战略。</w:t>
            </w:r>
          </w:p>
          <w:p>
            <w:pPr>
              <w:pStyle w:val="TableParagraph"/>
              <w:spacing w:line="316" w:lineRule="auto" w:before="44"/>
              <w:ind w:left="26" w:right="19" w:firstLine="345"/>
              <w:jc w:val="both"/>
              <w:rPr>
                <w:rFonts w:ascii="宋体" w:hAnsi="宋体" w:cs="宋体" w:eastAsia="宋体" w:hint="default"/>
                <w:sz w:val="18"/>
                <w:szCs w:val="18"/>
              </w:rPr>
            </w:pPr>
            <w:r>
              <w:rPr>
                <w:rFonts w:ascii="宋体" w:hAnsi="宋体" w:cs="宋体" w:eastAsia="宋体" w:hint="default"/>
                <w:spacing w:val="-1"/>
                <w:sz w:val="18"/>
                <w:szCs w:val="18"/>
              </w:rPr>
              <w:t>此次项目实施地点变更，能优化募投项目的实施布局，使本公司获得较大的发展空间和优越的发</w:t>
            </w:r>
            <w:r>
              <w:rPr>
                <w:rFonts w:ascii="宋体" w:hAnsi="宋体" w:cs="宋体" w:eastAsia="宋体" w:hint="default"/>
                <w:sz w:val="18"/>
                <w:szCs w:val="18"/>
              </w:rPr>
              <w:t> </w:t>
            </w:r>
            <w:r>
              <w:rPr>
                <w:rFonts w:ascii="宋体" w:hAnsi="宋体" w:cs="宋体" w:eastAsia="宋体" w:hint="default"/>
                <w:spacing w:val="-1"/>
                <w:sz w:val="18"/>
                <w:szCs w:val="18"/>
              </w:rPr>
              <w:t>展环境，并且未改变募投项目的实施主体、建设内容和实施方式，不存在变相改变募集资金投向和损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害股东利益的情形。</w:t>
            </w:r>
          </w:p>
        </w:tc>
      </w:tr>
      <w:tr>
        <w:trPr>
          <w:trHeight w:val="401" w:hRule="exact"/>
        </w:trPr>
        <w:tc>
          <w:tcPr>
            <w:tcW w:w="1631"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5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4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BodyText"/>
        <w:spacing w:line="240" w:lineRule="auto" w:before="44"/>
        <w:ind w:left="0" w:right="156"/>
        <w:jc w:val="right"/>
      </w:pPr>
      <w:r>
        <w:rPr/>
        <w:pict>
          <v:shape style="position:absolute;margin-left:56.484001pt;margin-top:-261.778290pt;width:479.35pt;height:479.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1"/>
                    <w:gridCol w:w="7941"/>
                  </w:tblGrid>
                  <w:tr>
                    <w:trPr>
                      <w:trHeight w:val="401"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2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日，公司第一届董事会第十二次会议审议通过了《关于用募集资金置换预先投入</w:t>
                        </w:r>
                        <w:r>
                          <w:rPr>
                            <w:rFonts w:ascii="宋体" w:hAnsi="宋体" w:cs="宋体" w:eastAsia="宋体" w:hint="default"/>
                            <w:sz w:val="18"/>
                            <w:szCs w:val="18"/>
                          </w:rPr>
                          <w:t> 募投项目的自筹资金的议案》，同意以募集资金置换公司预先已投入募集资金投资项目的自筹资金 </w:t>
                        </w:r>
                        <w:r>
                          <w:rPr>
                            <w:rFonts w:ascii="Times New Roman" w:hAnsi="Times New Roman" w:cs="Times New Roman" w:eastAsia="Times New Roman" w:hint="default"/>
                            <w:sz w:val="18"/>
                            <w:szCs w:val="18"/>
                          </w:rPr>
                          <w:t>9,003,342.01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元，其中预先投入研发中心平台建设与软件升级产业化项目</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2,792,456.46</w:t>
                        </w:r>
                        <w:r>
                          <w:rPr>
                            <w:rFonts w:ascii="Times New Roman" w:hAnsi="Times New Roman" w:cs="Times New Roman" w:eastAsia="Times New Roman" w:hint="default"/>
                            <w:spacing w:val="-14"/>
                            <w:sz w:val="18"/>
                            <w:szCs w:val="18"/>
                          </w:rPr>
                          <w:t> </w:t>
                        </w:r>
                        <w:r>
                          <w:rPr>
                            <w:rFonts w:ascii="宋体" w:hAnsi="宋体" w:cs="宋体" w:eastAsia="宋体" w:hint="default"/>
                            <w:spacing w:val="-7"/>
                            <w:sz w:val="18"/>
                            <w:szCs w:val="18"/>
                          </w:rPr>
                          <w:t>元，运维体系及</w:t>
                        </w:r>
                      </w:p>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灾备服务平台项目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315,731.59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元，民生一体化综合信息服务平台项目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3,071,952.30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元，社会保障卡及</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读写终端制作中心项目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2,823,201.66 </w:t>
                        </w:r>
                        <w:r>
                          <w:rPr>
                            <w:rFonts w:ascii="宋体" w:hAnsi="宋体" w:cs="宋体" w:eastAsia="宋体" w:hint="default"/>
                            <w:sz w:val="18"/>
                            <w:szCs w:val="18"/>
                          </w:rPr>
                          <w:t>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日，上述募集资金置换完毕。</w:t>
                        </w: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日第一届董事会第十一次会议审议通过，本公司使用超募资金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万元用于临</w:t>
                        </w:r>
                      </w:p>
                      <w:p>
                        <w:pPr>
                          <w:pStyle w:val="TableParagraph"/>
                          <w:spacing w:line="300" w:lineRule="auto" w:before="63"/>
                          <w:ind w:left="26" w:right="27"/>
                          <w:jc w:val="left"/>
                          <w:rPr>
                            <w:rFonts w:ascii="宋体" w:hAnsi="宋体" w:cs="宋体" w:eastAsia="宋体" w:hint="default"/>
                            <w:sz w:val="18"/>
                            <w:szCs w:val="18"/>
                          </w:rPr>
                        </w:pPr>
                        <w:r>
                          <w:rPr>
                            <w:rFonts w:ascii="宋体" w:hAnsi="宋体" w:cs="宋体" w:eastAsia="宋体" w:hint="default"/>
                            <w:sz w:val="18"/>
                            <w:szCs w:val="18"/>
                          </w:rPr>
                          <w:t>时补充公司流动资金，使用期限不超过董事会批准之日起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日，本公司已在规 定期限内将上述资金一次性全部归还至募集资金专用账户。</w:t>
                        </w: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62"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运维服务平台项目已达到预定可使用状态，该项目承诺募集资金投资总额为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1,959.68</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万元，截至</w:t>
                        </w:r>
                      </w:p>
                      <w:p>
                        <w:pPr>
                          <w:pStyle w:val="TableParagraph"/>
                          <w:spacing w:line="240" w:lineRule="auto" w:before="63"/>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日项目实际累计投入募集资金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1,870.77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万元需要在期后进行支付，</w:t>
                        </w:r>
                      </w:p>
                      <w:p>
                        <w:pPr>
                          <w:pStyle w:val="TableParagraph"/>
                          <w:spacing w:line="300" w:lineRule="auto" w:before="63"/>
                          <w:ind w:left="26" w:right="27"/>
                          <w:jc w:val="left"/>
                          <w:rPr>
                            <w:rFonts w:ascii="宋体" w:hAnsi="宋体" w:cs="宋体" w:eastAsia="宋体" w:hint="default"/>
                            <w:sz w:val="18"/>
                            <w:szCs w:val="18"/>
                          </w:rPr>
                        </w:pPr>
                        <w:r>
                          <w:rPr>
                            <w:rFonts w:ascii="宋体" w:hAnsi="宋体" w:cs="宋体" w:eastAsia="宋体" w:hint="default"/>
                            <w:sz w:val="18"/>
                            <w:szCs w:val="18"/>
                          </w:rPr>
                          <w:t>为设备采购尾款等支出。本项目结余募集资金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万元（不含利息），节约金额占承诺投资总额的 比例为</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3.93%</w:t>
                        </w:r>
                        <w:r>
                          <w:rPr>
                            <w:rFonts w:ascii="宋体" w:hAnsi="宋体" w:cs="宋体" w:eastAsia="宋体" w:hint="default"/>
                            <w:spacing w:val="-3"/>
                            <w:sz w:val="18"/>
                            <w:szCs w:val="18"/>
                          </w:rPr>
                          <w:t>，不存在重大差异。本项目募集资金结余主要原因是在项目实际实施中，加强成本控制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降低了采购成本和减少了部分设备采购。</w:t>
                        </w:r>
                      </w:p>
                      <w:p>
                        <w:pPr>
                          <w:pStyle w:val="TableParagraph"/>
                          <w:spacing w:line="312" w:lineRule="auto" w:before="70"/>
                          <w:ind w:left="26" w:right="17" w:firstLine="360"/>
                          <w:jc w:val="left"/>
                          <w:rPr>
                            <w:rFonts w:ascii="宋体" w:hAnsi="宋体" w:cs="宋体" w:eastAsia="宋体" w:hint="default"/>
                            <w:sz w:val="18"/>
                            <w:szCs w:val="18"/>
                          </w:rPr>
                        </w:pPr>
                        <w:r>
                          <w:rPr>
                            <w:rFonts w:ascii="宋体" w:hAnsi="宋体" w:cs="宋体" w:eastAsia="宋体" w:hint="default"/>
                            <w:sz w:val="18"/>
                            <w:szCs w:val="18"/>
                          </w:rPr>
                          <w:t>社会保障卡及读写终端制作中心项目已达到预定可使用状态，该项目承诺募集资金投资总额为 </w:t>
                        </w:r>
                        <w:r>
                          <w:rPr>
                            <w:rFonts w:ascii="Times New Roman" w:hAnsi="Times New Roman" w:cs="Times New Roman" w:eastAsia="Times New Roman" w:hint="default"/>
                            <w:sz w:val="18"/>
                            <w:szCs w:val="18"/>
                          </w:rPr>
                          <w:t>3,761.23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万元，项目累计投入募集资金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3,178.77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万元，结余募集资金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582.46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万元（不含利息），节约</w:t>
                        </w:r>
                        <w:r>
                          <w:rPr>
                            <w:rFonts w:ascii="宋体" w:hAnsi="宋体" w:cs="宋体" w:eastAsia="宋体" w:hint="default"/>
                            <w:sz w:val="18"/>
                            <w:szCs w:val="18"/>
                          </w:rPr>
                          <w:t> 金额占承诺投资总额的比例为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15.48%</w:t>
                        </w:r>
                        <w:r>
                          <w:rPr>
                            <w:rFonts w:ascii="宋体" w:hAnsi="宋体" w:cs="宋体" w:eastAsia="宋体" w:hint="default"/>
                            <w:sz w:val="18"/>
                            <w:szCs w:val="18"/>
                          </w:rPr>
                          <w:t>，不存在重大差异。本项目募集资金结余主要原因是在项目建 </w:t>
                        </w:r>
                        <w:r>
                          <w:rPr>
                            <w:rFonts w:ascii="宋体" w:hAnsi="宋体" w:cs="宋体" w:eastAsia="宋体" w:hint="default"/>
                            <w:spacing w:val="-1"/>
                            <w:sz w:val="18"/>
                            <w:szCs w:val="18"/>
                          </w:rPr>
                          <w:t>设过程中，外部政策、标准发生了较大变化，技术也在不断的发展升级，公司在充分考虑这些变化后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结合自身行业优势，采用了更集约化的建设方式，优化资源配置，降低了采购成本和减少了部分设备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采购，实现了项目投入的节约。</w:t>
                        </w:r>
                      </w:p>
                    </w:tc>
                  </w:tr>
                  <w:tr>
                    <w:trPr>
                      <w:trHeight w:val="715"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2" w:firstLine="360"/>
                          <w:jc w:val="left"/>
                          <w:rPr>
                            <w:rFonts w:ascii="宋体" w:hAnsi="宋体" w:cs="宋体" w:eastAsia="宋体" w:hint="default"/>
                            <w:sz w:val="18"/>
                            <w:szCs w:val="18"/>
                          </w:rPr>
                        </w:pPr>
                        <w:r>
                          <w:rPr>
                            <w:rFonts w:ascii="宋体" w:hAnsi="宋体" w:cs="宋体" w:eastAsia="宋体" w:hint="default"/>
                            <w:spacing w:val="-4"/>
                            <w:sz w:val="18"/>
                            <w:szCs w:val="18"/>
                          </w:rPr>
                          <w:t>尚未使用的募集资金（包括超募资金）存放于本公司募集资金专户。本公司将根据公司发展规划</w:t>
                        </w:r>
                        <w:r>
                          <w:rPr>
                            <w:rFonts w:ascii="宋体" w:hAnsi="宋体" w:cs="宋体" w:eastAsia="宋体" w:hint="default"/>
                            <w:sz w:val="18"/>
                            <w:szCs w:val="18"/>
                          </w:rPr>
                          <w:t> 妥善安排剩余募集资金（包括超募资金）的使用，将其用于本公司主营业务。</w:t>
                        </w:r>
                      </w:p>
                    </w:tc>
                  </w:tr>
                  <w:tr>
                    <w:trPr>
                      <w:trHeight w:val="1025"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left="0" w:right="1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13"/>
        <w:rPr>
          <w:rFonts w:ascii="宋体" w:hAnsi="宋体" w:cs="宋体" w:eastAsia="宋体" w:hint="default"/>
          <w:sz w:val="14"/>
          <w:szCs w:val="14"/>
        </w:rPr>
      </w:pPr>
    </w:p>
    <w:p>
      <w:pPr>
        <w:pStyle w:val="BodyText"/>
        <w:spacing w:line="240" w:lineRule="auto"/>
        <w:ind w:right="-18"/>
        <w:jc w:val="left"/>
      </w:pPr>
      <w:r>
        <w:rPr>
          <w:rFonts w:ascii="Times New Roman" w:hAnsi="Times New Roman" w:cs="Times New Roman" w:eastAsia="Times New Roman" w:hint="default"/>
        </w:rPr>
        <w:t>3.</w:t>
      </w:r>
      <w:r>
        <w:rPr/>
        <w:t>募集资金变更项目情况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91" w:space="6650"/>
            <w:col w:w="1209"/>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1"/>
              <w:jc w:val="left"/>
              <w:rPr>
                <w:rFonts w:ascii="宋体" w:hAnsi="宋体" w:cs="宋体" w:eastAsia="宋体" w:hint="default"/>
                <w:sz w:val="18"/>
                <w:szCs w:val="18"/>
              </w:rPr>
            </w:pPr>
            <w:r>
              <w:rPr>
                <w:rFonts w:ascii="宋体" w:hAnsi="宋体" w:cs="宋体" w:eastAsia="宋体" w:hint="default"/>
                <w:sz w:val="18"/>
                <w:szCs w:val="18"/>
              </w:rPr>
              <w:t>运维服务平 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运维体系及 灾备服务平 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1,959.68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1,870.77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3"/>
              <w:jc w:val="left"/>
              <w:rPr>
                <w:rFonts w:ascii="宋体" w:hAnsi="宋体" w:cs="宋体" w:eastAsia="宋体" w:hint="default"/>
                <w:sz w:val="18"/>
                <w:szCs w:val="18"/>
              </w:rPr>
            </w:pPr>
            <w:r>
              <w:rPr>
                <w:rFonts w:ascii="宋体" w:hAnsi="宋体" w:cs="宋体" w:eastAsia="宋体" w:hint="default"/>
                <w:sz w:val="18"/>
                <w:szCs w:val="18"/>
              </w:rPr>
              <w:t>投资设立大 连易联众科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月已注销</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363" w:hRule="exact"/>
        </w:trPr>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技有限公司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1,959.68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9.47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1,963.67</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337.34</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301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319"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48" w:lineRule="auto" w:before="49"/>
              <w:ind w:left="383" w:right="20"/>
              <w:jc w:val="left"/>
              <w:rPr>
                <w:rFonts w:ascii="宋体" w:hAnsi="宋体" w:cs="宋体" w:eastAsia="宋体" w:hint="default"/>
                <w:sz w:val="18"/>
                <w:szCs w:val="18"/>
              </w:rPr>
            </w:pPr>
            <w:r>
              <w:rPr>
                <w:rFonts w:ascii="宋体" w:hAnsi="宋体" w:cs="宋体" w:eastAsia="宋体" w:hint="default"/>
                <w:b/>
                <w:bCs/>
                <w:sz w:val="18"/>
                <w:szCs w:val="18"/>
              </w:rPr>
              <w:t>运维体系及灾备服务平台项目变更为运维服务平台项目</w:t>
            </w:r>
            <w:r>
              <w:rPr>
                <w:rFonts w:ascii="宋体" w:hAnsi="宋体" w:cs="宋体" w:eastAsia="宋体" w:hint="default"/>
                <w:b/>
                <w:bCs/>
                <w:w w:val="9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、项目投资内容调整原因： </w:t>
            </w:r>
            <w:r>
              <w:rPr>
                <w:rFonts w:ascii="宋体" w:hAnsi="宋体" w:cs="宋体" w:eastAsia="宋体" w:hint="default"/>
                <w:spacing w:val="-1"/>
                <w:sz w:val="18"/>
                <w:szCs w:val="18"/>
              </w:rPr>
              <w:t>在过去的三年里，公司运维体系及灾备服务平台项目建设的外部市场环境发生了</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重大变化。</w:t>
            </w:r>
          </w:p>
          <w:p>
            <w:pPr>
              <w:pStyle w:val="TableParagraph"/>
              <w:spacing w:line="309" w:lineRule="auto" w:before="117"/>
              <w:ind w:left="23" w:right="21" w:firstLine="360"/>
              <w:jc w:val="left"/>
              <w:rPr>
                <w:rFonts w:ascii="宋体" w:hAnsi="宋体" w:cs="宋体" w:eastAsia="宋体" w:hint="default"/>
                <w:sz w:val="18"/>
                <w:szCs w:val="18"/>
              </w:rPr>
            </w:pPr>
            <w:r>
              <w:rPr>
                <w:rFonts w:ascii="宋体" w:hAnsi="宋体" w:cs="宋体" w:eastAsia="宋体" w:hint="default"/>
                <w:spacing w:val="-1"/>
                <w:sz w:val="18"/>
                <w:szCs w:val="18"/>
              </w:rPr>
              <w:t>第一，国家在新一代信息技术产业规划里重点发展云计算产业，地方政府也相继</w:t>
            </w:r>
            <w:r>
              <w:rPr>
                <w:rFonts w:ascii="宋体" w:hAnsi="宋体" w:cs="宋体" w:eastAsia="宋体" w:hint="default"/>
                <w:sz w:val="18"/>
                <w:szCs w:val="18"/>
              </w:rPr>
              <w:t> 出台了云计算产业发展规划，部分地方政府</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系统的建设模式发生了变化，增加了 </w:t>
            </w:r>
            <w:r>
              <w:rPr>
                <w:rFonts w:ascii="宋体" w:hAnsi="宋体" w:cs="宋体" w:eastAsia="宋体" w:hint="default"/>
                <w:spacing w:val="-1"/>
                <w:sz w:val="18"/>
                <w:szCs w:val="18"/>
              </w:rPr>
              <w:t>运维服务市场的不确定因素，导致客户规模缩小。因此，决定相应缩小运维服务平台</w:t>
            </w:r>
          </w:p>
          <w:p>
            <w:pPr>
              <w:pStyle w:val="TableParagraph"/>
              <w:spacing w:line="360" w:lineRule="auto" w:before="24"/>
              <w:ind w:left="383" w:right="22" w:hanging="360"/>
              <w:jc w:val="left"/>
              <w:rPr>
                <w:rFonts w:ascii="宋体" w:hAnsi="宋体" w:cs="宋体" w:eastAsia="宋体" w:hint="default"/>
                <w:sz w:val="18"/>
                <w:szCs w:val="18"/>
              </w:rPr>
            </w:pPr>
            <w:r>
              <w:rPr>
                <w:rFonts w:ascii="宋体" w:hAnsi="宋体" w:cs="宋体" w:eastAsia="宋体" w:hint="default"/>
                <w:sz w:val="18"/>
                <w:szCs w:val="18"/>
              </w:rPr>
              <w:t>（即原项目的运维体系部分）建设规模。 </w:t>
            </w:r>
            <w:r>
              <w:rPr>
                <w:rFonts w:ascii="宋体" w:hAnsi="宋体" w:cs="宋体" w:eastAsia="宋体" w:hint="default"/>
                <w:spacing w:val="-1"/>
                <w:sz w:val="18"/>
                <w:szCs w:val="18"/>
              </w:rPr>
              <w:t>第二，由于国家正在福建泉州建设东南沿海最大的国家级数据灾备中心，对政府</w:t>
            </w:r>
          </w:p>
          <w:p>
            <w:pPr>
              <w:pStyle w:val="TableParagraph"/>
              <w:spacing w:line="223" w:lineRule="exact"/>
              <w:ind w:left="23" w:right="0"/>
              <w:jc w:val="left"/>
              <w:rPr>
                <w:rFonts w:ascii="宋体" w:hAnsi="宋体" w:cs="宋体" w:eastAsia="宋体" w:hint="default"/>
                <w:sz w:val="18"/>
                <w:szCs w:val="18"/>
              </w:rPr>
            </w:pPr>
            <w:r>
              <w:rPr>
                <w:rFonts w:ascii="宋体" w:hAnsi="宋体" w:cs="宋体" w:eastAsia="宋体" w:hint="default"/>
                <w:sz w:val="18"/>
                <w:szCs w:val="18"/>
              </w:rPr>
              <w:t>行业内的灾备服务外包市场构成一定的影响，鉴于政府项目建设思路的变化，灾备服</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pacing w:val="-1"/>
                <w:sz w:val="18"/>
                <w:szCs w:val="18"/>
              </w:rPr>
              <w:t>务平台项目不具备继续进行下去的前提和环境，公司决定终止原项目中“灾备服务平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台”的建设。</w:t>
            </w:r>
          </w:p>
          <w:p>
            <w:pPr>
              <w:pStyle w:val="TableParagraph"/>
              <w:spacing w:line="240" w:lineRule="auto" w:before="57"/>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w:t>
            </w:r>
          </w:p>
          <w:p>
            <w:pPr>
              <w:pStyle w:val="TableParagraph"/>
              <w:spacing w:line="300" w:lineRule="auto" w:before="103"/>
              <w:ind w:left="23" w:right="2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日公司第二届董事会第九次会议、第二届监事会第八次会议分别 </w:t>
            </w:r>
            <w:r>
              <w:rPr>
                <w:rFonts w:ascii="宋体" w:hAnsi="宋体" w:cs="宋体" w:eastAsia="宋体" w:hint="default"/>
                <w:spacing w:val="-1"/>
                <w:sz w:val="18"/>
                <w:szCs w:val="18"/>
              </w:rPr>
              <w:t>审议通过了《关于变更募集资金投资项目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运维体系及灾备服务平台项目投资内容</w:t>
            </w:r>
            <w:r>
              <w:rPr>
                <w:rFonts w:ascii="宋体" w:hAnsi="宋体" w:cs="宋体" w:eastAsia="宋体" w:hint="default"/>
                <w:spacing w:val="-70"/>
                <w:sz w:val="18"/>
                <w:szCs w:val="18"/>
              </w:rPr>
              <w:t> </w:t>
            </w:r>
            <w:r>
              <w:rPr>
                <w:rFonts w:ascii="宋体" w:hAnsi="宋体" w:cs="宋体" w:eastAsia="宋体" w:hint="default"/>
                <w:sz w:val="18"/>
                <w:szCs w:val="18"/>
              </w:rPr>
              <w:t>的议案》，公司全体独立董事和保荐机构亦发表了明确同意意见。</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p>
            <w:pPr>
              <w:pStyle w:val="TableParagraph"/>
              <w:spacing w:line="300" w:lineRule="auto" w:before="13"/>
              <w:ind w:left="23" w:right="91"/>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年第一次临时股东大会审议通过了《关于变更募集资金投资项目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运维 体系及灾备服务平台项目投资内容的议案》。</w:t>
            </w:r>
          </w:p>
          <w:p>
            <w:pPr>
              <w:pStyle w:val="TableParagraph"/>
              <w:spacing w:line="240" w:lineRule="auto" w:before="7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、信息披露情况：</w:t>
            </w:r>
          </w:p>
          <w:p>
            <w:pPr>
              <w:pStyle w:val="TableParagraph"/>
              <w:spacing w:line="307" w:lineRule="auto" w:before="101"/>
              <w:ind w:left="23" w:right="17" w:firstLine="360"/>
              <w:jc w:val="both"/>
              <w:rPr>
                <w:rFonts w:ascii="宋体" w:hAnsi="宋体" w:cs="宋体" w:eastAsia="宋体" w:hint="default"/>
                <w:sz w:val="18"/>
                <w:szCs w:val="18"/>
              </w:rPr>
            </w:pPr>
            <w:r>
              <w:rPr>
                <w:rFonts w:ascii="宋体" w:hAnsi="宋体" w:cs="宋体" w:eastAsia="宋体" w:hint="default"/>
                <w:spacing w:val="-1"/>
                <w:sz w:val="18"/>
                <w:szCs w:val="18"/>
              </w:rPr>
              <w:t>《第二届董事会第九次会议决议公告》、《关于变更募集资金投资项目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运维</w:t>
            </w:r>
            <w:r>
              <w:rPr>
                <w:rFonts w:ascii="宋体" w:hAnsi="宋体" w:cs="宋体" w:eastAsia="宋体" w:hint="default"/>
                <w:sz w:val="18"/>
                <w:szCs w:val="18"/>
              </w:rPr>
              <w:t> </w:t>
            </w:r>
            <w:r>
              <w:rPr>
                <w:rFonts w:ascii="宋体" w:hAnsi="宋体" w:cs="宋体" w:eastAsia="宋体" w:hint="default"/>
                <w:spacing w:val="-1"/>
                <w:sz w:val="18"/>
                <w:szCs w:val="18"/>
              </w:rPr>
              <w:t>体系及灾备服务平台项目投资内容的公告》、《独立董事关于第二届董事会第九次会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议相关事项的独立意见》、《第二届监事会第八次会议决议公告》、《招商证券股份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有限公司关于公司募集资金投资项目变动事项的核查意见》已于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 </w:t>
            </w:r>
            <w:r>
              <w:rPr>
                <w:rFonts w:ascii="宋体" w:hAnsi="宋体" w:cs="宋体" w:eastAsia="宋体" w:hint="default"/>
                <w:spacing w:val="-2"/>
                <w:sz w:val="18"/>
                <w:szCs w:val="18"/>
              </w:rPr>
              <w:t>中国证监会指定信息披露网站上披露。《</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年第一次临时股东大会决议公告》已于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日在中国证监会指定信息披露网站上披露。</w:t>
            </w:r>
          </w:p>
          <w:p>
            <w:pPr>
              <w:pStyle w:val="TableParagraph"/>
              <w:spacing w:line="316" w:lineRule="auto" w:before="48"/>
              <w:ind w:left="23" w:right="18" w:firstLine="360"/>
              <w:jc w:val="both"/>
              <w:rPr>
                <w:rFonts w:ascii="宋体" w:hAnsi="宋体" w:cs="宋体" w:eastAsia="宋体" w:hint="default"/>
                <w:sz w:val="18"/>
                <w:szCs w:val="18"/>
              </w:rPr>
            </w:pPr>
            <w:r>
              <w:rPr>
                <w:rFonts w:ascii="宋体" w:hAnsi="宋体" w:cs="宋体" w:eastAsia="宋体" w:hint="default"/>
                <w:spacing w:val="-1"/>
                <w:sz w:val="18"/>
                <w:szCs w:val="18"/>
              </w:rPr>
              <w:t>截至本报告期末，该项目已经完成了运维中心机房、呼叫中心、运维服务管理体</w:t>
            </w:r>
            <w:r>
              <w:rPr>
                <w:rFonts w:ascii="宋体" w:hAnsi="宋体" w:cs="宋体" w:eastAsia="宋体" w:hint="default"/>
                <w:sz w:val="18"/>
                <w:szCs w:val="18"/>
              </w:rPr>
              <w:t> 系、北京、广西公司办公和 </w:t>
            </w:r>
            <w:r>
              <w:rPr>
                <w:rFonts w:ascii="宋体" w:hAnsi="宋体" w:cs="宋体" w:eastAsia="宋体" w:hint="default"/>
                <w:sz w:val="18"/>
                <w:szCs w:val="18"/>
              </w:rPr>
              <w:t>IT</w:t>
            </w:r>
            <w:r>
              <w:rPr>
                <w:rFonts w:ascii="宋体" w:hAnsi="宋体" w:cs="宋体" w:eastAsia="宋体" w:hint="default"/>
                <w:spacing w:val="-21"/>
                <w:sz w:val="18"/>
                <w:szCs w:val="18"/>
              </w:rPr>
              <w:t> </w:t>
            </w:r>
            <w:r>
              <w:rPr>
                <w:rFonts w:ascii="宋体" w:hAnsi="宋体" w:cs="宋体" w:eastAsia="宋体" w:hint="default"/>
                <w:sz w:val="18"/>
                <w:szCs w:val="18"/>
              </w:rPr>
              <w:t>环境的建设，项目已建设完成并正式投入使用，达到 了预期目标。</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b/>
                <w:bCs/>
                <w:sz w:val="18"/>
                <w:szCs w:val="18"/>
              </w:rPr>
              <w:t>大连易联众科技有限公司注销</w:t>
            </w:r>
            <w:r>
              <w:rPr>
                <w:rFonts w:ascii="宋体" w:hAnsi="宋体" w:cs="宋体" w:eastAsia="宋体" w:hint="default"/>
                <w:sz w:val="18"/>
                <w:szCs w:val="18"/>
              </w:rPr>
            </w:r>
          </w:p>
          <w:p>
            <w:pPr>
              <w:pStyle w:val="TableParagraph"/>
              <w:spacing w:line="240" w:lineRule="auto" w:before="118"/>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变更原因：</w:t>
            </w:r>
          </w:p>
          <w:p>
            <w:pPr>
              <w:pStyle w:val="TableParagraph"/>
              <w:spacing w:line="316" w:lineRule="auto" w:before="63"/>
              <w:ind w:left="23" w:right="12" w:firstLine="360"/>
              <w:jc w:val="both"/>
              <w:rPr>
                <w:rFonts w:ascii="宋体" w:hAnsi="宋体" w:cs="宋体" w:eastAsia="宋体" w:hint="default"/>
                <w:sz w:val="18"/>
                <w:szCs w:val="18"/>
              </w:rPr>
            </w:pPr>
            <w:r>
              <w:rPr>
                <w:rFonts w:ascii="宋体" w:hAnsi="宋体" w:cs="宋体" w:eastAsia="宋体" w:hint="default"/>
                <w:spacing w:val="4"/>
                <w:sz w:val="18"/>
                <w:szCs w:val="18"/>
              </w:rPr>
              <w:t>大连易联众科技有限公司是公司为了进一步拓展医疗卫生信息化领域相关业务 </w:t>
            </w:r>
            <w:r>
              <w:rPr>
                <w:rFonts w:ascii="宋体" w:hAnsi="宋体" w:cs="宋体" w:eastAsia="宋体" w:hint="default"/>
                <w:sz w:val="18"/>
                <w:szCs w:val="18"/>
              </w:rPr>
              <w:t>与常忠先生合资设立的子公司。大连易联众成立后至</w:t>
            </w:r>
            <w:r>
              <w:rPr>
                <w:rFonts w:ascii="宋体" w:hAnsi="宋体" w:cs="宋体" w:eastAsia="宋体" w:hint="default"/>
                <w:spacing w:val="-27"/>
                <w:sz w:val="18"/>
                <w:szCs w:val="18"/>
              </w:rPr>
              <w:t> </w:t>
            </w:r>
            <w:r>
              <w:rPr>
                <w:rFonts w:ascii="宋体" w:hAnsi="宋体" w:cs="宋体" w:eastAsia="宋体" w:hint="default"/>
                <w:sz w:val="18"/>
                <w:szCs w:val="18"/>
              </w:rPr>
              <w:t>2011</w:t>
            </w:r>
            <w:r>
              <w:rPr>
                <w:rFonts w:ascii="宋体" w:hAnsi="宋体" w:cs="宋体" w:eastAsia="宋体"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6</w:t>
            </w:r>
            <w:r>
              <w:rPr>
                <w:rFonts w:ascii="宋体" w:hAnsi="宋体" w:cs="宋体" w:eastAsia="宋体" w:hint="default"/>
                <w:spacing w:val="-27"/>
                <w:sz w:val="18"/>
                <w:szCs w:val="18"/>
              </w:rPr>
              <w:t> </w:t>
            </w:r>
            <w:r>
              <w:rPr>
                <w:rFonts w:ascii="宋体" w:hAnsi="宋体" w:cs="宋体" w:eastAsia="宋体" w:hint="default"/>
                <w:sz w:val="18"/>
                <w:szCs w:val="18"/>
              </w:rPr>
              <w:t>月，在大连市的业务 </w:t>
            </w:r>
            <w:r>
              <w:rPr>
                <w:rFonts w:ascii="宋体" w:hAnsi="宋体" w:cs="宋体" w:eastAsia="宋体" w:hint="default"/>
                <w:spacing w:val="-1"/>
                <w:sz w:val="18"/>
                <w:szCs w:val="18"/>
              </w:rPr>
              <w:t>拓展没有取得预期进展，原合作方常忠先生也因此提出出让股权退出合作，公司全资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子公司福州易联众信息技术有限公司受让了常忠先生所持有的大连易联众</w:t>
            </w:r>
            <w:r>
              <w:rPr>
                <w:rFonts w:ascii="宋体" w:hAnsi="宋体" w:cs="宋体" w:eastAsia="宋体" w:hint="default"/>
                <w:spacing w:val="24"/>
                <w:sz w:val="18"/>
                <w:szCs w:val="18"/>
              </w:rPr>
              <w:t> </w:t>
            </w:r>
            <w:r>
              <w:rPr>
                <w:rFonts w:ascii="宋体" w:hAnsi="宋体" w:cs="宋体" w:eastAsia="宋体" w:hint="default"/>
                <w:spacing w:val="3"/>
                <w:sz w:val="18"/>
                <w:szCs w:val="18"/>
              </w:rPr>
              <w:t>10%</w:t>
            </w:r>
            <w:r>
              <w:rPr>
                <w:rFonts w:ascii="宋体" w:hAnsi="宋体" w:cs="宋体" w:eastAsia="宋体" w:hint="default"/>
                <w:spacing w:val="3"/>
                <w:sz w:val="18"/>
                <w:szCs w:val="18"/>
              </w:rPr>
              <w:t>的股</w:t>
            </w:r>
            <w:r>
              <w:rPr>
                <w:rFonts w:ascii="宋体" w:hAnsi="宋体" w:cs="宋体" w:eastAsia="宋体" w:hint="default"/>
                <w:spacing w:val="-82"/>
                <w:sz w:val="18"/>
                <w:szCs w:val="18"/>
              </w:rPr>
              <w:t> </w:t>
            </w:r>
            <w:r>
              <w:rPr>
                <w:rFonts w:ascii="宋体" w:hAnsi="宋体" w:cs="宋体" w:eastAsia="宋体" w:hint="default"/>
                <w:sz w:val="18"/>
                <w:szCs w:val="18"/>
              </w:rPr>
              <w:t>权。</w:t>
            </w:r>
          </w:p>
          <w:p>
            <w:pPr>
              <w:pStyle w:val="TableParagraph"/>
              <w:spacing w:line="316" w:lineRule="auto" w:before="19"/>
              <w:ind w:left="23" w:right="17" w:firstLine="360"/>
              <w:jc w:val="both"/>
              <w:rPr>
                <w:rFonts w:ascii="宋体" w:hAnsi="宋体" w:cs="宋体" w:eastAsia="宋体" w:hint="default"/>
                <w:sz w:val="18"/>
                <w:szCs w:val="18"/>
              </w:rPr>
            </w:pPr>
            <w:r>
              <w:rPr>
                <w:rFonts w:ascii="宋体" w:hAnsi="宋体" w:cs="宋体" w:eastAsia="宋体" w:hint="default"/>
                <w:sz w:val="18"/>
                <w:szCs w:val="18"/>
              </w:rPr>
              <w:t>此后，为了继续开拓以大连市为辐射的医疗卫生行业信息化市场，</w:t>
            </w:r>
            <w:r>
              <w:rPr>
                <w:rFonts w:ascii="宋体" w:hAnsi="宋体" w:cs="宋体" w:eastAsia="宋体" w:hint="default"/>
                <w:sz w:val="18"/>
                <w:szCs w:val="18"/>
              </w:rPr>
              <w:t>2011</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7</w:t>
            </w:r>
            <w:r>
              <w:rPr>
                <w:rFonts w:ascii="宋体" w:hAnsi="宋体" w:cs="宋体" w:eastAsia="宋体" w:hint="default"/>
                <w:spacing w:val="-64"/>
                <w:sz w:val="18"/>
                <w:szCs w:val="18"/>
              </w:rPr>
              <w:t> </w:t>
            </w:r>
            <w:r>
              <w:rPr>
                <w:rFonts w:ascii="宋体" w:hAnsi="宋体" w:cs="宋体" w:eastAsia="宋体" w:hint="default"/>
                <w:sz w:val="18"/>
                <w:szCs w:val="18"/>
              </w:rPr>
              <w:t>月开 </w:t>
            </w:r>
            <w:r>
              <w:rPr>
                <w:rFonts w:ascii="宋体" w:hAnsi="宋体" w:cs="宋体" w:eastAsia="宋体" w:hint="default"/>
                <w:spacing w:val="-1"/>
                <w:sz w:val="18"/>
                <w:szCs w:val="18"/>
              </w:rPr>
              <w:t>始，公司与大连公众信息产业有限公司建立战略合作伙伴关系，以期利用双方各自的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资源和优势，通过项目合作方式为切入点，共同推动、开拓大连市医疗卫生行业信息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化市场，包括居民健康档案、居民健康卡、大连市级新农合项目、易联众自助服务终</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2"/>
        <w:gridCol w:w="6700"/>
      </w:tblGrid>
      <w:tr>
        <w:trPr>
          <w:trHeight w:val="7386"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both"/>
              <w:rPr>
                <w:rFonts w:ascii="宋体" w:hAnsi="宋体" w:cs="宋体" w:eastAsia="宋体" w:hint="default"/>
                <w:sz w:val="18"/>
                <w:szCs w:val="18"/>
              </w:rPr>
            </w:pPr>
            <w:r>
              <w:rPr>
                <w:rFonts w:ascii="宋体" w:hAnsi="宋体" w:cs="宋体" w:eastAsia="宋体" w:hint="default"/>
                <w:sz w:val="18"/>
                <w:szCs w:val="18"/>
              </w:rPr>
              <w:t>端产品代理销售方面等相关业务。截止</w:t>
            </w:r>
            <w:r>
              <w:rPr>
                <w:rFonts w:ascii="宋体" w:hAnsi="宋体" w:cs="宋体" w:eastAsia="宋体" w:hint="default"/>
                <w:spacing w:val="-28"/>
                <w:sz w:val="18"/>
                <w:szCs w:val="18"/>
              </w:rPr>
              <w:t> </w:t>
            </w:r>
            <w:r>
              <w:rPr>
                <w:rFonts w:ascii="宋体" w:hAnsi="宋体" w:cs="宋体" w:eastAsia="宋体" w:hint="default"/>
                <w:sz w:val="18"/>
                <w:szCs w:val="18"/>
              </w:rPr>
              <w:t>2013</w:t>
            </w:r>
            <w:r>
              <w:rPr>
                <w:rFonts w:ascii="宋体" w:hAnsi="宋体" w:cs="宋体" w:eastAsia="宋体"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6</w:t>
            </w:r>
            <w:r>
              <w:rPr>
                <w:rFonts w:ascii="宋体" w:hAnsi="宋体" w:cs="宋体" w:eastAsia="宋体" w:hint="default"/>
                <w:spacing w:val="-27"/>
                <w:sz w:val="18"/>
                <w:szCs w:val="18"/>
              </w:rPr>
              <w:t> </w:t>
            </w:r>
            <w:r>
              <w:rPr>
                <w:rFonts w:ascii="宋体" w:hAnsi="宋体" w:cs="宋体" w:eastAsia="宋体" w:hint="default"/>
                <w:sz w:val="18"/>
                <w:szCs w:val="18"/>
              </w:rPr>
              <w:t>月，经过双方努力，虽然取得一定 </w:t>
            </w:r>
            <w:r>
              <w:rPr>
                <w:rFonts w:ascii="宋体" w:hAnsi="宋体" w:cs="宋体" w:eastAsia="宋体" w:hint="default"/>
                <w:spacing w:val="-1"/>
                <w:sz w:val="18"/>
                <w:szCs w:val="18"/>
              </w:rPr>
              <w:t>成效，但大连市健康服务平台建设项目一直没有实质性启动，也尚未实现销售，处在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亏损状态。此外，公司与大连公众信息产业有限公司的战略合作协议也已到期，而最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终项目何时启动与结果还存在较大不确定性。</w:t>
            </w:r>
          </w:p>
          <w:p>
            <w:pPr>
              <w:pStyle w:val="TableParagraph"/>
              <w:spacing w:line="316" w:lineRule="auto" w:before="17"/>
              <w:ind w:left="23" w:right="23" w:firstLine="360"/>
              <w:jc w:val="both"/>
              <w:rPr>
                <w:rFonts w:ascii="宋体" w:hAnsi="宋体" w:cs="宋体" w:eastAsia="宋体" w:hint="default"/>
                <w:sz w:val="18"/>
                <w:szCs w:val="18"/>
              </w:rPr>
            </w:pPr>
            <w:r>
              <w:rPr>
                <w:rFonts w:ascii="宋体" w:hAnsi="宋体" w:cs="宋体" w:eastAsia="宋体" w:hint="default"/>
                <w:spacing w:val="-1"/>
                <w:sz w:val="18"/>
                <w:szCs w:val="18"/>
              </w:rPr>
              <w:t>因此，为避免项目久拖不决，控制投资风险，避免出现更大投资损失，更好地维</w:t>
            </w:r>
            <w:r>
              <w:rPr>
                <w:rFonts w:ascii="宋体" w:hAnsi="宋体" w:cs="宋体" w:eastAsia="宋体" w:hint="default"/>
                <w:sz w:val="18"/>
                <w:szCs w:val="18"/>
              </w:rPr>
              <w:t> 护公司和投资者的利益，公司决定终止该募投项目。</w:t>
            </w:r>
          </w:p>
          <w:p>
            <w:pPr>
              <w:pStyle w:val="TableParagraph"/>
              <w:spacing w:line="240" w:lineRule="auto" w:before="19"/>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决策程序：</w:t>
            </w:r>
          </w:p>
          <w:p>
            <w:pPr>
              <w:pStyle w:val="TableParagraph"/>
              <w:spacing w:line="309" w:lineRule="auto" w:before="103"/>
              <w:ind w:left="23" w:right="1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日公司第二届董事会第九次会议、第二届监事会第八次会议分别 </w:t>
            </w:r>
            <w:r>
              <w:rPr>
                <w:rFonts w:ascii="宋体" w:hAnsi="宋体" w:cs="宋体" w:eastAsia="宋体" w:hint="default"/>
                <w:spacing w:val="-1"/>
                <w:sz w:val="18"/>
                <w:szCs w:val="18"/>
              </w:rPr>
              <w:t>审议通过了《关于终止超募资金投资项目——大连易联众科技有限公司的议案》，公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司全体独立董事和保荐机构亦发表了明确同意意见。</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 </w:t>
            </w:r>
            <w:r>
              <w:rPr>
                <w:rFonts w:ascii="宋体" w:hAnsi="宋体" w:cs="宋体" w:eastAsia="宋体" w:hint="default"/>
                <w:spacing w:val="-1"/>
                <w:sz w:val="18"/>
                <w:szCs w:val="18"/>
              </w:rPr>
              <w:t>一次临时股东大会审议通过了《公司关于终止超募资金投资项目——大连易联众科技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有限公司的议案》。</w:t>
            </w:r>
          </w:p>
          <w:p>
            <w:pPr>
              <w:pStyle w:val="TableParagraph"/>
              <w:spacing w:line="240" w:lineRule="auto" w:before="63"/>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信息披露情况：</w:t>
            </w:r>
          </w:p>
          <w:p>
            <w:pPr>
              <w:pStyle w:val="TableParagraph"/>
              <w:spacing w:line="312" w:lineRule="auto" w:before="103"/>
              <w:ind w:left="23" w:right="17" w:firstLine="360"/>
              <w:jc w:val="both"/>
              <w:rPr>
                <w:rFonts w:ascii="宋体" w:hAnsi="宋体" w:cs="宋体" w:eastAsia="宋体" w:hint="default"/>
                <w:sz w:val="18"/>
                <w:szCs w:val="18"/>
              </w:rPr>
            </w:pPr>
            <w:r>
              <w:rPr>
                <w:rFonts w:ascii="宋体" w:hAnsi="宋体" w:cs="宋体" w:eastAsia="宋体" w:hint="default"/>
                <w:spacing w:val="-1"/>
                <w:sz w:val="18"/>
                <w:szCs w:val="18"/>
              </w:rPr>
              <w:t>《第二届董事会第九次会议决议公告》、《关于终止超募资金投资项目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大连易</w:t>
            </w:r>
            <w:r>
              <w:rPr>
                <w:rFonts w:ascii="宋体" w:hAnsi="宋体" w:cs="宋体" w:eastAsia="宋体" w:hint="default"/>
                <w:sz w:val="18"/>
                <w:szCs w:val="18"/>
              </w:rPr>
              <w:t> </w:t>
            </w:r>
            <w:r>
              <w:rPr>
                <w:rFonts w:ascii="宋体" w:hAnsi="宋体" w:cs="宋体" w:eastAsia="宋体" w:hint="default"/>
                <w:spacing w:val="-1"/>
                <w:sz w:val="18"/>
                <w:szCs w:val="18"/>
              </w:rPr>
              <w:t>联众科技有限公司的公告》、《独立董事关于第二届董事会第九次会议相关事项的独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立意见》、《第二届监事会第八次会议决议公告》、《招商证券股份有限公司关于公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司募集资金投资项目变动事项的核查意见》已于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日在中国证监会指定</w:t>
            </w:r>
          </w:p>
          <w:p>
            <w:pPr>
              <w:pStyle w:val="TableParagraph"/>
              <w:spacing w:line="240" w:lineRule="auto" w:before="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信息披露网站上披露。《</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年第一次临时股东大会决议公告》已于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日在中国证监会指定信息披露网站上披露。</w:t>
            </w:r>
          </w:p>
          <w:p>
            <w:pPr>
              <w:pStyle w:val="TableParagraph"/>
              <w:spacing w:line="240" w:lineRule="auto" w:before="117"/>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月，公司完成了对大连易联众科技有限公司的注销登记工作。具体情</w:t>
            </w:r>
          </w:p>
          <w:p>
            <w:pPr>
              <w:pStyle w:val="TableParagraph"/>
              <w:spacing w:line="300"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况详见公司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日刊登在中国证监会指定的创业板信息披露网站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 讯网</w:t>
            </w:r>
            <w:r>
              <w:rPr>
                <w:rFonts w:ascii="宋体" w:hAnsi="宋体" w:cs="宋体" w:eastAsia="宋体" w:hint="default"/>
                <w:spacing w:val="-59"/>
                <w:sz w:val="18"/>
                <w:szCs w:val="18"/>
              </w:rPr>
              <w:t> </w:t>
            </w: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的《关于完成子公司注销登记的公告》，公司对大连易 联众依法清算后剩余财产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2,607.10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万元已转回超募资金专户。</w:t>
            </w:r>
          </w:p>
        </w:tc>
      </w:tr>
      <w:tr>
        <w:trPr>
          <w:trHeight w:val="71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rFonts w:ascii="Times New Roman" w:hAnsi="Times New Roman" w:cs="Times New Roman" w:eastAsia="Times New Roman" w:hint="default"/>
        </w:rPr>
        <w:t>3</w:t>
      </w:r>
      <w:r>
        <w:rPr/>
        <w:t>）非募集资金投资的重大项目情况</w:t>
      </w:r>
    </w:p>
    <w:p>
      <w:pPr>
        <w:pStyle w:val="BodyText"/>
        <w:spacing w:line="348" w:lineRule="auto" w:before="101"/>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公司报告期无非募集资金投资的重大项目。 </w:t>
      </w:r>
      <w:r>
        <w:rPr>
          <w:rFonts w:ascii="Times New Roman" w:hAnsi="Times New Roman" w:cs="Times New Roman" w:eastAsia="Times New Roman" w:hint="default"/>
        </w:rPr>
        <w:t>4</w:t>
      </w:r>
      <w:r>
        <w:rPr/>
        <w:t>）持有其他上市公司股权情况</w:t>
      </w:r>
    </w:p>
    <w:p>
      <w:pPr>
        <w:pStyle w:val="BodyText"/>
        <w:spacing w:line="240" w:lineRule="auto" w:before="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0"/>
        <w:jc w:val="left"/>
      </w:pPr>
      <w:r>
        <w:rPr>
          <w:rFonts w:ascii="Times New Roman" w:hAnsi="Times New Roman" w:cs="Times New Roman" w:eastAsia="Times New Roman" w:hint="default"/>
        </w:rPr>
        <w:t>5</w:t>
      </w:r>
      <w:r>
        <w:rPr/>
        <w:t>）持有金融企业股权情况</w:t>
      </w:r>
    </w:p>
    <w:p>
      <w:pPr>
        <w:pStyle w:val="BodyText"/>
        <w:spacing w:line="350" w:lineRule="auto" w:before="101"/>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314" w:space="6607"/>
            <w:col w:w="102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4"/>
        <w:gridCol w:w="943"/>
        <w:gridCol w:w="809"/>
        <w:gridCol w:w="1075"/>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福州易联 众信息技 术有限公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133,377,69</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3.66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70,053,149.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79,691,143.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6,518,876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4,859,001.00</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山西易联 众信息技 术有限公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110,259,60</w:t>
            </w:r>
          </w:p>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7.35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86,454,037.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51,792,932.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15,922,91</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7.28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14,005,686.2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安徽易联 众信息技 术有限公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61,642,235.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22,680,752.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45,702,872.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6,743,413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6,361,173.73</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福建易联 众软件系 统开发有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68,278,050.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23,111,244.</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42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63,806,045.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49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1,537,005</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1,641,071.71</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福建易联 众电子科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6,555,824.2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5,243,738.0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4,438,182.1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-4,664,56</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2.94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-3,768,388.12</w:t>
            </w:r>
          </w:p>
        </w:tc>
      </w:tr>
      <w:tr>
        <w:trPr>
          <w:trHeight w:val="258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中职动力</w:t>
            </w:r>
          </w:p>
          <w:p>
            <w:pPr>
              <w:pStyle w:val="TableParagraph"/>
              <w:spacing w:line="319" w:lineRule="auto" w:before="74"/>
              <w:ind w:left="24" w:right="21"/>
              <w:jc w:val="left"/>
              <w:rPr>
                <w:rFonts w:ascii="宋体" w:hAnsi="宋体" w:cs="宋体" w:eastAsia="宋体" w:hint="default"/>
                <w:sz w:val="18"/>
                <w:szCs w:val="18"/>
              </w:rPr>
            </w:pPr>
            <w:r>
              <w:rPr>
                <w:rFonts w:ascii="宋体" w:hAnsi="宋体" w:cs="宋体" w:eastAsia="宋体" w:hint="default"/>
                <w:spacing w:val="-3"/>
                <w:sz w:val="18"/>
                <w:szCs w:val="18"/>
              </w:rPr>
              <w:t>（北京）科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技术开发、 技术咨询、 技术服务、 技术推广； 计算机技 </w:t>
            </w:r>
            <w:r>
              <w:rPr>
                <w:rFonts w:ascii="宋体" w:hAnsi="宋体" w:cs="宋体" w:eastAsia="宋体" w:hint="default"/>
                <w:spacing w:val="-3"/>
                <w:sz w:val="18"/>
                <w:szCs w:val="18"/>
              </w:rPr>
              <w:t>术培训；计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算机系统 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7,737,466.7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-1,906,635.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1,397,552.5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-7,298,27</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5.92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-5,518,842.61</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湖南易联 众信息技 术有限公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53,905,030.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19,498,538.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42,108,580.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8,185,752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7,180,247.83</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189"/>
              <w:jc w:val="left"/>
              <w:rPr>
                <w:rFonts w:ascii="宋体" w:hAnsi="宋体" w:cs="宋体" w:eastAsia="宋体" w:hint="default"/>
                <w:sz w:val="18"/>
                <w:szCs w:val="18"/>
              </w:rPr>
            </w:pPr>
            <w:r>
              <w:rPr>
                <w:rFonts w:ascii="宋体" w:hAnsi="宋体" w:cs="宋体" w:eastAsia="宋体" w:hint="default"/>
                <w:sz w:val="18"/>
                <w:szCs w:val="18"/>
              </w:rPr>
              <w:t>广西易联 众信息技</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88"/>
              <w:jc w:val="left"/>
              <w:rPr>
                <w:rFonts w:ascii="宋体" w:hAnsi="宋体" w:cs="宋体" w:eastAsia="宋体" w:hint="default"/>
                <w:sz w:val="18"/>
                <w:szCs w:val="18"/>
              </w:rPr>
            </w:pPr>
            <w:r>
              <w:rPr>
                <w:rFonts w:ascii="宋体" w:hAnsi="宋体" w:cs="宋体" w:eastAsia="宋体" w:hint="default"/>
                <w:sz w:val="18"/>
                <w:szCs w:val="18"/>
              </w:rPr>
              <w:t>软件和信 息技术服</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9"/>
              <w:jc w:val="left"/>
              <w:rPr>
                <w:rFonts w:ascii="宋体" w:hAnsi="宋体" w:cs="宋体" w:eastAsia="宋体" w:hint="default"/>
                <w:sz w:val="18"/>
                <w:szCs w:val="18"/>
              </w:rPr>
            </w:pPr>
            <w:r>
              <w:rPr>
                <w:rFonts w:ascii="宋体" w:hAnsi="宋体" w:cs="宋体" w:eastAsia="宋体" w:hint="default"/>
                <w:sz w:val="18"/>
                <w:szCs w:val="18"/>
              </w:rPr>
              <w:t>卡研发生 </w:t>
            </w:r>
            <w:r>
              <w:rPr>
                <w:rFonts w:ascii="宋体" w:hAnsi="宋体" w:cs="宋体" w:eastAsia="宋体" w:hint="default"/>
                <w:spacing w:val="-3"/>
                <w:sz w:val="18"/>
                <w:szCs w:val="18"/>
              </w:rPr>
              <w:t>产、软件开</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12,872,170.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11,590,948.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9,219,948.2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2,618,582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2,432,393.14</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4"/>
        <w:gridCol w:w="943"/>
        <w:gridCol w:w="809"/>
        <w:gridCol w:w="1075"/>
      </w:tblGrid>
      <w:tr>
        <w:trPr>
          <w:trHeight w:val="67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89"/>
              <w:jc w:val="left"/>
              <w:rPr>
                <w:rFonts w:ascii="宋体" w:hAnsi="宋体" w:cs="宋体" w:eastAsia="宋体" w:hint="default"/>
                <w:sz w:val="18"/>
                <w:szCs w:val="18"/>
              </w:rPr>
            </w:pPr>
            <w:r>
              <w:rPr>
                <w:rFonts w:ascii="宋体" w:hAnsi="宋体" w:cs="宋体" w:eastAsia="宋体" w:hint="default"/>
                <w:sz w:val="18"/>
                <w:szCs w:val="18"/>
              </w:rPr>
              <w:t>术有限公 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8"/>
              <w:jc w:val="left"/>
              <w:rPr>
                <w:rFonts w:ascii="宋体" w:hAnsi="宋体" w:cs="宋体" w:eastAsia="宋体" w:hint="default"/>
                <w:sz w:val="18"/>
                <w:szCs w:val="18"/>
              </w:rPr>
            </w:pP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87"/>
              <w:jc w:val="left"/>
              <w:rPr>
                <w:rFonts w:ascii="宋体" w:hAnsi="宋体" w:cs="宋体" w:eastAsia="宋体" w:hint="default"/>
                <w:sz w:val="18"/>
                <w:szCs w:val="18"/>
              </w:rPr>
            </w:pPr>
            <w:r>
              <w:rPr>
                <w:rFonts w:ascii="宋体" w:hAnsi="宋体" w:cs="宋体" w:eastAsia="宋体" w:hint="default"/>
                <w:sz w:val="18"/>
                <w:szCs w:val="18"/>
              </w:rPr>
              <w:t>发及应用 系统集成</w:t>
            </w: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广东易联 众计算机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10,615,253.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6,062,927.7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14,488,972.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42,978.52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-48,543.45</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北京易联 众信息技 术有限公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8,870,055.3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6,599,034.3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2,151,132.6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-2,755,31</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9.19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-2,069,999.91</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陕西易联 众信息技 术有限公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8,577,602.1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1,573,070.5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11,823,564.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-1,438,14</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3.85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-1,108,701.55</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北京尚洋 易捷信息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z w:val="18"/>
                <w:szCs w:val="18"/>
              </w:rPr>
              <w:t>软件和信 息技术服 </w:t>
            </w:r>
            <w:r>
              <w:rPr>
                <w:rFonts w:ascii="宋体" w:hAnsi="宋体" w:cs="宋体" w:eastAsia="宋体" w:hint="default"/>
                <w:spacing w:val="-3"/>
                <w:sz w:val="18"/>
                <w:szCs w:val="18"/>
              </w:rPr>
              <w:t>务业（民生</w:t>
            </w:r>
            <w:r>
              <w:rPr>
                <w:rFonts w:ascii="宋体" w:hAnsi="宋体" w:cs="宋体" w:eastAsia="宋体" w:hint="default"/>
                <w:sz w:val="18"/>
                <w:szCs w:val="18"/>
              </w:rPr>
              <w:t> 服务行业）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软件开发 及应用系 统集成</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20,921,550.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14,965,552.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10,899,654.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5,673,735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5,161,969.28</w:t>
            </w:r>
          </w:p>
        </w:tc>
      </w:tr>
    </w:tbl>
    <w:p>
      <w:pPr>
        <w:pStyle w:val="BodyText"/>
        <w:spacing w:line="357" w:lineRule="auto" w:before="49"/>
        <w:ind w:left="513" w:right="203" w:hanging="360"/>
        <w:jc w:val="left"/>
      </w:pPr>
      <w:r>
        <w:rPr/>
        <w:t>主要子公司、参股公司情况说明 福州易联众信息技术有限公司营业收入同比增长</w:t>
      </w:r>
      <w:r>
        <w:rPr>
          <w:rFonts w:ascii="Times New Roman" w:hAnsi="Times New Roman" w:cs="Times New Roman" w:eastAsia="Times New Roman" w:hint="default"/>
        </w:rPr>
        <w:t>53.83%</w:t>
      </w:r>
      <w:r>
        <w:rPr/>
        <w:t>，净利润同比增长</w:t>
      </w:r>
      <w:r>
        <w:rPr>
          <w:rFonts w:ascii="Times New Roman" w:hAnsi="Times New Roman" w:cs="Times New Roman" w:eastAsia="Times New Roman" w:hint="default"/>
        </w:rPr>
        <w:t>62.20%</w:t>
      </w:r>
      <w:r>
        <w:rPr/>
        <w:t>，主要是公司扩大自助机销售规模所</w:t>
      </w:r>
    </w:p>
    <w:p>
      <w:pPr>
        <w:pStyle w:val="BodyText"/>
        <w:spacing w:line="201" w:lineRule="exact"/>
        <w:ind w:right="0"/>
        <w:jc w:val="both"/>
      </w:pPr>
      <w:r>
        <w:rPr/>
        <w:t>致。</w:t>
      </w:r>
    </w:p>
    <w:p>
      <w:pPr>
        <w:pStyle w:val="BodyText"/>
        <w:spacing w:line="240" w:lineRule="auto" w:before="117"/>
        <w:ind w:right="0"/>
        <w:jc w:val="both"/>
      </w:pPr>
      <w:r>
        <w:rPr/>
        <w:t>报告期内取得和处置子公司的情况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二、公司未来发展的展望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87" w:right="0"/>
        <w:jc w:val="left"/>
      </w:pPr>
      <w:r>
        <w:rPr/>
        <w:t>（一）行业格局和趋势 民生问题事关人民群众的根本利益和国家的发展进步。保障和改善民生始终是政府工作的重点。随着传统环境下民生</w:t>
      </w:r>
    </w:p>
    <w:p>
      <w:pPr>
        <w:pStyle w:val="BodyText"/>
        <w:spacing w:line="316" w:lineRule="auto" w:before="19"/>
        <w:ind w:right="148"/>
        <w:jc w:val="both"/>
      </w:pPr>
      <w:r>
        <w:rPr>
          <w:spacing w:val="-2"/>
        </w:rPr>
        <w:t>服务问题的突出，运用信息化手段解决民生问题，以信息化技术手段改善民生服务的呼声，催生出信息科技与民生相融合的</w:t>
      </w:r>
      <w:r>
        <w:rPr>
          <w:spacing w:val="-63"/>
        </w:rPr>
        <w:t> </w:t>
      </w:r>
      <w:r>
        <w:rPr>
          <w:spacing w:val="-63"/>
        </w:rPr>
      </w:r>
      <w:r>
        <w:rPr>
          <w:spacing w:val="-2"/>
        </w:rPr>
        <w:t>民生信息化行业。我国民生领域信息化处于起步阶段，民生信息化行业作为新兴行业具有广阔的市场空间及发展前景，是重</w:t>
      </w:r>
      <w:r>
        <w:rPr>
          <w:spacing w:val="-61"/>
        </w:rPr>
        <w:t> </w:t>
      </w:r>
      <w:r>
        <w:rPr>
          <w:spacing w:val="-61"/>
        </w:rPr>
      </w:r>
      <w:r>
        <w:rPr/>
        <w:t>要的朝阳产业。</w:t>
      </w:r>
    </w:p>
    <w:p>
      <w:pPr>
        <w:pStyle w:val="BodyText"/>
        <w:spacing w:line="300" w:lineRule="auto" w:before="19"/>
        <w:ind w:right="151" w:firstLine="434"/>
        <w:jc w:val="both"/>
      </w:pPr>
      <w:r>
        <w:rPr>
          <w:spacing w:val="-2"/>
        </w:rPr>
        <w:t>从政策层面来看，政府对民生议题的重视程度逐年递增。《</w:t>
      </w:r>
      <w:r>
        <w:rPr>
          <w:rFonts w:ascii="Times New Roman" w:hAnsi="Times New Roman" w:cs="Times New Roman" w:eastAsia="Times New Roman" w:hint="default"/>
          <w:spacing w:val="-2"/>
        </w:rPr>
        <w:t>2014</w:t>
      </w:r>
      <w:r>
        <w:rPr>
          <w:spacing w:val="-2"/>
        </w:rPr>
        <w:t>年政府工作报告》指出，</w:t>
      </w:r>
      <w:r>
        <w:rPr>
          <w:rFonts w:ascii="Times New Roman" w:hAnsi="Times New Roman" w:cs="Times New Roman" w:eastAsia="Times New Roman" w:hint="default"/>
          <w:spacing w:val="-2"/>
        </w:rPr>
        <w:t>“</w:t>
      </w:r>
      <w:r>
        <w:rPr>
          <w:spacing w:val="-2"/>
        </w:rPr>
        <w:t>我们要把握好总体要求，着</w:t>
      </w:r>
      <w:r>
        <w:rPr/>
        <w:t> </w:t>
      </w:r>
      <w:r>
        <w:rPr>
          <w:spacing w:val="-1"/>
        </w:rPr>
        <w:t>眼于保持中高速增长和迈向中高端水平</w:t>
      </w:r>
      <w:r>
        <w:rPr>
          <w:rFonts w:ascii="Times New Roman" w:hAnsi="Times New Roman" w:cs="Times New Roman" w:eastAsia="Times New Roman" w:hint="default"/>
          <w:spacing w:val="-1"/>
        </w:rPr>
        <w:t>“</w:t>
      </w:r>
      <w:r>
        <w:rPr>
          <w:spacing w:val="-1"/>
        </w:rPr>
        <w:t>双目标</w:t>
      </w:r>
      <w:r>
        <w:rPr>
          <w:rFonts w:ascii="Times New Roman" w:hAnsi="Times New Roman" w:cs="Times New Roman" w:eastAsia="Times New Roman" w:hint="default"/>
          <w:spacing w:val="-1"/>
        </w:rPr>
        <w:t>”</w:t>
      </w:r>
      <w:r>
        <w:rPr>
          <w:spacing w:val="-1"/>
        </w:rPr>
        <w:t>，坚持稳政策稳预期和促改革调结构</w:t>
      </w:r>
      <w:r>
        <w:rPr>
          <w:rFonts w:ascii="Times New Roman" w:hAnsi="Times New Roman" w:cs="Times New Roman" w:eastAsia="Times New Roman" w:hint="default"/>
          <w:spacing w:val="-1"/>
        </w:rPr>
        <w:t>“</w:t>
      </w:r>
      <w:r>
        <w:rPr>
          <w:spacing w:val="-1"/>
        </w:rPr>
        <w:t>双结合</w:t>
      </w:r>
      <w:r>
        <w:rPr>
          <w:rFonts w:ascii="Times New Roman" w:hAnsi="Times New Roman" w:cs="Times New Roman" w:eastAsia="Times New Roman" w:hint="default"/>
          <w:spacing w:val="-1"/>
        </w:rPr>
        <w:t>”</w:t>
      </w:r>
      <w:r>
        <w:rPr>
          <w:spacing w:val="-1"/>
        </w:rPr>
        <w:t>，打造大众创业、万众创新和</w:t>
      </w:r>
      <w:r>
        <w:rPr>
          <w:spacing w:val="-78"/>
        </w:rPr>
        <w:t> </w:t>
      </w:r>
      <w:r>
        <w:rPr>
          <w:spacing w:val="-78"/>
        </w:rPr>
      </w:r>
      <w:r>
        <w:rPr/>
        <w:t>增加公共产品、公共服务</w:t>
      </w:r>
      <w:r>
        <w:rPr>
          <w:rFonts w:ascii="Times New Roman" w:hAnsi="Times New Roman" w:cs="Times New Roman" w:eastAsia="Times New Roman" w:hint="default"/>
        </w:rPr>
        <w:t>“</w:t>
      </w:r>
      <w:r>
        <w:rPr/>
        <w:t>双引擎</w:t>
      </w:r>
      <w:r>
        <w:rPr>
          <w:rFonts w:ascii="Times New Roman" w:hAnsi="Times New Roman" w:cs="Times New Roman" w:eastAsia="Times New Roman" w:hint="default"/>
        </w:rPr>
        <w:t>”</w:t>
      </w:r>
      <w:r>
        <w:rPr/>
        <w:t>，推动发展调速不减势、量增质更优，实现中国经济提质增效升级。</w:t>
      </w:r>
      <w:r>
        <w:rPr>
          <w:rFonts w:ascii="Times New Roman" w:hAnsi="Times New Roman" w:cs="Times New Roman" w:eastAsia="Times New Roman" w:hint="default"/>
        </w:rPr>
        <w:t>”</w:t>
      </w:r>
      <w:r>
        <w:rPr/>
        <w:t>进一步明确了公共</w:t>
      </w:r>
      <w:r>
        <w:rPr>
          <w:spacing w:val="-57"/>
        </w:rPr>
        <w:t> </w:t>
      </w:r>
      <w:r>
        <w:rPr>
          <w:spacing w:val="-57"/>
        </w:rPr>
      </w:r>
      <w:r>
        <w:rPr/>
        <w:t>产品与公共服务投入作为社会发展驱动力的重大意义。</w:t>
      </w:r>
      <w:r>
        <w:rPr>
          <w:rFonts w:ascii="Times New Roman" w:hAnsi="Times New Roman" w:cs="Times New Roman" w:eastAsia="Times New Roman" w:hint="default"/>
        </w:rPr>
        <w:t>“</w:t>
      </w:r>
      <w:r>
        <w:rPr/>
        <w:t>织密织牢民生保障网，增进人民福祉。我们坚持以人为本，持续增</w:t>
      </w:r>
      <w:r>
        <w:rPr>
          <w:spacing w:val="-75"/>
        </w:rPr>
        <w:t> </w:t>
      </w:r>
      <w:r>
        <w:rPr>
          <w:spacing w:val="-75"/>
        </w:rPr>
      </w:r>
      <w:r>
        <w:rPr/>
        <w:t>加民生投入，保基本、兜底线、建机制，尽管财政收入增速放缓、支出压力加大，但财政用于民生的比例达到</w:t>
      </w:r>
      <w:r>
        <w:rPr>
          <w:rFonts w:ascii="Times New Roman" w:hAnsi="Times New Roman" w:cs="Times New Roman" w:eastAsia="Times New Roman" w:hint="default"/>
        </w:rPr>
        <w:t>70%</w:t>
      </w:r>
      <w:r>
        <w:rPr/>
        <w:t>以上。</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spacing w:val="-1"/>
        </w:rPr>
        <w:t>这一比例，比</w:t>
      </w:r>
      <w:r>
        <w:rPr>
          <w:rFonts w:ascii="Times New Roman" w:hAnsi="Times New Roman" w:cs="Times New Roman" w:eastAsia="Times New Roman" w:hint="default"/>
          <w:spacing w:val="-1"/>
        </w:rPr>
        <w:t>2013</w:t>
      </w:r>
      <w:r>
        <w:rPr>
          <w:spacing w:val="-1"/>
        </w:rPr>
        <w:t>年的</w:t>
      </w:r>
      <w:r>
        <w:rPr>
          <w:rFonts w:ascii="Times New Roman" w:hAnsi="Times New Roman" w:cs="Times New Roman" w:eastAsia="Times New Roman" w:hint="default"/>
          <w:spacing w:val="-1"/>
        </w:rPr>
        <w:t>60%</w:t>
      </w:r>
      <w:r>
        <w:rPr>
          <w:spacing w:val="-1"/>
        </w:rPr>
        <w:t>又有了进一步提高。政策规划与财政支出对民生领域信息化的双向支持，对于提供全面民生信息</w:t>
      </w:r>
      <w:r>
        <w:rPr/>
        <w:t> 化服务的易联众而言，无疑是巨大的发展契机。</w:t>
      </w:r>
    </w:p>
    <w:p>
      <w:pPr>
        <w:pStyle w:val="BodyText"/>
        <w:spacing w:line="240" w:lineRule="auto" w:before="31"/>
        <w:ind w:left="587" w:right="0"/>
        <w:jc w:val="left"/>
      </w:pPr>
      <w:r>
        <w:rPr/>
        <w:t>从软件行业发展层面来看，政府推进软件服务业的步伐持续加快。</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月的国务院常务会议中，颁布了《关于加快</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14" w:lineRule="auto" w:before="44"/>
        <w:ind w:right="93"/>
        <w:jc w:val="left"/>
      </w:pPr>
      <w:r>
        <w:rPr>
          <w:spacing w:val="-2"/>
        </w:rPr>
        <w:t>实施信息惠民工程有关工作的通知》，同年</w:t>
      </w:r>
      <w:r>
        <w:rPr>
          <w:rFonts w:ascii="Times New Roman" w:hAnsi="Times New Roman" w:cs="Times New Roman" w:eastAsia="Times New Roman" w:hint="default"/>
          <w:spacing w:val="-2"/>
        </w:rPr>
        <w:t>6</w:t>
      </w:r>
      <w:r>
        <w:rPr>
          <w:spacing w:val="-2"/>
        </w:rPr>
        <w:t>月又下发了《关于同意深圳市等</w:t>
      </w:r>
      <w:r>
        <w:rPr>
          <w:rFonts w:ascii="Times New Roman" w:hAnsi="Times New Roman" w:cs="Times New Roman" w:eastAsia="Times New Roman" w:hint="default"/>
          <w:spacing w:val="-2"/>
        </w:rPr>
        <w:t>80</w:t>
      </w:r>
      <w:r>
        <w:rPr>
          <w:spacing w:val="-2"/>
        </w:rPr>
        <w:t>个城市建设信息惠民国家试点城市的通知》，</w:t>
      </w:r>
      <w:r>
        <w:rPr>
          <w:spacing w:val="-64"/>
        </w:rPr>
        <w:t> </w:t>
      </w:r>
      <w:r>
        <w:rPr>
          <w:spacing w:val="-64"/>
        </w:rPr>
      </w:r>
      <w:r>
        <w:rPr>
          <w:spacing w:val="-2"/>
        </w:rPr>
        <w:t>对推进信息惠民工程和试点城市工作做出了具体部署。信息惠民工程实施涵盖了社保、医疗、养老、就业等九大领域，涉及</w:t>
      </w:r>
      <w:r>
        <w:rPr>
          <w:spacing w:val="-64"/>
        </w:rPr>
        <w:t> </w:t>
      </w:r>
      <w:r>
        <w:rPr>
          <w:spacing w:val="-64"/>
        </w:rPr>
      </w:r>
      <w:r>
        <w:rPr>
          <w:spacing w:val="-2"/>
        </w:rPr>
        <w:t>领域广，政策力度大，自中央到地方，跨层级，跨部门，为公司已有项目优势的发挥以及卡业务、应用软件、云平台、智能</w:t>
      </w:r>
      <w:r>
        <w:rPr>
          <w:spacing w:val="-68"/>
        </w:rPr>
        <w:t> </w:t>
      </w:r>
      <w:r>
        <w:rPr>
          <w:spacing w:val="-68"/>
        </w:rPr>
      </w:r>
      <w:r>
        <w:rPr>
          <w:spacing w:val="-2"/>
        </w:rPr>
        <w:t>终端等一系列软硬件产品和技术应用提供了广阔的市场空间，为公司业务的进一步拓展提供了机遇。公司还积极开展基础业</w:t>
      </w:r>
      <w:r>
        <w:rPr>
          <w:spacing w:val="-64"/>
        </w:rPr>
        <w:t> </w:t>
      </w:r>
      <w:r>
        <w:rPr>
          <w:spacing w:val="-64"/>
        </w:rPr>
      </w:r>
      <w:r>
        <w:rPr>
          <w:spacing w:val="-2"/>
        </w:rPr>
        <w:t>务微创新，重点培育符合公司民生信息服务战略的互联网新业务，发展明星应用，力图在信息惠民工程建设中进一步提升行</w:t>
      </w:r>
      <w:r>
        <w:rPr>
          <w:spacing w:val="-66"/>
        </w:rPr>
        <w:t> </w:t>
      </w:r>
      <w:r>
        <w:rPr>
          <w:spacing w:val="-66"/>
        </w:rPr>
      </w:r>
      <w:r>
        <w:rPr/>
        <w:t>业竞争力。</w:t>
      </w:r>
    </w:p>
    <w:p>
      <w:pPr>
        <w:pStyle w:val="BodyText"/>
        <w:spacing w:line="307" w:lineRule="auto" w:before="20"/>
        <w:ind w:right="93" w:firstLine="360"/>
        <w:jc w:val="left"/>
      </w:pPr>
      <w:r>
        <w:rPr/>
        <w:t>从行业信息化建设来看，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月人力资源社会保障发布的下一步工作安排显示，“启动国家级结算平台建设。积极 推动社会保险标准化建设，大力发展‘电子社保’。</w:t>
      </w:r>
      <w:r>
        <w:rPr>
          <w:rFonts w:ascii="Times New Roman" w:hAnsi="Times New Roman" w:cs="Times New Roman" w:eastAsia="Times New Roman" w:hint="default"/>
        </w:rPr>
        <w:t>2015</w:t>
      </w:r>
      <w:r>
        <w:rPr/>
        <w:t>年底社会保障卡持卡人数达到</w:t>
      </w:r>
      <w:r>
        <w:rPr>
          <w:rFonts w:ascii="Times New Roman" w:hAnsi="Times New Roman" w:cs="Times New Roman" w:eastAsia="Times New Roman" w:hint="default"/>
        </w:rPr>
        <w:t>8</w:t>
      </w:r>
      <w:r>
        <w:rPr/>
        <w:t>亿人以上。”公司已拿下人社部已</w:t>
      </w:r>
      <w:r>
        <w:rPr>
          <w:spacing w:val="-85"/>
        </w:rPr>
        <w:t> </w:t>
      </w:r>
      <w:r>
        <w:rPr>
          <w:spacing w:val="-85"/>
        </w:rPr>
      </w:r>
      <w:r>
        <w:rPr/>
        <w:t>发布统一软件的全部前台技术支持商资质，实现了劳动保障全线产品的优化完善，进一步提升了行业竞争力。在此基础上， </w:t>
      </w:r>
      <w:r>
        <w:rPr>
          <w:spacing w:val="-2"/>
        </w:rPr>
        <w:t>持续深入扩展劳动保障基础业务及衍生业务，发挥产品、平台、渠道组合优势，由区域性公司向全国性企业进发。</w:t>
      </w:r>
      <w:r>
        <w:rPr>
          <w:rFonts w:ascii="Times New Roman" w:hAnsi="Times New Roman" w:cs="Times New Roman" w:eastAsia="Times New Roman" w:hint="default"/>
          <w:spacing w:val="-2"/>
        </w:rPr>
        <w:t>2014</w:t>
      </w:r>
      <w:r>
        <w:rPr>
          <w:spacing w:val="-2"/>
        </w:rPr>
        <w:t>年是</w:t>
      </w:r>
      <w:r>
        <w:rPr>
          <w:spacing w:val="-63"/>
        </w:rPr>
        <w:t> </w:t>
      </w:r>
      <w:r>
        <w:rPr/>
        <w:t>互联网医疗爆发元年，</w:t>
      </w:r>
      <w:r>
        <w:rPr>
          <w:rFonts w:ascii="Times New Roman" w:hAnsi="Times New Roman" w:cs="Times New Roman" w:eastAsia="Times New Roman" w:hint="default"/>
        </w:rPr>
        <w:t>2015</w:t>
      </w:r>
      <w:r>
        <w:rPr/>
        <w:t>年互联网对医疗产业的改变乃至重构将来得更加猛烈。互联网医疗将重构健康管理、就医方式、 </w:t>
      </w:r>
      <w:r>
        <w:rPr>
          <w:spacing w:val="-2"/>
        </w:rPr>
        <w:t>就医体验、购药方式及医患生态五大方面的问题。经过多年努力，公司已全面覆盖了医疗卫生传统基础业务，并积极拓展公</w:t>
      </w:r>
      <w:r>
        <w:rPr>
          <w:spacing w:val="-63"/>
        </w:rPr>
        <w:t> </w:t>
      </w:r>
      <w:r>
        <w:rPr>
          <w:spacing w:val="-63"/>
        </w:rPr>
      </w:r>
      <w:r>
        <w:rPr/>
        <w:t>众健康服务等互联网医疗领域，基础业务与互联网服务互补的发展模式将是公司未来努力探索的方向。</w:t>
      </w:r>
    </w:p>
    <w:p>
      <w:pPr>
        <w:pStyle w:val="BodyText"/>
        <w:spacing w:line="309" w:lineRule="auto" w:before="26"/>
        <w:ind w:right="190" w:firstLine="360"/>
        <w:jc w:val="both"/>
      </w:pPr>
      <w:r>
        <w:rPr/>
        <w:t>从软件技术发展趋势来看，新兴业态是竞争高地。</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月，国务院颁布了《国务院关于促进云计算创新发展培育信 息产业新业态的意见》，</w:t>
      </w:r>
      <w:r>
        <w:rPr>
          <w:rFonts w:ascii="Times New Roman" w:hAnsi="Times New Roman" w:cs="Times New Roman" w:eastAsia="Times New Roman" w:hint="default"/>
        </w:rPr>
        <w:t>“</w:t>
      </w:r>
      <w:r>
        <w:rPr/>
        <w:t>要加快发展云计算，打造信息产业新业态</w:t>
      </w:r>
      <w:r>
        <w:rPr>
          <w:rFonts w:ascii="Times New Roman" w:hAnsi="Times New Roman" w:cs="Times New Roman" w:eastAsia="Times New Roman" w:hint="default"/>
        </w:rPr>
        <w:t>……</w:t>
      </w:r>
      <w:r>
        <w:rPr/>
        <w:t>到</w:t>
      </w:r>
      <w:r>
        <w:rPr>
          <w:rFonts w:ascii="Times New Roman" w:hAnsi="Times New Roman" w:cs="Times New Roman" w:eastAsia="Times New Roman" w:hint="default"/>
        </w:rPr>
        <w:t>2017</w:t>
      </w:r>
      <w:r>
        <w:rPr/>
        <w:t>年，我国云计算服务能力大幅提升，创新能</w:t>
      </w:r>
      <w:r>
        <w:rPr>
          <w:spacing w:val="-75"/>
        </w:rPr>
        <w:t> </w:t>
      </w:r>
      <w:r>
        <w:rPr>
          <w:spacing w:val="-75"/>
        </w:rPr>
      </w:r>
      <w:r>
        <w:rPr>
          <w:spacing w:val="-2"/>
        </w:rPr>
        <w:t>力明显增强，在降低创业门槛、服务民生、培育新业态、探索电子政务建设新模式等方面取得积极成效，云计算数据中心区</w:t>
      </w:r>
      <w:r>
        <w:rPr>
          <w:spacing w:val="-65"/>
        </w:rPr>
        <w:t> </w:t>
      </w:r>
      <w:r>
        <w:rPr>
          <w:spacing w:val="-65"/>
        </w:rPr>
      </w:r>
      <w:r>
        <w:rPr>
          <w:spacing w:val="-2"/>
        </w:rPr>
        <w:t>域布局初步优化，发展环境更加安全可靠。到</w:t>
      </w:r>
      <w:r>
        <w:rPr>
          <w:rFonts w:ascii="Times New Roman" w:hAnsi="Times New Roman" w:cs="Times New Roman" w:eastAsia="Times New Roman" w:hint="default"/>
          <w:spacing w:val="-2"/>
        </w:rPr>
        <w:t>2020</w:t>
      </w:r>
      <w:r>
        <w:rPr>
          <w:spacing w:val="-2"/>
        </w:rPr>
        <w:t>年，云计算成为我国信息化重要形态和建设网络强国的重要支撑。</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7"/>
        </w:rPr>
        <w:t> </w:t>
      </w:r>
      <w:r>
        <w:rPr/>
        <w:t>云计</w:t>
      </w:r>
      <w:r>
        <w:rPr>
          <w:spacing w:val="-84"/>
        </w:rPr>
        <w:t> </w:t>
      </w:r>
      <w:r>
        <w:rPr>
          <w:spacing w:val="-2"/>
        </w:rPr>
        <w:t>算属于高速发展中的前沿技术，蓬勃发展中的服务于广大民众的我国电子政务与社会信息化建设，这既是企业难得的发展机</w:t>
      </w:r>
      <w:r>
        <w:rPr>
          <w:spacing w:val="-64"/>
        </w:rPr>
        <w:t> </w:t>
      </w:r>
      <w:r>
        <w:rPr>
          <w:spacing w:val="-64"/>
        </w:rPr>
      </w:r>
      <w:r>
        <w:rPr>
          <w:spacing w:val="-2"/>
        </w:rPr>
        <w:t>会，也是企业保持核心竞争力的有力保证。易联众一直致力于云计算在民生领域的应用开发，并成功抢占先机，依托于云计</w:t>
      </w:r>
      <w:r>
        <w:rPr>
          <w:spacing w:val="-64"/>
        </w:rPr>
        <w:t> </w:t>
      </w:r>
      <w:r>
        <w:rPr>
          <w:spacing w:val="-64"/>
        </w:rPr>
      </w:r>
      <w:r>
        <w:rPr/>
        <w:t>算的民生云项目已在多省市落地推广，市场前景值得期待。</w:t>
      </w:r>
    </w:p>
    <w:p>
      <w:pPr>
        <w:pStyle w:val="BodyText"/>
        <w:spacing w:line="300" w:lineRule="auto" w:before="24"/>
        <w:ind w:right="189" w:firstLine="360"/>
        <w:jc w:val="both"/>
      </w:pPr>
      <w:r>
        <w:rPr/>
        <w:t>从信息安全部署来看，信息安全已提升为国家战略，国家对信息安全越来越关注。根据国信办的内部会议精神，</w:t>
      </w:r>
      <w:r>
        <w:rPr>
          <w:rFonts w:ascii="Times New Roman" w:hAnsi="Times New Roman" w:cs="Times New Roman" w:eastAsia="Times New Roman" w:hint="default"/>
        </w:rPr>
        <w:t>2015 </w:t>
      </w:r>
      <w:r>
        <w:rPr>
          <w:spacing w:val="-1"/>
        </w:rPr>
        <w:t>年年底要实现网络及安全产品国产化的目标。根据证监会、银监会的文件，</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IT</w:t>
      </w:r>
      <w:r>
        <w:rPr>
          <w:spacing w:val="-1"/>
        </w:rPr>
        <w:t>产品的国产化率要达到</w:t>
      </w:r>
      <w:r>
        <w:rPr>
          <w:rFonts w:ascii="Times New Roman" w:hAnsi="Times New Roman" w:cs="Times New Roman" w:eastAsia="Times New Roman" w:hint="default"/>
          <w:spacing w:val="-1"/>
        </w:rPr>
        <w:t>75%</w:t>
      </w:r>
      <w:r>
        <w:rPr>
          <w:spacing w:val="-1"/>
        </w:rPr>
        <w:t>。这一波国</w:t>
      </w:r>
      <w:r>
        <w:rPr>
          <w:spacing w:val="-77"/>
        </w:rPr>
        <w:t> </w:t>
      </w:r>
      <w:r>
        <w:rPr>
          <w:spacing w:val="-77"/>
        </w:rPr>
      </w:r>
      <w:r>
        <w:rPr/>
        <w:t>产化浪潮，对于易联众进一步扩大行业内系统集成市场占有率将是一个良机。</w:t>
      </w:r>
    </w:p>
    <w:p>
      <w:pPr>
        <w:pStyle w:val="BodyText"/>
        <w:spacing w:line="316" w:lineRule="auto" w:before="32"/>
        <w:ind w:left="587" w:right="93"/>
        <w:jc w:val="left"/>
      </w:pPr>
      <w:r>
        <w:rPr/>
        <w:t>（二）公司发展战略 公司将继续致力于以</w:t>
      </w:r>
      <w:r>
        <w:rPr>
          <w:rFonts w:ascii="Times New Roman" w:hAnsi="Times New Roman" w:cs="Times New Roman" w:eastAsia="Times New Roman" w:hint="default"/>
        </w:rPr>
        <w:t>“</w:t>
      </w:r>
      <w:r>
        <w:rPr/>
        <w:t>社会保障、劳动就业、医疗卫生</w:t>
      </w:r>
      <w:r>
        <w:rPr>
          <w:rFonts w:ascii="Times New Roman" w:hAnsi="Times New Roman" w:cs="Times New Roman" w:eastAsia="Times New Roman" w:hint="default"/>
        </w:rPr>
        <w:t>”</w:t>
      </w:r>
      <w:r>
        <w:rPr/>
        <w:t>为核心的民生信息化建设，在原有业务基础上，以</w:t>
      </w:r>
      <w:r>
        <w:rPr>
          <w:rFonts w:ascii="Times New Roman" w:hAnsi="Times New Roman" w:cs="Times New Roman" w:eastAsia="Times New Roman" w:hint="default"/>
        </w:rPr>
        <w:t>“</w:t>
      </w:r>
      <w:r>
        <w:rPr/>
        <w:t>云计算</w:t>
      </w:r>
      <w:r>
        <w:rPr>
          <w:rFonts w:ascii="Times New Roman" w:hAnsi="Times New Roman" w:cs="Times New Roman" w:eastAsia="Times New Roman" w:hint="default"/>
        </w:rPr>
        <w:t>”</w:t>
      </w:r>
      <w:r>
        <w:rPr/>
        <w:t>技</w:t>
      </w:r>
    </w:p>
    <w:p>
      <w:pPr>
        <w:pStyle w:val="BodyText"/>
        <w:spacing w:line="312" w:lineRule="auto"/>
        <w:ind w:right="93"/>
        <w:jc w:val="left"/>
      </w:pPr>
      <w:r>
        <w:rPr>
          <w:spacing w:val="-2"/>
        </w:rPr>
        <w:t>术为依托，以</w:t>
      </w:r>
      <w:r>
        <w:rPr>
          <w:rFonts w:ascii="Times New Roman" w:hAnsi="Times New Roman" w:cs="Times New Roman" w:eastAsia="Times New Roman" w:hint="default"/>
          <w:spacing w:val="-2"/>
        </w:rPr>
        <w:t>“</w:t>
      </w:r>
      <w:r>
        <w:rPr>
          <w:spacing w:val="-2"/>
        </w:rPr>
        <w:t>民生云</w:t>
      </w:r>
      <w:r>
        <w:rPr>
          <w:rFonts w:ascii="Times New Roman" w:hAnsi="Times New Roman" w:cs="Times New Roman" w:eastAsia="Times New Roman" w:hint="default"/>
          <w:spacing w:val="-2"/>
        </w:rPr>
        <w:t>”</w:t>
      </w:r>
      <w:r>
        <w:rPr>
          <w:spacing w:val="-2"/>
        </w:rPr>
        <w:t>为媒介，将公司各应用软件系统、社保</w:t>
      </w:r>
      <w:r>
        <w:rPr>
          <w:rFonts w:ascii="Times New Roman" w:hAnsi="Times New Roman" w:cs="Times New Roman" w:eastAsia="Times New Roman" w:hint="default"/>
          <w:spacing w:val="-2"/>
        </w:rPr>
        <w:t>IC</w:t>
      </w:r>
      <w:r>
        <w:rPr>
          <w:spacing w:val="-2"/>
        </w:rPr>
        <w:t>卡、读卡机具及民生服务自助终端等一系列软硬件产品有效</w:t>
      </w:r>
      <w:r>
        <w:rPr>
          <w:spacing w:val="-45"/>
        </w:rPr>
        <w:t> </w:t>
      </w:r>
      <w:r>
        <w:rPr>
          <w:spacing w:val="-45"/>
        </w:rPr>
      </w:r>
      <w:r>
        <w:rPr/>
        <w:t>整合为全方位、立体化、综合性的产品服务网，同时面向政府、企业和社会公众等多重对象提供民生信息发布、就业服务、 </w:t>
      </w:r>
      <w:r>
        <w:rPr>
          <w:spacing w:val="-2"/>
        </w:rPr>
        <w:t>教育培训、社会保障、医疗健康、城乡统筹、社区服务等全面的民生信息服务，并通过金融平台与公司民生行业技术经验的</w:t>
      </w:r>
      <w:r>
        <w:rPr>
          <w:spacing w:val="-66"/>
        </w:rPr>
        <w:t> </w:t>
      </w:r>
      <w:r>
        <w:rPr>
          <w:spacing w:val="-66"/>
        </w:rPr>
      </w:r>
      <w:r>
        <w:rPr/>
        <w:t>融合，面向社会公众提供市场化的民生信息服务和增值服务。</w:t>
      </w:r>
    </w:p>
    <w:p>
      <w:pPr>
        <w:pStyle w:val="BodyText"/>
        <w:spacing w:line="240" w:lineRule="auto" w:before="22"/>
        <w:ind w:left="587" w:right="1713"/>
        <w:jc w:val="left"/>
      </w:pPr>
      <w:r>
        <w:rPr/>
        <w:t>（三）经营计划</w:t>
      </w:r>
    </w:p>
    <w:p>
      <w:pPr>
        <w:pStyle w:val="BodyText"/>
        <w:spacing w:line="300" w:lineRule="auto" w:before="76"/>
        <w:ind w:right="197" w:firstLine="434"/>
        <w:jc w:val="both"/>
      </w:pPr>
      <w:r>
        <w:rPr>
          <w:rFonts w:ascii="Times New Roman" w:hAnsi="Times New Roman" w:cs="Times New Roman" w:eastAsia="Times New Roman" w:hint="default"/>
        </w:rPr>
        <w:t>2015</w:t>
      </w:r>
      <w:r>
        <w:rPr/>
        <w:t>年，公司将继续加快企业转型升级，提升核心竞争力，强化内部管理，加大研发投入，顺应市场发展趋势，争取 新的业务突破。重点做好以下工作（该经营计划并不构成公司对投资者的业绩承诺）：</w:t>
      </w:r>
    </w:p>
    <w:p>
      <w:pPr>
        <w:pStyle w:val="BodyText"/>
        <w:spacing w:line="300" w:lineRule="auto" w:before="31"/>
        <w:ind w:left="587" w:right="93"/>
        <w:jc w:val="left"/>
      </w:pPr>
      <w:r>
        <w:rPr/>
        <w:t>（</w:t>
      </w:r>
      <w:r>
        <w:rPr>
          <w:rFonts w:ascii="Times New Roman" w:hAnsi="Times New Roman" w:cs="Times New Roman" w:eastAsia="Times New Roman" w:hint="default"/>
        </w:rPr>
        <w:t>1</w:t>
      </w:r>
      <w:r>
        <w:rPr/>
        <w:t>）继续加大研发投入，不断提升研发效能 公司将通过优化升级现有产品功能、降低成本等方式进一步巩固竞争优势，并将在新产品研发上加大资金投入与研发</w:t>
      </w:r>
    </w:p>
    <w:p>
      <w:pPr>
        <w:pStyle w:val="BodyText"/>
        <w:spacing w:line="316" w:lineRule="auto" w:before="32"/>
        <w:ind w:right="191"/>
        <w:jc w:val="both"/>
      </w:pPr>
      <w:r>
        <w:rPr>
          <w:spacing w:val="-2"/>
        </w:rPr>
        <w:t>力度。加强市场调研与分析，形成与决策部门、专家、用户的互动机制，强化市场化运作能力；通过扩大招聘规模，建立人</w:t>
      </w:r>
      <w:r>
        <w:rPr>
          <w:spacing w:val="-72"/>
        </w:rPr>
        <w:t> </w:t>
      </w:r>
      <w:r>
        <w:rPr>
          <w:spacing w:val="-72"/>
        </w:rPr>
      </w:r>
      <w:r>
        <w:rPr>
          <w:spacing w:val="-2"/>
        </w:rPr>
        <w:t>才培养的长效机制，完善创新环境等手段，建立更高水平的创新研发队伍；规范研发管理流程，逐步形成标准化的产品研发</w:t>
      </w:r>
      <w:r>
        <w:rPr>
          <w:spacing w:val="-65"/>
        </w:rPr>
        <w:t> </w:t>
      </w:r>
      <w:r>
        <w:rPr>
          <w:spacing w:val="-65"/>
        </w:rPr>
      </w:r>
      <w:r>
        <w:rPr/>
        <w:t>体系，进而提升研发效能，以坚实的研发实力构筑起市场竞争壁垒。</w:t>
      </w:r>
    </w:p>
    <w:p>
      <w:pPr>
        <w:pStyle w:val="BodyText"/>
        <w:spacing w:line="300" w:lineRule="auto" w:before="19"/>
        <w:ind w:left="587" w:right="93"/>
        <w:jc w:val="left"/>
      </w:pPr>
      <w:r>
        <w:rPr/>
        <w:t>（</w:t>
      </w:r>
      <w:r>
        <w:rPr>
          <w:rFonts w:ascii="Times New Roman" w:hAnsi="Times New Roman" w:cs="Times New Roman" w:eastAsia="Times New Roman" w:hint="default"/>
        </w:rPr>
        <w:t>2</w:t>
      </w:r>
      <w:r>
        <w:rPr/>
        <w:t>）增强市场拓展的广度与深度 公司将立足基础、平台、渠道、支付等组合的优势，持续深入扩展劳动保障基础业务，重点加快医疗卫生业务整合升</w:t>
      </w:r>
    </w:p>
    <w:p>
      <w:pPr>
        <w:pStyle w:val="BodyText"/>
        <w:spacing w:line="316" w:lineRule="auto" w:before="31"/>
        <w:ind w:right="93"/>
        <w:jc w:val="left"/>
      </w:pPr>
      <w:r>
        <w:rPr>
          <w:spacing w:val="-2"/>
        </w:rPr>
        <w:t>级，不断探索并拓展卡的应用，全面丰富智能终端渠道，鼓励基础业务微创新，为新兴业务的发展奠定坚实的业务基础，培</w:t>
      </w:r>
      <w:r>
        <w:rPr>
          <w:spacing w:val="-67"/>
        </w:rPr>
        <w:t> </w:t>
      </w:r>
      <w:r>
        <w:rPr>
          <w:spacing w:val="-67"/>
        </w:rPr>
      </w:r>
      <w:r>
        <w:rPr/>
        <w:t>育互联网新业务，形成基础业务与互联网服务互补的创新发展模式，稳步推进全国性的市场布局。</w:t>
      </w:r>
    </w:p>
    <w:p>
      <w:pPr>
        <w:pStyle w:val="BodyText"/>
        <w:spacing w:line="300" w:lineRule="auto" w:before="19"/>
        <w:ind w:left="587" w:right="93"/>
        <w:jc w:val="left"/>
      </w:pPr>
      <w:r>
        <w:rPr/>
        <w:t>（</w:t>
      </w:r>
      <w:r>
        <w:rPr>
          <w:rFonts w:ascii="Times New Roman" w:hAnsi="Times New Roman" w:cs="Times New Roman" w:eastAsia="Times New Roman" w:hint="default"/>
        </w:rPr>
        <w:t>3</w:t>
      </w:r>
      <w:r>
        <w:rPr/>
        <w:t>）加强募投项目管理 公司将继续加强募投项目管理。在募投项目的实施过程中，严格按照证监会和深交所的有关规定，规范实施。通过募</w:t>
      </w:r>
    </w:p>
    <w:p>
      <w:pPr>
        <w:pStyle w:val="BodyText"/>
        <w:spacing w:line="240" w:lineRule="auto" w:before="31"/>
        <w:ind w:right="0"/>
        <w:jc w:val="left"/>
      </w:pPr>
      <w:r>
        <w:rPr/>
        <w:t>投项目的建设，提高公司综合竞争能力和盈利能力。对于超募部分资金，公司将严格按照证监会和深交所的有关规定，围绕</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3"/>
        <w:jc w:val="both"/>
      </w:pPr>
      <w:r>
        <w:rPr>
          <w:spacing w:val="-2"/>
        </w:rPr>
        <w:t>主业、合理规划、谨慎实施，在适当时机创建与主业密切相关并能有力促进主业发展的综合性投资开发公司，推动公司向更</w:t>
      </w:r>
      <w:r>
        <w:rPr>
          <w:spacing w:val="-66"/>
        </w:rPr>
        <w:t> </w:t>
      </w:r>
      <w:r>
        <w:rPr>
          <w:spacing w:val="-66"/>
        </w:rPr>
      </w:r>
      <w:r>
        <w:rPr/>
        <w:t>大空间发展。</w:t>
      </w:r>
    </w:p>
    <w:p>
      <w:pPr>
        <w:pStyle w:val="BodyText"/>
        <w:spacing w:line="300" w:lineRule="auto" w:before="17"/>
        <w:ind w:left="587" w:right="93"/>
        <w:jc w:val="left"/>
      </w:pPr>
      <w:r>
        <w:rPr/>
        <w:t>（</w:t>
      </w:r>
      <w:r>
        <w:rPr>
          <w:rFonts w:ascii="Times New Roman" w:hAnsi="Times New Roman" w:cs="Times New Roman" w:eastAsia="Times New Roman" w:hint="default"/>
        </w:rPr>
        <w:t>4</w:t>
      </w:r>
      <w:r>
        <w:rPr/>
        <w:t>）完善制度建设，强化管理协作 围绕公司未来发展规划，对组织管理进行适应性和战略性的调整。完善内部管控体制，强化外部风险防控机制，加大</w:t>
      </w:r>
    </w:p>
    <w:p>
      <w:pPr>
        <w:pStyle w:val="BodyText"/>
        <w:spacing w:line="316" w:lineRule="auto" w:before="31"/>
        <w:ind w:right="191"/>
        <w:jc w:val="both"/>
      </w:pPr>
      <w:r>
        <w:rPr>
          <w:spacing w:val="-2"/>
        </w:rPr>
        <w:t>制度执行力度，进一步确保组织的稳定运行。加强集团与子公司的业务沟通协作，形成更高效的协同机制，在应对新机遇和</w:t>
      </w:r>
      <w:r>
        <w:rPr>
          <w:spacing w:val="-65"/>
        </w:rPr>
        <w:t> </w:t>
      </w:r>
      <w:r>
        <w:rPr>
          <w:spacing w:val="-65"/>
        </w:rPr>
      </w:r>
      <w:r>
        <w:rPr/>
        <w:t>新挑战的过程中，推动企业整体价值的持续上升。</w:t>
      </w:r>
    </w:p>
    <w:p>
      <w:pPr>
        <w:pStyle w:val="BodyText"/>
        <w:spacing w:line="300" w:lineRule="auto" w:before="19"/>
        <w:ind w:left="587" w:right="93"/>
        <w:jc w:val="left"/>
      </w:pPr>
      <w:r>
        <w:rPr/>
        <w:t>（</w:t>
      </w:r>
      <w:r>
        <w:rPr>
          <w:rFonts w:ascii="Times New Roman" w:hAnsi="Times New Roman" w:cs="Times New Roman" w:eastAsia="Times New Roman" w:hint="default"/>
        </w:rPr>
        <w:t>5</w:t>
      </w:r>
      <w:r>
        <w:rPr/>
        <w:t>）重视高端人才引进及团队培养 随着公司业务不断增多，业务范围逐步扩大，人力资源管理越来越重要。公司将丰富人才多元引进渠道，加快高素质</w:t>
      </w:r>
    </w:p>
    <w:p>
      <w:pPr>
        <w:pStyle w:val="BodyText"/>
        <w:spacing w:line="316" w:lineRule="auto" w:before="31"/>
        <w:ind w:right="191"/>
        <w:jc w:val="both"/>
      </w:pPr>
      <w:r>
        <w:rPr>
          <w:spacing w:val="-2"/>
        </w:rPr>
        <w:t>人才引进速度，增强核心人才贮备力度，组建更具创造力的专业团队。通过进一步明确职责权利，营造开放创新环境，完善</w:t>
      </w:r>
      <w:r>
        <w:rPr>
          <w:spacing w:val="-67"/>
        </w:rPr>
        <w:t> </w:t>
      </w:r>
      <w:r>
        <w:rPr>
          <w:spacing w:val="-67"/>
        </w:rPr>
      </w:r>
      <w:r>
        <w:rPr>
          <w:spacing w:val="-2"/>
        </w:rPr>
        <w:t>培养激励机制，创造团队业务和产品的领头羊效应；强化各团队高效协同合作，提升组合竞争优势，以新思维带动公司业务</w:t>
      </w:r>
      <w:r>
        <w:rPr>
          <w:spacing w:val="-65"/>
        </w:rPr>
        <w:t> </w:t>
      </w:r>
      <w:r>
        <w:rPr>
          <w:spacing w:val="-65"/>
        </w:rPr>
      </w:r>
      <w:r>
        <w:rPr/>
        <w:t>和产品的提升，为公司发展提供持续的创新动力。</w:t>
      </w:r>
    </w:p>
    <w:p>
      <w:pPr>
        <w:pStyle w:val="BodyText"/>
        <w:spacing w:line="300" w:lineRule="auto" w:before="19"/>
        <w:ind w:left="587" w:right="93"/>
        <w:jc w:val="left"/>
      </w:pPr>
      <w:r>
        <w:rPr/>
        <w:t>（</w:t>
      </w:r>
      <w:r>
        <w:rPr>
          <w:rFonts w:ascii="Times New Roman" w:hAnsi="Times New Roman" w:cs="Times New Roman" w:eastAsia="Times New Roman" w:hint="default"/>
        </w:rPr>
        <w:t>6</w:t>
      </w:r>
      <w:r>
        <w:rPr/>
        <w:t>）加强企业文化建设 </w:t>
      </w:r>
      <w:r>
        <w:rPr>
          <w:spacing w:val="-2"/>
        </w:rPr>
        <w:t>企业价值观是企业文化的核心，决定企业的命脉，关系企业的兴衰。公司将围绕</w:t>
      </w:r>
      <w:r>
        <w:rPr>
          <w:rFonts w:ascii="Times New Roman" w:hAnsi="Times New Roman" w:cs="Times New Roman" w:eastAsia="Times New Roman" w:hint="default"/>
          <w:spacing w:val="-2"/>
        </w:rPr>
        <w:t>“</w:t>
      </w:r>
      <w:r>
        <w:rPr>
          <w:spacing w:val="-2"/>
        </w:rPr>
        <w:t>中国最专业的民生行业应用解决方案</w:t>
      </w:r>
    </w:p>
    <w:p>
      <w:pPr>
        <w:pStyle w:val="BodyText"/>
        <w:spacing w:line="309" w:lineRule="auto" w:before="13"/>
        <w:ind w:right="193"/>
        <w:jc w:val="both"/>
      </w:pPr>
      <w:r>
        <w:rPr/>
        <w:t>提供商和领先的民生信息服务运营商</w:t>
      </w:r>
      <w:r>
        <w:rPr>
          <w:rFonts w:ascii="Times New Roman" w:hAnsi="Times New Roman" w:cs="Times New Roman" w:eastAsia="Times New Roman" w:hint="default"/>
        </w:rPr>
        <w:t>”</w:t>
      </w:r>
      <w:r>
        <w:rPr/>
        <w:t>的发展目标，进一步加深企业文化建设，坚持以人为本的发展理念，完善薪资福利体</w:t>
      </w:r>
      <w:r>
        <w:rPr>
          <w:spacing w:val="-75"/>
        </w:rPr>
        <w:t> </w:t>
      </w:r>
      <w:r>
        <w:rPr>
          <w:spacing w:val="-75"/>
        </w:rPr>
      </w:r>
      <w:r>
        <w:rPr>
          <w:spacing w:val="-2"/>
        </w:rPr>
        <w:t>系，加强员工人文关怀，将员工职业愿景与企业发展规划相结合，提高员工归属感和责任感，增强企业凝聚力。积极发挥企</w:t>
      </w:r>
      <w:r>
        <w:rPr>
          <w:spacing w:val="-67"/>
        </w:rPr>
        <w:t> </w:t>
      </w:r>
      <w:r>
        <w:rPr>
          <w:spacing w:val="-67"/>
        </w:rPr>
      </w:r>
      <w:r>
        <w:rPr/>
        <w:t>业社会价值，为推动中国民生领域发展不懈努力。</w:t>
      </w:r>
    </w:p>
    <w:p>
      <w:pPr>
        <w:pStyle w:val="BodyText"/>
        <w:spacing w:line="300" w:lineRule="auto" w:before="24"/>
        <w:ind w:left="587" w:right="93"/>
        <w:jc w:val="left"/>
      </w:pPr>
      <w:r>
        <w:rPr/>
        <w:t>（</w:t>
      </w:r>
      <w:r>
        <w:rPr>
          <w:rFonts w:ascii="Times New Roman" w:hAnsi="Times New Roman" w:cs="Times New Roman" w:eastAsia="Times New Roman" w:hint="default"/>
        </w:rPr>
        <w:t>7</w:t>
      </w:r>
      <w:r>
        <w:rPr/>
        <w:t>）培育发展新业务 公司将继续广泛开展项目调研，并科学决策超募资金投向。不断增强公司综合实力，培育新的业务增长点，提高公司</w:t>
      </w:r>
    </w:p>
    <w:p>
      <w:pPr>
        <w:pStyle w:val="BodyText"/>
        <w:spacing w:line="240" w:lineRule="auto" w:before="31"/>
        <w:ind w:right="0"/>
        <w:jc w:val="both"/>
      </w:pPr>
      <w:r>
        <w:rPr/>
        <w:t>抵御风险的能力。</w:t>
      </w:r>
    </w:p>
    <w:p>
      <w:pPr>
        <w:pStyle w:val="BodyText"/>
        <w:spacing w:line="240" w:lineRule="auto" w:before="76"/>
        <w:ind w:left="587" w:right="1713"/>
        <w:jc w:val="left"/>
      </w:pPr>
      <w:r>
        <w:rPr/>
        <w:t>（四）可能面对的风险</w:t>
      </w:r>
    </w:p>
    <w:p>
      <w:pPr>
        <w:pStyle w:val="BodyText"/>
        <w:spacing w:line="300" w:lineRule="auto" w:before="76"/>
        <w:ind w:left="587" w:right="93"/>
        <w:jc w:val="left"/>
      </w:pPr>
      <w:r>
        <w:rPr/>
        <w:t>（</w:t>
      </w:r>
      <w:r>
        <w:rPr>
          <w:rFonts w:ascii="Times New Roman" w:hAnsi="Times New Roman" w:cs="Times New Roman" w:eastAsia="Times New Roman" w:hint="default"/>
        </w:rPr>
        <w:t>1</w:t>
      </w:r>
      <w:r>
        <w:rPr/>
        <w:t>）技术风险 持续的技术及产品开发是公司不断发展壮大的基础。由于软件等信息技术类产品具有技术更新快、产品生命周期短的</w:t>
      </w:r>
    </w:p>
    <w:p>
      <w:pPr>
        <w:pStyle w:val="BodyText"/>
        <w:spacing w:line="319" w:lineRule="auto" w:before="31"/>
        <w:ind w:right="191"/>
        <w:jc w:val="both"/>
      </w:pPr>
      <w:r>
        <w:rPr>
          <w:spacing w:val="-2"/>
        </w:rPr>
        <w:t>特点，用户对软件及相关产品的功能要求不断提高，因此公司需要不断进行新技术、新产品的研发和升级。如果公司不能准</w:t>
      </w:r>
      <w:r>
        <w:rPr>
          <w:spacing w:val="-65"/>
        </w:rPr>
        <w:t> </w:t>
      </w:r>
      <w:r>
        <w:rPr>
          <w:spacing w:val="-65"/>
        </w:rPr>
      </w:r>
      <w:r>
        <w:rPr>
          <w:spacing w:val="-2"/>
        </w:rPr>
        <w:t>确把握技术、产品及市场的发展趋势，研发出符合市场需求的新产品，那么公司将丧失技术和市场优势，从而产生发展速度</w:t>
      </w:r>
      <w:r>
        <w:rPr>
          <w:spacing w:val="-65"/>
        </w:rPr>
        <w:t> </w:t>
      </w:r>
      <w:r>
        <w:rPr>
          <w:spacing w:val="-65"/>
        </w:rPr>
      </w:r>
      <w:r>
        <w:rPr/>
        <w:t>减缓的风险。</w:t>
      </w:r>
    </w:p>
    <w:p>
      <w:pPr>
        <w:pStyle w:val="BodyText"/>
        <w:spacing w:line="316" w:lineRule="auto" w:before="17"/>
        <w:ind w:right="190" w:firstLine="434"/>
        <w:jc w:val="both"/>
      </w:pPr>
      <w:r>
        <w:rPr/>
        <w:t>本公司拥有的系列核心技术在国内处于领先水平，是核心竞争力的关键构成要素。公司关键技术由相对独立的多个核 </w:t>
      </w:r>
      <w:r>
        <w:rPr>
          <w:spacing w:val="-2"/>
        </w:rPr>
        <w:t>心技术研发小组掌握。公司已经采取了诸如核心技术人员持股、建立健全内部保密制度、申请专利及著作权保护、严格执行</w:t>
      </w:r>
      <w:r>
        <w:rPr>
          <w:spacing w:val="-64"/>
        </w:rPr>
        <w:t> </w:t>
      </w:r>
      <w:r>
        <w:rPr>
          <w:spacing w:val="-64"/>
        </w:rPr>
      </w:r>
      <w:r>
        <w:rPr>
          <w:spacing w:val="-2"/>
        </w:rPr>
        <w:t>研发全过程的规范化管理等措施防范技术风险，并且，公司核心技术体系完备，个别技术失密并不能造成公司核心技术体系</w:t>
      </w:r>
      <w:r>
        <w:rPr>
          <w:spacing w:val="-66"/>
        </w:rPr>
        <w:t> </w:t>
      </w:r>
      <w:r>
        <w:rPr>
          <w:spacing w:val="-66"/>
        </w:rPr>
      </w:r>
      <w:r>
        <w:rPr/>
        <w:t>的失密。</w:t>
      </w:r>
    </w:p>
    <w:p>
      <w:pPr>
        <w:pStyle w:val="BodyText"/>
        <w:spacing w:line="300" w:lineRule="auto" w:before="19"/>
        <w:ind w:left="587" w:right="93"/>
        <w:jc w:val="left"/>
      </w:pPr>
      <w:r>
        <w:rPr/>
        <w:t>（</w:t>
      </w:r>
      <w:r>
        <w:rPr>
          <w:rFonts w:ascii="Times New Roman" w:hAnsi="Times New Roman" w:cs="Times New Roman" w:eastAsia="Times New Roman" w:hint="default"/>
        </w:rPr>
        <w:t>2</w:t>
      </w:r>
      <w:r>
        <w:rPr/>
        <w:t>）运营风险 随着公司业务的发展，公司的产品和服务类别更加丰富，客户范围不断扩大，这也对公司的运营能力提出了更大的挑</w:t>
      </w:r>
    </w:p>
    <w:p>
      <w:pPr>
        <w:pStyle w:val="BodyText"/>
        <w:spacing w:line="316" w:lineRule="auto" w:before="31"/>
        <w:ind w:left="587" w:right="994" w:hanging="435"/>
        <w:jc w:val="left"/>
      </w:pPr>
      <w:r>
        <w:rPr/>
        <w:t>战。若公司在产品销售或售后服务方面处理问题不到位或者不尽完善，可能给公司的声誉带来一定的不利影响。 公司从产品销售到售后服务，已针对客户需求建立了较为完善的售后服务体系，树立了公司的品牌形象。</w:t>
      </w:r>
    </w:p>
    <w:p>
      <w:pPr>
        <w:pStyle w:val="BodyText"/>
        <w:spacing w:line="300" w:lineRule="auto" w:before="19"/>
        <w:ind w:left="587" w:right="93"/>
        <w:jc w:val="left"/>
      </w:pPr>
      <w:r>
        <w:rPr/>
        <w:t>（</w:t>
      </w:r>
      <w:r>
        <w:rPr>
          <w:rFonts w:ascii="Times New Roman" w:hAnsi="Times New Roman" w:cs="Times New Roman" w:eastAsia="Times New Roman" w:hint="default"/>
        </w:rPr>
        <w:t>3</w:t>
      </w:r>
      <w:r>
        <w:rPr/>
        <w:t>）市场风险 近年来，民生行业呈加快发展的趋势。随着市场规模的不断扩大，市场竞争越发激烈。尽管公司在国内细分市场拥有</w:t>
      </w:r>
    </w:p>
    <w:p>
      <w:pPr>
        <w:pStyle w:val="BodyText"/>
        <w:spacing w:line="316" w:lineRule="auto" w:before="31"/>
        <w:ind w:right="93"/>
        <w:jc w:val="left"/>
      </w:pPr>
      <w:r>
        <w:rPr>
          <w:spacing w:val="-4"/>
        </w:rPr>
        <w:t>明显的竞争优势，市场竞争的风险仍可能对公司的产品和服务的价格、市场份额等产生不利影响。行业发展受国家政策影响，</w:t>
      </w:r>
      <w:r>
        <w:rPr>
          <w:spacing w:val="-44"/>
        </w:rPr>
        <w:t> </w:t>
      </w:r>
      <w:r>
        <w:rPr>
          <w:spacing w:val="-44"/>
        </w:rPr>
      </w:r>
      <w:r>
        <w:rPr>
          <w:spacing w:val="-2"/>
        </w:rPr>
        <w:t>民生行业信息化建设的速度放缓或者所面临的政策环境发生重大不利变化，将对公司经营产生直接影响。我国劳动和社会保</w:t>
      </w:r>
      <w:r>
        <w:rPr>
          <w:spacing w:val="-64"/>
        </w:rPr>
        <w:t> </w:t>
      </w:r>
      <w:r>
        <w:rPr>
          <w:spacing w:val="-64"/>
        </w:rPr>
      </w:r>
      <w:r>
        <w:rPr>
          <w:spacing w:val="-2"/>
        </w:rPr>
        <w:t>障信息化建设还存在各省发展不均衡的特点。大部分省份均从单一险种的建设开始起步，信息系统整体建设水平与各省建设</w:t>
      </w:r>
      <w:r>
        <w:rPr>
          <w:spacing w:val="-64"/>
        </w:rPr>
        <w:t> </w:t>
      </w:r>
      <w:r>
        <w:rPr>
          <w:spacing w:val="-64"/>
        </w:rPr>
      </w:r>
      <w:r>
        <w:rPr>
          <w:spacing w:val="-2"/>
        </w:rPr>
        <w:t>时间和财政投入有很大关系。公司属于创业型企业，考虑资金资源和规模有限，公司还无法在全国范围内进行大面积市场化</w:t>
      </w:r>
      <w:r>
        <w:rPr>
          <w:spacing w:val="-64"/>
        </w:rPr>
        <w:t> </w:t>
      </w:r>
      <w:r>
        <w:rPr>
          <w:spacing w:val="-64"/>
        </w:rPr>
      </w:r>
      <w:r>
        <w:rPr/>
        <w:t>拓展。</w:t>
      </w:r>
    </w:p>
    <w:p>
      <w:pPr>
        <w:pStyle w:val="BodyText"/>
        <w:spacing w:line="316" w:lineRule="auto" w:before="19"/>
        <w:ind w:right="103" w:firstLine="434"/>
        <w:jc w:val="both"/>
      </w:pPr>
      <w:r>
        <w:rPr>
          <w:spacing w:val="-2"/>
        </w:rPr>
        <w:t>目前福建省民生行业信息化在国内处于领先地位，公司作为福建省社保信息系统唯一的建设商，针对面临的市场风险，</w:t>
      </w:r>
      <w:r>
        <w:rPr/>
        <w:t> </w:t>
      </w:r>
      <w:r>
        <w:rPr>
          <w:spacing w:val="-4"/>
        </w:rPr>
        <w:t>充分利用社保平台建设及民生信息服务提供方面具备的优势及经验，建立完善的政策分析与监测机制，避免可能造成的风险。</w:t>
      </w:r>
    </w:p>
    <w:p>
      <w:pPr>
        <w:pStyle w:val="BodyText"/>
        <w:spacing w:line="300" w:lineRule="auto" w:before="19"/>
        <w:ind w:left="587" w:right="93"/>
        <w:jc w:val="left"/>
      </w:pPr>
      <w:r>
        <w:rPr/>
        <w:t>（</w:t>
      </w:r>
      <w:r>
        <w:rPr>
          <w:rFonts w:ascii="Times New Roman" w:hAnsi="Times New Roman" w:cs="Times New Roman" w:eastAsia="Times New Roman" w:hint="default"/>
        </w:rPr>
        <w:t>4</w:t>
      </w:r>
      <w:r>
        <w:rPr/>
        <w:t>）人力资源风险 软件企业一般都面临人员流动大、知识结构更新快的问题，行业内的市场竞争也越来越体现为对高素质人才的竞争。</w:t>
      </w:r>
    </w:p>
    <w:p>
      <w:pPr>
        <w:spacing w:after="0" w:line="30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t>核心骨干人员流失、无法吸引新的优秀人才，将对公司生产经营带来一定的影响。为了稳定公司的管理、技术和销售队伍， </w:t>
      </w:r>
      <w:r>
        <w:rPr>
          <w:spacing w:val="-2"/>
        </w:rPr>
        <w:t>公司通过提供有竞争力的薪酬、福利和建立公平的竞争晋升机制，提供全面、完善的培训计划，创造开放、协作的工作环境</w:t>
      </w:r>
      <w:r>
        <w:rPr>
          <w:spacing w:val="-67"/>
        </w:rPr>
        <w:t> </w:t>
      </w:r>
      <w:r>
        <w:rPr>
          <w:spacing w:val="-67"/>
        </w:rPr>
      </w:r>
      <w:r>
        <w:rPr/>
        <w:t>和提倡</w:t>
      </w:r>
      <w:r>
        <w:rPr>
          <w:rFonts w:ascii="Times New Roman" w:hAnsi="Times New Roman" w:cs="Times New Roman" w:eastAsia="Times New Roman" w:hint="default"/>
        </w:rPr>
        <w:t>“</w:t>
      </w:r>
      <w:r>
        <w:rPr/>
        <w:t>专注、创新</w:t>
      </w:r>
      <w:r>
        <w:rPr>
          <w:rFonts w:ascii="Times New Roman" w:hAnsi="Times New Roman" w:cs="Times New Roman" w:eastAsia="Times New Roman" w:hint="default"/>
        </w:rPr>
        <w:t>”</w:t>
      </w:r>
      <w:r>
        <w:rPr/>
        <w:t>的企业文化来吸引、培养人才，公司核心骨干人员也持有公司股份，避免核心骨干人员的流失。</w:t>
      </w:r>
    </w:p>
    <w:p>
      <w:pPr>
        <w:pStyle w:val="BodyText"/>
        <w:spacing w:line="300" w:lineRule="auto"/>
        <w:ind w:left="587" w:right="93"/>
        <w:jc w:val="left"/>
      </w:pPr>
      <w:r>
        <w:rPr/>
        <w:t>（</w:t>
      </w:r>
      <w:r>
        <w:rPr>
          <w:rFonts w:ascii="Times New Roman" w:hAnsi="Times New Roman" w:cs="Times New Roman" w:eastAsia="Times New Roman" w:hint="default"/>
        </w:rPr>
        <w:t>5</w:t>
      </w:r>
      <w:r>
        <w:rPr/>
        <w:t>）募集资金投资项目风险 募集资金投资项目具有软件行业所特有的高投入、高收益和高风险的特点。尽管公司募集资金投向均是公司专注多年</w:t>
      </w:r>
    </w:p>
    <w:p>
      <w:pPr>
        <w:pStyle w:val="BodyText"/>
        <w:spacing w:line="316" w:lineRule="auto" w:before="31"/>
        <w:ind w:right="194"/>
        <w:jc w:val="both"/>
      </w:pPr>
      <w:r>
        <w:rPr>
          <w:spacing w:val="-2"/>
        </w:rPr>
        <w:t>主营业务的升级或必要延伸，但在项目建设及开发过程中，面临着技术开发的不确定性、技术替代、宏观政策变化、市场变</w:t>
      </w:r>
      <w:r>
        <w:rPr>
          <w:spacing w:val="-67"/>
        </w:rPr>
        <w:t> </w:t>
      </w:r>
      <w:r>
        <w:rPr>
          <w:spacing w:val="-67"/>
        </w:rPr>
      </w:r>
      <w:r>
        <w:rPr>
          <w:spacing w:val="-2"/>
        </w:rPr>
        <w:t>化等诸多风险，任何一项因素向不利于公司的方向转化，都有可能影响项目的投资效益。此外，也可能由于主、客观原因导</w:t>
      </w:r>
      <w:r>
        <w:rPr>
          <w:spacing w:val="-67"/>
        </w:rPr>
        <w:t> </w:t>
      </w:r>
      <w:r>
        <w:rPr>
          <w:spacing w:val="-67"/>
        </w:rPr>
      </w:r>
      <w:r>
        <w:rPr/>
        <w:t>致项目实施延误，或项目在短时间内达不到原设计要求，因此，亦不排除公司在项目管理和组织实施中存在一定的风险。</w:t>
      </w:r>
    </w:p>
    <w:p>
      <w:pPr>
        <w:pStyle w:val="BodyText"/>
        <w:spacing w:line="316" w:lineRule="auto" w:before="19"/>
        <w:ind w:right="195" w:firstLine="434"/>
        <w:jc w:val="both"/>
      </w:pPr>
      <w:r>
        <w:rPr/>
        <w:t>面对募集资金项目风险，公司将认真组织募集资金投资项目的实施，争取尽快投产，促进公司生产规模的扩大和设备 技术水平，增强公司行业的核心竞争力。</w:t>
      </w:r>
    </w:p>
    <w:p>
      <w:pPr>
        <w:pStyle w:val="BodyText"/>
        <w:spacing w:line="300" w:lineRule="auto" w:before="19"/>
        <w:ind w:left="587" w:right="93"/>
        <w:jc w:val="left"/>
      </w:pPr>
      <w:r>
        <w:rPr/>
        <w:t>（</w:t>
      </w:r>
      <w:r>
        <w:rPr>
          <w:rFonts w:ascii="Times New Roman" w:hAnsi="Times New Roman" w:cs="Times New Roman" w:eastAsia="Times New Roman" w:hint="default"/>
        </w:rPr>
        <w:t>6</w:t>
      </w:r>
      <w:r>
        <w:rPr/>
        <w:t>）快速发展带来的管理风险 自公司成立以来，主营业务一直保持较快的增长速度，公司成功上市后，公司的净资产规模将在目前的基础上进一步</w:t>
      </w:r>
    </w:p>
    <w:p>
      <w:pPr>
        <w:pStyle w:val="BodyText"/>
        <w:spacing w:line="316" w:lineRule="auto" w:before="32"/>
        <w:ind w:right="93"/>
        <w:jc w:val="left"/>
      </w:pPr>
      <w:r>
        <w:rPr>
          <w:spacing w:val="-2"/>
        </w:rPr>
        <w:t>增加。公司资产规模的扩大和人员增加对公司组织架构、管理体系提出新的和更高的要求。虽然公司的管理层在经营和管理</w:t>
      </w:r>
      <w:r>
        <w:rPr>
          <w:spacing w:val="-62"/>
        </w:rPr>
        <w:t> </w:t>
      </w:r>
      <w:r>
        <w:rPr>
          <w:spacing w:val="-62"/>
        </w:rPr>
      </w:r>
      <w:r>
        <w:rPr/>
        <w:t>快速成长的企业方面有着丰富的经验，但仍需要不断调整，以适应市场要求和公司业务发展需要。</w:t>
      </w:r>
    </w:p>
    <w:p>
      <w:pPr>
        <w:pStyle w:val="BodyText"/>
        <w:spacing w:line="316" w:lineRule="auto" w:before="19"/>
        <w:ind w:right="192" w:firstLine="434"/>
        <w:jc w:val="both"/>
      </w:pPr>
      <w:r>
        <w:rPr/>
        <w:t>针对管理风险公司采取几个方面措施：（一）完善法人管理结构，规范公司运作体系，加强内部控制。（二）提高公 </w:t>
      </w:r>
      <w:r>
        <w:rPr>
          <w:spacing w:val="-2"/>
        </w:rPr>
        <w:t>司管理层特别是核心团队的管理素质和决策能力，并不断完善激励机制，吸引高素质的职业管理人才。（三）管理层将积极</w:t>
      </w:r>
      <w:r>
        <w:rPr>
          <w:spacing w:val="-65"/>
        </w:rPr>
        <w:t> </w:t>
      </w:r>
      <w:r>
        <w:rPr>
          <w:spacing w:val="-65"/>
        </w:rPr>
      </w:r>
      <w:r>
        <w:rPr/>
        <w:t>探索有效的经验管理模式，并聘请有关行业专家，协助公司完善管理体制。</w:t>
      </w:r>
    </w:p>
    <w:p>
      <w:pPr>
        <w:spacing w:line="240" w:lineRule="auto" w:before="11"/>
        <w:rPr>
          <w:rFonts w:ascii="宋体" w:hAnsi="宋体" w:cs="宋体" w:eastAsia="宋体" w:hint="default"/>
          <w:sz w:val="20"/>
          <w:szCs w:val="20"/>
        </w:rPr>
      </w:pPr>
    </w:p>
    <w:p>
      <w:pPr>
        <w:pStyle w:val="Heading2"/>
        <w:spacing w:line="240" w:lineRule="auto"/>
        <w:ind w:right="1713"/>
        <w:jc w:val="left"/>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713"/>
        <w:jc w:val="left"/>
        <w:rPr>
          <w:b w:val="0"/>
          <w:bCs w:val="0"/>
        </w:rPr>
      </w:pPr>
      <w:r>
        <w:rPr/>
        <w:t>四、董事会关于报告期会计政策、会计估计变更或重要前期差错更正的说明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89" w:firstLine="360"/>
        <w:jc w:val="left"/>
      </w:pPr>
      <w:r>
        <w:rPr/>
        <w:t>财政部自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日起修订了《企业会计准则第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 </w:t>
      </w:r>
      <w:r>
        <w:rPr>
          <w:spacing w:val="-2"/>
        </w:rPr>
        <w:t>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合并财务报表》，以及颁布了《企业会计准则第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w:t>
      </w:r>
      <w:r>
        <w:rPr>
          <w:spacing w:val="-60"/>
        </w:rPr>
        <w:t> </w:t>
      </w:r>
      <w:r>
        <w:rPr>
          <w:spacing w:val="-60"/>
        </w:rPr>
      </w:r>
      <w:r>
        <w:rPr>
          <w:spacing w:val="-1"/>
        </w:rPr>
        <w:t>量》、《企业会计准则第</w:t>
      </w:r>
      <w:r>
        <w:rPr>
          <w:rFonts w:ascii="Times New Roman" w:hAnsi="Times New Roman" w:cs="Times New Roman" w:eastAsia="Times New Roman" w:hint="default"/>
          <w:spacing w:val="-1"/>
        </w:rPr>
        <w:t>40</w:t>
      </w:r>
      <w:r>
        <w:rPr>
          <w:spacing w:val="-1"/>
        </w:rPr>
        <w:t>号</w:t>
      </w:r>
      <w:r>
        <w:rPr>
          <w:rFonts w:ascii="Times New Roman" w:hAnsi="Times New Roman" w:cs="Times New Roman" w:eastAsia="Times New Roman" w:hint="default"/>
          <w:spacing w:val="-1"/>
        </w:rPr>
        <w:t>-</w:t>
      </w:r>
      <w:r>
        <w:rPr>
          <w:spacing w:val="-1"/>
        </w:rPr>
        <w:t>合营安排》、《企业会计准则第</w:t>
      </w:r>
      <w:r>
        <w:rPr>
          <w:rFonts w:ascii="Times New Roman" w:hAnsi="Times New Roman" w:cs="Times New Roman" w:eastAsia="Times New Roman" w:hint="default"/>
          <w:spacing w:val="-1"/>
        </w:rPr>
        <w:t>41</w:t>
      </w:r>
      <w:r>
        <w:rPr>
          <w:spacing w:val="-1"/>
        </w:rPr>
        <w:t>号</w:t>
      </w:r>
      <w:r>
        <w:rPr>
          <w:rFonts w:ascii="Times New Roman" w:hAnsi="Times New Roman" w:cs="Times New Roman" w:eastAsia="Times New Roman" w:hint="default"/>
          <w:spacing w:val="-1"/>
        </w:rPr>
        <w:t>-</w:t>
      </w:r>
      <w:r>
        <w:rPr>
          <w:spacing w:val="-1"/>
        </w:rPr>
        <w:t>在其他主体中权益的披露》等具体准则，自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4"/>
        </w:rPr>
        <w:t> </w:t>
      </w:r>
      <w:r>
        <w:rPr/>
        <w:t>日起在所有执行企业会计准则的企业范围内施行。</w:t>
      </w:r>
    </w:p>
    <w:p>
      <w:pPr>
        <w:pStyle w:val="BodyText"/>
        <w:spacing w:line="300" w:lineRule="auto" w:before="31"/>
        <w:ind w:right="197"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日，财政部修订了《企业会计准则第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金融工具列报》，要求执行企业会计准则的企业在</w:t>
      </w:r>
      <w:r>
        <w:rPr>
          <w:rFonts w:ascii="Times New Roman" w:hAnsi="Times New Roman" w:cs="Times New Roman" w:eastAsia="Times New Roman" w:hint="default"/>
        </w:rPr>
        <w:t>2014</w:t>
      </w:r>
      <w:r>
        <w:rPr/>
        <w:t>年度及 以后期间的财务报告中按照该准则要求对金融工具进行列报。</w:t>
      </w:r>
    </w:p>
    <w:p>
      <w:pPr>
        <w:pStyle w:val="BodyText"/>
        <w:spacing w:line="300" w:lineRule="auto" w:before="31"/>
        <w:ind w:right="20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日，财政部发布了《财政部关于修改〈企业会计准则</w:t>
      </w:r>
      <w:r>
        <w:rPr>
          <w:rFonts w:ascii="Times New Roman" w:hAnsi="Times New Roman" w:cs="Times New Roman" w:eastAsia="Times New Roman" w:hint="default"/>
        </w:rPr>
        <w:t>—</w:t>
      </w:r>
      <w:r>
        <w:rPr/>
        <w:t>基本准则〉的决定》，要求所有执行企业会计准则 的企业自公布之日起施行。</w:t>
      </w:r>
    </w:p>
    <w:p>
      <w:pPr>
        <w:pStyle w:val="BodyText"/>
        <w:spacing w:line="300" w:lineRule="auto" w:before="31"/>
        <w:ind w:right="288" w:firstLine="360"/>
        <w:jc w:val="both"/>
      </w:pPr>
      <w:r>
        <w:rPr/>
        <w:t>根据前述规定，公司于以上文件规定的起始日开始执行上述企业会计准则。其余未变更部分仍执行中国财政部于</w:t>
      </w:r>
      <w:r>
        <w:rPr>
          <w:rFonts w:ascii="Times New Roman" w:hAnsi="Times New Roman" w:cs="Times New Roman" w:eastAsia="Times New Roman" w:hint="default"/>
        </w:rPr>
        <w:t>2006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日颁布的相关准则及其他有关规定。</w:t>
      </w:r>
    </w:p>
    <w:p>
      <w:pPr>
        <w:pStyle w:val="BodyText"/>
        <w:spacing w:line="240" w:lineRule="auto" w:before="13"/>
        <w:ind w:left="513" w:right="1713"/>
        <w:jc w:val="left"/>
      </w:pPr>
      <w:r>
        <w:rPr/>
        <w:t>公司在编制公司</w:t>
      </w:r>
      <w:r>
        <w:rPr>
          <w:rFonts w:ascii="Times New Roman" w:hAnsi="Times New Roman" w:cs="Times New Roman" w:eastAsia="Times New Roman" w:hint="default"/>
        </w:rPr>
        <w:t>2014</w:t>
      </w:r>
      <w:r>
        <w:rPr/>
        <w:t>年年度报告时，对</w:t>
      </w:r>
      <w:r>
        <w:rPr>
          <w:rFonts w:ascii="Times New Roman" w:hAnsi="Times New Roman" w:cs="Times New Roman" w:eastAsia="Times New Roman" w:hint="default"/>
        </w:rPr>
        <w:t>2014</w:t>
      </w:r>
      <w:r>
        <w:rPr/>
        <w:t>年度财务报表项目及金额的影响如下：</w:t>
      </w:r>
    </w:p>
    <w:p>
      <w:pPr>
        <w:pStyle w:val="BodyText"/>
        <w:spacing w:line="300" w:lineRule="auto" w:before="63"/>
        <w:ind w:right="191" w:firstLine="360"/>
        <w:jc w:val="both"/>
      </w:pPr>
      <w:r>
        <w:rPr>
          <w:rFonts w:ascii="Times New Roman" w:hAnsi="Times New Roman" w:cs="Times New Roman" w:eastAsia="Times New Roman" w:hint="default"/>
          <w:spacing w:val="-2"/>
        </w:rPr>
        <w:t>1</w:t>
      </w:r>
      <w:r>
        <w:rPr>
          <w:spacing w:val="-2"/>
        </w:rPr>
        <w:t>、根据修订后的《企业会计准则第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财务报表列报》相关要求，公司需修改财务报表列报：（</w:t>
      </w:r>
      <w:r>
        <w:rPr>
          <w:rFonts w:ascii="Times New Roman" w:hAnsi="Times New Roman" w:cs="Times New Roman" w:eastAsia="Times New Roman" w:hint="default"/>
          <w:spacing w:val="-2"/>
        </w:rPr>
        <w:t>1</w:t>
      </w:r>
      <w:r>
        <w:rPr>
          <w:spacing w:val="-2"/>
        </w:rPr>
        <w:t>）合并资产负债表</w:t>
      </w:r>
      <w:r>
        <w:rPr/>
        <w:t> 增加其他综合收益科目列报；（</w:t>
      </w:r>
      <w:r>
        <w:rPr>
          <w:rFonts w:ascii="Times New Roman" w:hAnsi="Times New Roman" w:cs="Times New Roman" w:eastAsia="Times New Roman" w:hint="default"/>
        </w:rPr>
        <w:t>2</w:t>
      </w:r>
      <w:r>
        <w:rPr/>
        <w:t>）合并利润表</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科目分两类列报，即①以后会计期间不能重分类进损益的其 他综合收益项目；②以后会计期间在满足规定条件时将重分类进损益的其他综合收益项目。</w:t>
      </w:r>
    </w:p>
    <w:p>
      <w:pPr>
        <w:pStyle w:val="BodyText"/>
        <w:spacing w:line="300" w:lineRule="auto" w:before="31"/>
        <w:ind w:right="190" w:firstLine="360"/>
        <w:jc w:val="both"/>
      </w:pPr>
      <w:r>
        <w:rPr>
          <w:rFonts w:ascii="Times New Roman" w:hAnsi="Times New Roman" w:cs="Times New Roman" w:eastAsia="Times New Roman" w:hint="default"/>
          <w:spacing w:val="-1"/>
        </w:rPr>
        <w:t>2</w:t>
      </w:r>
      <w:r>
        <w:rPr>
          <w:spacing w:val="-1"/>
        </w:rPr>
        <w:t>、根据修订后的《企业会计准则第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财务报表列报》相关要求，公司将原资产负债表中</w:t>
      </w:r>
      <w:r>
        <w:rPr>
          <w:rFonts w:ascii="Times New Roman" w:hAnsi="Times New Roman" w:cs="Times New Roman" w:eastAsia="Times New Roman" w:hint="default"/>
          <w:spacing w:val="-1"/>
        </w:rPr>
        <w:t>“</w:t>
      </w:r>
      <w:r>
        <w:rPr>
          <w:spacing w:val="-1"/>
        </w:rPr>
        <w:t>交易性金融资产</w:t>
      </w:r>
      <w:r>
        <w:rPr>
          <w:rFonts w:ascii="Times New Roman" w:hAnsi="Times New Roman" w:cs="Times New Roman" w:eastAsia="Times New Roman" w:hint="default"/>
          <w:spacing w:val="-1"/>
        </w:rPr>
        <w:t>/</w:t>
      </w:r>
      <w:r>
        <w:rPr>
          <w:spacing w:val="-1"/>
        </w:rPr>
        <w:t>负债</w:t>
      </w:r>
      <w:r>
        <w:rPr>
          <w:rFonts w:ascii="Times New Roman" w:hAnsi="Times New Roman" w:cs="Times New Roman" w:eastAsia="Times New Roman" w:hint="default"/>
          <w:spacing w:val="-1"/>
        </w:rPr>
        <w:t>”</w:t>
      </w:r>
      <w:r>
        <w:rPr>
          <w:spacing w:val="-1"/>
        </w:rPr>
        <w:t>科</w:t>
      </w:r>
      <w:r>
        <w:rPr/>
        <w:t> 目修订为</w:t>
      </w:r>
      <w:r>
        <w:rPr>
          <w:rFonts w:ascii="Times New Roman" w:hAnsi="Times New Roman" w:cs="Times New Roman" w:eastAsia="Times New Roman" w:hint="default"/>
        </w:rPr>
        <w:t>“</w:t>
      </w:r>
      <w:r>
        <w:rPr/>
        <w:t>以公允价值计量且其变动计入当期损益的金融资产</w:t>
      </w:r>
      <w:r>
        <w:rPr>
          <w:rFonts w:ascii="Times New Roman" w:hAnsi="Times New Roman" w:cs="Times New Roman" w:eastAsia="Times New Roman" w:hint="default"/>
        </w:rPr>
        <w:t>/</w:t>
      </w:r>
      <w:r>
        <w:rPr/>
        <w:t>负债</w:t>
      </w:r>
      <w:r>
        <w:rPr>
          <w:rFonts w:ascii="Times New Roman" w:hAnsi="Times New Roman" w:cs="Times New Roman" w:eastAsia="Times New Roman" w:hint="default"/>
        </w:rPr>
        <w:t>”</w:t>
      </w:r>
      <w:r>
        <w:rPr/>
        <w:t>。</w:t>
      </w:r>
    </w:p>
    <w:p>
      <w:pPr>
        <w:pStyle w:val="BodyText"/>
        <w:spacing w:line="240" w:lineRule="auto" w:before="13"/>
        <w:ind w:left="513" w:right="93"/>
        <w:jc w:val="left"/>
      </w:pPr>
      <w:r>
        <w:rPr>
          <w:rFonts w:ascii="Times New Roman" w:hAnsi="Times New Roman" w:cs="Times New Roman" w:eastAsia="Times New Roman" w:hint="default"/>
        </w:rPr>
        <w:t>3</w:t>
      </w:r>
      <w:r>
        <w:rPr/>
        <w:t>、执行修订后的《企业会计准则第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职工薪酬》、《企业会计准则第</w:t>
      </w:r>
    </w:p>
    <w:p>
      <w:pPr>
        <w:pStyle w:val="BodyText"/>
        <w:spacing w:line="300" w:lineRule="auto" w:before="63"/>
        <w:ind w:right="229"/>
        <w:jc w:val="left"/>
      </w:pP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 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在其他主体中权益的披露》，未对公司财务报表产生重大影响。</w:t>
      </w:r>
    </w:p>
    <w:p>
      <w:pPr>
        <w:spacing w:after="0" w:line="300"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713"/>
        <w:jc w:val="left"/>
        <w:rPr>
          <w:b w:val="0"/>
          <w:bCs w:val="0"/>
        </w:rPr>
      </w:pPr>
      <w:r>
        <w:rPr/>
        <w:t>五、公司利润分配及分红派息情况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713"/>
        <w:jc w:val="left"/>
      </w:pPr>
      <w:r>
        <w:rPr/>
        <w:t>报告期内利润分配政策特别是现金分红政策的制定、执行或调整情况</w:t>
      </w:r>
    </w:p>
    <w:p>
      <w:pPr>
        <w:pStyle w:val="BodyText"/>
        <w:spacing w:line="340" w:lineRule="auto" w:before="115"/>
        <w:ind w:left="513" w:right="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4"/>
        </w:rPr>
        <w:t>报告期内，公司严格按照《公司章程》相关利润分配政策和审议程序实施利润分配方案，分红标准和分红比例明确清晰，</w:t>
      </w:r>
    </w:p>
    <w:p>
      <w:pPr>
        <w:pStyle w:val="BodyText"/>
        <w:spacing w:line="316" w:lineRule="auto" w:before="1"/>
        <w:ind w:right="93"/>
        <w:jc w:val="left"/>
      </w:pPr>
      <w:r>
        <w:rPr>
          <w:spacing w:val="-2"/>
        </w:rPr>
        <w:t>相关的决策程序和机制完备，相关的议案经董事会、监事会审议过后提交股东大会审议，并由独立董事发表独立意见，审议</w:t>
      </w:r>
      <w:r>
        <w:rPr>
          <w:spacing w:val="-65"/>
        </w:rPr>
        <w:t> </w:t>
      </w:r>
      <w:r>
        <w:rPr>
          <w:spacing w:val="-65"/>
        </w:rPr>
      </w:r>
      <w:r>
        <w:rPr/>
        <w:t>通过后在规定时间内进行实施，切实保证了全体股东的利益。</w:t>
      </w:r>
    </w:p>
    <w:p>
      <w:pPr>
        <w:pStyle w:val="BodyText"/>
        <w:spacing w:line="300" w:lineRule="auto" w:before="59"/>
        <w:ind w:right="189" w:firstLine="36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日，公司第二届董事会第十四次会议审议通过《</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38"/>
        </w:rPr>
        <w:t> </w:t>
      </w:r>
      <w:r>
        <w:rPr>
          <w:spacing w:val="-4"/>
        </w:rPr>
        <w:t>年度利润分配预案》：以</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17,200</w:t>
      </w:r>
      <w:r>
        <w:rPr>
          <w:rFonts w:ascii="Times New Roman" w:hAnsi="Times New Roman" w:cs="Times New Roman" w:eastAsia="Times New Roman" w:hint="default"/>
        </w:rPr>
        <w:t> </w:t>
      </w:r>
      <w:r>
        <w:rPr>
          <w:spacing w:val="-1"/>
        </w:rPr>
        <w:t>万股为基数，向全体股东实施每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w:t>
      </w:r>
      <w:r>
        <w:rPr>
          <w:spacing w:val="-1"/>
        </w:rPr>
        <w:t>元（含税），合计派发现金红利</w:t>
      </w:r>
      <w:r>
        <w:rPr>
          <w:rFonts w:ascii="Times New Roman" w:hAnsi="Times New Roman" w:cs="Times New Roman" w:eastAsia="Times New Roman" w:hint="default"/>
          <w:spacing w:val="-1"/>
        </w:rPr>
        <w:t>1,720</w:t>
      </w:r>
      <w:r>
        <w:rPr>
          <w:spacing w:val="-1"/>
        </w:rPr>
        <w:t>万元，剩余未分配利润结转至下一</w:t>
      </w:r>
      <w:r>
        <w:rPr>
          <w:spacing w:val="-76"/>
        </w:rPr>
        <w:t> </w:t>
      </w:r>
      <w:r>
        <w:rPr>
          <w:spacing w:val="-76"/>
        </w:rPr>
      </w:r>
      <w:r>
        <w:rPr/>
        <w:t>年度。</w:t>
      </w:r>
    </w:p>
    <w:p>
      <w:pPr>
        <w:pStyle w:val="BodyText"/>
        <w:spacing w:line="300" w:lineRule="auto" w:before="70"/>
        <w:ind w:right="23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2013</w:t>
      </w:r>
      <w:r>
        <w:rPr/>
        <w:t>年年度股东大会审议通过了《</w:t>
      </w:r>
      <w:r>
        <w:rPr>
          <w:rFonts w:ascii="Times New Roman" w:hAnsi="Times New Roman" w:cs="Times New Roman" w:eastAsia="Times New Roman" w:hint="default"/>
        </w:rPr>
        <w:t>2013 </w:t>
      </w:r>
      <w:r>
        <w:rPr/>
        <w:t>年度利润分配预案》，同意董事会提出的</w:t>
      </w:r>
      <w:r>
        <w:rPr>
          <w:spacing w:val="-40"/>
        </w:rPr>
        <w:t> </w:t>
      </w:r>
      <w:r>
        <w:rPr>
          <w:rFonts w:ascii="Times New Roman" w:hAnsi="Times New Roman" w:cs="Times New Roman" w:eastAsia="Times New Roman" w:hint="default"/>
        </w:rPr>
        <w:t>2013</w:t>
      </w:r>
      <w:r>
        <w:rPr/>
        <w:t>年年度利 润分配预案。</w:t>
      </w:r>
    </w:p>
    <w:p>
      <w:pPr>
        <w:pStyle w:val="BodyText"/>
        <w:spacing w:line="240" w:lineRule="auto" w:before="72"/>
        <w:ind w:left="513" w:right="9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日，公司发布《</w:t>
      </w:r>
      <w:r>
        <w:rPr>
          <w:rFonts w:ascii="Times New Roman" w:hAnsi="Times New Roman" w:cs="Times New Roman" w:eastAsia="Times New Roman" w:hint="default"/>
        </w:rPr>
        <w:t>2013</w:t>
      </w:r>
      <w:r>
        <w:rPr/>
        <w:t>年度权益分派实施公告》，上述权益分派方案于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日实施完毕。</w:t>
      </w:r>
    </w:p>
    <w:p>
      <w:pPr>
        <w:pStyle w:val="BodyText"/>
        <w:spacing w:line="240" w:lineRule="auto" w:before="10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日，公司第二届董事会第十八次会议审议通过了《关于</w:t>
      </w:r>
      <w:r>
        <w:rPr>
          <w:rFonts w:ascii="Times New Roman" w:hAnsi="Times New Roman" w:cs="Times New Roman" w:eastAsia="Times New Roman" w:hint="default"/>
        </w:rPr>
        <w:t>2014</w:t>
      </w:r>
      <w:r>
        <w:rPr/>
        <w:t>年中期资本公积金转增股本预案》：以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p>
    <w:p>
      <w:pPr>
        <w:pStyle w:val="BodyText"/>
        <w:spacing w:line="240" w:lineRule="auto" w:before="63"/>
        <w:ind w:right="0"/>
        <w:jc w:val="left"/>
      </w:pP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17,200</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股，共计转增</w:t>
      </w:r>
      <w:r>
        <w:rPr>
          <w:rFonts w:ascii="Times New Roman" w:hAnsi="Times New Roman" w:cs="Times New Roman" w:eastAsia="Times New Roman" w:hint="default"/>
        </w:rPr>
        <w:t>25,800</w:t>
      </w:r>
      <w:r>
        <w:rPr/>
        <w:t>万股，转增后公司总股本将增加至</w:t>
      </w:r>
      <w:r>
        <w:rPr>
          <w:rFonts w:ascii="Times New Roman" w:hAnsi="Times New Roman" w:cs="Times New Roman" w:eastAsia="Times New Roman" w:hint="default"/>
        </w:rPr>
        <w:t>43,000</w:t>
      </w:r>
      <w:r>
        <w:rPr/>
        <w:t>万股。</w:t>
      </w:r>
    </w:p>
    <w:p>
      <w:pPr>
        <w:pStyle w:val="BodyText"/>
        <w:spacing w:line="300" w:lineRule="auto" w:before="101"/>
        <w:ind w:right="198"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2014</w:t>
      </w:r>
      <w:r>
        <w:rPr/>
        <w:t>年第一次临时股东大会审议通过了《关于</w:t>
      </w:r>
      <w:r>
        <w:rPr>
          <w:rFonts w:ascii="Times New Roman" w:hAnsi="Times New Roman" w:cs="Times New Roman" w:eastAsia="Times New Roman" w:hint="default"/>
        </w:rPr>
        <w:t>2014</w:t>
      </w:r>
      <w:r>
        <w:rPr/>
        <w:t>年中期资本公积金转增股本预案》，同意董事 会提出的</w:t>
      </w:r>
      <w:r>
        <w:rPr>
          <w:spacing w:val="-20"/>
        </w:rPr>
        <w:t> </w:t>
      </w:r>
      <w:r>
        <w:rPr>
          <w:rFonts w:ascii="Times New Roman" w:hAnsi="Times New Roman" w:cs="Times New Roman" w:eastAsia="Times New Roman" w:hint="default"/>
        </w:rPr>
        <w:t>2014</w:t>
      </w:r>
      <w:r>
        <w:rPr/>
        <w:t>年中期资本公积金转增股本预案。</w:t>
      </w:r>
    </w:p>
    <w:p>
      <w:pPr>
        <w:pStyle w:val="BodyText"/>
        <w:spacing w:line="240" w:lineRule="auto" w:before="53"/>
        <w:ind w:left="513" w:right="9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日，公司发布《</w:t>
      </w:r>
      <w:r>
        <w:rPr>
          <w:rFonts w:ascii="Times New Roman" w:hAnsi="Times New Roman" w:cs="Times New Roman" w:eastAsia="Times New Roman" w:hint="default"/>
        </w:rPr>
        <w:t>2014</w:t>
      </w:r>
      <w:r>
        <w:rPr/>
        <w:t>年半年度权益分派实施公告》，上述权益分派方案于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日实施完毕。</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713"/>
        <w:jc w:val="left"/>
      </w:pPr>
      <w:r>
        <w:rPr/>
        <w:t>公司报告期利润分配预案及资本公积金转增股本预案与公司章程和分红管理办法等的相关规定一致</w:t>
      </w:r>
    </w:p>
    <w:p>
      <w:pPr>
        <w:pStyle w:val="BodyText"/>
        <w:spacing w:line="348" w:lineRule="auto" w:before="117"/>
        <w:ind w:right="3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401"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1"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18,427,356.20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195"/>
        <w:jc w:val="right"/>
      </w:pPr>
      <w:r>
        <w:rPr/>
        <w:pict>
          <v:shape style="position:absolute;margin-left:56.424pt;margin-top:-79.108307pt;width:479.3pt;height:190.6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7"/>
                    <w:gridCol w:w="5863"/>
                  </w:tblGrid>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19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经致同会计师事务所（特殊普通合伙）审计，公司</w:t>
                        </w:r>
                        <w:r>
                          <w:rPr>
                            <w:rFonts w:ascii="宋体" w:hAnsi="宋体" w:cs="宋体" w:eastAsia="宋体" w:hint="default"/>
                            <w:spacing w:val="-54"/>
                            <w:sz w:val="18"/>
                            <w:szCs w:val="18"/>
                          </w:rPr>
                          <w:t> </w:t>
                        </w: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54"/>
                            <w:sz w:val="18"/>
                            <w:szCs w:val="18"/>
                          </w:rPr>
                          <w:t> </w:t>
                        </w:r>
                        <w:r>
                          <w:rPr>
                            <w:rFonts w:ascii="宋体" w:hAnsi="宋体" w:cs="宋体" w:eastAsia="宋体" w:hint="default"/>
                            <w:sz w:val="18"/>
                            <w:szCs w:val="18"/>
                          </w:rPr>
                          <w:t>46,904,070.65</w:t>
                        </w:r>
                        <w:r>
                          <w:rPr>
                            <w:rFonts w:ascii="宋体" w:hAnsi="宋体" w:cs="宋体" w:eastAsia="宋体" w:hint="default"/>
                            <w:spacing w:val="-52"/>
                            <w:sz w:val="18"/>
                            <w:szCs w:val="18"/>
                          </w:rPr>
                          <w:t> </w:t>
                        </w:r>
                        <w:r>
                          <w:rPr>
                            <w:rFonts w:ascii="宋体" w:hAnsi="宋体" w:cs="宋体" w:eastAsia="宋体" w:hint="default"/>
                            <w:sz w:val="18"/>
                            <w:szCs w:val="18"/>
                          </w:rPr>
                          <w:t>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母公司实现净利润</w:t>
                        </w:r>
                        <w:r>
                          <w:rPr>
                            <w:rFonts w:ascii="宋体" w:hAnsi="宋体" w:cs="宋体" w:eastAsia="宋体" w:hint="default"/>
                            <w:spacing w:val="-33"/>
                            <w:sz w:val="18"/>
                            <w:szCs w:val="18"/>
                          </w:rPr>
                          <w:t> </w:t>
                        </w:r>
                        <w:r>
                          <w:rPr>
                            <w:rFonts w:ascii="宋体" w:hAnsi="宋体" w:cs="宋体" w:eastAsia="宋体" w:hint="default"/>
                            <w:sz w:val="18"/>
                            <w:szCs w:val="18"/>
                          </w:rPr>
                          <w:t>20,474,840.22</w:t>
                        </w:r>
                        <w:r>
                          <w:rPr>
                            <w:rFonts w:ascii="宋体" w:hAnsi="宋体" w:cs="宋体" w:eastAsia="宋体" w:hint="default"/>
                            <w:spacing w:val="-30"/>
                            <w:sz w:val="18"/>
                            <w:szCs w:val="18"/>
                          </w:rPr>
                          <w:t> </w:t>
                        </w:r>
                        <w:r>
                          <w:rPr>
                            <w:rFonts w:ascii="宋体" w:hAnsi="宋体" w:cs="宋体" w:eastAsia="宋体" w:hint="default"/>
                            <w:sz w:val="18"/>
                            <w:szCs w:val="18"/>
                          </w:rPr>
                          <w:t>元，根据《公司法》和《公司章程》的有关规定，按照</w:t>
                        </w:r>
                        <w:r>
                          <w:rPr>
                            <w:rFonts w:ascii="宋体" w:hAnsi="宋体" w:cs="宋体" w:eastAsia="宋体" w:hint="default"/>
                            <w:spacing w:val="-32"/>
                            <w:sz w:val="18"/>
                            <w:szCs w:val="18"/>
                          </w:rPr>
                          <w:t> </w:t>
                        </w:r>
                        <w:r>
                          <w:rPr>
                            <w:rFonts w:ascii="宋体" w:hAnsi="宋体" w:cs="宋体" w:eastAsia="宋体" w:hint="default"/>
                            <w:sz w:val="18"/>
                            <w:szCs w:val="18"/>
                          </w:rPr>
                          <w:t>2014</w:t>
                        </w:r>
                        <w:r>
                          <w:rPr>
                            <w:rFonts w:ascii="宋体" w:hAnsi="宋体" w:cs="宋体" w:eastAsia="宋体" w:hint="default"/>
                            <w:spacing w:val="-31"/>
                            <w:sz w:val="18"/>
                            <w:szCs w:val="18"/>
                          </w:rPr>
                          <w:t> </w:t>
                        </w:r>
                        <w:r>
                          <w:rPr>
                            <w:rFonts w:ascii="宋体" w:hAnsi="宋体" w:cs="宋体" w:eastAsia="宋体" w:hint="default"/>
                            <w:sz w:val="18"/>
                            <w:szCs w:val="18"/>
                          </w:rPr>
                          <w:t>年度母公司实现净利润的</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35"/>
                            <w:sz w:val="18"/>
                            <w:szCs w:val="18"/>
                          </w:rPr>
                          <w:t> </w:t>
                        </w:r>
                        <w:r>
                          <w:rPr>
                            <w:rFonts w:ascii="宋体" w:hAnsi="宋体" w:cs="宋体" w:eastAsia="宋体" w:hint="default"/>
                            <w:sz w:val="18"/>
                            <w:szCs w:val="18"/>
                          </w:rPr>
                          <w:t>2,047,484.02</w:t>
                        </w:r>
                        <w:r>
                          <w:rPr>
                            <w:rFonts w:ascii="宋体" w:hAnsi="宋体" w:cs="宋体" w:eastAsia="宋体" w:hint="default"/>
                            <w:spacing w:val="-2"/>
                            <w:sz w:val="18"/>
                            <w:szCs w:val="18"/>
                          </w:rPr>
                          <w:t> </w:t>
                        </w:r>
                        <w:r>
                          <w:rPr>
                            <w:rFonts w:ascii="宋体" w:hAnsi="宋体" w:cs="宋体" w:eastAsia="宋体" w:hint="default"/>
                            <w:sz w:val="18"/>
                            <w:szCs w:val="18"/>
                          </w:rPr>
                          <w:t>元，</w:t>
                        </w:r>
                        <w:r>
                          <w:rPr>
                            <w:rFonts w:ascii="宋体" w:hAnsi="宋体" w:cs="宋体" w:eastAsia="宋体" w:hint="default"/>
                            <w:sz w:val="18"/>
                            <w:szCs w:val="18"/>
                          </w:rPr>
                          <w:t>2014</w:t>
                        </w:r>
                        <w:r>
                          <w:rPr>
                            <w:rFonts w:ascii="宋体" w:hAnsi="宋体" w:cs="宋体" w:eastAsia="宋体" w:hint="default"/>
                            <w:spacing w:val="-31"/>
                            <w:sz w:val="18"/>
                            <w:szCs w:val="18"/>
                          </w:rPr>
                          <w:t> </w:t>
                        </w:r>
                        <w:r>
                          <w:rPr>
                            <w:rFonts w:ascii="宋体" w:hAnsi="宋体" w:cs="宋体" w:eastAsia="宋体" w:hint="default"/>
                            <w:sz w:val="18"/>
                            <w:szCs w:val="18"/>
                          </w:rPr>
                          <w:t>年度母公司实现的可供分配利润</w:t>
                        </w:r>
                        <w:r>
                          <w:rPr>
                            <w:rFonts w:ascii="宋体" w:hAnsi="宋体" w:cs="宋体" w:eastAsia="宋体" w:hint="default"/>
                            <w:spacing w:val="-32"/>
                            <w:sz w:val="18"/>
                            <w:szCs w:val="18"/>
                          </w:rPr>
                          <w:t> </w:t>
                        </w:r>
                        <w:r>
                          <w:rPr>
                            <w:rFonts w:ascii="宋体" w:hAnsi="宋体" w:cs="宋体" w:eastAsia="宋体" w:hint="default"/>
                            <w:sz w:val="18"/>
                            <w:szCs w:val="18"/>
                          </w:rPr>
                          <w:t>18,427,356.20</w:t>
                        </w:r>
                        <w:r>
                          <w:rPr>
                            <w:rFonts w:ascii="宋体" w:hAnsi="宋体" w:cs="宋体" w:eastAsia="宋体" w:hint="default"/>
                            <w:spacing w:val="-30"/>
                            <w:sz w:val="18"/>
                            <w:szCs w:val="18"/>
                          </w:rPr>
                          <w:t> </w:t>
                        </w:r>
                        <w:r>
                          <w:rPr>
                            <w:rFonts w:ascii="宋体" w:hAnsi="宋体" w:cs="宋体" w:eastAsia="宋体" w:hint="default"/>
                            <w:sz w:val="18"/>
                            <w:szCs w:val="18"/>
                          </w:rPr>
                          <w:t>元，加上年初未分配利</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pacing w:val="-43"/>
                            <w:sz w:val="18"/>
                            <w:szCs w:val="18"/>
                          </w:rPr>
                          <w:t> </w:t>
                        </w:r>
                        <w:r>
                          <w:rPr>
                            <w:rFonts w:ascii="宋体" w:hAnsi="宋体" w:cs="宋体" w:eastAsia="宋体" w:hint="default"/>
                            <w:sz w:val="18"/>
                            <w:szCs w:val="18"/>
                          </w:rPr>
                          <w:t>85,882,317.63</w:t>
                        </w:r>
                        <w:r>
                          <w:rPr>
                            <w:rFonts w:ascii="宋体" w:hAnsi="宋体" w:cs="宋体" w:eastAsia="宋体" w:hint="default"/>
                            <w:spacing w:val="-41"/>
                            <w:sz w:val="18"/>
                            <w:szCs w:val="18"/>
                          </w:rPr>
                          <w:t> </w:t>
                        </w:r>
                        <w:r>
                          <w:rPr>
                            <w:rFonts w:ascii="宋体" w:hAnsi="宋体" w:cs="宋体" w:eastAsia="宋体" w:hint="default"/>
                            <w:sz w:val="18"/>
                            <w:szCs w:val="18"/>
                          </w:rPr>
                          <w:t>元，减去</w:t>
                        </w:r>
                        <w:r>
                          <w:rPr>
                            <w:rFonts w:ascii="宋体" w:hAnsi="宋体" w:cs="宋体" w:eastAsia="宋体" w:hint="default"/>
                            <w:spacing w:val="-43"/>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年派发</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2"/>
                            <w:sz w:val="18"/>
                            <w:szCs w:val="18"/>
                          </w:rPr>
                          <w:t> </w:t>
                        </w:r>
                        <w:r>
                          <w:rPr>
                            <w:rFonts w:ascii="宋体" w:hAnsi="宋体" w:cs="宋体" w:eastAsia="宋体" w:hint="default"/>
                            <w:sz w:val="18"/>
                            <w:szCs w:val="18"/>
                          </w:rPr>
                          <w:t>年度现金红利</w:t>
                        </w:r>
                        <w:r>
                          <w:rPr>
                            <w:rFonts w:ascii="宋体" w:hAnsi="宋体" w:cs="宋体" w:eastAsia="宋体" w:hint="default"/>
                            <w:spacing w:val="-43"/>
                            <w:sz w:val="18"/>
                            <w:szCs w:val="18"/>
                          </w:rPr>
                          <w:t> </w:t>
                        </w:r>
                        <w:r>
                          <w:rPr>
                            <w:rFonts w:ascii="宋体" w:hAnsi="宋体" w:cs="宋体" w:eastAsia="宋体" w:hint="default"/>
                            <w:sz w:val="18"/>
                            <w:szCs w:val="18"/>
                          </w:rPr>
                          <w:t>17,200,000.00</w:t>
                        </w:r>
                        <w:r>
                          <w:rPr>
                            <w:rFonts w:ascii="宋体" w:hAnsi="宋体" w:cs="宋体" w:eastAsia="宋体" w:hint="default"/>
                            <w:spacing w:val="-41"/>
                            <w:sz w:val="18"/>
                            <w:szCs w:val="18"/>
                          </w:rPr>
                          <w:t> </w:t>
                        </w:r>
                        <w:r>
                          <w:rPr>
                            <w:rFonts w:ascii="宋体" w:hAnsi="宋体" w:cs="宋体" w:eastAsia="宋体" w:hint="default"/>
                            <w:sz w:val="18"/>
                            <w:szCs w:val="18"/>
                          </w:rPr>
                          <w:t>元，截至</w:t>
                        </w:r>
                        <w:r>
                          <w:rPr>
                            <w:rFonts w:ascii="宋体" w:hAnsi="宋体" w:cs="宋体" w:eastAsia="宋体" w:hint="default"/>
                            <w:spacing w:val="-43"/>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日，母公司可供股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东分配的利润为</w:t>
                        </w:r>
                        <w:r>
                          <w:rPr>
                            <w:rFonts w:ascii="宋体" w:hAnsi="宋体" w:cs="宋体" w:eastAsia="宋体" w:hint="default"/>
                            <w:spacing w:val="-48"/>
                            <w:sz w:val="18"/>
                            <w:szCs w:val="18"/>
                          </w:rPr>
                          <w:t> </w:t>
                        </w:r>
                        <w:r>
                          <w:rPr>
                            <w:rFonts w:ascii="宋体" w:hAnsi="宋体" w:cs="宋体" w:eastAsia="宋体" w:hint="default"/>
                            <w:sz w:val="18"/>
                            <w:szCs w:val="18"/>
                          </w:rPr>
                          <w:t>87,109,673.83</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6"/>
                          <w:ind w:left="384" w:right="0"/>
                          <w:jc w:val="left"/>
                          <w:rPr>
                            <w:rFonts w:ascii="宋体" w:hAnsi="宋体" w:cs="宋体" w:eastAsia="宋体" w:hint="default"/>
                            <w:sz w:val="18"/>
                            <w:szCs w:val="18"/>
                          </w:rPr>
                        </w:pPr>
                        <w:r>
                          <w:rPr>
                            <w:rFonts w:ascii="宋体" w:hAnsi="宋体" w:cs="宋体" w:eastAsia="宋体" w:hint="default"/>
                            <w:sz w:val="18"/>
                            <w:szCs w:val="18"/>
                          </w:rPr>
                          <w:t>本年度利润分配预案为</w:t>
                        </w:r>
                        <w:r>
                          <w:rPr>
                            <w:rFonts w:ascii="宋体" w:hAnsi="宋体" w:cs="宋体" w:eastAsia="宋体" w:hint="default"/>
                            <w:spacing w:val="-82"/>
                            <w:sz w:val="18"/>
                            <w:szCs w:val="18"/>
                          </w:rPr>
                          <w:t>：</w:t>
                        </w: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日总股本</w:t>
                        </w:r>
                        <w:r>
                          <w:rPr>
                            <w:rFonts w:ascii="宋体" w:hAnsi="宋体" w:cs="宋体" w:eastAsia="宋体" w:hint="default"/>
                            <w:spacing w:val="-44"/>
                            <w:sz w:val="18"/>
                            <w:szCs w:val="18"/>
                          </w:rPr>
                          <w:t> </w:t>
                        </w:r>
                        <w:r>
                          <w:rPr>
                            <w:rFonts w:ascii="宋体" w:hAnsi="宋体" w:cs="宋体" w:eastAsia="宋体" w:hint="default"/>
                            <w:spacing w:val="-2"/>
                            <w:sz w:val="18"/>
                            <w:szCs w:val="18"/>
                          </w:rPr>
                          <w:t>4</w:t>
                        </w:r>
                        <w:r>
                          <w:rPr>
                            <w:rFonts w:ascii="宋体" w:hAnsi="宋体" w:cs="宋体" w:eastAsia="宋体" w:hint="default"/>
                            <w:spacing w:val="1"/>
                            <w:sz w:val="18"/>
                            <w:szCs w:val="18"/>
                          </w:rPr>
                          <w:t>3</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万股为基数</w:t>
                        </w:r>
                        <w:r>
                          <w:rPr>
                            <w:rFonts w:ascii="宋体" w:hAnsi="宋体" w:cs="宋体" w:eastAsia="宋体" w:hint="default"/>
                            <w:spacing w:val="-82"/>
                            <w:sz w:val="18"/>
                            <w:szCs w:val="18"/>
                          </w:rPr>
                          <w:t>，</w:t>
                        </w:r>
                        <w:r>
                          <w:rPr>
                            <w:rFonts w:ascii="宋体" w:hAnsi="宋体" w:cs="宋体" w:eastAsia="宋体" w:hint="default"/>
                            <w:sz w:val="18"/>
                            <w:szCs w:val="18"/>
                          </w:rPr>
                          <w:t>向全体股东实施每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元（含税），合计派发现金红利</w:t>
                        </w:r>
                        <w:r>
                          <w:rPr>
                            <w:rFonts w:ascii="宋体" w:hAnsi="宋体" w:cs="宋体" w:eastAsia="宋体" w:hint="default"/>
                            <w:spacing w:val="-48"/>
                            <w:sz w:val="18"/>
                            <w:szCs w:val="18"/>
                          </w:rPr>
                          <w:t> </w:t>
                        </w:r>
                        <w:r>
                          <w:rPr>
                            <w:rFonts w:ascii="宋体" w:hAnsi="宋体" w:cs="宋体" w:eastAsia="宋体" w:hint="default"/>
                            <w:sz w:val="18"/>
                            <w:szCs w:val="18"/>
                          </w:rPr>
                          <w:t>2,150,000</w:t>
                        </w:r>
                        <w:r>
                          <w:rPr>
                            <w:rFonts w:ascii="宋体" w:hAnsi="宋体" w:cs="宋体" w:eastAsia="宋体" w:hint="default"/>
                            <w:spacing w:val="-47"/>
                            <w:sz w:val="18"/>
                            <w:szCs w:val="18"/>
                          </w:rPr>
                          <w:t> </w:t>
                        </w:r>
                        <w:r>
                          <w:rPr>
                            <w:rFonts w:ascii="宋体" w:hAnsi="宋体" w:cs="宋体" w:eastAsia="宋体" w:hint="default"/>
                            <w:sz w:val="18"/>
                            <w:szCs w:val="18"/>
                          </w:rPr>
                          <w:t>元，剩余未分配利润结转至下一年度。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right="1713"/>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0" w:lineRule="auto" w:before="103"/>
        <w:ind w:right="93" w:firstLine="36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2012</w:t>
      </w:r>
      <w:r>
        <w:rPr>
          <w:spacing w:val="-4"/>
        </w:rPr>
        <w:t>年度利润分配方案为：以</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17,200</w:t>
      </w:r>
      <w:r>
        <w:rPr>
          <w:spacing w:val="-4"/>
        </w:rPr>
        <w:t>万股为基数，向全体股东实施每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1</w:t>
      </w:r>
      <w:r>
        <w:rPr>
          <w:spacing w:val="-4"/>
        </w:rPr>
        <w:t>元（含</w:t>
      </w:r>
      <w:r>
        <w:rPr/>
        <w:t> 税），合计派发现金红利</w:t>
      </w:r>
      <w:r>
        <w:rPr>
          <w:rFonts w:ascii="Times New Roman" w:hAnsi="Times New Roman" w:cs="Times New Roman" w:eastAsia="Times New Roman" w:hint="default"/>
        </w:rPr>
        <w:t>1,720</w:t>
      </w:r>
      <w:r>
        <w:rPr/>
        <w:t>万元，剩余未分配利润结转至下一年度。</w:t>
      </w:r>
    </w:p>
    <w:p>
      <w:pPr>
        <w:pStyle w:val="BodyText"/>
        <w:spacing w:line="297" w:lineRule="auto" w:before="53"/>
        <w:ind w:right="93" w:firstLine="360"/>
        <w:jc w:val="left"/>
      </w:pP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2013</w:t>
      </w:r>
      <w:r>
        <w:rPr>
          <w:spacing w:val="-4"/>
        </w:rPr>
        <w:t>年度利润分配方案为：以</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17,200</w:t>
      </w:r>
      <w:r>
        <w:rPr>
          <w:spacing w:val="-4"/>
        </w:rPr>
        <w:t>万股为基数，向全体股东实施每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1</w:t>
      </w:r>
      <w:r>
        <w:rPr>
          <w:spacing w:val="-4"/>
        </w:rPr>
        <w:t>元（含</w:t>
      </w:r>
      <w:r>
        <w:rPr/>
        <w:t> 税），合计派发现金红利</w:t>
      </w:r>
      <w:r>
        <w:rPr>
          <w:rFonts w:ascii="Times New Roman" w:hAnsi="Times New Roman" w:cs="Times New Roman" w:eastAsia="Times New Roman" w:hint="default"/>
        </w:rPr>
        <w:t>1,720</w:t>
      </w:r>
      <w:r>
        <w:rPr/>
        <w:t>万元，剩余未分配利润结转至下一年度。</w:t>
      </w:r>
    </w:p>
    <w:p>
      <w:pPr>
        <w:pStyle w:val="BodyText"/>
        <w:spacing w:line="300" w:lineRule="auto" w:before="55"/>
        <w:ind w:right="93" w:firstLine="360"/>
        <w:jc w:val="left"/>
      </w:pPr>
      <w:r>
        <w:rPr>
          <w:rFonts w:ascii="Times New Roman" w:hAnsi="Times New Roman" w:cs="Times New Roman" w:eastAsia="Times New Roman" w:hint="default"/>
        </w:rPr>
        <w:t>2014</w:t>
      </w:r>
      <w:r>
        <w:rPr/>
        <w:t>年半年度资本公积金转增股本方案为：以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17,200</w:t>
      </w:r>
      <w:r>
        <w:rPr/>
        <w:t>万股为基数向全体股东每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 计转增</w:t>
      </w:r>
      <w:r>
        <w:rPr>
          <w:rFonts w:ascii="Times New Roman" w:hAnsi="Times New Roman" w:cs="Times New Roman" w:eastAsia="Times New Roman" w:hint="default"/>
        </w:rPr>
        <w:t>25,800</w:t>
      </w:r>
      <w:r>
        <w:rPr/>
        <w:t>万股，转增后公司总股本将增加至</w:t>
      </w:r>
      <w:r>
        <w:rPr>
          <w:rFonts w:ascii="Times New Roman" w:hAnsi="Times New Roman" w:cs="Times New Roman" w:eastAsia="Times New Roman" w:hint="default"/>
        </w:rPr>
        <w:t>43,000</w:t>
      </w:r>
      <w:r>
        <w:rPr/>
        <w:t>万股。</w:t>
      </w:r>
    </w:p>
    <w:p>
      <w:pPr>
        <w:pStyle w:val="BodyText"/>
        <w:spacing w:line="300" w:lineRule="auto" w:before="53"/>
        <w:ind w:right="183"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年度利润分配预案为：以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43,000</w:t>
      </w:r>
      <w:r>
        <w:rPr/>
        <w:t>万股为基数，向全体股东实施每</w:t>
      </w:r>
      <w:r>
        <w:rPr>
          <w:rFonts w:ascii="宋体" w:hAnsi="宋体" w:cs="宋体" w:eastAsia="宋体" w:hint="default"/>
        </w:rPr>
        <w:t>10</w:t>
      </w:r>
      <w:r>
        <w:rPr/>
        <w:t>股派发现金红利</w:t>
      </w:r>
      <w:r>
        <w:rPr>
          <w:rFonts w:ascii="宋体" w:hAnsi="宋体" w:cs="宋体" w:eastAsia="宋体" w:hint="default"/>
        </w:rPr>
        <w:t>0.05 </w:t>
      </w:r>
      <w:r>
        <w:rPr/>
        <w:t>元（含税），合计派发现金红利</w:t>
      </w:r>
      <w:r>
        <w:rPr>
          <w:rFonts w:ascii="宋体" w:hAnsi="宋体" w:cs="宋体" w:eastAsia="宋体" w:hint="default"/>
        </w:rPr>
        <w:t>2,150,000</w:t>
      </w:r>
      <w:r>
        <w:rPr/>
        <w:t>元，剩余未分配利润结转至下一年度。</w:t>
      </w:r>
    </w:p>
    <w:p>
      <w:pPr>
        <w:pStyle w:val="BodyText"/>
        <w:spacing w:line="240" w:lineRule="auto" w:before="70"/>
        <w:ind w:right="1713"/>
        <w:jc w:val="left"/>
      </w:pPr>
      <w:r>
        <w:rPr/>
        <w:t>公司近三年现金分红情况表</w:t>
      </w:r>
    </w:p>
    <w:p>
      <w:pPr>
        <w:pStyle w:val="BodyText"/>
        <w:spacing w:line="240" w:lineRule="auto" w:before="117"/>
        <w:ind w:left="0" w:right="19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17"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1"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317"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46,904,070.65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40,405,024.15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42.57%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56,241,855.51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30.58%</w:t>
            </w:r>
          </w:p>
        </w:tc>
      </w:tr>
    </w:tbl>
    <w:p>
      <w:pPr>
        <w:pStyle w:val="BodyText"/>
        <w:spacing w:line="240" w:lineRule="auto" w:before="49"/>
        <w:ind w:right="1713"/>
        <w:jc w:val="left"/>
      </w:pPr>
      <w:r>
        <w:rPr/>
        <w:t>公司报告期内盈利且母公司未分配利润为正但未提出现金红利分配预案</w:t>
      </w:r>
    </w:p>
    <w:p>
      <w:pPr>
        <w:pStyle w:val="BodyText"/>
        <w:spacing w:line="240" w:lineRule="auto" w:before="115"/>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713"/>
        <w:jc w:val="left"/>
        <w:rPr>
          <w:b w:val="0"/>
          <w:bCs w:val="0"/>
        </w:rPr>
      </w:pPr>
      <w:r>
        <w:rPr/>
        <w:t>六、内幕信息知情人管理制度的建立和执行情况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513" w:right="93" w:hanging="60"/>
        <w:jc w:val="left"/>
        <w:rPr>
          <w:rFonts w:ascii="宋体" w:hAnsi="宋体" w:cs="宋体" w:eastAsia="宋体" w:hint="default"/>
          <w:sz w:val="18"/>
          <w:szCs w:val="18"/>
        </w:rPr>
      </w:pPr>
      <w:r>
        <w:rPr>
          <w:rFonts w:ascii="宋体" w:hAnsi="宋体" w:cs="宋体" w:eastAsia="宋体" w:hint="default"/>
          <w:b/>
          <w:bCs/>
          <w:sz w:val="18"/>
          <w:szCs w:val="18"/>
        </w:rPr>
        <w:t>（一）内幕信息知情人管理制度的建立</w:t>
      </w:r>
      <w:r>
        <w:rPr>
          <w:rFonts w:ascii="宋体" w:hAnsi="宋体" w:cs="宋体" w:eastAsia="宋体" w:hint="default"/>
          <w:b/>
          <w:bCs/>
          <w:w w:val="99"/>
          <w:sz w:val="18"/>
          <w:szCs w:val="18"/>
        </w:rPr>
        <w:t> </w:t>
      </w:r>
      <w:r>
        <w:rPr>
          <w:rFonts w:ascii="宋体" w:hAnsi="宋体" w:cs="宋体" w:eastAsia="宋体" w:hint="default"/>
          <w:spacing w:val="-2"/>
          <w:sz w:val="18"/>
          <w:szCs w:val="18"/>
        </w:rPr>
        <w:t>为进一步规范公司内幕信息管理，加强内幕信息保密工作，维护公司信息披露的公开、公平、公正原则，保护广大投资</w:t>
      </w:r>
    </w:p>
    <w:p>
      <w:pPr>
        <w:pStyle w:val="BodyText"/>
        <w:spacing w:line="314" w:lineRule="auto" w:before="19"/>
        <w:ind w:right="93"/>
        <w:jc w:val="left"/>
      </w:pPr>
      <w:r>
        <w:rPr/>
        <w:t>者的合法权益，</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日，公司第一届董事会第七次会议审议通过了《内幕信息知情人登记制度》。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w:t>
      </w:r>
      <w:r>
        <w:rPr>
          <w:spacing w:val="-3"/>
        </w:rPr>
        <w:t> </w:t>
      </w:r>
      <w:r>
        <w:rPr>
          <w:spacing w:val="-2"/>
        </w:rPr>
        <w:t>根据《深圳证券交易所创业板股票上市规则》、《深圳证券交易所创业板上市公司规范运作指引》、《关于上市公司建立内</w:t>
      </w:r>
      <w:r>
        <w:rPr>
          <w:spacing w:val="-69"/>
        </w:rPr>
        <w:t> </w:t>
      </w:r>
      <w:r>
        <w:rPr>
          <w:spacing w:val="-69"/>
        </w:rPr>
      </w:r>
      <w:r>
        <w:rPr>
          <w:spacing w:val="-2"/>
        </w:rPr>
        <w:t>幕信息知情人登记管理制度的规定》等有关法律、法规、规范性文件对创业板上市公司的规定和要求，公司第一届董事会第</w:t>
      </w:r>
      <w:r>
        <w:rPr>
          <w:spacing w:val="-66"/>
        </w:rPr>
        <w:t> </w:t>
      </w:r>
      <w:r>
        <w:rPr>
          <w:spacing w:val="-66"/>
        </w:rPr>
      </w:r>
      <w:r>
        <w:rPr>
          <w:spacing w:val="-2"/>
        </w:rPr>
        <w:t>二十三次会议审议通过了《关于修订〈内幕信息知情人登记管理制度〉的议案》，同意将《内幕信息知情人登记制度》修改</w:t>
      </w:r>
      <w:r>
        <w:rPr>
          <w:spacing w:val="-71"/>
        </w:rPr>
        <w:t> </w:t>
      </w:r>
      <w:r>
        <w:rPr>
          <w:spacing w:val="-71"/>
        </w:rPr>
      </w:r>
      <w:r>
        <w:rPr/>
        <w:t>为《内幕信息知情人登记管理制度》并作相应修订。</w:t>
      </w:r>
    </w:p>
    <w:p>
      <w:pPr>
        <w:pStyle w:val="Heading4"/>
        <w:spacing w:line="240" w:lineRule="auto" w:before="20"/>
        <w:ind w:left="453" w:right="1713"/>
        <w:jc w:val="left"/>
        <w:rPr>
          <w:b w:val="0"/>
          <w:bCs w:val="0"/>
        </w:rPr>
      </w:pPr>
      <w:r>
        <w:rPr/>
        <w:t>（二）内幕信息知情人管理制度的执行情况</w:t>
      </w:r>
      <w:r>
        <w:rPr>
          <w:b w:val="0"/>
          <w:bCs w:val="0"/>
        </w:rPr>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b/>
          <w:bCs/>
          <w:sz w:val="25"/>
          <w:szCs w:val="25"/>
        </w:rPr>
      </w:pPr>
      <w:r>
        <w:rPr/>
        <w:pict>
          <v:shape style="position:absolute;margin-left:397.993011pt;margin-top:534.309998pt;width:135.9pt;height:15.6pt;mso-position-horizontal-relative:page;mso-position-vertical-relative:page;z-index:-832456" type="#_x0000_t202" filled="false" stroked="false">
            <v:textbox inset="0,0,0,0">
              <w:txbxContent>
                <w:p>
                  <w:pPr>
                    <w:pStyle w:val="BodyText"/>
                    <w:spacing w:line="240" w:lineRule="auto" w:before="10"/>
                    <w:ind w:left="0" w:right="0"/>
                    <w:jc w:val="left"/>
                  </w:pPr>
                  <w:r>
                    <w:rPr/>
                    <w:t>陈远红、</w:t>
                  </w:r>
                </w:p>
              </w:txbxContent>
            </v:textbox>
            <w10:wrap type="none"/>
          </v:shape>
        </w:pict>
      </w:r>
      <w:r>
        <w:rPr/>
        <w:pict>
          <v:shape style="position:absolute;margin-left:397.993011pt;margin-top:679.299988pt;width:135.9pt;height:15.6pt;mso-position-horizontal-relative:page;mso-position-vertical-relative:page;z-index:-832432" type="#_x0000_t202" filled="false" stroked="false">
            <v:textbox inset="0,0,0,0">
              <w:txbxContent>
                <w:p>
                  <w:pPr>
                    <w:pStyle w:val="BodyText"/>
                    <w:spacing w:line="240" w:lineRule="auto" w:before="8"/>
                    <w:ind w:left="0" w:right="0"/>
                    <w:jc w:val="left"/>
                  </w:pPr>
                  <w:r>
                    <w:rPr/>
                    <w:t>王懿超；</w:t>
                  </w:r>
                </w:p>
              </w:txbxContent>
            </v:textbox>
            <w10:wrap type="none"/>
          </v:shape>
        </w:pict>
      </w:r>
      <w:r>
        <w:rPr/>
        <w:pict>
          <v:shape style="position:absolute;margin-left:397.993011pt;margin-top:694.899963pt;width:135.9pt;height:15.6pt;mso-position-horizontal-relative:page;mso-position-vertical-relative:page;z-index:-832408" type="#_x0000_t202" filled="false" stroked="false">
            <v:textbox inset="0,0,0,0">
              <w:txbxContent>
                <w:p>
                  <w:pPr>
                    <w:pStyle w:val="BodyText"/>
                    <w:spacing w:line="240" w:lineRule="auto" w:before="8"/>
                    <w:ind w:left="0" w:right="0"/>
                    <w:jc w:val="left"/>
                  </w:pPr>
                  <w:r>
                    <w:rPr/>
                    <w:t>卞大利；</w:t>
                  </w:r>
                </w:p>
              </w:txbxContent>
            </v:textbox>
            <w10:wrap type="none"/>
          </v:shape>
        </w:pict>
      </w:r>
      <w:r>
        <w:rPr/>
        <w:pict>
          <v:group style="position:absolute;margin-left:432.339996pt;margin-top:534.309998pt;width:101.55pt;height:15.6pt;mso-position-horizontal-relative:page;mso-position-vertical-relative:page;z-index:-832384" coordorigin="8647,10686" coordsize="2031,312">
            <v:shape style="position:absolute;left:8647;top:10686;width:2031;height:312" coordorigin="8647,10686" coordsize="2031,312" path="m8647,10998l10678,10998,10678,10686,8647,10686,8647,10998xe" filled="true" fillcolor="#ffffff" stroked="false">
              <v:path arrowok="t"/>
              <v:fill type="solid"/>
            </v:shape>
            <w10:wrap type="none"/>
          </v:group>
        </w:pict>
      </w:r>
      <w:r>
        <w:rPr/>
        <w:pict>
          <v:group style="position:absolute;margin-left:432.339996pt;margin-top:679.299988pt;width:101.55pt;height:31.2pt;mso-position-horizontal-relative:page;mso-position-vertical-relative:page;z-index:-832360" coordorigin="8647,13586" coordsize="2031,624">
            <v:group style="position:absolute;left:8647;top:13586;width:2031;height:312" coordorigin="8647,13586" coordsize="2031,312">
              <v:shape style="position:absolute;left:8647;top:13586;width:2031;height:312" coordorigin="8647,13586" coordsize="2031,312" path="m8647,13898l10678,13898,10678,13586,8647,13586,8647,13898xe" filled="true" fillcolor="#ffffff" stroked="false">
                <v:path arrowok="t"/>
                <v:fill type="solid"/>
              </v:shape>
            </v:group>
            <v:group style="position:absolute;left:8647;top:13898;width:2031;height:312" coordorigin="8647,13898" coordsize="2031,312">
              <v:shape style="position:absolute;left:8647;top:13898;width:2031;height:312" coordorigin="8647,13898" coordsize="2031,312" path="m8647,14210l10678,14210,10678,13898,8647,13898,8647,14210xe" filled="true" fillcolor="#ffffff" stroked="false">
                <v:path arrowok="t"/>
                <v:fill type="solid"/>
              </v:shape>
            </v:group>
            <w10:wrap type="none"/>
          </v:group>
        </w:pict>
      </w:r>
    </w:p>
    <w:p>
      <w:pPr>
        <w:pStyle w:val="BodyText"/>
        <w:spacing w:line="319" w:lineRule="auto" w:before="44"/>
        <w:ind w:right="192" w:firstLine="300"/>
        <w:jc w:val="both"/>
      </w:pPr>
      <w:r>
        <w:rPr>
          <w:spacing w:val="-1"/>
        </w:rPr>
        <w:t>报告期内，公司严格执行内幕信息知情人登记管理制度，特别是在可能影响公司股价的重大敏感信息披露前，一方面控</w:t>
      </w:r>
      <w:r>
        <w:rPr/>
        <w:t> </w:t>
      </w:r>
      <w:r>
        <w:rPr>
          <w:spacing w:val="-2"/>
        </w:rPr>
        <w:t>制内幕信息知情人范围，对外报送涉及上市公司信息的报送时间均晚于公司业绩快报或公告的披露时间，另一方面积极展开</w:t>
      </w:r>
      <w:r>
        <w:rPr>
          <w:spacing w:val="-64"/>
        </w:rPr>
        <w:t> </w:t>
      </w:r>
      <w:r>
        <w:rPr>
          <w:spacing w:val="-64"/>
        </w:rPr>
      </w:r>
      <w:r>
        <w:rPr/>
        <w:t>自查活动，目前未发现有内幕信息知情人在敏感期买卖公司股票的情况。</w:t>
      </w:r>
    </w:p>
    <w:p>
      <w:pPr>
        <w:pStyle w:val="BodyText"/>
        <w:spacing w:line="300" w:lineRule="auto" w:before="17"/>
        <w:ind w:left="453" w:right="93"/>
        <w:jc w:val="left"/>
      </w:pPr>
      <w:r>
        <w:rPr>
          <w:rFonts w:ascii="Times New Roman" w:hAnsi="Times New Roman" w:cs="Times New Roman" w:eastAsia="Times New Roman" w:hint="default"/>
        </w:rPr>
        <w:t>1</w:t>
      </w:r>
      <w:r>
        <w:rPr/>
        <w:t>、定期报告披露期间的信息保密工作 </w:t>
      </w:r>
      <w:r>
        <w:rPr>
          <w:spacing w:val="-1"/>
        </w:rPr>
        <w:t>报告期内，公司严格执行内幕信息保密制度，严格规范信息传递流程，在定期报告披露期间，对于未公开信息，公司董</w:t>
      </w:r>
    </w:p>
    <w:p>
      <w:pPr>
        <w:pStyle w:val="BodyText"/>
        <w:spacing w:line="316" w:lineRule="auto" w:before="31"/>
        <w:ind w:right="190"/>
        <w:jc w:val="both"/>
      </w:pPr>
      <w:r>
        <w:rPr>
          <w:spacing w:val="-2"/>
        </w:rPr>
        <w:t>事会办公室都会严格控制知情人范围并组织相关内幕信息知情人填写《内幕信息知情人登记表》，如实、完整记录上述信息</w:t>
      </w:r>
      <w:r>
        <w:rPr>
          <w:spacing w:val="-66"/>
        </w:rPr>
        <w:t> </w:t>
      </w:r>
      <w:r>
        <w:rPr>
          <w:spacing w:val="-66"/>
        </w:rPr>
      </w:r>
      <w:r>
        <w:rPr>
          <w:spacing w:val="-2"/>
        </w:rPr>
        <w:t>在公开前的所有内幕信息知情人名单，以及知情人知悉内幕信息的时间。经公司董事会办公室核实无误后，按照相关法规规</w:t>
      </w:r>
      <w:r>
        <w:rPr>
          <w:spacing w:val="-63"/>
        </w:rPr>
        <w:t> </w:t>
      </w:r>
      <w:r>
        <w:rPr>
          <w:spacing w:val="-63"/>
        </w:rPr>
      </w:r>
      <w:r>
        <w:rPr/>
        <w:t>定在向深交所和厦门证监局报送定期报告相关资料的同时报备内幕信息知情人登记情况。</w:t>
      </w:r>
    </w:p>
    <w:p>
      <w:pPr>
        <w:pStyle w:val="BodyText"/>
        <w:spacing w:line="300" w:lineRule="auto" w:before="19"/>
        <w:ind w:left="453" w:right="93"/>
        <w:jc w:val="left"/>
      </w:pPr>
      <w:r>
        <w:rPr>
          <w:rFonts w:ascii="Times New Roman" w:hAnsi="Times New Roman" w:cs="Times New Roman" w:eastAsia="Times New Roman" w:hint="default"/>
        </w:rPr>
        <w:t>2</w:t>
      </w:r>
      <w:r>
        <w:rPr/>
        <w:t>、投资者调研期间的信息保密工作 </w:t>
      </w:r>
      <w:r>
        <w:rPr>
          <w:spacing w:val="-1"/>
        </w:rPr>
        <w:t>在定期报告及重大事项披露期间，公司尽量避免接待投资者调研，努力做好定期报告及重大事项披露期间的信息保密工</w:t>
      </w:r>
    </w:p>
    <w:p>
      <w:pPr>
        <w:pStyle w:val="BodyText"/>
        <w:spacing w:line="319" w:lineRule="auto" w:before="31"/>
        <w:ind w:right="93"/>
        <w:jc w:val="left"/>
      </w:pPr>
      <w:r>
        <w:rPr>
          <w:spacing w:val="-2"/>
        </w:rPr>
        <w:t>作。在日常接待投资者调研时，公司董事会办公室负责履行相关的信息保密工作程序。在进行调研前，要求机构或个人投资</w:t>
      </w:r>
      <w:r>
        <w:rPr>
          <w:spacing w:val="-63"/>
        </w:rPr>
        <w:t> </w:t>
      </w:r>
      <w:r>
        <w:rPr>
          <w:spacing w:val="-63"/>
        </w:rPr>
      </w:r>
      <w:r>
        <w:rPr/>
        <w:t>者签署投资者调研承诺书，要求其在对外出具报告前知会公司董事会办公室，并保证相关内容客观、真实。在调研过程中， 董事会办公室人员认真做好相关调研记录，按照相关法规规定向深交所报备并在投资者互动平台披露调研记录。</w:t>
      </w:r>
    </w:p>
    <w:p>
      <w:pPr>
        <w:pStyle w:val="BodyText"/>
        <w:spacing w:line="300" w:lineRule="auto" w:before="17"/>
        <w:ind w:left="453" w:right="253"/>
        <w:jc w:val="left"/>
      </w:pPr>
      <w:r>
        <w:rPr>
          <w:rFonts w:ascii="Times New Roman" w:hAnsi="Times New Roman" w:cs="Times New Roman" w:eastAsia="Times New Roman" w:hint="default"/>
        </w:rPr>
        <w:t>3</w:t>
      </w:r>
      <w:r>
        <w:rPr/>
        <w:t>、其他重大事件的信息保密工作 在其他重大事项未披露前，公司及相关信息披露义务人采取保密措施，以保证信息处于可控范围。根据内幕信息</w:t>
      </w:r>
      <w:r>
        <w:rPr>
          <w:rFonts w:ascii="Times New Roman" w:hAnsi="Times New Roman" w:cs="Times New Roman" w:eastAsia="Times New Roman" w:hint="default"/>
        </w:rPr>
        <w:t>“</w:t>
      </w:r>
      <w:r>
        <w:rPr/>
        <w:t>一事</w:t>
      </w:r>
    </w:p>
    <w:p>
      <w:pPr>
        <w:pStyle w:val="BodyText"/>
        <w:spacing w:line="240" w:lineRule="auto" w:before="13"/>
        <w:ind w:right="1713"/>
        <w:jc w:val="left"/>
      </w:pPr>
      <w:r>
        <w:rPr/>
        <w:t>一报</w:t>
      </w:r>
      <w:r>
        <w:rPr>
          <w:rFonts w:ascii="Times New Roman" w:hAnsi="Times New Roman" w:cs="Times New Roman" w:eastAsia="Times New Roman" w:hint="default"/>
        </w:rPr>
        <w:t>”</w:t>
      </w:r>
      <w:r>
        <w:rPr/>
        <w:t>的原则，报备内幕信息知情人登记表。</w:t>
      </w:r>
    </w:p>
    <w:p>
      <w:pPr>
        <w:spacing w:line="360" w:lineRule="auto" w:before="63"/>
        <w:ind w:left="513" w:right="93" w:hanging="60"/>
        <w:jc w:val="left"/>
        <w:rPr>
          <w:rFonts w:ascii="宋体" w:hAnsi="宋体" w:cs="宋体" w:eastAsia="宋体" w:hint="default"/>
          <w:sz w:val="18"/>
          <w:szCs w:val="18"/>
        </w:rPr>
      </w:pPr>
      <w:r>
        <w:rPr>
          <w:rFonts w:ascii="宋体" w:hAnsi="宋体" w:cs="宋体" w:eastAsia="宋体" w:hint="default"/>
          <w:b/>
          <w:bCs/>
          <w:sz w:val="18"/>
          <w:szCs w:val="18"/>
        </w:rPr>
        <w:t>（三）报告期内自查内幕信息知情人涉嫌内幕交易以及监管部门的查处和整改情况</w:t>
      </w:r>
      <w:r>
        <w:rPr>
          <w:rFonts w:ascii="宋体" w:hAnsi="宋体" w:cs="宋体" w:eastAsia="宋体" w:hint="default"/>
          <w:b/>
          <w:bCs/>
          <w:w w:val="99"/>
          <w:sz w:val="18"/>
          <w:szCs w:val="18"/>
        </w:rPr>
        <w:t> </w:t>
      </w:r>
      <w:r>
        <w:rPr>
          <w:rFonts w:ascii="宋体" w:hAnsi="宋体" w:cs="宋体" w:eastAsia="宋体" w:hint="default"/>
          <w:spacing w:val="-4"/>
          <w:sz w:val="18"/>
          <w:szCs w:val="18"/>
        </w:rPr>
        <w:t>报告期内，公司董事、监事和高级管理人员以及其他相关内幕信息知情人严格遵守了《内幕信息知情人登记管理制度》，</w:t>
      </w:r>
    </w:p>
    <w:p>
      <w:pPr>
        <w:pStyle w:val="BodyText"/>
        <w:spacing w:line="222" w:lineRule="exact"/>
        <w:ind w:right="93"/>
        <w:jc w:val="left"/>
      </w:pPr>
      <w:r>
        <w:rPr/>
        <w:t>未发现有内幕信息知情人利用内幕信息买卖本公司股份的情况。报告期内公司未发生受到监管部门查处和整改的情况。</w:t>
      </w:r>
    </w:p>
    <w:p>
      <w:pPr>
        <w:spacing w:line="240" w:lineRule="auto" w:before="1"/>
        <w:rPr>
          <w:rFonts w:ascii="宋体" w:hAnsi="宋体" w:cs="宋体" w:eastAsia="宋体" w:hint="default"/>
          <w:sz w:val="25"/>
          <w:szCs w:val="25"/>
        </w:rPr>
      </w:pPr>
    </w:p>
    <w:p>
      <w:pPr>
        <w:pStyle w:val="Heading2"/>
        <w:spacing w:line="240" w:lineRule="auto"/>
        <w:ind w:right="1713"/>
        <w:jc w:val="left"/>
        <w:rPr>
          <w:b w:val="0"/>
          <w:bCs w:val="0"/>
        </w:rPr>
      </w:pPr>
      <w:r>
        <w:rPr/>
        <w:t>七、报告期内接待调研、沟通、采访等活动登记表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5"/>
        <w:gridCol w:w="1496"/>
        <w:gridCol w:w="1498"/>
        <w:gridCol w:w="1498"/>
        <w:gridCol w:w="1510"/>
        <w:gridCol w:w="2074"/>
      </w:tblGrid>
      <w:tr>
        <w:trPr>
          <w:trHeight w:val="713" w:hRule="exact"/>
        </w:trPr>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7"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2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1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4" w:right="27"/>
              <w:jc w:val="left"/>
              <w:rPr>
                <w:rFonts w:ascii="宋体" w:hAnsi="宋体" w:cs="宋体" w:eastAsia="宋体" w:hint="default"/>
                <w:sz w:val="18"/>
                <w:szCs w:val="18"/>
              </w:rPr>
            </w:pPr>
            <w:r>
              <w:rPr>
                <w:rFonts w:ascii="宋体" w:hAnsi="宋体" w:cs="宋体" w:eastAsia="宋体" w:hint="default"/>
                <w:sz w:val="18"/>
                <w:szCs w:val="18"/>
              </w:rPr>
              <w:t>齐鲁证券： 王永辉；中航国际 投资：苏国金</w:t>
            </w:r>
          </w:p>
        </w:tc>
        <w:tc>
          <w:tcPr>
            <w:tcW w:w="2074" w:type="dxa"/>
            <w:tcBorders>
              <w:top w:val="single" w:sz="4" w:space="0" w:color="000000"/>
              <w:left w:val="single" w:sz="10" w:space="0" w:color="FFFFFF"/>
              <w:bottom w:val="single" w:sz="4" w:space="0" w:color="000000"/>
              <w:right w:val="single" w:sz="4" w:space="0" w:color="000000"/>
            </w:tcBorders>
          </w:tcPr>
          <w:p>
            <w:pPr>
              <w:pStyle w:val="TableParagraph"/>
              <w:spacing w:line="304" w:lineRule="auto" w:before="51"/>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介绍公司在各</w:t>
            </w:r>
            <w:r>
              <w:rPr>
                <w:rFonts w:ascii="宋体" w:hAnsi="宋体" w:cs="宋体" w:eastAsia="宋体" w:hint="default"/>
                <w:spacing w:val="-82"/>
                <w:sz w:val="18"/>
                <w:szCs w:val="18"/>
              </w:rPr>
              <w:t> </w:t>
            </w:r>
            <w:r>
              <w:rPr>
                <w:rFonts w:ascii="宋体" w:hAnsi="宋体" w:cs="宋体" w:eastAsia="宋体" w:hint="default"/>
                <w:sz w:val="18"/>
                <w:szCs w:val="18"/>
              </w:rPr>
              <w:t>省社会保障卡业务的具体 </w:t>
            </w:r>
            <w:r>
              <w:rPr>
                <w:rFonts w:ascii="宋体" w:hAnsi="宋体" w:cs="宋体" w:eastAsia="宋体" w:hint="default"/>
                <w:spacing w:val="-7"/>
                <w:sz w:val="18"/>
                <w:szCs w:val="18"/>
              </w:rPr>
              <w:t>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介绍公司自助一体</w:t>
            </w:r>
            <w:r>
              <w:rPr>
                <w:rFonts w:ascii="宋体" w:hAnsi="宋体" w:cs="宋体" w:eastAsia="宋体" w:hint="default"/>
                <w:spacing w:val="-82"/>
                <w:sz w:val="18"/>
                <w:szCs w:val="18"/>
              </w:rPr>
              <w:t> </w:t>
            </w:r>
            <w:r>
              <w:rPr>
                <w:rFonts w:ascii="宋体" w:hAnsi="宋体" w:cs="宋体" w:eastAsia="宋体" w:hint="default"/>
                <w:spacing w:val="-7"/>
                <w:sz w:val="18"/>
                <w:szCs w:val="18"/>
              </w:rPr>
              <w:t>机的情况；</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公司的民生云</w:t>
            </w:r>
            <w:r>
              <w:rPr>
                <w:rFonts w:ascii="宋体" w:hAnsi="宋体" w:cs="宋体" w:eastAsia="宋体" w:hint="default"/>
                <w:spacing w:val="-82"/>
                <w:sz w:val="18"/>
                <w:szCs w:val="18"/>
              </w:rPr>
              <w:t> </w:t>
            </w:r>
            <w:r>
              <w:rPr>
                <w:rFonts w:ascii="宋体" w:hAnsi="宋体" w:cs="宋体" w:eastAsia="宋体" w:hint="default"/>
                <w:spacing w:val="-7"/>
                <w:sz w:val="18"/>
                <w:szCs w:val="18"/>
              </w:rPr>
              <w:t>服务平台；</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民生服务试点</w:t>
            </w:r>
            <w:r>
              <w:rPr>
                <w:rFonts w:ascii="宋体" w:hAnsi="宋体" w:cs="宋体" w:eastAsia="宋体" w:hint="default"/>
                <w:spacing w:val="-82"/>
                <w:sz w:val="18"/>
                <w:szCs w:val="18"/>
              </w:rPr>
              <w:t> </w:t>
            </w:r>
            <w:r>
              <w:rPr>
                <w:rFonts w:ascii="宋体" w:hAnsi="宋体" w:cs="宋体" w:eastAsia="宋体" w:hint="default"/>
                <w:sz w:val="18"/>
                <w:szCs w:val="18"/>
              </w:rPr>
              <w:t>城市的情况；</w:t>
            </w:r>
            <w:r>
              <w:rPr>
                <w:rFonts w:ascii="Times New Roman" w:hAnsi="Times New Roman" w:cs="Times New Roman" w:eastAsia="Times New Roman" w:hint="default"/>
                <w:sz w:val="18"/>
                <w:szCs w:val="18"/>
              </w:rPr>
              <w:t>6.</w:t>
            </w:r>
            <w:r>
              <w:rPr>
                <w:rFonts w:ascii="宋体" w:hAnsi="宋体" w:cs="宋体" w:eastAsia="宋体" w:hint="default"/>
                <w:sz w:val="18"/>
                <w:szCs w:val="18"/>
              </w:rPr>
              <w:t>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IBM </w:t>
            </w:r>
            <w:r>
              <w:rPr>
                <w:rFonts w:ascii="宋体" w:hAnsi="宋体" w:cs="宋体" w:eastAsia="宋体" w:hint="default"/>
                <w:sz w:val="18"/>
                <w:szCs w:val="18"/>
              </w:rPr>
              <w:t>合 作的健康云创新中心的进 展；</w:t>
            </w:r>
            <w:r>
              <w:rPr>
                <w:rFonts w:ascii="Times New Roman" w:hAnsi="Times New Roman" w:cs="Times New Roman" w:eastAsia="Times New Roman" w:hint="default"/>
                <w:sz w:val="18"/>
                <w:szCs w:val="18"/>
              </w:rPr>
              <w:t>7.2013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年管理费用上 涨的原因以及</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公司的 业务规划情况。</w:t>
            </w:r>
          </w:p>
        </w:tc>
      </w:tr>
      <w:tr>
        <w:trPr>
          <w:trHeight w:val="227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1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z w:val="18"/>
                <w:szCs w:val="18"/>
              </w:rPr>
              <w:t>国泰基金： 恒远资本： 东方证券：蒲俊懿</w:t>
            </w:r>
          </w:p>
        </w:tc>
        <w:tc>
          <w:tcPr>
            <w:tcW w:w="2074" w:type="dxa"/>
            <w:tcBorders>
              <w:top w:val="single" w:sz="4" w:space="0" w:color="000000"/>
              <w:left w:val="single" w:sz="10" w:space="0" w:color="FFFFFF"/>
              <w:bottom w:val="single" w:sz="4" w:space="0" w:color="000000"/>
              <w:right w:val="single" w:sz="4" w:space="0" w:color="000000"/>
            </w:tcBorders>
          </w:tcPr>
          <w:p>
            <w:pPr>
              <w:pStyle w:val="TableParagraph"/>
              <w:spacing w:line="302" w:lineRule="auto" w:before="49"/>
              <w:ind w:left="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年度与同行相比公司 </w:t>
            </w:r>
            <w:r>
              <w:rPr>
                <w:rFonts w:ascii="宋体" w:hAnsi="宋体" w:cs="宋体" w:eastAsia="宋体" w:hint="default"/>
                <w:spacing w:val="-7"/>
                <w:sz w:val="18"/>
                <w:szCs w:val="18"/>
              </w:rPr>
              <w:t>的业绩表现；</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公司与同行</w:t>
            </w:r>
            <w:r>
              <w:rPr>
                <w:rFonts w:ascii="宋体" w:hAnsi="宋体" w:cs="宋体" w:eastAsia="宋体" w:hint="default"/>
                <w:spacing w:val="-82"/>
                <w:sz w:val="18"/>
                <w:szCs w:val="18"/>
              </w:rPr>
              <w:t> </w:t>
            </w:r>
            <w:r>
              <w:rPr>
                <w:rFonts w:ascii="宋体" w:hAnsi="宋体" w:cs="宋体" w:eastAsia="宋体" w:hint="default"/>
                <w:sz w:val="18"/>
                <w:szCs w:val="18"/>
              </w:rPr>
              <w:t>相比，在发展思路上的差 </w:t>
            </w:r>
            <w:r>
              <w:rPr>
                <w:rFonts w:ascii="宋体" w:hAnsi="宋体" w:cs="宋体" w:eastAsia="宋体" w:hint="default"/>
                <w:spacing w:val="-7"/>
                <w:sz w:val="18"/>
                <w:szCs w:val="18"/>
              </w:rPr>
              <w:t>异；</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介绍公司的民生信息</w:t>
            </w:r>
            <w:r>
              <w:rPr>
                <w:rFonts w:ascii="宋体" w:hAnsi="宋体" w:cs="宋体" w:eastAsia="宋体" w:hint="default"/>
                <w:spacing w:val="-82"/>
                <w:sz w:val="18"/>
                <w:szCs w:val="18"/>
              </w:rPr>
              <w:t> </w:t>
            </w:r>
            <w:r>
              <w:rPr>
                <w:rFonts w:ascii="宋体" w:hAnsi="宋体" w:cs="宋体" w:eastAsia="宋体" w:hint="default"/>
                <w:sz w:val="18"/>
                <w:szCs w:val="18"/>
              </w:rPr>
              <w:t>服务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健康云创新中心的 </w:t>
            </w:r>
            <w:r>
              <w:rPr>
                <w:rFonts w:ascii="宋体" w:hAnsi="宋体" w:cs="宋体" w:eastAsia="宋体" w:hint="default"/>
                <w:spacing w:val="-7"/>
                <w:sz w:val="18"/>
                <w:szCs w:val="18"/>
              </w:rPr>
              <w:t>进展；</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自助一体机的预计</w:t>
            </w:r>
            <w:r>
              <w:rPr>
                <w:rFonts w:ascii="宋体" w:hAnsi="宋体" w:cs="宋体" w:eastAsia="宋体" w:hint="default"/>
                <w:spacing w:val="-82"/>
                <w:sz w:val="18"/>
                <w:szCs w:val="18"/>
              </w:rPr>
              <w:t> </w:t>
            </w:r>
            <w:r>
              <w:rPr>
                <w:rFonts w:ascii="宋体" w:hAnsi="宋体" w:cs="宋体" w:eastAsia="宋体" w:hint="default"/>
                <w:sz w:val="18"/>
                <w:szCs w:val="18"/>
              </w:rPr>
              <w:t>销售如何。</w:t>
            </w:r>
          </w:p>
        </w:tc>
      </w:tr>
    </w:tbl>
    <w:p>
      <w:pPr>
        <w:spacing w:after="0" w:line="302" w:lineRule="auto"/>
        <w:jc w:val="both"/>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414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22"/>
              <w:jc w:val="left"/>
              <w:rPr>
                <w:rFonts w:ascii="宋体" w:hAnsi="宋体" w:cs="宋体" w:eastAsia="宋体" w:hint="default"/>
                <w:sz w:val="18"/>
                <w:szCs w:val="18"/>
              </w:rPr>
            </w:pPr>
            <w:r>
              <w:rPr>
                <w:rFonts w:ascii="宋体" w:hAnsi="宋体" w:cs="宋体" w:eastAsia="宋体" w:hint="default"/>
                <w:sz w:val="18"/>
                <w:szCs w:val="18"/>
              </w:rPr>
              <w:t>西南证券：纵菲； 国投瑞银：刘智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主要业务；</w:t>
            </w:r>
            <w:r>
              <w:rPr>
                <w:rFonts w:ascii="Times New Roman" w:hAnsi="Times New Roman" w:cs="Times New Roman" w:eastAsia="Times New Roman" w:hint="default"/>
                <w:sz w:val="18"/>
                <w:szCs w:val="18"/>
              </w:rPr>
              <w:t>2.</w:t>
            </w:r>
            <w:r>
              <w:rPr>
                <w:rFonts w:ascii="宋体" w:hAnsi="宋体" w:cs="宋体" w:eastAsia="宋体" w:hint="default"/>
                <w:sz w:val="18"/>
                <w:szCs w:val="18"/>
              </w:rPr>
              <w:t>介绍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季度整体的业</w:t>
            </w:r>
          </w:p>
          <w:p>
            <w:pPr>
              <w:pStyle w:val="TableParagraph"/>
              <w:spacing w:line="304"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绩情况；</w:t>
            </w:r>
            <w:r>
              <w:rPr>
                <w:rFonts w:ascii="Times New Roman" w:hAnsi="Times New Roman" w:cs="Times New Roman" w:eastAsia="Times New Roman" w:hint="default"/>
                <w:sz w:val="18"/>
                <w:szCs w:val="18"/>
              </w:rPr>
              <w:t>3.</w:t>
            </w:r>
            <w:r>
              <w:rPr>
                <w:rFonts w:ascii="宋体" w:hAnsi="宋体" w:cs="宋体" w:eastAsia="宋体" w:hint="default"/>
                <w:sz w:val="18"/>
                <w:szCs w:val="18"/>
              </w:rPr>
              <w:t>介绍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 </w:t>
            </w:r>
            <w:r>
              <w:rPr>
                <w:rFonts w:ascii="宋体" w:hAnsi="宋体" w:cs="宋体" w:eastAsia="宋体" w:hint="default"/>
                <w:spacing w:val="-7"/>
                <w:sz w:val="18"/>
                <w:szCs w:val="18"/>
              </w:rPr>
              <w:t>规划及经营思路；</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介绍制</w:t>
            </w:r>
            <w:r>
              <w:rPr>
                <w:rFonts w:ascii="宋体" w:hAnsi="宋体" w:cs="宋体" w:eastAsia="宋体" w:hint="default"/>
                <w:spacing w:val="-82"/>
                <w:sz w:val="18"/>
                <w:szCs w:val="18"/>
              </w:rPr>
              <w:t> </w:t>
            </w:r>
            <w:r>
              <w:rPr>
                <w:rFonts w:ascii="宋体" w:hAnsi="宋体" w:cs="宋体" w:eastAsia="宋体" w:hint="default"/>
                <w:spacing w:val="-7"/>
                <w:sz w:val="18"/>
                <w:szCs w:val="18"/>
              </w:rPr>
              <w:t>卡的数据采集环节；</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自助</w:t>
            </w:r>
            <w:r>
              <w:rPr>
                <w:rFonts w:ascii="宋体" w:hAnsi="宋体" w:cs="宋体" w:eastAsia="宋体" w:hint="default"/>
                <w:spacing w:val="-82"/>
                <w:sz w:val="18"/>
                <w:szCs w:val="18"/>
              </w:rPr>
              <w:t> </w:t>
            </w:r>
            <w:r>
              <w:rPr>
                <w:rFonts w:ascii="宋体" w:hAnsi="宋体" w:cs="宋体" w:eastAsia="宋体" w:hint="default"/>
                <w:sz w:val="18"/>
                <w:szCs w:val="18"/>
              </w:rPr>
              <w:t>一体机的预计销售情况； </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自助一体机的功能、价格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及市场情况；</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介绍公司的</w:t>
            </w:r>
            <w:r>
              <w:rPr>
                <w:rFonts w:ascii="宋体" w:hAnsi="宋体" w:cs="宋体" w:eastAsia="宋体" w:hint="default"/>
                <w:spacing w:val="-82"/>
                <w:sz w:val="18"/>
                <w:szCs w:val="18"/>
              </w:rPr>
              <w:t> </w:t>
            </w:r>
            <w:r>
              <w:rPr>
                <w:rFonts w:ascii="宋体" w:hAnsi="宋体" w:cs="宋体" w:eastAsia="宋体" w:hint="default"/>
                <w:sz w:val="18"/>
                <w:szCs w:val="18"/>
              </w:rPr>
              <w:t>民生信息服务、医疗卫生 服务及</w:t>
            </w:r>
            <w:r>
              <w:rPr>
                <w:rFonts w:ascii="Times New Roman" w:hAnsi="Times New Roman" w:cs="Times New Roman" w:eastAsia="Times New Roman" w:hint="default"/>
                <w:sz w:val="18"/>
                <w:szCs w:val="18"/>
              </w:rPr>
              <w:t>“</w:t>
            </w:r>
            <w:r>
              <w:rPr>
                <w:rFonts w:ascii="宋体" w:hAnsi="宋体" w:cs="宋体" w:eastAsia="宋体" w:hint="default"/>
                <w:sz w:val="18"/>
                <w:szCs w:val="18"/>
              </w:rPr>
              <w:t>社区在线云学习 平台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健康云创新中心 的进展情况。</w:t>
            </w:r>
          </w:p>
        </w:tc>
      </w:tr>
      <w:tr>
        <w:trPr>
          <w:trHeight w:val="383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汇丰晋信：李元博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介绍公司未来的发展方 向和思路；</w:t>
            </w:r>
            <w:r>
              <w:rPr>
                <w:rFonts w:ascii="Times New Roman" w:hAnsi="Times New Roman" w:cs="Times New Roman" w:eastAsia="Times New Roman" w:hint="default"/>
                <w:sz w:val="18"/>
                <w:szCs w:val="18"/>
              </w:rPr>
              <w:t>2.2013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 有所下降的具体原因；</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自助一体机的竞争对手、 产能情况、出资模式、推 广省份以及预计销售情 </w:t>
            </w:r>
            <w:r>
              <w:rPr>
                <w:rFonts w:ascii="宋体" w:hAnsi="宋体" w:cs="宋体" w:eastAsia="宋体" w:hint="default"/>
                <w:spacing w:val="-7"/>
                <w:sz w:val="18"/>
                <w:szCs w:val="18"/>
              </w:rPr>
              <w:t>况；</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健康云创新中心目前</w:t>
            </w:r>
            <w:r>
              <w:rPr>
                <w:rFonts w:ascii="宋体" w:hAnsi="宋体" w:cs="宋体" w:eastAsia="宋体" w:hint="default"/>
                <w:spacing w:val="-82"/>
                <w:sz w:val="18"/>
                <w:szCs w:val="18"/>
              </w:rPr>
              <w:t> </w:t>
            </w:r>
            <w:r>
              <w:rPr>
                <w:rFonts w:ascii="宋体" w:hAnsi="宋体" w:cs="宋体" w:eastAsia="宋体" w:hint="default"/>
                <w:sz w:val="18"/>
                <w:szCs w:val="18"/>
              </w:rPr>
              <w:t>的进展以及将来会取得的 </w:t>
            </w:r>
            <w:r>
              <w:rPr>
                <w:rFonts w:ascii="宋体" w:hAnsi="宋体" w:cs="宋体" w:eastAsia="宋体" w:hint="default"/>
                <w:spacing w:val="-7"/>
                <w:sz w:val="18"/>
                <w:szCs w:val="18"/>
              </w:rPr>
              <w:t>成果；</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山西省人力和社会</w:t>
            </w:r>
            <w:r>
              <w:rPr>
                <w:rFonts w:ascii="宋体" w:hAnsi="宋体" w:cs="宋体" w:eastAsia="宋体" w:hint="default"/>
                <w:spacing w:val="-82"/>
                <w:sz w:val="18"/>
                <w:szCs w:val="18"/>
              </w:rPr>
              <w:t> </w:t>
            </w:r>
            <w:r>
              <w:rPr>
                <w:rFonts w:ascii="宋体" w:hAnsi="宋体" w:cs="宋体" w:eastAsia="宋体" w:hint="default"/>
                <w:sz w:val="18"/>
                <w:szCs w:val="18"/>
              </w:rPr>
              <w:t>保障网上经办平台是否可 以进行复制，将来如何盈 利。</w:t>
            </w:r>
          </w:p>
        </w:tc>
      </w:tr>
      <w:tr>
        <w:trPr>
          <w:trHeight w:val="383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华创证券：李虹蓉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介绍公司在各</w:t>
            </w:r>
            <w:r>
              <w:rPr>
                <w:rFonts w:ascii="宋体" w:hAnsi="宋体" w:cs="宋体" w:eastAsia="宋体" w:hint="default"/>
                <w:spacing w:val="-82"/>
                <w:sz w:val="18"/>
                <w:szCs w:val="18"/>
              </w:rPr>
              <w:t> </w:t>
            </w:r>
            <w:r>
              <w:rPr>
                <w:rFonts w:ascii="宋体" w:hAnsi="宋体" w:cs="宋体" w:eastAsia="宋体" w:hint="default"/>
                <w:sz w:val="18"/>
                <w:szCs w:val="18"/>
              </w:rPr>
              <w:t>省社会保障卡业务的具体 情况以及拓展上的考量；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公司几大业务在收入中 </w:t>
            </w:r>
            <w:r>
              <w:rPr>
                <w:rFonts w:ascii="宋体" w:hAnsi="宋体" w:cs="宋体" w:eastAsia="宋体" w:hint="default"/>
                <w:spacing w:val="-7"/>
                <w:sz w:val="18"/>
                <w:szCs w:val="18"/>
              </w:rPr>
              <w:t>的占比情况；</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应收账款的</w:t>
            </w:r>
            <w:r>
              <w:rPr>
                <w:rFonts w:ascii="宋体" w:hAnsi="宋体" w:cs="宋体" w:eastAsia="宋体" w:hint="default"/>
                <w:spacing w:val="-82"/>
                <w:sz w:val="18"/>
                <w:szCs w:val="18"/>
              </w:rPr>
              <w:t> </w:t>
            </w:r>
            <w:r>
              <w:rPr>
                <w:rFonts w:ascii="宋体" w:hAnsi="宋体" w:cs="宋体" w:eastAsia="宋体" w:hint="default"/>
                <w:spacing w:val="-7"/>
                <w:sz w:val="18"/>
                <w:szCs w:val="18"/>
              </w:rPr>
              <w:t>回款情况；</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介绍公司的民</w:t>
            </w:r>
            <w:r>
              <w:rPr>
                <w:rFonts w:ascii="宋体" w:hAnsi="宋体" w:cs="宋体" w:eastAsia="宋体" w:hint="default"/>
                <w:spacing w:val="-82"/>
                <w:sz w:val="18"/>
                <w:szCs w:val="18"/>
              </w:rPr>
              <w:t> </w:t>
            </w:r>
            <w:r>
              <w:rPr>
                <w:rFonts w:ascii="宋体" w:hAnsi="宋体" w:cs="宋体" w:eastAsia="宋体" w:hint="default"/>
                <w:sz w:val="18"/>
                <w:szCs w:val="18"/>
              </w:rPr>
              <w:t>生信息服务以及试点城市 的规划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健康云创新中心 </w:t>
            </w:r>
            <w:r>
              <w:rPr>
                <w:rFonts w:ascii="宋体" w:hAnsi="宋体" w:cs="宋体" w:eastAsia="宋体" w:hint="default"/>
                <w:spacing w:val="-7"/>
                <w:sz w:val="18"/>
                <w:szCs w:val="18"/>
              </w:rPr>
              <w:t>目前的进展；</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自助一体机</w:t>
            </w:r>
            <w:r>
              <w:rPr>
                <w:rFonts w:ascii="宋体" w:hAnsi="宋体" w:cs="宋体" w:eastAsia="宋体" w:hint="default"/>
                <w:spacing w:val="-82"/>
                <w:sz w:val="18"/>
                <w:szCs w:val="18"/>
              </w:rPr>
              <w:t> </w:t>
            </w:r>
            <w:r>
              <w:rPr>
                <w:rFonts w:ascii="宋体" w:hAnsi="宋体" w:cs="宋体" w:eastAsia="宋体" w:hint="default"/>
                <w:sz w:val="18"/>
                <w:szCs w:val="18"/>
              </w:rPr>
              <w:t>的预计销售以及优势；</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公司未来的业务规划。</w:t>
            </w:r>
          </w:p>
        </w:tc>
      </w:tr>
      <w:tr>
        <w:trPr>
          <w:trHeight w:val="19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长城证券：金炜</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介绍公司在各</w:t>
            </w:r>
            <w:r>
              <w:rPr>
                <w:rFonts w:ascii="宋体" w:hAnsi="宋体" w:cs="宋体" w:eastAsia="宋体" w:hint="default"/>
                <w:spacing w:val="-82"/>
                <w:sz w:val="18"/>
                <w:szCs w:val="18"/>
              </w:rPr>
              <w:t> </w:t>
            </w:r>
            <w:r>
              <w:rPr>
                <w:rFonts w:ascii="宋体" w:hAnsi="宋体" w:cs="宋体" w:eastAsia="宋体" w:hint="default"/>
                <w:sz w:val="18"/>
                <w:szCs w:val="18"/>
              </w:rPr>
              <w:t>省社会保障卡业务的具体 </w:t>
            </w:r>
            <w:r>
              <w:rPr>
                <w:rFonts w:ascii="宋体" w:hAnsi="宋体" w:cs="宋体" w:eastAsia="宋体" w:hint="default"/>
                <w:spacing w:val="-7"/>
                <w:sz w:val="18"/>
                <w:szCs w:val="18"/>
              </w:rPr>
              <w:t>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软件收入的主要来</w:t>
            </w:r>
            <w:r>
              <w:rPr>
                <w:rFonts w:ascii="宋体" w:hAnsi="宋体" w:cs="宋体" w:eastAsia="宋体" w:hint="default"/>
                <w:spacing w:val="-82"/>
                <w:sz w:val="18"/>
                <w:szCs w:val="18"/>
              </w:rPr>
              <w:t> </w:t>
            </w:r>
            <w:r>
              <w:rPr>
                <w:rFonts w:ascii="宋体" w:hAnsi="宋体" w:cs="宋体" w:eastAsia="宋体" w:hint="default"/>
                <w:sz w:val="18"/>
                <w:szCs w:val="18"/>
              </w:rPr>
              <w:t>源；</w:t>
            </w:r>
            <w:r>
              <w:rPr>
                <w:rFonts w:ascii="Times New Roman" w:hAnsi="Times New Roman" w:cs="Times New Roman" w:eastAsia="Times New Roman" w:hint="default"/>
                <w:sz w:val="18"/>
                <w:szCs w:val="18"/>
              </w:rPr>
              <w:t>4.2013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7"/>
                <w:sz w:val="18"/>
                <w:szCs w:val="18"/>
              </w:rPr>
              <w:t>季度的业绩情况；</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自助一</w:t>
            </w:r>
          </w:p>
        </w:tc>
      </w:tr>
    </w:tbl>
    <w:p>
      <w:pPr>
        <w:spacing w:after="0" w:line="302"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7.993011pt;margin-top:647.73999pt;width:135.9pt;height:19.05pt;mso-position-horizontal-relative:page;mso-position-vertical-relative:page;z-index:-832312" type="#_x0000_t202" filled="false" stroked="false">
            <v:textbox inset="0,0,0,0">
              <w:txbxContent>
                <w:p>
                  <w:pPr>
                    <w:pStyle w:val="BodyText"/>
                    <w:spacing w:line="240" w:lineRule="auto" w:before="145"/>
                    <w:ind w:left="0" w:right="0"/>
                    <w:jc w:val="left"/>
                  </w:pPr>
                  <w:r>
                    <w:rPr/>
                    <w:t>蒋佳霖；</w:t>
                  </w:r>
                </w:p>
              </w:txbxContent>
            </v:textbox>
            <w10:wrap type="none"/>
          </v:shape>
        </w:pict>
      </w:r>
      <w:r>
        <w:rPr/>
        <w:pict>
          <v:shape style="position:absolute;margin-left:397.993011pt;margin-top:663.339966pt;width:135.9pt;height:18.95pt;mso-position-horizontal-relative:page;mso-position-vertical-relative:page;z-index:-832288" type="#_x0000_t202" filled="false" stroked="false">
            <v:textbox inset="0,0,0,0">
              <w:txbxContent>
                <w:p>
                  <w:pPr>
                    <w:pStyle w:val="BodyText"/>
                    <w:spacing w:line="240" w:lineRule="auto" w:before="142"/>
                    <w:ind w:left="0" w:right="0"/>
                    <w:jc w:val="left"/>
                  </w:pPr>
                  <w:r>
                    <w:rPr/>
                    <w:t>赵湘媛；</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2547"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17"/>
              <w:jc w:val="both"/>
              <w:rPr>
                <w:rFonts w:ascii="宋体" w:hAnsi="宋体" w:cs="宋体" w:eastAsia="宋体" w:hint="default"/>
                <w:sz w:val="18"/>
                <w:szCs w:val="18"/>
              </w:rPr>
            </w:pPr>
            <w:r>
              <w:rPr>
                <w:rFonts w:ascii="宋体" w:hAnsi="宋体" w:cs="宋体" w:eastAsia="宋体" w:hint="default"/>
                <w:sz w:val="18"/>
                <w:szCs w:val="18"/>
              </w:rPr>
              <w:t>体机的推广情况、市场情 况、具体价格以及预计销 </w:t>
            </w:r>
            <w:r>
              <w:rPr>
                <w:rFonts w:ascii="宋体" w:hAnsi="宋体" w:cs="宋体" w:eastAsia="宋体" w:hint="default"/>
                <w:spacing w:val="-7"/>
                <w:sz w:val="18"/>
                <w:szCs w:val="18"/>
              </w:rPr>
              <w:t>售情况；</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介绍公司的医疗</w:t>
            </w:r>
            <w:r>
              <w:rPr>
                <w:rFonts w:ascii="宋体" w:hAnsi="宋体" w:cs="宋体" w:eastAsia="宋体" w:hint="default"/>
                <w:spacing w:val="-82"/>
                <w:sz w:val="18"/>
                <w:szCs w:val="18"/>
              </w:rPr>
              <w:t> </w:t>
            </w:r>
            <w:r>
              <w:rPr>
                <w:rFonts w:ascii="宋体" w:hAnsi="宋体" w:cs="宋体" w:eastAsia="宋体" w:hint="default"/>
                <w:spacing w:val="-7"/>
                <w:sz w:val="18"/>
                <w:szCs w:val="18"/>
              </w:rPr>
              <w:t>卫生业务；</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公司的民生信</w:t>
            </w:r>
            <w:r>
              <w:rPr>
                <w:rFonts w:ascii="宋体" w:hAnsi="宋体" w:cs="宋体" w:eastAsia="宋体" w:hint="default"/>
                <w:spacing w:val="-82"/>
                <w:sz w:val="18"/>
                <w:szCs w:val="18"/>
              </w:rPr>
              <w:t> </w:t>
            </w:r>
            <w:r>
              <w:rPr>
                <w:rFonts w:ascii="宋体" w:hAnsi="宋体" w:cs="宋体" w:eastAsia="宋体" w:hint="default"/>
                <w:spacing w:val="-7"/>
                <w:sz w:val="18"/>
                <w:szCs w:val="18"/>
              </w:rPr>
              <w:t>息服务；</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健康云创新中心</w:t>
            </w:r>
            <w:r>
              <w:rPr>
                <w:rFonts w:ascii="宋体" w:hAnsi="宋体" w:cs="宋体" w:eastAsia="宋体" w:hint="default"/>
                <w:spacing w:val="-82"/>
                <w:sz w:val="18"/>
                <w:szCs w:val="18"/>
              </w:rPr>
              <w:t> </w:t>
            </w:r>
            <w:r>
              <w:rPr>
                <w:rFonts w:ascii="宋体" w:hAnsi="宋体" w:cs="宋体" w:eastAsia="宋体" w:hint="default"/>
                <w:spacing w:val="-7"/>
                <w:sz w:val="18"/>
                <w:szCs w:val="18"/>
              </w:rPr>
              <w:t>的进展情况；</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介绍公司行</w:t>
            </w:r>
            <w:r>
              <w:rPr>
                <w:rFonts w:ascii="宋体" w:hAnsi="宋体" w:cs="宋体" w:eastAsia="宋体" w:hint="default"/>
                <w:spacing w:val="-82"/>
                <w:sz w:val="18"/>
                <w:szCs w:val="18"/>
              </w:rPr>
              <w:t> </w:t>
            </w:r>
            <w:r>
              <w:rPr>
                <w:rFonts w:ascii="宋体" w:hAnsi="宋体" w:cs="宋体" w:eastAsia="宋体" w:hint="default"/>
                <w:sz w:val="18"/>
                <w:szCs w:val="18"/>
              </w:rPr>
              <w:t>业内的竞争对手以及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年业务发展的重点。</w:t>
            </w:r>
          </w:p>
        </w:tc>
      </w:tr>
      <w:tr>
        <w:trPr>
          <w:trHeight w:val="445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诺德基金：罗世锋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介绍公司在各</w:t>
            </w:r>
            <w:r>
              <w:rPr>
                <w:rFonts w:ascii="宋体" w:hAnsi="宋体" w:cs="宋体" w:eastAsia="宋体" w:hint="default"/>
                <w:spacing w:val="-82"/>
                <w:sz w:val="18"/>
                <w:szCs w:val="18"/>
              </w:rPr>
              <w:t> </w:t>
            </w:r>
            <w:r>
              <w:rPr>
                <w:rFonts w:ascii="宋体" w:hAnsi="宋体" w:cs="宋体" w:eastAsia="宋体" w:hint="default"/>
                <w:sz w:val="18"/>
                <w:szCs w:val="18"/>
              </w:rPr>
              <w:t>省社会保障卡业务的具体 情况以及拓展上的考量； </w:t>
            </w:r>
            <w:r>
              <w:rPr>
                <w:rFonts w:ascii="Times New Roman" w:hAnsi="Times New Roman" w:cs="Times New Roman" w:eastAsia="Times New Roman" w:hint="default"/>
                <w:sz w:val="18"/>
                <w:szCs w:val="18"/>
              </w:rPr>
              <w:t>3.</w:t>
            </w:r>
            <w:r>
              <w:rPr>
                <w:rFonts w:ascii="宋体" w:hAnsi="宋体" w:cs="宋体" w:eastAsia="宋体" w:hint="default"/>
                <w:sz w:val="18"/>
                <w:szCs w:val="18"/>
              </w:rPr>
              <w:t>软硬件及系统集成方面 </w:t>
            </w:r>
            <w:r>
              <w:rPr>
                <w:rFonts w:ascii="宋体" w:hAnsi="宋体" w:cs="宋体" w:eastAsia="宋体" w:hint="default"/>
                <w:spacing w:val="-7"/>
                <w:sz w:val="18"/>
                <w:szCs w:val="18"/>
              </w:rPr>
              <w:t>的主要竞争对手；</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介绍公</w:t>
            </w:r>
            <w:r>
              <w:rPr>
                <w:rFonts w:ascii="宋体" w:hAnsi="宋体" w:cs="宋体" w:eastAsia="宋体" w:hint="default"/>
                <w:spacing w:val="-82"/>
                <w:sz w:val="18"/>
                <w:szCs w:val="18"/>
              </w:rPr>
              <w:t> </w:t>
            </w:r>
            <w:r>
              <w:rPr>
                <w:rFonts w:ascii="宋体" w:hAnsi="宋体" w:cs="宋体" w:eastAsia="宋体" w:hint="default"/>
                <w:sz w:val="18"/>
                <w:szCs w:val="18"/>
              </w:rPr>
              <w:t>司自助一体机的情况；</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介绍公司的民生信息服务 </w:t>
            </w:r>
            <w:r>
              <w:rPr>
                <w:rFonts w:ascii="宋体" w:hAnsi="宋体" w:cs="宋体" w:eastAsia="宋体" w:hint="default"/>
                <w:spacing w:val="-7"/>
                <w:sz w:val="18"/>
                <w:szCs w:val="18"/>
              </w:rPr>
              <w:t>和医疗卫生业务；</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健康云</w:t>
            </w:r>
            <w:r>
              <w:rPr>
                <w:rFonts w:ascii="宋体" w:hAnsi="宋体" w:cs="宋体" w:eastAsia="宋体" w:hint="default"/>
                <w:spacing w:val="-82"/>
                <w:sz w:val="18"/>
                <w:szCs w:val="18"/>
              </w:rPr>
              <w:t> </w:t>
            </w:r>
            <w:r>
              <w:rPr>
                <w:rFonts w:ascii="宋体" w:hAnsi="宋体" w:cs="宋体" w:eastAsia="宋体" w:hint="default"/>
                <w:sz w:val="18"/>
                <w:szCs w:val="18"/>
              </w:rPr>
              <w:t>创新中心的进展情况；</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山西省人力和社会保障网 上经办平台未来如何盈 利；</w:t>
            </w:r>
            <w:r>
              <w:rPr>
                <w:rFonts w:ascii="Times New Roman" w:hAnsi="Times New Roman" w:cs="Times New Roman" w:eastAsia="Times New Roman" w:hint="default"/>
                <w:sz w:val="18"/>
                <w:szCs w:val="18"/>
              </w:rPr>
              <w:t>8.2014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年的业务发展 重点。</w:t>
            </w:r>
          </w:p>
        </w:tc>
      </w:tr>
      <w:tr>
        <w:trPr>
          <w:trHeight w:val="414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9"/>
              <w:ind w:left="24" w:right="151"/>
              <w:jc w:val="left"/>
              <w:rPr>
                <w:rFonts w:ascii="宋体" w:hAnsi="宋体" w:cs="宋体" w:eastAsia="宋体" w:hint="default"/>
                <w:sz w:val="18"/>
                <w:szCs w:val="18"/>
              </w:rPr>
            </w:pPr>
            <w:r>
              <w:rPr>
                <w:rFonts w:ascii="宋体" w:hAnsi="宋体" w:cs="宋体" w:eastAsia="宋体" w:hint="default"/>
                <w:sz w:val="18"/>
                <w:szCs w:val="18"/>
              </w:rPr>
              <w:t>中信产业基金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崇 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主要业务；</w:t>
            </w:r>
            <w:r>
              <w:rPr>
                <w:rFonts w:ascii="Times New Roman" w:hAnsi="Times New Roman" w:cs="Times New Roman" w:eastAsia="Times New Roman" w:hint="default"/>
                <w:sz w:val="18"/>
                <w:szCs w:val="18"/>
              </w:rPr>
              <w:t>2.</w:t>
            </w:r>
            <w:r>
              <w:rPr>
                <w:rFonts w:ascii="宋体" w:hAnsi="宋体" w:cs="宋体" w:eastAsia="宋体" w:hint="default"/>
                <w:sz w:val="18"/>
                <w:szCs w:val="18"/>
              </w:rPr>
              <w:t>软件收入情 </w:t>
            </w:r>
            <w:r>
              <w:rPr>
                <w:rFonts w:ascii="宋体" w:hAnsi="宋体" w:cs="宋体" w:eastAsia="宋体" w:hint="default"/>
                <w:spacing w:val="-7"/>
                <w:sz w:val="18"/>
                <w:szCs w:val="18"/>
              </w:rPr>
              <w:t>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软硬件及系统集成方</w:t>
            </w:r>
            <w:r>
              <w:rPr>
                <w:rFonts w:ascii="宋体" w:hAnsi="宋体" w:cs="宋体" w:eastAsia="宋体" w:hint="default"/>
                <w:spacing w:val="-82"/>
                <w:sz w:val="18"/>
                <w:szCs w:val="18"/>
              </w:rPr>
              <w:t> </w:t>
            </w:r>
            <w:r>
              <w:rPr>
                <w:rFonts w:ascii="宋体" w:hAnsi="宋体" w:cs="宋体" w:eastAsia="宋体" w:hint="default"/>
                <w:spacing w:val="-7"/>
                <w:sz w:val="18"/>
                <w:szCs w:val="18"/>
              </w:rPr>
              <w:t>面的主要竞争对手；</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在各</w:t>
            </w:r>
            <w:r>
              <w:rPr>
                <w:rFonts w:ascii="宋体" w:hAnsi="宋体" w:cs="宋体" w:eastAsia="宋体" w:hint="default"/>
                <w:spacing w:val="-82"/>
                <w:sz w:val="18"/>
                <w:szCs w:val="18"/>
              </w:rPr>
              <w:t> </w:t>
            </w:r>
            <w:r>
              <w:rPr>
                <w:rFonts w:ascii="宋体" w:hAnsi="宋体" w:cs="宋体" w:eastAsia="宋体" w:hint="default"/>
                <w:sz w:val="18"/>
                <w:szCs w:val="18"/>
              </w:rPr>
              <w:t>省的社会保障卡业务情 </w:t>
            </w:r>
            <w:r>
              <w:rPr>
                <w:rFonts w:ascii="宋体" w:hAnsi="宋体" w:cs="宋体" w:eastAsia="宋体" w:hint="default"/>
                <w:spacing w:val="-7"/>
                <w:sz w:val="18"/>
                <w:szCs w:val="18"/>
              </w:rPr>
              <w:t>况；</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介绍公司的自助一体</w:t>
            </w:r>
            <w:r>
              <w:rPr>
                <w:rFonts w:ascii="宋体" w:hAnsi="宋体" w:cs="宋体" w:eastAsia="宋体" w:hint="default"/>
                <w:spacing w:val="-82"/>
                <w:sz w:val="18"/>
                <w:szCs w:val="18"/>
              </w:rPr>
              <w:t> </w:t>
            </w:r>
            <w:r>
              <w:rPr>
                <w:rFonts w:ascii="宋体" w:hAnsi="宋体" w:cs="宋体" w:eastAsia="宋体" w:hint="default"/>
                <w:sz w:val="18"/>
                <w:szCs w:val="18"/>
              </w:rPr>
              <w:t>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介绍公司的医疗卫生 </w:t>
            </w:r>
            <w:r>
              <w:rPr>
                <w:rFonts w:ascii="宋体" w:hAnsi="宋体" w:cs="宋体" w:eastAsia="宋体" w:hint="default"/>
                <w:spacing w:val="-7"/>
                <w:sz w:val="18"/>
                <w:szCs w:val="18"/>
              </w:rPr>
              <w:t>业务；</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公司在民生信息服</w:t>
            </w:r>
            <w:r>
              <w:rPr>
                <w:rFonts w:ascii="宋体" w:hAnsi="宋体" w:cs="宋体" w:eastAsia="宋体" w:hint="default"/>
                <w:spacing w:val="-82"/>
                <w:sz w:val="18"/>
                <w:szCs w:val="18"/>
              </w:rPr>
              <w:t> </w:t>
            </w:r>
            <w:r>
              <w:rPr>
                <w:rFonts w:ascii="宋体" w:hAnsi="宋体" w:cs="宋体" w:eastAsia="宋体" w:hint="default"/>
                <w:sz w:val="18"/>
                <w:szCs w:val="18"/>
              </w:rPr>
              <w:t>务方面的规划和进展情 </w:t>
            </w:r>
            <w:r>
              <w:rPr>
                <w:rFonts w:ascii="宋体" w:hAnsi="宋体" w:cs="宋体" w:eastAsia="宋体" w:hint="default"/>
                <w:spacing w:val="-7"/>
                <w:sz w:val="18"/>
                <w:szCs w:val="18"/>
              </w:rPr>
              <w:t>况；</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山西省人力和社会保</w:t>
            </w:r>
            <w:r>
              <w:rPr>
                <w:rFonts w:ascii="宋体" w:hAnsi="宋体" w:cs="宋体" w:eastAsia="宋体" w:hint="default"/>
                <w:spacing w:val="-82"/>
                <w:sz w:val="18"/>
                <w:szCs w:val="18"/>
              </w:rPr>
              <w:t> </w:t>
            </w:r>
            <w:r>
              <w:rPr>
                <w:rFonts w:ascii="宋体" w:hAnsi="宋体" w:cs="宋体" w:eastAsia="宋体" w:hint="default"/>
                <w:sz w:val="18"/>
                <w:szCs w:val="18"/>
              </w:rPr>
              <w:t>障网上经办平台未来如何 盈利；</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健康云创新中心 的进展情况。</w:t>
            </w:r>
          </w:p>
        </w:tc>
      </w:tr>
      <w:tr>
        <w:trPr>
          <w:trHeight w:val="254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5"/>
              <w:jc w:val="left"/>
              <w:rPr>
                <w:rFonts w:ascii="宋体" w:hAnsi="宋体" w:cs="宋体" w:eastAsia="宋体" w:hint="default"/>
                <w:sz w:val="18"/>
                <w:szCs w:val="18"/>
              </w:rPr>
            </w:pPr>
            <w:r>
              <w:rPr>
                <w:rFonts w:ascii="宋体" w:hAnsi="宋体" w:cs="宋体" w:eastAsia="宋体" w:hint="default"/>
                <w:sz w:val="18"/>
                <w:szCs w:val="18"/>
              </w:rPr>
              <w:t>东兴证券： 金鹰基金： 信达澳银基金：冯 明远；华商基金： 陈雷</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304" w:lineRule="auto" w:before="49"/>
              <w:ind w:left="1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介绍公司在各</w:t>
            </w:r>
            <w:r>
              <w:rPr>
                <w:rFonts w:ascii="宋体" w:hAnsi="宋体" w:cs="宋体" w:eastAsia="宋体" w:hint="default"/>
                <w:spacing w:val="-82"/>
                <w:sz w:val="18"/>
                <w:szCs w:val="18"/>
              </w:rPr>
              <w:t> </w:t>
            </w:r>
            <w:r>
              <w:rPr>
                <w:rFonts w:ascii="宋体" w:hAnsi="宋体" w:cs="宋体" w:eastAsia="宋体" w:hint="default"/>
                <w:sz w:val="18"/>
                <w:szCs w:val="18"/>
              </w:rPr>
              <w:t>省社会保障卡业务的具体 </w:t>
            </w:r>
            <w:r>
              <w:rPr>
                <w:rFonts w:ascii="宋体" w:hAnsi="宋体" w:cs="宋体" w:eastAsia="宋体" w:hint="default"/>
                <w:spacing w:val="-7"/>
                <w:sz w:val="18"/>
                <w:szCs w:val="18"/>
              </w:rPr>
              <w:t>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介绍公司自助一体</w:t>
            </w:r>
            <w:r>
              <w:rPr>
                <w:rFonts w:ascii="宋体" w:hAnsi="宋体" w:cs="宋体" w:eastAsia="宋体" w:hint="default"/>
                <w:spacing w:val="-82"/>
                <w:sz w:val="18"/>
                <w:szCs w:val="18"/>
              </w:rPr>
              <w:t> </w:t>
            </w:r>
            <w:r>
              <w:rPr>
                <w:rFonts w:ascii="宋体" w:hAnsi="宋体" w:cs="宋体" w:eastAsia="宋体" w:hint="default"/>
                <w:spacing w:val="-7"/>
                <w:sz w:val="18"/>
                <w:szCs w:val="18"/>
              </w:rPr>
              <w:t>机的情况；</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公司在民生信</w:t>
            </w:r>
            <w:r>
              <w:rPr>
                <w:rFonts w:ascii="宋体" w:hAnsi="宋体" w:cs="宋体" w:eastAsia="宋体" w:hint="default"/>
                <w:spacing w:val="-82"/>
                <w:sz w:val="18"/>
                <w:szCs w:val="18"/>
              </w:rPr>
              <w:t> </w:t>
            </w:r>
            <w:r>
              <w:rPr>
                <w:rFonts w:ascii="宋体" w:hAnsi="宋体" w:cs="宋体" w:eastAsia="宋体" w:hint="default"/>
                <w:sz w:val="18"/>
                <w:szCs w:val="18"/>
              </w:rPr>
              <w:t>息服务方面的规划；</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山 西省人力和社会保障网上 经办平台未来如何盈利；</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624"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101.55pt;height:31.2pt;mso-position-horizontal-relative:char;mso-position-vertical-relative:line" coordorigin="0,0" coordsize="2031,624">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style="position:absolute;left:0;top:312;width:2031;height:312" coordorigin="0,312" coordsize="2031,312">
                    <v:shape style="position:absolute;left:0;top:312;width:2031;height:312" coordorigin="0,312" coordsize="2031,312" path="m0,624l2031,624,2031,312,0,312,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tc>
      </w:tr>
    </w:tbl>
    <w:p>
      <w:pPr>
        <w:spacing w:after="0" w:line="240" w:lineRule="auto"/>
        <w:jc w:val="left"/>
        <w:rPr>
          <w:rFonts w:ascii="Times New Roman" w:hAnsi="Times New Roman" w:cs="Times New Roman" w:eastAsia="Times New Roman" w:hint="default"/>
          <w:sz w:val="15"/>
          <w:szCs w:val="15"/>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7.993011pt;margin-top:409.129974pt;width:135.9pt;height:15.6pt;mso-position-horizontal-relative:page;mso-position-vertical-relative:page;z-index:-832192" type="#_x0000_t202" filled="false" stroked="false">
            <v:textbox inset="0,0,0,0">
              <w:txbxContent>
                <w:p>
                  <w:pPr>
                    <w:pStyle w:val="BodyText"/>
                    <w:spacing w:line="240" w:lineRule="auto" w:before="8"/>
                    <w:ind w:left="0" w:right="0"/>
                    <w:jc w:val="left"/>
                  </w:pPr>
                  <w:r>
                    <w:rPr/>
                    <w:t>蒲俊懿；</w:t>
                  </w:r>
                </w:p>
              </w:txbxContent>
            </v:textbox>
            <w10:wrap type="none"/>
          </v:shape>
        </w:pict>
      </w:r>
      <w:r>
        <w:rPr/>
        <w:pict>
          <v:shape style="position:absolute;margin-left:397.993011pt;margin-top:424.725983pt;width:135.9pt;height:15.65pt;mso-position-horizontal-relative:page;mso-position-vertical-relative:page;z-index:-832168" type="#_x0000_t202" filled="false" stroked="false">
            <v:textbox inset="0,0,0,0">
              <w:txbxContent>
                <w:p>
                  <w:pPr>
                    <w:pStyle w:val="BodyText"/>
                    <w:spacing w:line="240" w:lineRule="auto" w:before="8"/>
                    <w:ind w:left="0" w:right="0"/>
                    <w:jc w:val="left"/>
                  </w:pPr>
                  <w:r>
                    <w:rPr/>
                    <w:t>王懿超、</w:t>
                  </w:r>
                </w:p>
              </w:txbxContent>
            </v:textbox>
            <w10:wrap type="none"/>
          </v:shape>
        </w:pict>
      </w:r>
      <w:r>
        <w:rPr/>
        <w:pict>
          <v:shape style="position:absolute;margin-left:388.993011pt;margin-top:440.349976pt;width:144.9pt;height:15.6pt;mso-position-horizontal-relative:page;mso-position-vertical-relative:page;z-index:-832144" type="#_x0000_t202" filled="false" stroked="false">
            <v:textbox inset="0,0,0,0">
              <w:txbxContent>
                <w:p>
                  <w:pPr>
                    <w:pStyle w:val="BodyText"/>
                    <w:spacing w:line="240" w:lineRule="auto" w:before="8"/>
                    <w:ind w:left="0" w:right="0"/>
                    <w:jc w:val="left"/>
                  </w:pPr>
                  <w:r>
                    <w:rPr/>
                    <w:t>长盛基金：</w:t>
                  </w:r>
                </w:p>
              </w:txbxContent>
            </v:textbox>
            <w10:wrap type="none"/>
          </v:shape>
        </w:pict>
      </w:r>
      <w:r>
        <w:rPr/>
        <w:pict>
          <v:shape style="position:absolute;margin-left:397.993011pt;margin-top:616.539978pt;width:135.9pt;height:19.05pt;mso-position-horizontal-relative:page;mso-position-vertical-relative:page;z-index:-832120" type="#_x0000_t202" filled="false" stroked="false">
            <v:textbox inset="0,0,0,0">
              <w:txbxContent>
                <w:p>
                  <w:pPr>
                    <w:pStyle w:val="BodyText"/>
                    <w:spacing w:line="240" w:lineRule="auto" w:before="145"/>
                    <w:ind w:left="0" w:right="0"/>
                    <w:jc w:val="left"/>
                  </w:pPr>
                  <w:r>
                    <w:rPr/>
                    <w:t>沈海兵；</w:t>
                  </w:r>
                </w:p>
              </w:txbxContent>
            </v:textbox>
            <w10:wrap type="none"/>
          </v:shape>
        </w:pict>
      </w:r>
      <w:r>
        <w:rPr/>
        <w:pict>
          <v:shape style="position:absolute;margin-left:370.993011pt;margin-top:647.73999pt;width:162.9pt;height:18.95pt;mso-position-horizontal-relative:page;mso-position-vertical-relative:page;z-index:-832096" type="#_x0000_t202" filled="false" stroked="false">
            <v:textbox inset="0,0,0,0">
              <w:txbxContent>
                <w:p>
                  <w:pPr>
                    <w:pStyle w:val="BodyText"/>
                    <w:spacing w:line="240" w:lineRule="auto" w:before="142"/>
                    <w:ind w:left="0" w:right="0"/>
                    <w:jc w:val="left"/>
                  </w:pPr>
                  <w:r>
                    <w:rPr/>
                    <w:t>上海互码投资：</w:t>
                  </w:r>
                </w:p>
              </w:txbxContent>
            </v:textbox>
            <w10:wrap type="none"/>
          </v:shape>
        </w:pict>
      </w:r>
      <w:r>
        <w:rPr/>
        <w:pict>
          <v:shape style="position:absolute;margin-left:56.424pt;margin-top:71.999985pt;width:479.3pt;height:685.45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496"/>
                    <w:gridCol w:w="1498"/>
                    <w:gridCol w:w="1498"/>
                    <w:gridCol w:w="1510"/>
                    <w:gridCol w:w="2074"/>
                  </w:tblGrid>
                  <w:tr>
                    <w:trPr>
                      <w:trHeight w:val="1923"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健康云创新中心的进展 </w:t>
                        </w:r>
                        <w:r>
                          <w:rPr>
                            <w:rFonts w:ascii="宋体" w:hAnsi="宋体" w:cs="宋体" w:eastAsia="宋体" w:hint="default"/>
                            <w:spacing w:val="-7"/>
                            <w:sz w:val="18"/>
                            <w:szCs w:val="18"/>
                          </w:rPr>
                          <w:t>情况；</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公司在进行新的市</w:t>
                        </w:r>
                        <w:r>
                          <w:rPr>
                            <w:rFonts w:ascii="宋体" w:hAnsi="宋体" w:cs="宋体" w:eastAsia="宋体" w:hint="default"/>
                            <w:spacing w:val="-82"/>
                            <w:sz w:val="18"/>
                            <w:szCs w:val="18"/>
                          </w:rPr>
                          <w:t> </w:t>
                        </w:r>
                        <w:r>
                          <w:rPr>
                            <w:rFonts w:ascii="宋体" w:hAnsi="宋体" w:cs="宋体" w:eastAsia="宋体" w:hint="default"/>
                            <w:sz w:val="18"/>
                            <w:szCs w:val="18"/>
                          </w:rPr>
                          <w:t>场扩张时，相对当地的公 </w:t>
                        </w:r>
                        <w:r>
                          <w:rPr>
                            <w:rFonts w:ascii="宋体" w:hAnsi="宋体" w:cs="宋体" w:eastAsia="宋体" w:hint="default"/>
                            <w:spacing w:val="-7"/>
                            <w:sz w:val="18"/>
                            <w:szCs w:val="18"/>
                          </w:rPr>
                          <w:t>司是否存在障碍；</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介绍子</w:t>
                        </w:r>
                        <w:r>
                          <w:rPr>
                            <w:rFonts w:ascii="宋体" w:hAnsi="宋体" w:cs="宋体" w:eastAsia="宋体" w:hint="default"/>
                            <w:spacing w:val="-82"/>
                            <w:sz w:val="18"/>
                            <w:szCs w:val="18"/>
                          </w:rPr>
                          <w:t> </w:t>
                        </w:r>
                        <w:r>
                          <w:rPr>
                            <w:rFonts w:ascii="宋体" w:hAnsi="宋体" w:cs="宋体" w:eastAsia="宋体" w:hint="default"/>
                            <w:sz w:val="18"/>
                            <w:szCs w:val="18"/>
                          </w:rPr>
                          <w:t>公司中职动力的培训业 务；</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下半年的业务展望</w:t>
                        </w:r>
                      </w:p>
                    </w:tc>
                  </w:tr>
                  <w:tr>
                    <w:trPr>
                      <w:trHeight w:val="352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方正证券：赵成</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介绍公司在各</w:t>
                        </w:r>
                        <w:r>
                          <w:rPr>
                            <w:rFonts w:ascii="宋体" w:hAnsi="宋体" w:cs="宋体" w:eastAsia="宋体" w:hint="default"/>
                            <w:spacing w:val="-82"/>
                            <w:sz w:val="18"/>
                            <w:szCs w:val="18"/>
                          </w:rPr>
                          <w:t> </w:t>
                        </w:r>
                        <w:r>
                          <w:rPr>
                            <w:rFonts w:ascii="宋体" w:hAnsi="宋体" w:cs="宋体" w:eastAsia="宋体" w:hint="default"/>
                            <w:sz w:val="18"/>
                            <w:szCs w:val="18"/>
                          </w:rPr>
                          <w:t>省社会保障卡业务的具体 </w:t>
                        </w:r>
                        <w:r>
                          <w:rPr>
                            <w:rFonts w:ascii="宋体" w:hAnsi="宋体" w:cs="宋体" w:eastAsia="宋体" w:hint="default"/>
                            <w:spacing w:val="-7"/>
                            <w:sz w:val="18"/>
                            <w:szCs w:val="18"/>
                          </w:rPr>
                          <w:t>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健康云创新中心的</w:t>
                        </w:r>
                        <w:r>
                          <w:rPr>
                            <w:rFonts w:ascii="宋体" w:hAnsi="宋体" w:cs="宋体" w:eastAsia="宋体" w:hint="default"/>
                            <w:spacing w:val="-82"/>
                            <w:sz w:val="18"/>
                            <w:szCs w:val="18"/>
                          </w:rPr>
                          <w:t> </w:t>
                        </w:r>
                        <w:r>
                          <w:rPr>
                            <w:rFonts w:ascii="宋体" w:hAnsi="宋体" w:cs="宋体" w:eastAsia="宋体" w:hint="default"/>
                            <w:sz w:val="18"/>
                            <w:szCs w:val="18"/>
                          </w:rPr>
                          <w:t>进展情况以及未来的收费 </w:t>
                        </w:r>
                        <w:r>
                          <w:rPr>
                            <w:rFonts w:ascii="宋体" w:hAnsi="宋体" w:cs="宋体" w:eastAsia="宋体" w:hint="default"/>
                            <w:spacing w:val="-7"/>
                            <w:sz w:val="18"/>
                            <w:szCs w:val="18"/>
                          </w:rPr>
                          <w:t>模式；</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健康云创新中心第</w:t>
                        </w:r>
                        <w:r>
                          <w:rPr>
                            <w:rFonts w:ascii="宋体" w:hAnsi="宋体" w:cs="宋体" w:eastAsia="宋体" w:hint="default"/>
                            <w:spacing w:val="-82"/>
                            <w:sz w:val="18"/>
                            <w:szCs w:val="18"/>
                          </w:rPr>
                          <w:t> </w:t>
                        </w:r>
                        <w:r>
                          <w:rPr>
                            <w:rFonts w:ascii="宋体" w:hAnsi="宋体" w:cs="宋体" w:eastAsia="宋体" w:hint="default"/>
                            <w:sz w:val="18"/>
                            <w:szCs w:val="18"/>
                          </w:rPr>
                          <w:t>一阶段涉及糖尿病管理的 </w:t>
                        </w:r>
                        <w:r>
                          <w:rPr>
                            <w:rFonts w:ascii="宋体" w:hAnsi="宋体" w:cs="宋体" w:eastAsia="宋体" w:hint="default"/>
                            <w:spacing w:val="-7"/>
                            <w:sz w:val="18"/>
                            <w:szCs w:val="18"/>
                          </w:rPr>
                          <w:t>原因；</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公司发展存在的不</w:t>
                        </w:r>
                        <w:r>
                          <w:rPr>
                            <w:rFonts w:ascii="宋体" w:hAnsi="宋体" w:cs="宋体" w:eastAsia="宋体" w:hint="default"/>
                            <w:spacing w:val="-82"/>
                            <w:sz w:val="18"/>
                            <w:szCs w:val="18"/>
                          </w:rPr>
                          <w:t> </w:t>
                        </w:r>
                        <w:r>
                          <w:rPr>
                            <w:rFonts w:ascii="宋体" w:hAnsi="宋体" w:cs="宋体" w:eastAsia="宋体" w:hint="default"/>
                            <w:sz w:val="18"/>
                            <w:szCs w:val="18"/>
                          </w:rPr>
                          <w:t>足和障碍；</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山西省人力 和社会保障网上经办平台 未来如何盈利。</w:t>
                        </w:r>
                      </w:p>
                    </w:tc>
                  </w:tr>
                  <w:tr>
                    <w:trPr>
                      <w:trHeight w:val="414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1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4" w:right="27"/>
                          <w:jc w:val="left"/>
                          <w:rPr>
                            <w:rFonts w:ascii="宋体" w:hAnsi="宋体" w:cs="宋体" w:eastAsia="宋体" w:hint="default"/>
                            <w:sz w:val="18"/>
                            <w:szCs w:val="18"/>
                          </w:rPr>
                        </w:pPr>
                        <w:r>
                          <w:rPr>
                            <w:rFonts w:ascii="宋体" w:hAnsi="宋体" w:cs="宋体" w:eastAsia="宋体" w:hint="default"/>
                            <w:sz w:val="18"/>
                            <w:szCs w:val="18"/>
                          </w:rPr>
                          <w:t>东方证券： 国泰基金： 邓时锋； 孙珂；上投摩根： 高云博</w:t>
                        </w:r>
                      </w:p>
                    </w:tc>
                    <w:tc>
                      <w:tcPr>
                        <w:tcW w:w="2074" w:type="dxa"/>
                        <w:tcBorders>
                          <w:top w:val="single" w:sz="4" w:space="0" w:color="000000"/>
                          <w:left w:val="single" w:sz="10" w:space="0" w:color="FFFFFF"/>
                          <w:bottom w:val="single" w:sz="4" w:space="0" w:color="000000"/>
                          <w:right w:val="single" w:sz="4" w:space="0" w:color="000000"/>
                        </w:tcBorders>
                      </w:tcPr>
                      <w:p>
                        <w:pPr>
                          <w:pStyle w:val="TableParagraph"/>
                          <w:spacing w:line="307" w:lineRule="auto" w:before="49"/>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介绍公司在各</w:t>
                        </w:r>
                        <w:r>
                          <w:rPr>
                            <w:rFonts w:ascii="宋体" w:hAnsi="宋体" w:cs="宋体" w:eastAsia="宋体" w:hint="default"/>
                            <w:spacing w:val="-82"/>
                            <w:sz w:val="18"/>
                            <w:szCs w:val="18"/>
                          </w:rPr>
                          <w:t> </w:t>
                        </w:r>
                        <w:r>
                          <w:rPr>
                            <w:rFonts w:ascii="宋体" w:hAnsi="宋体" w:cs="宋体" w:eastAsia="宋体" w:hint="default"/>
                            <w:sz w:val="18"/>
                            <w:szCs w:val="18"/>
                          </w:rPr>
                          <w:t>省社会保障卡业务的具体 </w:t>
                        </w:r>
                        <w:r>
                          <w:rPr>
                            <w:rFonts w:ascii="宋体" w:hAnsi="宋体" w:cs="宋体" w:eastAsia="宋体" w:hint="default"/>
                            <w:spacing w:val="-7"/>
                            <w:sz w:val="18"/>
                            <w:szCs w:val="18"/>
                          </w:rPr>
                          <w:t>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介绍公司自助一体</w:t>
                        </w:r>
                        <w:r>
                          <w:rPr>
                            <w:rFonts w:ascii="宋体" w:hAnsi="宋体" w:cs="宋体" w:eastAsia="宋体" w:hint="default"/>
                            <w:spacing w:val="-82"/>
                            <w:sz w:val="18"/>
                            <w:szCs w:val="18"/>
                          </w:rPr>
                          <w:t> </w:t>
                        </w:r>
                        <w:r>
                          <w:rPr>
                            <w:rFonts w:ascii="宋体" w:hAnsi="宋体" w:cs="宋体" w:eastAsia="宋体" w:hint="default"/>
                            <w:sz w:val="18"/>
                            <w:szCs w:val="18"/>
                          </w:rPr>
                          <w:t>机的情况；</w:t>
                        </w:r>
                        <w:r>
                          <w:rPr>
                            <w:rFonts w:ascii="Times New Roman" w:hAnsi="Times New Roman" w:cs="Times New Roman" w:eastAsia="Times New Roman" w:hint="default"/>
                            <w:sz w:val="18"/>
                            <w:szCs w:val="18"/>
                          </w:rPr>
                          <w:t>4.2014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 报系统集成及硬件收入同 比增长明显的原因；</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 绍公司在医疗卫生方面的 业务；</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健康云创新中心 的进展情况以及未来的收 费模式；</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健康云创新中 心第一阶段涉及糖尿病管 理的原因。</w:t>
                        </w:r>
                      </w:p>
                    </w:tc>
                  </w:tr>
                  <w:tr>
                    <w:trPr>
                      <w:trHeight w:val="410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1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z w:val="18"/>
                            <w:szCs w:val="18"/>
                          </w:rPr>
                          <w:t>银河证券： 国信永丰基金：杨 祺；</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陈凌</w:t>
                        </w:r>
                      </w:p>
                    </w:tc>
                    <w:tc>
                      <w:tcPr>
                        <w:tcW w:w="2074" w:type="dxa"/>
                        <w:tcBorders>
                          <w:top w:val="single" w:sz="4" w:space="0" w:color="000000"/>
                          <w:left w:val="single" w:sz="10" w:space="0" w:color="FFFFFF"/>
                          <w:bottom w:val="single" w:sz="4" w:space="0" w:color="000000"/>
                          <w:right w:val="single" w:sz="4" w:space="0" w:color="000000"/>
                        </w:tcBorders>
                      </w:tcPr>
                      <w:p>
                        <w:pPr>
                          <w:pStyle w:val="TableParagraph"/>
                          <w:spacing w:line="307" w:lineRule="auto" w:before="49"/>
                          <w:ind w:left="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介绍公司在各省社会保 障卡业务的具体情况；</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介绍公司自助一体机的情 </w:t>
                        </w:r>
                        <w:r>
                          <w:rPr>
                            <w:rFonts w:ascii="宋体" w:hAnsi="宋体" w:cs="宋体" w:eastAsia="宋体" w:hint="default"/>
                            <w:spacing w:val="-7"/>
                            <w:sz w:val="18"/>
                            <w:szCs w:val="18"/>
                          </w:rPr>
                          <w:t>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公司健康云创新中心</w:t>
                        </w:r>
                        <w:r>
                          <w:rPr>
                            <w:rFonts w:ascii="宋体" w:hAnsi="宋体" w:cs="宋体" w:eastAsia="宋体" w:hint="default"/>
                            <w:spacing w:val="-82"/>
                            <w:sz w:val="18"/>
                            <w:szCs w:val="18"/>
                          </w:rPr>
                          <w:t> </w:t>
                        </w:r>
                        <w:r>
                          <w:rPr>
                            <w:rFonts w:ascii="宋体" w:hAnsi="宋体" w:cs="宋体" w:eastAsia="宋体" w:hint="default"/>
                            <w:sz w:val="18"/>
                            <w:szCs w:val="18"/>
                          </w:rPr>
                          <w:t>的进展情况；未来收费模 式；</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健康云创新中心第 一阶段涉及糖尿病管理的 原因；</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介绍子公司中职 </w:t>
                        </w:r>
                        <w:r>
                          <w:rPr>
                            <w:rFonts w:ascii="宋体" w:hAnsi="宋体" w:cs="宋体" w:eastAsia="宋体" w:hint="default"/>
                            <w:spacing w:val="-7"/>
                            <w:sz w:val="18"/>
                            <w:szCs w:val="18"/>
                          </w:rPr>
                          <w:t>动力的培训业务；</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介绍与</w:t>
                        </w:r>
                        <w:r>
                          <w:rPr>
                            <w:rFonts w:ascii="宋体" w:hAnsi="宋体" w:cs="宋体" w:eastAsia="宋体" w:hint="default"/>
                            <w:spacing w:val="-82"/>
                            <w:sz w:val="18"/>
                            <w:szCs w:val="18"/>
                          </w:rPr>
                          <w:t> </w:t>
                        </w:r>
                        <w:r>
                          <w:rPr>
                            <w:rFonts w:ascii="宋体" w:hAnsi="宋体" w:cs="宋体" w:eastAsia="宋体" w:hint="default"/>
                            <w:sz w:val="18"/>
                            <w:szCs w:val="18"/>
                          </w:rPr>
                          <w:t>开联通合作的预付费卡业 </w:t>
                        </w:r>
                        <w:r>
                          <w:rPr>
                            <w:rFonts w:ascii="宋体" w:hAnsi="宋体" w:cs="宋体" w:eastAsia="宋体" w:hint="default"/>
                            <w:spacing w:val="-7"/>
                            <w:sz w:val="18"/>
                            <w:szCs w:val="18"/>
                          </w:rPr>
                          <w:t>务；</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介绍公司出资建设的</w:t>
                        </w:r>
                        <w:r>
                          <w:rPr>
                            <w:rFonts w:ascii="宋体" w:hAnsi="宋体" w:cs="宋体" w:eastAsia="宋体" w:hint="default"/>
                            <w:spacing w:val="-82"/>
                            <w:sz w:val="18"/>
                            <w:szCs w:val="18"/>
                          </w:rPr>
                          <w:t> </w:t>
                        </w:r>
                        <w:r>
                          <w:rPr>
                            <w:rFonts w:ascii="宋体" w:hAnsi="宋体" w:cs="宋体" w:eastAsia="宋体" w:hint="default"/>
                            <w:sz w:val="18"/>
                            <w:szCs w:val="18"/>
                          </w:rPr>
                          <w:t>山西省人力和社会保障网 </w:t>
                        </w:r>
                        <w:r>
                          <w:rPr>
                            <w:rFonts w:ascii="宋体" w:hAnsi="宋体" w:cs="宋体" w:eastAsia="宋体" w:hint="default"/>
                            <w:spacing w:val="-7"/>
                            <w:sz w:val="18"/>
                            <w:szCs w:val="18"/>
                          </w:rPr>
                          <w:t>上经办平台；</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预计公司未</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936" w:lineRule="exact"/>
        <w:ind w:left="7666"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01.55pt;height:46.85pt;mso-position-horizontal-relative:char;mso-position-vertical-relative:line" coordorigin="0,0" coordsize="2031,937">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style="position:absolute;left:0;top:312;width:2031;height:313" coordorigin="0,312" coordsize="2031,313">
              <v:shape style="position:absolute;left:0;top:312;width:2031;height:313" coordorigin="0,312" coordsize="2031,313" path="m0,624l2031,624,2031,312,0,312,0,624xe" filled="true" fillcolor="#ffffff" stroked="false">
                <v:path arrowok="t"/>
                <v:fill type="solid"/>
              </v:shape>
            </v:group>
            <v:group style="position:absolute;left:0;top:624;width:2031;height:312" coordorigin="0,624" coordsize="2031,312">
              <v:shape style="position:absolute;left:0;top:624;width:2031;height:312" coordorigin="0,624" coordsize="2031,312" path="m0,936l2031,936,2031,624,0,624,0,936xe" filled="true" fillcolor="#ffffff" stroked="false">
                <v:path arrowok="t"/>
                <v:fill type="solid"/>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312" w:lineRule="exact"/>
        <w:ind w:left="766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01.55pt;height:15.6pt;mso-position-horizontal-relative:char;mso-position-vertical-relative:line" coordorigin="0,0" coordsize="2031,312">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sz w:val="23"/>
          <w:szCs w:val="23"/>
        </w:rPr>
      </w:pPr>
    </w:p>
    <w:p>
      <w:pPr>
        <w:spacing w:line="312" w:lineRule="exact"/>
        <w:ind w:left="766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01.55pt;height:15.6pt;mso-position-horizontal-relative:char;mso-position-vertical-relative:line" coordorigin="0,0" coordsize="2031,312">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7.993011pt;margin-top:90.61998pt;width:137.1pt;height:39pt;mso-position-horizontal-relative:page;mso-position-vertical-relative:page;z-index:-831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张新峰；</w:t>
                  </w:r>
                </w:p>
              </w:txbxContent>
            </v:textbox>
            <w10:wrap type="none"/>
          </v:shape>
        </w:pict>
      </w:r>
      <w:r>
        <w:rPr/>
        <w:pict>
          <v:shape style="position:absolute;margin-left:397.993011pt;margin-top:127.045609pt;width:135.9pt;height:20.25pt;mso-position-horizontal-relative:page;mso-position-vertical-relative:page;z-index:-831880" type="#_x0000_t202" filled="false" stroked="false">
            <v:textbox inset="0,0,0,0">
              <w:txbxContent>
                <w:p>
                  <w:pPr>
                    <w:pStyle w:val="BodyText"/>
                    <w:spacing w:line="180" w:lineRule="exact"/>
                    <w:ind w:left="0" w:right="0"/>
                    <w:jc w:val="left"/>
                  </w:pPr>
                  <w:r>
                    <w:rPr/>
                    <w:t>秦宇斌、</w:t>
                  </w:r>
                </w:p>
              </w:txbxContent>
            </v:textbox>
            <w10:wrap type="none"/>
          </v:shape>
        </w:pict>
      </w:r>
      <w:r>
        <w:rPr/>
        <w:pict>
          <v:shape style="position:absolute;margin-left:397.876007pt;margin-top:147.259979pt;width:136.050pt;height:20pt;mso-position-horizontal-relative:page;mso-position-vertical-relative:page;z-index:-831856"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张易成、</w:t>
                  </w:r>
                </w:p>
              </w:txbxContent>
            </v:textbox>
            <w10:wrap type="none"/>
          </v:shape>
        </w:pict>
      </w:r>
      <w:r>
        <w:rPr/>
        <w:pict>
          <v:shape style="position:absolute;margin-left:425.019989pt;margin-top:194.059982pt;width:108.9pt;height:20pt;mso-position-horizontal-relative:page;mso-position-vertical-relative:page;z-index:-831832"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389.140015pt;margin-top:225.259979pt;width:144.75pt;height:20pt;mso-position-horizontal-relative:page;mso-position-vertical-relative:page;z-index:-831808"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银河证券：</w:t>
                  </w:r>
                </w:p>
              </w:txbxContent>
            </v:textbox>
            <w10:wrap type="none"/>
          </v:shape>
        </w:pict>
      </w:r>
      <w:r>
        <w:rPr/>
        <w:pict>
          <v:shape style="position:absolute;margin-left:425.019989pt;margin-top:256.465973pt;width:108.9pt;height:20.05pt;mso-position-horizontal-relative:page;mso-position-vertical-relative:page;z-index:-831784" type="#_x0000_t202" filled="false" stroked="false">
            <v:textbox inset="0,0,0,0">
              <w:txbxContent>
                <w:p>
                  <w:pPr>
                    <w:spacing w:line="240" w:lineRule="auto" w:before="4"/>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388.993011pt;margin-top:303.289978pt;width:144.9pt;height:20pt;mso-position-horizontal-relative:page;mso-position-vertical-relative:page;z-index:-831760"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诺安基金：</w:t>
                  </w:r>
                </w:p>
              </w:txbxContent>
            </v:textbox>
            <w10:wrap type="none"/>
          </v:shape>
        </w:pict>
      </w:r>
      <w:r>
        <w:rPr/>
        <w:pict>
          <v:shape style="position:absolute;margin-left:388.993011pt;margin-top:318.889984pt;width:144.9pt;height:20pt;mso-position-horizontal-relative:page;mso-position-vertical-relative:page;z-index:-831736"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宝盈基金：</w:t>
                  </w:r>
                </w:p>
              </w:txbxContent>
            </v:textbox>
            <w10:wrap type="none"/>
          </v:shape>
        </w:pict>
      </w:r>
      <w:r>
        <w:rPr/>
        <w:pict>
          <v:shape style="position:absolute;margin-left:388.993011pt;margin-top:334.489990pt;width:144.9pt;height:20pt;mso-position-horizontal-relative:page;mso-position-vertical-relative:page;z-index:-831712"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宏铭投资：</w:t>
                  </w:r>
                </w:p>
              </w:txbxContent>
            </v:textbox>
            <w10:wrap type="none"/>
          </v:shape>
        </w:pict>
      </w:r>
      <w:r>
        <w:rPr/>
        <w:pict>
          <v:shape style="position:absolute;margin-left:425.019989pt;margin-top:549.549988pt;width:108.9pt;height:15.6pt;mso-position-horizontal-relative:page;mso-position-vertical-relative:page;z-index:-831688" type="#_x0000_t202" filled="false" stroked="false">
            <v:textbox inset="0,0,0,0">
              <w:txbxContent>
                <w:p>
                  <w:pPr>
                    <w:pStyle w:val="BodyText"/>
                    <w:spacing w:line="240" w:lineRule="auto" w:before="8"/>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363"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来的业务情况。</w:t>
            </w:r>
          </w:p>
        </w:tc>
      </w:tr>
      <w:tr>
        <w:trPr>
          <w:trHeight w:val="664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泽熙投资：严鹏； 千合资本： 巨杉资产：</w:t>
            </w:r>
          </w:p>
          <w:p>
            <w:pPr>
              <w:pStyle w:val="TableParagraph"/>
              <w:spacing w:line="316" w:lineRule="auto" w:before="19"/>
              <w:ind w:left="24" w:right="15"/>
              <w:jc w:val="left"/>
              <w:rPr>
                <w:rFonts w:ascii="宋体" w:hAnsi="宋体" w:cs="宋体" w:eastAsia="宋体" w:hint="default"/>
                <w:sz w:val="18"/>
                <w:szCs w:val="18"/>
              </w:rPr>
            </w:pPr>
            <w:r>
              <w:rPr>
                <w:rFonts w:ascii="宋体" w:hAnsi="宋体" w:cs="宋体" w:eastAsia="宋体" w:hint="default"/>
                <w:sz w:val="18"/>
                <w:szCs w:val="18"/>
              </w:rPr>
              <w:t>齐东超</w:t>
            </w:r>
            <w:r>
              <w:rPr>
                <w:rFonts w:ascii="宋体" w:hAnsi="宋体" w:cs="宋体" w:eastAsia="宋体" w:hint="default"/>
                <w:spacing w:val="1"/>
                <w:sz w:val="18"/>
                <w:szCs w:val="18"/>
              </w:rPr>
              <w:t> </w:t>
            </w:r>
            <w:r>
              <w:rPr>
                <w:rFonts w:ascii="宋体" w:hAnsi="宋体" w:cs="宋体" w:eastAsia="宋体" w:hint="default"/>
                <w:sz w:val="18"/>
                <w:szCs w:val="18"/>
              </w:rPr>
              <w:t>；同亿富</w:t>
            </w:r>
            <w:r>
              <w:rPr>
                <w:rFonts w:ascii="宋体" w:hAnsi="宋体" w:cs="宋体" w:eastAsia="宋体" w:hint="default"/>
                <w:sz w:val="18"/>
                <w:szCs w:val="18"/>
              </w:rPr>
              <w:t> </w:t>
            </w:r>
            <w:r>
              <w:rPr>
                <w:rFonts w:ascii="宋体" w:hAnsi="宋体" w:cs="宋体" w:eastAsia="宋体" w:hint="default"/>
                <w:spacing w:val="-10"/>
                <w:sz w:val="18"/>
                <w:szCs w:val="18"/>
              </w:rPr>
              <w:t>利：陈铭、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岳方；宏源证券： 王凤华、何俊峰； 海通证券：蒋科 东方兴业投资：姚 海桥</w:t>
            </w:r>
            <w:r>
              <w:rPr>
                <w:rFonts w:ascii="宋体" w:hAnsi="宋体" w:cs="宋体" w:eastAsia="宋体" w:hint="default"/>
                <w:spacing w:val="1"/>
                <w:sz w:val="18"/>
                <w:szCs w:val="18"/>
              </w:rPr>
              <w:t> </w:t>
            </w:r>
            <w:r>
              <w:rPr>
                <w:rFonts w:ascii="宋体" w:hAnsi="宋体" w:cs="宋体" w:eastAsia="宋体" w:hint="default"/>
                <w:sz w:val="18"/>
                <w:szCs w:val="18"/>
              </w:rPr>
              <w:t>；</w:t>
            </w:r>
          </w:p>
          <w:p>
            <w:pPr>
              <w:pStyle w:val="TableParagraph"/>
              <w:spacing w:line="316" w:lineRule="auto" w:before="19"/>
              <w:ind w:left="24" w:right="12"/>
              <w:jc w:val="left"/>
              <w:rPr>
                <w:rFonts w:ascii="宋体" w:hAnsi="宋体" w:cs="宋体" w:eastAsia="宋体" w:hint="default"/>
                <w:sz w:val="18"/>
                <w:szCs w:val="18"/>
              </w:rPr>
            </w:pPr>
            <w:r>
              <w:rPr>
                <w:rFonts w:ascii="宋体" w:hAnsi="宋体" w:cs="宋体" w:eastAsia="宋体" w:hint="default"/>
                <w:sz w:val="18"/>
                <w:szCs w:val="18"/>
              </w:rPr>
              <w:t>程健飞</w:t>
            </w:r>
            <w:r>
              <w:rPr>
                <w:rFonts w:ascii="宋体" w:hAnsi="宋体" w:cs="宋体" w:eastAsia="宋体" w:hint="default"/>
                <w:spacing w:val="3"/>
                <w:sz w:val="18"/>
                <w:szCs w:val="18"/>
              </w:rPr>
              <w:t> </w:t>
            </w:r>
            <w:r>
              <w:rPr>
                <w:rFonts w:ascii="宋体" w:hAnsi="宋体" w:cs="宋体" w:eastAsia="宋体" w:hint="default"/>
                <w:sz w:val="18"/>
                <w:szCs w:val="18"/>
              </w:rPr>
              <w:t>；安信证</w:t>
            </w:r>
            <w:r>
              <w:rPr>
                <w:rFonts w:ascii="宋体" w:hAnsi="宋体" w:cs="宋体" w:eastAsia="宋体" w:hint="default"/>
                <w:sz w:val="18"/>
                <w:szCs w:val="18"/>
              </w:rPr>
              <w:t> 券：李勇、刘军 老友投资：卢敏、 章斯元、黄华彬、 罗俊明；</w:t>
            </w:r>
          </w:p>
          <w:p>
            <w:pPr>
              <w:pStyle w:val="TableParagraph"/>
              <w:spacing w:line="316" w:lineRule="auto" w:before="19"/>
              <w:ind w:left="24" w:right="735"/>
              <w:jc w:val="left"/>
              <w:rPr>
                <w:rFonts w:ascii="宋体" w:hAnsi="宋体" w:cs="宋体" w:eastAsia="宋体" w:hint="default"/>
                <w:sz w:val="18"/>
                <w:szCs w:val="18"/>
              </w:rPr>
            </w:pPr>
            <w:r>
              <w:rPr>
                <w:rFonts w:ascii="宋体" w:hAnsi="宋体" w:cs="宋体" w:eastAsia="宋体" w:hint="default"/>
                <w:sz w:val="18"/>
                <w:szCs w:val="18"/>
              </w:rPr>
              <w:t>张泽京； 金朝晖；</w:t>
            </w:r>
          </w:p>
          <w:p>
            <w:pPr>
              <w:pStyle w:val="TableParagraph"/>
              <w:spacing w:line="316" w:lineRule="auto" w:before="19"/>
              <w:ind w:left="24" w:right="15"/>
              <w:jc w:val="left"/>
              <w:rPr>
                <w:rFonts w:ascii="宋体" w:hAnsi="宋体" w:cs="宋体" w:eastAsia="宋体" w:hint="default"/>
                <w:sz w:val="18"/>
                <w:szCs w:val="18"/>
              </w:rPr>
            </w:pPr>
            <w:r>
              <w:rPr>
                <w:rFonts w:ascii="宋体" w:hAnsi="宋体" w:cs="宋体" w:eastAsia="宋体" w:hint="default"/>
                <w:sz w:val="18"/>
                <w:szCs w:val="18"/>
              </w:rPr>
              <w:t>郑琢璞</w:t>
            </w:r>
            <w:r>
              <w:rPr>
                <w:rFonts w:ascii="宋体" w:hAnsi="宋体" w:cs="宋体" w:eastAsia="宋体" w:hint="default"/>
                <w:spacing w:val="1"/>
                <w:sz w:val="18"/>
                <w:szCs w:val="18"/>
              </w:rPr>
              <w:t> </w:t>
            </w:r>
            <w:r>
              <w:rPr>
                <w:rFonts w:ascii="宋体" w:hAnsi="宋体" w:cs="宋体" w:eastAsia="宋体" w:hint="default"/>
                <w:sz w:val="18"/>
                <w:szCs w:val="18"/>
              </w:rPr>
              <w:t>；广发证</w:t>
            </w:r>
            <w:r>
              <w:rPr>
                <w:rFonts w:ascii="宋体" w:hAnsi="宋体" w:cs="宋体" w:eastAsia="宋体" w:hint="default"/>
                <w:sz w:val="18"/>
                <w:szCs w:val="18"/>
              </w:rPr>
              <w:t> 券：惠毓伦；浙商 证券：孟圣；德睿 恒丰：江昕</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7" w:lineRule="auto"/>
              <w:ind w:left="1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介绍公司的发展历程及 主要业务；</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介绍公司与 开联通合作的预付费卡业 </w:t>
            </w:r>
            <w:r>
              <w:rPr>
                <w:rFonts w:ascii="宋体" w:hAnsi="宋体" w:cs="宋体" w:eastAsia="宋体" w:hint="default"/>
                <w:spacing w:val="-7"/>
                <w:sz w:val="18"/>
                <w:szCs w:val="18"/>
              </w:rPr>
              <w:t>务的进展情况；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民生云未</w:t>
            </w:r>
            <w:r>
              <w:rPr>
                <w:rFonts w:ascii="宋体" w:hAnsi="宋体" w:cs="宋体" w:eastAsia="宋体" w:hint="default"/>
                <w:spacing w:val="-82"/>
                <w:sz w:val="18"/>
                <w:szCs w:val="18"/>
              </w:rPr>
              <w:t> </w:t>
            </w:r>
            <w:r>
              <w:rPr>
                <w:rFonts w:ascii="宋体" w:hAnsi="宋体" w:cs="宋体" w:eastAsia="宋体" w:hint="default"/>
                <w:sz w:val="18"/>
                <w:szCs w:val="18"/>
              </w:rPr>
              <w:t>来将采用的盈利模式；</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详细介绍自助一体机的情 况；</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健康云创新中心第 一阶段涉及糖尿病管理的 </w:t>
            </w:r>
            <w:r>
              <w:rPr>
                <w:rFonts w:ascii="宋体" w:hAnsi="宋体" w:cs="宋体" w:eastAsia="宋体" w:hint="default"/>
                <w:spacing w:val="-7"/>
                <w:sz w:val="18"/>
                <w:szCs w:val="18"/>
              </w:rPr>
              <w:t>原因；</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健康云创新中心的</w:t>
            </w:r>
            <w:r>
              <w:rPr>
                <w:rFonts w:ascii="宋体" w:hAnsi="宋体" w:cs="宋体" w:eastAsia="宋体" w:hint="default"/>
                <w:spacing w:val="-82"/>
                <w:sz w:val="18"/>
                <w:szCs w:val="18"/>
              </w:rPr>
              <w:t> </w:t>
            </w:r>
            <w:r>
              <w:rPr>
                <w:rFonts w:ascii="宋体" w:hAnsi="宋体" w:cs="宋体" w:eastAsia="宋体" w:hint="default"/>
                <w:sz w:val="18"/>
                <w:szCs w:val="18"/>
              </w:rPr>
              <w:t>进展情况以及未来的收费 </w:t>
            </w:r>
            <w:r>
              <w:rPr>
                <w:rFonts w:ascii="宋体" w:hAnsi="宋体" w:cs="宋体" w:eastAsia="宋体" w:hint="default"/>
                <w:spacing w:val="-7"/>
                <w:sz w:val="18"/>
                <w:szCs w:val="18"/>
              </w:rPr>
              <w:t>模式；</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其他公司进入健康</w:t>
            </w:r>
            <w:r>
              <w:rPr>
                <w:rFonts w:ascii="宋体" w:hAnsi="宋体" w:cs="宋体" w:eastAsia="宋体" w:hint="default"/>
                <w:spacing w:val="-82"/>
                <w:sz w:val="18"/>
                <w:szCs w:val="18"/>
              </w:rPr>
              <w:t> </w:t>
            </w:r>
            <w:r>
              <w:rPr>
                <w:rFonts w:ascii="宋体" w:hAnsi="宋体" w:cs="宋体" w:eastAsia="宋体" w:hint="default"/>
                <w:sz w:val="18"/>
                <w:szCs w:val="18"/>
              </w:rPr>
              <w:t>管理领域对公司造成的影 响；</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介绍公司出资建设 的山西省人力和社会保障 </w:t>
            </w:r>
            <w:r>
              <w:rPr>
                <w:rFonts w:ascii="宋体" w:hAnsi="宋体" w:cs="宋体" w:eastAsia="宋体" w:hint="default"/>
                <w:spacing w:val="-7"/>
                <w:sz w:val="18"/>
                <w:szCs w:val="18"/>
              </w:rPr>
              <w:t>网上经办平台；</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预计公司</w:t>
            </w:r>
            <w:r>
              <w:rPr>
                <w:rFonts w:ascii="宋体" w:hAnsi="宋体" w:cs="宋体" w:eastAsia="宋体" w:hint="default"/>
                <w:spacing w:val="-82"/>
                <w:sz w:val="18"/>
                <w:szCs w:val="18"/>
              </w:rPr>
              <w:t> </w:t>
            </w:r>
            <w:r>
              <w:rPr>
                <w:rFonts w:ascii="宋体" w:hAnsi="宋体" w:cs="宋体" w:eastAsia="宋体" w:hint="default"/>
                <w:sz w:val="18"/>
                <w:szCs w:val="18"/>
              </w:rPr>
              <w:t>未来的业务情况。</w:t>
            </w:r>
          </w:p>
          <w:p>
            <w:pPr>
              <w:pStyle w:val="TableParagraph"/>
              <w:spacing w:line="1444" w:lineRule="exact"/>
              <w:ind w:left="-8"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pict>
                <v:group style="width:103.95pt;height:72.25pt;mso-position-horizontal-relative:char;mso-position-vertical-relative:line" coordorigin="0,0" coordsize="2079,1445">
                  <v:group style="position:absolute;left:0;top:0;width:2079;height:780" coordorigin="0,0" coordsize="2079,780">
                    <v:shape style="position:absolute;left:0;top:0;width:2079;height:780" coordorigin="0,0" coordsize="2079,780" path="m0,780l2079,780,2079,0,0,0,0,780xe" filled="true" fillcolor="#ffffff" stroked="false">
                      <v:path arrowok="t"/>
                      <v:fill type="solid"/>
                    </v:shape>
                  </v:group>
                  <v:group style="position:absolute;left:24;top:780;width:2031;height:353" coordorigin="24,780" coordsize="2031,353">
                    <v:shape style="position:absolute;left:24;top:780;width:2031;height:353" coordorigin="24,780" coordsize="2031,353" path="m24,1133l2055,1133,2055,780,24,780,24,1133xe" filled="true" fillcolor="#ffffff" stroked="false">
                      <v:path arrowok="t"/>
                      <v:fill type="solid"/>
                    </v:shape>
                  </v:group>
                  <v:group style="position:absolute;left:24;top:1133;width:2031;height:312" coordorigin="24,1133" coordsize="2031,312">
                    <v:shape style="position:absolute;left:24;top:1133;width:2031;height:312" coordorigin="24,1133" coordsize="2031,312" path="m24,1445l2055,1445,2055,1133,24,1133,24,1445xe" filled="true" fillcolor="#ffffff" stroked="false">
                      <v:path arrowok="t"/>
                      <v:fill type="solid"/>
                    </v:shape>
                  </v:group>
                </v:group>
              </w:pict>
            </w:r>
            <w:r>
              <w:rPr>
                <w:rFonts w:ascii="Times New Roman" w:hAnsi="Times New Roman" w:cs="Times New Roman" w:eastAsia="Times New Roman" w:hint="default"/>
                <w:position w:val="-2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1.55pt;height:15.6pt;mso-position-horizontal-relative:char;mso-position-vertical-relative:line" coordorigin="0,0" coordsize="2031,312">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1.55pt;height:15.6pt;mso-position-horizontal-relative:char;mso-position-vertical-relative:line" coordorigin="0,0" coordsize="2031,312">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1.55pt;height:15.65pt;mso-position-horizontal-relative:char;mso-position-vertical-relative:line" coordorigin="0,0" coordsize="2031,313">
                  <v:group style="position:absolute;left:0;top:0;width:2031;height:313" coordorigin="0,0" coordsize="2031,313">
                    <v:shape style="position:absolute;left:0;top:0;width:2031;height:313" coordorigin="0,0" coordsize="2031,313" path="m0,312l2031,312,203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936"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101.55pt;height:46.8pt;mso-position-horizontal-relative:char;mso-position-vertical-relative:line" coordorigin="0,0" coordsize="2031,936">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style="position:absolute;left:0;top:312;width:2031;height:312" coordorigin="0,312" coordsize="2031,312">
                    <v:shape style="position:absolute;left:0;top:312;width:2031;height:312" coordorigin="0,312" coordsize="2031,312" path="m0,624l2031,624,2031,312,0,312,0,624xe" filled="true" fillcolor="#ffffff" stroked="false">
                      <v:path arrowok="t"/>
                      <v:fill type="solid"/>
                    </v:shape>
                  </v:group>
                  <v:group style="position:absolute;left:0;top:624;width:2031;height:312" coordorigin="0,624" coordsize="2031,312">
                    <v:shape style="position:absolute;left:0;top:624;width:2031;height:312" coordorigin="0,624" coordsize="2031,312" path="m0,936l2031,936,2031,624,0,624,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tc>
      </w:tr>
      <w:tr>
        <w:trPr>
          <w:trHeight w:val="602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5"/>
              <w:jc w:val="left"/>
              <w:rPr>
                <w:rFonts w:ascii="宋体" w:hAnsi="宋体" w:cs="宋体" w:eastAsia="宋体" w:hint="default"/>
                <w:sz w:val="18"/>
                <w:szCs w:val="18"/>
              </w:rPr>
            </w:pPr>
            <w:r>
              <w:rPr>
                <w:rFonts w:ascii="宋体" w:hAnsi="宋体" w:cs="宋体" w:eastAsia="宋体" w:hint="default"/>
                <w:sz w:val="18"/>
                <w:szCs w:val="18"/>
              </w:rPr>
              <w:t>普尔投资：朱锋 厦门太武投资：徐 扬升</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307" w:lineRule="auto" w:before="49"/>
              <w:ind w:left="1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介绍公司在各</w:t>
            </w:r>
            <w:r>
              <w:rPr>
                <w:rFonts w:ascii="宋体" w:hAnsi="宋体" w:cs="宋体" w:eastAsia="宋体" w:hint="default"/>
                <w:spacing w:val="-82"/>
                <w:sz w:val="18"/>
                <w:szCs w:val="18"/>
              </w:rPr>
              <w:t> </w:t>
            </w:r>
            <w:r>
              <w:rPr>
                <w:rFonts w:ascii="宋体" w:hAnsi="宋体" w:cs="宋体" w:eastAsia="宋体" w:hint="default"/>
                <w:sz w:val="18"/>
                <w:szCs w:val="18"/>
              </w:rPr>
              <w:t>省社会保障卡业务的具体 </w:t>
            </w:r>
            <w:r>
              <w:rPr>
                <w:rFonts w:ascii="宋体" w:hAnsi="宋体" w:cs="宋体" w:eastAsia="宋体" w:hint="default"/>
                <w:spacing w:val="-7"/>
                <w:sz w:val="18"/>
                <w:szCs w:val="18"/>
              </w:rPr>
              <w:t>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社保卡发放后如何</w:t>
            </w:r>
            <w:r>
              <w:rPr>
                <w:rFonts w:ascii="宋体" w:hAnsi="宋体" w:cs="宋体" w:eastAsia="宋体" w:hint="default"/>
                <w:spacing w:val="-82"/>
                <w:sz w:val="18"/>
                <w:szCs w:val="18"/>
              </w:rPr>
              <w:t> </w:t>
            </w:r>
            <w:r>
              <w:rPr>
                <w:rFonts w:ascii="宋体" w:hAnsi="宋体" w:cs="宋体" w:eastAsia="宋体" w:hint="default"/>
                <w:sz w:val="18"/>
                <w:szCs w:val="18"/>
              </w:rPr>
              <w:t>建立与用户之间的联系； </w:t>
            </w:r>
            <w:r>
              <w:rPr>
                <w:rFonts w:ascii="Times New Roman" w:hAnsi="Times New Roman" w:cs="Times New Roman" w:eastAsia="Times New Roman" w:hint="default"/>
                <w:sz w:val="18"/>
                <w:szCs w:val="18"/>
              </w:rPr>
              <w:t>4.</w:t>
            </w:r>
            <w:r>
              <w:rPr>
                <w:rFonts w:ascii="宋体" w:hAnsi="宋体" w:cs="宋体" w:eastAsia="宋体" w:hint="default"/>
                <w:sz w:val="18"/>
                <w:szCs w:val="18"/>
              </w:rPr>
              <w:t>民生云服务具有包括的 方面；</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山西省人力和社 会保障网上经办平台目前 的进展以及将来的盈利模 式；</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健康云创新中心第 一阶段涉及糖尿病管理的 </w:t>
            </w:r>
            <w:r>
              <w:rPr>
                <w:rFonts w:ascii="宋体" w:hAnsi="宋体" w:cs="宋体" w:eastAsia="宋体" w:hint="default"/>
                <w:spacing w:val="-7"/>
                <w:sz w:val="18"/>
                <w:szCs w:val="18"/>
              </w:rPr>
              <w:t>原因；</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健康管理业务存在</w:t>
            </w:r>
            <w:r>
              <w:rPr>
                <w:rFonts w:ascii="宋体" w:hAnsi="宋体" w:cs="宋体" w:eastAsia="宋体" w:hint="default"/>
                <w:spacing w:val="-82"/>
                <w:sz w:val="18"/>
                <w:szCs w:val="18"/>
              </w:rPr>
              <w:t> </w:t>
            </w:r>
            <w:r>
              <w:rPr>
                <w:rFonts w:ascii="宋体" w:hAnsi="宋体" w:cs="宋体" w:eastAsia="宋体" w:hint="default"/>
                <w:sz w:val="18"/>
                <w:szCs w:val="18"/>
              </w:rPr>
              <w:t>的竞争对手；</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 与开联通合作的预付费卡 业务的进展情况；</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 子公司中职动力的培训业 务；</w:t>
            </w:r>
            <w:r>
              <w:rPr>
                <w:rFonts w:ascii="Times New Roman" w:hAnsi="Times New Roman" w:cs="Times New Roman" w:eastAsia="Times New Roman" w:hint="default"/>
                <w:sz w:val="18"/>
                <w:szCs w:val="18"/>
              </w:rPr>
              <w:t>10.</w:t>
            </w:r>
            <w:r>
              <w:rPr>
                <w:rFonts w:ascii="宋体" w:hAnsi="宋体" w:cs="宋体" w:eastAsia="宋体" w:hint="default"/>
                <w:sz w:val="18"/>
                <w:szCs w:val="18"/>
              </w:rPr>
              <w:t>介绍公司的自助一 体机以及未来的业务情 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1.55pt;height:15.6pt;mso-position-horizontal-relative:char;mso-position-vertical-relative:line" coordorigin="0,0" coordsize="2031,312">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67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华泰证券：刘晓</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介绍公司的发展历程及 主要业务；</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介绍自助一</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24pt;margin-top:71.999985pt;width:479.3pt;height:685.45pt;mso-position-horizontal-relative:page;mso-position-vertical-relative:page;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4107"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17"/>
                          <w:jc w:val="left"/>
                          <w:rPr>
                            <w:rFonts w:ascii="宋体" w:hAnsi="宋体" w:cs="宋体" w:eastAsia="宋体" w:hint="default"/>
                            <w:sz w:val="18"/>
                            <w:szCs w:val="18"/>
                          </w:rPr>
                        </w:pPr>
                        <w:r>
                          <w:rPr>
                            <w:rFonts w:ascii="宋体" w:hAnsi="宋体" w:cs="宋体" w:eastAsia="宋体" w:hint="default"/>
                            <w:spacing w:val="-7"/>
                            <w:sz w:val="18"/>
                            <w:szCs w:val="18"/>
                          </w:rPr>
                          <w:t>体机的情况；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公司如何建</w:t>
                        </w:r>
                        <w:r>
                          <w:rPr>
                            <w:rFonts w:ascii="宋体" w:hAnsi="宋体" w:cs="宋体" w:eastAsia="宋体" w:hint="default"/>
                            <w:spacing w:val="-82"/>
                            <w:sz w:val="18"/>
                            <w:szCs w:val="18"/>
                          </w:rPr>
                          <w:t> </w:t>
                        </w:r>
                        <w:r>
                          <w:rPr>
                            <w:rFonts w:ascii="宋体" w:hAnsi="宋体" w:cs="宋体" w:eastAsia="宋体" w:hint="default"/>
                            <w:sz w:val="18"/>
                            <w:szCs w:val="18"/>
                          </w:rPr>
                          <w:t>立与用户之间的联系；</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介绍公司的民生云服务；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介绍公司与开联通合作 的预付费卡业务的进展情 </w:t>
                        </w:r>
                        <w:r>
                          <w:rPr>
                            <w:rFonts w:ascii="宋体" w:hAnsi="宋体" w:cs="宋体" w:eastAsia="宋体" w:hint="default"/>
                            <w:spacing w:val="-7"/>
                            <w:sz w:val="18"/>
                            <w:szCs w:val="18"/>
                          </w:rPr>
                          <w:t>况；</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健康云创新中心的进</w:t>
                        </w:r>
                        <w:r>
                          <w:rPr>
                            <w:rFonts w:ascii="宋体" w:hAnsi="宋体" w:cs="宋体" w:eastAsia="宋体" w:hint="default"/>
                            <w:spacing w:val="-82"/>
                            <w:sz w:val="18"/>
                            <w:szCs w:val="18"/>
                          </w:rPr>
                          <w:t> </w:t>
                        </w:r>
                        <w:r>
                          <w:rPr>
                            <w:rFonts w:ascii="宋体" w:hAnsi="宋体" w:cs="宋体" w:eastAsia="宋体" w:hint="default"/>
                            <w:sz w:val="18"/>
                            <w:szCs w:val="18"/>
                          </w:rPr>
                          <w:t>展情况以及未来的收费模 式；</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健康云创新中心第 一阶段涉及糖尿病管理的 原因；</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介绍子公司中职 </w:t>
                        </w:r>
                        <w:r>
                          <w:rPr>
                            <w:rFonts w:ascii="宋体" w:hAnsi="宋体" w:cs="宋体" w:eastAsia="宋体" w:hint="default"/>
                            <w:spacing w:val="-7"/>
                            <w:sz w:val="18"/>
                            <w:szCs w:val="18"/>
                          </w:rPr>
                          <w:t>动力的培训业务；</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针对健</w:t>
                        </w:r>
                        <w:r>
                          <w:rPr>
                            <w:rFonts w:ascii="宋体" w:hAnsi="宋体" w:cs="宋体" w:eastAsia="宋体" w:hint="default"/>
                            <w:spacing w:val="-82"/>
                            <w:sz w:val="18"/>
                            <w:szCs w:val="18"/>
                          </w:rPr>
                          <w:t> </w:t>
                        </w:r>
                        <w:r>
                          <w:rPr>
                            <w:rFonts w:ascii="宋体" w:hAnsi="宋体" w:cs="宋体" w:eastAsia="宋体" w:hint="default"/>
                            <w:sz w:val="18"/>
                            <w:szCs w:val="18"/>
                          </w:rPr>
                          <w:t>康云创新中心等项目，公 司人才引进方面的变化。</w:t>
                        </w:r>
                      </w:p>
                    </w:tc>
                  </w:tr>
                  <w:tr>
                    <w:trPr>
                      <w:trHeight w:val="320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22"/>
                          <w:jc w:val="both"/>
                          <w:rPr>
                            <w:rFonts w:ascii="宋体" w:hAnsi="宋体" w:cs="宋体" w:eastAsia="宋体" w:hint="default"/>
                            <w:sz w:val="18"/>
                            <w:szCs w:val="18"/>
                          </w:rPr>
                        </w:pPr>
                        <w:r>
                          <w:rPr>
                            <w:rFonts w:ascii="宋体" w:hAnsi="宋体" w:cs="宋体" w:eastAsia="宋体" w:hint="default"/>
                            <w:sz w:val="18"/>
                            <w:szCs w:val="18"/>
                          </w:rPr>
                          <w:t>方正证券：赵成； 嘉实基金：周龙； 长信基金：沈瑞</w:t>
                        </w:r>
                      </w:p>
                      <w:p>
                        <w:pPr>
                          <w:pStyle w:val="TableParagraph"/>
                          <w:spacing w:line="316" w:lineRule="auto" w:before="19"/>
                          <w:ind w:left="24" w:right="22"/>
                          <w:jc w:val="both"/>
                          <w:rPr>
                            <w:rFonts w:ascii="宋体" w:hAnsi="宋体" w:cs="宋体" w:eastAsia="宋体" w:hint="default"/>
                            <w:sz w:val="18"/>
                            <w:szCs w:val="18"/>
                          </w:rPr>
                        </w:pPr>
                        <w:r>
                          <w:rPr>
                            <w:rFonts w:ascii="宋体" w:hAnsi="宋体" w:cs="宋体" w:eastAsia="宋体" w:hint="default"/>
                            <w:sz w:val="18"/>
                            <w:szCs w:val="18"/>
                          </w:rPr>
                          <w:t>君</w:t>
                        </w:r>
                        <w:r>
                          <w:rPr>
                            <w:rFonts w:ascii="宋体" w:hAnsi="宋体" w:cs="宋体" w:eastAsia="宋体" w:hint="default"/>
                            <w:spacing w:val="6"/>
                            <w:sz w:val="18"/>
                            <w:szCs w:val="18"/>
                          </w:rPr>
                          <w:t> </w:t>
                        </w:r>
                        <w:r>
                          <w:rPr>
                            <w:rFonts w:ascii="宋体" w:hAnsi="宋体" w:cs="宋体" w:eastAsia="宋体" w:hint="default"/>
                            <w:spacing w:val="-14"/>
                            <w:sz w:val="18"/>
                            <w:szCs w:val="18"/>
                          </w:rPr>
                          <w:t>；九泰基金：赵</w:t>
                        </w:r>
                        <w:r>
                          <w:rPr>
                            <w:rFonts w:ascii="宋体" w:hAnsi="宋体" w:cs="宋体" w:eastAsia="宋体" w:hint="default"/>
                            <w:sz w:val="18"/>
                            <w:szCs w:val="18"/>
                          </w:rPr>
                          <w:t> 胜利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山西省人力和社会保障 网上经办平台目前的进展 </w:t>
                        </w:r>
                        <w:r>
                          <w:rPr>
                            <w:rFonts w:ascii="宋体" w:hAnsi="宋体" w:cs="宋体" w:eastAsia="宋体" w:hint="default"/>
                            <w:spacing w:val="-7"/>
                            <w:sz w:val="18"/>
                            <w:szCs w:val="18"/>
                          </w:rPr>
                          <w:t>及人员配置情况；</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介绍健</w:t>
                        </w:r>
                        <w:r>
                          <w:rPr>
                            <w:rFonts w:ascii="宋体" w:hAnsi="宋体" w:cs="宋体" w:eastAsia="宋体" w:hint="default"/>
                            <w:spacing w:val="-82"/>
                            <w:sz w:val="18"/>
                            <w:szCs w:val="18"/>
                          </w:rPr>
                          <w:t> </w:t>
                        </w:r>
                        <w:r>
                          <w:rPr>
                            <w:rFonts w:ascii="宋体" w:hAnsi="宋体" w:cs="宋体" w:eastAsia="宋体" w:hint="default"/>
                            <w:sz w:val="18"/>
                            <w:szCs w:val="18"/>
                          </w:rPr>
                          <w:t>康云创新中心及其进展情 </w:t>
                        </w:r>
                        <w:r>
                          <w:rPr>
                            <w:rFonts w:ascii="宋体" w:hAnsi="宋体" w:cs="宋体" w:eastAsia="宋体" w:hint="default"/>
                            <w:spacing w:val="-7"/>
                            <w:sz w:val="18"/>
                            <w:szCs w:val="18"/>
                          </w:rPr>
                          <w:t>况、收费模式；</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健康管理</w:t>
                        </w:r>
                        <w:r>
                          <w:rPr>
                            <w:rFonts w:ascii="宋体" w:hAnsi="宋体" w:cs="宋体" w:eastAsia="宋体" w:hint="default"/>
                            <w:spacing w:val="-85"/>
                            <w:sz w:val="18"/>
                            <w:szCs w:val="18"/>
                          </w:rPr>
                          <w:t> </w:t>
                        </w:r>
                        <w:r>
                          <w:rPr>
                            <w:rFonts w:ascii="宋体" w:hAnsi="宋体" w:cs="宋体" w:eastAsia="宋体" w:hint="default"/>
                            <w:sz w:val="18"/>
                            <w:szCs w:val="18"/>
                          </w:rPr>
                          <w:t>业务方面公司的主要竞争 </w:t>
                        </w:r>
                        <w:r>
                          <w:rPr>
                            <w:rFonts w:ascii="宋体" w:hAnsi="宋体" w:cs="宋体" w:eastAsia="宋体" w:hint="default"/>
                            <w:spacing w:val="-14"/>
                            <w:sz w:val="18"/>
                            <w:szCs w:val="18"/>
                          </w:rPr>
                          <w:t>优势；</w:t>
                        </w:r>
                        <w:r>
                          <w:rPr>
                            <w:rFonts w:ascii="Times New Roman" w:hAnsi="Times New Roman" w:cs="Times New Roman" w:eastAsia="Times New Roman" w:hint="default"/>
                            <w:spacing w:val="-14"/>
                            <w:sz w:val="18"/>
                            <w:szCs w:val="18"/>
                          </w:rPr>
                          <w:t>4.</w:t>
                        </w:r>
                        <w:r>
                          <w:rPr>
                            <w:rFonts w:ascii="宋体" w:hAnsi="宋体" w:cs="宋体" w:eastAsia="宋体" w:hint="default"/>
                            <w:spacing w:val="-14"/>
                            <w:sz w:val="18"/>
                            <w:szCs w:val="18"/>
                          </w:rPr>
                          <w:t>系统集成、社保卡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自助一体机等业务的进展 </w:t>
                        </w:r>
                        <w:r>
                          <w:rPr>
                            <w:rFonts w:ascii="宋体" w:hAnsi="宋体" w:cs="宋体" w:eastAsia="宋体" w:hint="default"/>
                            <w:spacing w:val="-7"/>
                            <w:sz w:val="18"/>
                            <w:szCs w:val="18"/>
                          </w:rPr>
                          <w:t>情况；</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未来的业务规划以</w:t>
                        </w:r>
                        <w:r>
                          <w:rPr>
                            <w:rFonts w:ascii="宋体" w:hAnsi="宋体" w:cs="宋体" w:eastAsia="宋体" w:hint="default"/>
                            <w:spacing w:val="-82"/>
                            <w:sz w:val="18"/>
                            <w:szCs w:val="18"/>
                          </w:rPr>
                          <w:t> </w:t>
                        </w:r>
                        <w:r>
                          <w:rPr>
                            <w:rFonts w:ascii="宋体" w:hAnsi="宋体" w:cs="宋体" w:eastAsia="宋体" w:hint="default"/>
                            <w:sz w:val="18"/>
                            <w:szCs w:val="18"/>
                          </w:rPr>
                          <w:t>及如何与用户建立联系。</w:t>
                        </w:r>
                      </w:p>
                    </w:tc>
                  </w:tr>
                  <w:tr>
                    <w:trPr>
                      <w:trHeight w:val="383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汇添富基金：翁</w:t>
                        </w:r>
                      </w:p>
                      <w:p>
                        <w:pPr>
                          <w:pStyle w:val="TableParagraph"/>
                          <w:spacing w:line="316"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强</w:t>
                        </w:r>
                        <w:r>
                          <w:rPr>
                            <w:rFonts w:ascii="宋体" w:hAnsi="宋体" w:cs="宋体" w:eastAsia="宋体" w:hint="default"/>
                            <w:spacing w:val="6"/>
                            <w:sz w:val="18"/>
                            <w:szCs w:val="18"/>
                          </w:rPr>
                          <w:t> </w:t>
                        </w:r>
                        <w:r>
                          <w:rPr>
                            <w:rFonts w:ascii="宋体" w:hAnsi="宋体" w:cs="宋体" w:eastAsia="宋体" w:hint="default"/>
                            <w:spacing w:val="-14"/>
                            <w:sz w:val="18"/>
                            <w:szCs w:val="18"/>
                          </w:rPr>
                          <w:t>；璞盈投资：杨</w:t>
                        </w:r>
                        <w:r>
                          <w:rPr>
                            <w:rFonts w:ascii="宋体" w:hAnsi="宋体" w:cs="宋体" w:eastAsia="宋体" w:hint="default"/>
                            <w:sz w:val="18"/>
                            <w:szCs w:val="18"/>
                          </w:rPr>
                          <w:t> 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介绍公司的发展历程及 主要业务；</w:t>
                        </w:r>
                        <w:r>
                          <w:rPr>
                            <w:rFonts w:ascii="Times New Roman" w:hAnsi="Times New Roman" w:cs="Times New Roman" w:eastAsia="Times New Roman" w:hint="default"/>
                            <w:sz w:val="18"/>
                            <w:szCs w:val="18"/>
                          </w:rPr>
                          <w:t>2.2015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年业务 发展的亮点；</w:t>
                        </w:r>
                        <w:r>
                          <w:rPr>
                            <w:rFonts w:ascii="Times New Roman" w:hAnsi="Times New Roman" w:cs="Times New Roman" w:eastAsia="Times New Roman" w:hint="default"/>
                            <w:sz w:val="18"/>
                            <w:szCs w:val="18"/>
                          </w:rPr>
                          <w:t>3.2014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 绩增长的情况；</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健康云 创新中心、山西省人力和 社会保障网上经办平台、 与开联通合作的预付费卡 业务的进展情况；</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健康 云创新中心第一阶段涉及 </w:t>
                        </w:r>
                        <w:r>
                          <w:rPr>
                            <w:rFonts w:ascii="宋体" w:hAnsi="宋体" w:cs="宋体" w:eastAsia="宋体" w:hint="default"/>
                            <w:spacing w:val="-7"/>
                            <w:sz w:val="18"/>
                            <w:szCs w:val="18"/>
                          </w:rPr>
                          <w:t>糖尿病管理的原因；</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公司</w:t>
                        </w:r>
                        <w:r>
                          <w:rPr>
                            <w:rFonts w:ascii="宋体" w:hAnsi="宋体" w:cs="宋体" w:eastAsia="宋体" w:hint="default"/>
                            <w:spacing w:val="-82"/>
                            <w:sz w:val="18"/>
                            <w:szCs w:val="18"/>
                          </w:rPr>
                          <w:t> </w:t>
                        </w:r>
                        <w:r>
                          <w:rPr>
                            <w:rFonts w:ascii="宋体" w:hAnsi="宋体" w:cs="宋体" w:eastAsia="宋体" w:hint="default"/>
                            <w:sz w:val="18"/>
                            <w:szCs w:val="18"/>
                          </w:rPr>
                          <w:t>在教育领域的业务发展情 况。</w:t>
                        </w:r>
                      </w:p>
                    </w:tc>
                  </w:tr>
                  <w:tr>
                    <w:trPr>
                      <w:trHeight w:val="254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华夏基金：彭海伟</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季报利润有所 下降的原因；</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 出资建立的山西省人力和 社会保障网上经办平台； </w:t>
                        </w:r>
                        <w:r>
                          <w:rPr>
                            <w:rFonts w:ascii="Times New Roman" w:hAnsi="Times New Roman" w:cs="Times New Roman" w:eastAsia="Times New Roman" w:hint="default"/>
                            <w:sz w:val="18"/>
                            <w:szCs w:val="18"/>
                          </w:rPr>
                          <w:t>3.</w:t>
                        </w:r>
                        <w:r>
                          <w:rPr>
                            <w:rFonts w:ascii="宋体" w:hAnsi="宋体" w:cs="宋体" w:eastAsia="宋体" w:hint="default"/>
                            <w:sz w:val="18"/>
                            <w:szCs w:val="18"/>
                          </w:rPr>
                          <w:t>详细介绍自助一体机的 情况；</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介绍公司在各省 社会保障卡业务的具体情 </w:t>
                        </w:r>
                        <w:r>
                          <w:rPr>
                            <w:rFonts w:ascii="宋体" w:hAnsi="宋体" w:cs="宋体" w:eastAsia="宋体" w:hint="default"/>
                            <w:spacing w:val="-7"/>
                            <w:sz w:val="18"/>
                            <w:szCs w:val="18"/>
                          </w:rPr>
                          <w:t>况；</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公司在社保卡业务扩</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240" w:lineRule="auto"/>
        <w:ind w:left="0" w:right="153"/>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24pt;margin-top:71.999985pt;width:479.3pt;height:685.45pt;mso-position-horizontal-relative:page;mso-position-vertical-relative:page;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675"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left"/>
                          <w:rPr>
                            <w:rFonts w:ascii="宋体" w:hAnsi="宋体" w:cs="宋体" w:eastAsia="宋体" w:hint="default"/>
                            <w:sz w:val="18"/>
                            <w:szCs w:val="18"/>
                          </w:rPr>
                        </w:pPr>
                        <w:r>
                          <w:rPr>
                            <w:rFonts w:ascii="宋体" w:hAnsi="宋体" w:cs="宋体" w:eastAsia="宋体" w:hint="default"/>
                            <w:spacing w:val="-7"/>
                            <w:sz w:val="18"/>
                            <w:szCs w:val="18"/>
                          </w:rPr>
                          <w:t>展上的考量；</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公司在职业</w:t>
                        </w:r>
                        <w:r>
                          <w:rPr>
                            <w:rFonts w:ascii="宋体" w:hAnsi="宋体" w:cs="宋体" w:eastAsia="宋体" w:hint="default"/>
                            <w:spacing w:val="-82"/>
                            <w:sz w:val="18"/>
                            <w:szCs w:val="18"/>
                          </w:rPr>
                          <w:t> </w:t>
                        </w:r>
                        <w:r>
                          <w:rPr>
                            <w:rFonts w:ascii="宋体" w:hAnsi="宋体" w:cs="宋体" w:eastAsia="宋体" w:hint="default"/>
                            <w:sz w:val="18"/>
                            <w:szCs w:val="18"/>
                          </w:rPr>
                          <w:t>培训方面的规划。</w:t>
                        </w:r>
                      </w:p>
                    </w:tc>
                  </w:tr>
                  <w:tr>
                    <w:trPr>
                      <w:trHeight w:val="570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24" w:right="111"/>
                          <w:jc w:val="left"/>
                          <w:rPr>
                            <w:rFonts w:ascii="宋体" w:hAnsi="宋体" w:cs="宋体" w:eastAsia="宋体" w:hint="default"/>
                            <w:sz w:val="18"/>
                            <w:szCs w:val="18"/>
                          </w:rPr>
                        </w:pPr>
                        <w:r>
                          <w:rPr>
                            <w:rFonts w:ascii="宋体" w:hAnsi="宋体" w:cs="宋体" w:eastAsia="宋体" w:hint="default"/>
                            <w:sz w:val="18"/>
                            <w:szCs w:val="18"/>
                          </w:rPr>
                          <w:t>国信资管：金安 全</w:t>
                        </w:r>
                        <w:r>
                          <w:rPr>
                            <w:rFonts w:ascii="宋体" w:hAnsi="宋体" w:cs="宋体" w:eastAsia="宋体" w:hint="default"/>
                            <w:spacing w:val="1"/>
                            <w:sz w:val="18"/>
                            <w:szCs w:val="18"/>
                          </w:rPr>
                          <w:t> </w:t>
                        </w:r>
                        <w:r>
                          <w:rPr>
                            <w:rFonts w:ascii="宋体" w:hAnsi="宋体" w:cs="宋体" w:eastAsia="宋体" w:hint="default"/>
                            <w:sz w:val="18"/>
                            <w:szCs w:val="18"/>
                          </w:rPr>
                          <w:t>；国泰君安证</w:t>
                        </w:r>
                        <w:r>
                          <w:rPr>
                            <w:rFonts w:ascii="宋体" w:hAnsi="宋体" w:cs="宋体" w:eastAsia="宋体" w:hint="default"/>
                            <w:sz w:val="18"/>
                            <w:szCs w:val="18"/>
                          </w:rPr>
                          <w:t> 券：刘泽晶</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介绍公司的发展历程及 主要业务；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公司系统集 成、社保卡、自助一体机 </w:t>
                        </w:r>
                        <w:r>
                          <w:rPr>
                            <w:rFonts w:ascii="宋体" w:hAnsi="宋体" w:cs="宋体" w:eastAsia="宋体" w:hint="default"/>
                            <w:spacing w:val="-7"/>
                            <w:sz w:val="18"/>
                            <w:szCs w:val="18"/>
                          </w:rPr>
                          <w:t>业务的进展情况；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社保卡</w:t>
                        </w:r>
                        <w:r>
                          <w:rPr>
                            <w:rFonts w:ascii="宋体" w:hAnsi="宋体" w:cs="宋体" w:eastAsia="宋体" w:hint="default"/>
                            <w:spacing w:val="-82"/>
                            <w:sz w:val="18"/>
                            <w:szCs w:val="18"/>
                          </w:rPr>
                          <w:t> </w:t>
                        </w:r>
                        <w:r>
                          <w:rPr>
                            <w:rFonts w:ascii="宋体" w:hAnsi="宋体" w:cs="宋体" w:eastAsia="宋体" w:hint="default"/>
                            <w:sz w:val="18"/>
                            <w:szCs w:val="18"/>
                          </w:rPr>
                          <w:t>业务收入的下降对公司的 </w:t>
                        </w:r>
                        <w:r>
                          <w:rPr>
                            <w:rFonts w:ascii="宋体" w:hAnsi="宋体" w:cs="宋体" w:eastAsia="宋体" w:hint="default"/>
                            <w:spacing w:val="-7"/>
                            <w:sz w:val="18"/>
                            <w:szCs w:val="18"/>
                          </w:rPr>
                          <w:t>影响；</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详细介绍公司自助</w:t>
                        </w:r>
                        <w:r>
                          <w:rPr>
                            <w:rFonts w:ascii="宋体" w:hAnsi="宋体" w:cs="宋体" w:eastAsia="宋体" w:hint="default"/>
                            <w:spacing w:val="-82"/>
                            <w:sz w:val="18"/>
                            <w:szCs w:val="18"/>
                          </w:rPr>
                          <w:t> </w:t>
                        </w:r>
                        <w:r>
                          <w:rPr>
                            <w:rFonts w:ascii="宋体" w:hAnsi="宋体" w:cs="宋体" w:eastAsia="宋体" w:hint="default"/>
                            <w:sz w:val="18"/>
                            <w:szCs w:val="18"/>
                          </w:rPr>
                          <w:t>一体机的情况；</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山西省 人力和社会保障网上经办 </w:t>
                        </w:r>
                        <w:r>
                          <w:rPr>
                            <w:rFonts w:ascii="宋体" w:hAnsi="宋体" w:cs="宋体" w:eastAsia="宋体" w:hint="default"/>
                            <w:spacing w:val="-7"/>
                            <w:sz w:val="18"/>
                            <w:szCs w:val="18"/>
                          </w:rPr>
                          <w:t>平台的进展情况；</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健康云</w:t>
                        </w:r>
                        <w:r>
                          <w:rPr>
                            <w:rFonts w:ascii="宋体" w:hAnsi="宋体" w:cs="宋体" w:eastAsia="宋体" w:hint="default"/>
                            <w:spacing w:val="-82"/>
                            <w:sz w:val="18"/>
                            <w:szCs w:val="18"/>
                          </w:rPr>
                          <w:t> </w:t>
                        </w:r>
                        <w:r>
                          <w:rPr>
                            <w:rFonts w:ascii="宋体" w:hAnsi="宋体" w:cs="宋体" w:eastAsia="宋体" w:hint="default"/>
                            <w:sz w:val="18"/>
                            <w:szCs w:val="18"/>
                          </w:rPr>
                          <w:t>创新中心的进展情况；</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公司在健康管理业务方面 </w:t>
                        </w:r>
                        <w:r>
                          <w:rPr>
                            <w:rFonts w:ascii="宋体" w:hAnsi="宋体" w:cs="宋体" w:eastAsia="宋体" w:hint="default"/>
                            <w:spacing w:val="-7"/>
                            <w:sz w:val="18"/>
                            <w:szCs w:val="18"/>
                          </w:rPr>
                          <w:t>的优势；</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公司中标的三明</w:t>
                        </w:r>
                        <w:r>
                          <w:rPr>
                            <w:rFonts w:ascii="宋体" w:hAnsi="宋体" w:cs="宋体" w:eastAsia="宋体" w:hint="default"/>
                            <w:spacing w:val="-82"/>
                            <w:sz w:val="18"/>
                            <w:szCs w:val="18"/>
                          </w:rPr>
                          <w:t> </w:t>
                        </w:r>
                        <w:r>
                          <w:rPr>
                            <w:rFonts w:ascii="宋体" w:hAnsi="宋体" w:cs="宋体" w:eastAsia="宋体" w:hint="default"/>
                            <w:sz w:val="18"/>
                            <w:szCs w:val="18"/>
                          </w:rPr>
                          <w:t>市民生信息公共服务平台 建设项目的进展情况；</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公司在职业培训方面的规 划；</w:t>
                        </w:r>
                        <w:r>
                          <w:rPr>
                            <w:rFonts w:ascii="Times New Roman" w:hAnsi="Times New Roman" w:cs="Times New Roman" w:eastAsia="Times New Roman" w:hint="default"/>
                            <w:sz w:val="18"/>
                            <w:szCs w:val="18"/>
                          </w:rPr>
                          <w:t>10.</w:t>
                        </w:r>
                        <w:r>
                          <w:rPr>
                            <w:rFonts w:ascii="宋体" w:hAnsi="宋体" w:cs="宋体" w:eastAsia="宋体" w:hint="default"/>
                            <w:sz w:val="18"/>
                            <w:szCs w:val="18"/>
                          </w:rPr>
                          <w:t>公司未来的业务规 划以及如何与用户建立联 系。</w:t>
                        </w:r>
                      </w:p>
                    </w:tc>
                  </w:tr>
                  <w:tr>
                    <w:trPr>
                      <w:trHeight w:val="539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国金证券：宁远贵</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介绍公司的发展历程及 主要业务；</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介绍公司在 各省社会保障卡业务的具 </w:t>
                        </w:r>
                        <w:r>
                          <w:rPr>
                            <w:rFonts w:ascii="宋体" w:hAnsi="宋体" w:cs="宋体" w:eastAsia="宋体" w:hint="default"/>
                            <w:spacing w:val="-7"/>
                            <w:sz w:val="18"/>
                            <w:szCs w:val="18"/>
                          </w:rPr>
                          <w:t>体情况；</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公司社保卡业务</w:t>
                        </w:r>
                        <w:r>
                          <w:rPr>
                            <w:rFonts w:ascii="宋体" w:hAnsi="宋体" w:cs="宋体" w:eastAsia="宋体" w:hint="default"/>
                            <w:spacing w:val="-82"/>
                            <w:sz w:val="18"/>
                            <w:szCs w:val="18"/>
                          </w:rPr>
                          <w:t> </w:t>
                        </w:r>
                        <w:r>
                          <w:rPr>
                            <w:rFonts w:ascii="宋体" w:hAnsi="宋体" w:cs="宋体" w:eastAsia="宋体" w:hint="default"/>
                            <w:sz w:val="18"/>
                            <w:szCs w:val="18"/>
                          </w:rPr>
                          <w:t>的竞争对手；</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公司系统 集成、社保卡、自助一体 机业务的进展情况；</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详 细介绍公司自助一体机的 情况；</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介绍与广西人社 厅签署合作协议的广西人 力资源和社会保障公共服 </w:t>
                        </w:r>
                        <w:r>
                          <w:rPr>
                            <w:rFonts w:ascii="宋体" w:hAnsi="宋体" w:cs="宋体" w:eastAsia="宋体" w:hint="default"/>
                            <w:spacing w:val="-7"/>
                            <w:sz w:val="18"/>
                            <w:szCs w:val="18"/>
                          </w:rPr>
                          <w:t>务平台；</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介绍健康云创新</w:t>
                        </w:r>
                        <w:r>
                          <w:rPr>
                            <w:rFonts w:ascii="宋体" w:hAnsi="宋体" w:cs="宋体" w:eastAsia="宋体" w:hint="default"/>
                            <w:spacing w:val="-82"/>
                            <w:sz w:val="18"/>
                            <w:szCs w:val="18"/>
                          </w:rPr>
                          <w:t> </w:t>
                        </w:r>
                        <w:r>
                          <w:rPr>
                            <w:rFonts w:ascii="宋体" w:hAnsi="宋体" w:cs="宋体" w:eastAsia="宋体" w:hint="default"/>
                            <w:spacing w:val="-7"/>
                            <w:sz w:val="18"/>
                            <w:szCs w:val="18"/>
                          </w:rPr>
                          <w:t>中心的进展情况；</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介绍公</w:t>
                        </w:r>
                        <w:r>
                          <w:rPr>
                            <w:rFonts w:ascii="宋体" w:hAnsi="宋体" w:cs="宋体" w:eastAsia="宋体" w:hint="default"/>
                            <w:spacing w:val="-82"/>
                            <w:sz w:val="18"/>
                            <w:szCs w:val="18"/>
                          </w:rPr>
                          <w:t> </w:t>
                        </w:r>
                        <w:r>
                          <w:rPr>
                            <w:rFonts w:ascii="宋体" w:hAnsi="宋体" w:cs="宋体" w:eastAsia="宋体" w:hint="default"/>
                            <w:sz w:val="18"/>
                            <w:szCs w:val="18"/>
                          </w:rPr>
                          <w:t>司在职业培训方面的规 </w:t>
                        </w:r>
                        <w:r>
                          <w:rPr>
                            <w:rFonts w:ascii="宋体" w:hAnsi="宋体" w:cs="宋体" w:eastAsia="宋体" w:hint="default"/>
                            <w:spacing w:val="-7"/>
                            <w:sz w:val="18"/>
                            <w:szCs w:val="18"/>
                          </w:rPr>
                          <w:t>划；</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介绍公司医疗卫生方</w:t>
                        </w:r>
                        <w:r>
                          <w:rPr>
                            <w:rFonts w:ascii="宋体" w:hAnsi="宋体" w:cs="宋体" w:eastAsia="宋体" w:hint="default"/>
                            <w:spacing w:val="-82"/>
                            <w:sz w:val="18"/>
                            <w:szCs w:val="18"/>
                          </w:rPr>
                          <w:t> </w:t>
                        </w:r>
                        <w:r>
                          <w:rPr>
                            <w:rFonts w:ascii="宋体" w:hAnsi="宋体" w:cs="宋体" w:eastAsia="宋体" w:hint="default"/>
                            <w:sz w:val="18"/>
                            <w:szCs w:val="18"/>
                          </w:rPr>
                          <w:t>面的业务；</w:t>
                        </w:r>
                        <w:r>
                          <w:rPr>
                            <w:rFonts w:ascii="Times New Roman" w:hAnsi="Times New Roman" w:cs="Times New Roman" w:eastAsia="Times New Roman" w:hint="default"/>
                            <w:sz w:val="18"/>
                            <w:szCs w:val="18"/>
                          </w:rPr>
                          <w:t>10.</w:t>
                        </w:r>
                        <w:r>
                          <w:rPr>
                            <w:rFonts w:ascii="宋体" w:hAnsi="宋体" w:cs="宋体" w:eastAsia="宋体" w:hint="default"/>
                            <w:sz w:val="18"/>
                            <w:szCs w:val="18"/>
                          </w:rPr>
                          <w:t>三季报利润</w:t>
                        </w:r>
                        <w:r>
                          <w:rPr>
                            <w:rFonts w:ascii="宋体" w:hAnsi="宋体" w:cs="宋体" w:eastAsia="宋体" w:hint="default"/>
                            <w:spacing w:val="-87"/>
                            <w:sz w:val="18"/>
                            <w:szCs w:val="18"/>
                          </w:rPr>
                          <w:t> </w:t>
                        </w:r>
                        <w:r>
                          <w:rPr>
                            <w:rFonts w:ascii="宋体" w:hAnsi="宋体" w:cs="宋体" w:eastAsia="宋体" w:hint="default"/>
                            <w:sz w:val="18"/>
                            <w:szCs w:val="18"/>
                          </w:rPr>
                          <w:t>有所下降的具体原因。</w:t>
                        </w:r>
                      </w:p>
                    </w:tc>
                  </w:tr>
                  <w:tr>
                    <w:trPr>
                      <w:trHeight w:val="19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5"/>
                          <w:jc w:val="left"/>
                          <w:rPr>
                            <w:rFonts w:ascii="宋体" w:hAnsi="宋体" w:cs="宋体" w:eastAsia="宋体" w:hint="default"/>
                            <w:sz w:val="18"/>
                            <w:szCs w:val="18"/>
                          </w:rPr>
                        </w:pPr>
                        <w:r>
                          <w:rPr>
                            <w:rFonts w:ascii="宋体" w:hAnsi="宋体" w:cs="宋体" w:eastAsia="宋体" w:hint="default"/>
                            <w:sz w:val="18"/>
                            <w:szCs w:val="18"/>
                          </w:rPr>
                          <w:t>兆丰证券： 国泰投信：江宏 儒</w:t>
                        </w:r>
                        <w:r>
                          <w:rPr>
                            <w:rFonts w:ascii="宋体" w:hAnsi="宋体" w:cs="宋体" w:eastAsia="宋体" w:hint="default"/>
                            <w:spacing w:val="5"/>
                            <w:sz w:val="18"/>
                            <w:szCs w:val="18"/>
                          </w:rPr>
                          <w:t> </w:t>
                        </w:r>
                        <w:r>
                          <w:rPr>
                            <w:rFonts w:ascii="宋体" w:hAnsi="宋体" w:cs="宋体" w:eastAsia="宋体" w:hint="default"/>
                            <w:spacing w:val="-14"/>
                            <w:sz w:val="18"/>
                            <w:szCs w:val="18"/>
                          </w:rPr>
                          <w:t>；沛田投资：洪</w:t>
                        </w:r>
                        <w:r>
                          <w:rPr>
                            <w:rFonts w:ascii="宋体" w:hAnsi="宋体" w:cs="宋体" w:eastAsia="宋体" w:hint="default"/>
                            <w:sz w:val="18"/>
                            <w:szCs w:val="18"/>
                          </w:rPr>
                          <w:t> 祥</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307" w:lineRule="auto" w:before="49"/>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介绍公司的发展历程及 主要业务；</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介绍公司在 各省社会保障卡业务的具 </w:t>
                        </w:r>
                        <w:r>
                          <w:rPr>
                            <w:rFonts w:ascii="宋体" w:hAnsi="宋体" w:cs="宋体" w:eastAsia="宋体" w:hint="default"/>
                            <w:spacing w:val="-14"/>
                            <w:sz w:val="18"/>
                            <w:szCs w:val="18"/>
                          </w:rPr>
                          <w:t>体情况；</w:t>
                        </w:r>
                        <w:r>
                          <w:rPr>
                            <w:rFonts w:ascii="Times New Roman" w:hAnsi="Times New Roman" w:cs="Times New Roman" w:eastAsia="Times New Roman" w:hint="default"/>
                            <w:spacing w:val="-14"/>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公司系统集成 社保卡、自助一体机业务 </w:t>
                        </w:r>
                        <w:r>
                          <w:rPr>
                            <w:rFonts w:ascii="宋体" w:hAnsi="宋体" w:cs="宋体" w:eastAsia="宋体" w:hint="default"/>
                            <w:spacing w:val="-7"/>
                            <w:sz w:val="18"/>
                            <w:szCs w:val="18"/>
                          </w:rPr>
                          <w:t>的进展情况；</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社保卡业务</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312" w:lineRule="exact"/>
        <w:ind w:left="766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01.55pt;height:15.6pt;mso-position-horizontal-relative:char;mso-position-vertical-relative:line" coordorigin="0,0" coordsize="2031,312">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5"/>
        <w:rPr>
          <w:rFonts w:ascii="宋体" w:hAnsi="宋体" w:cs="宋体" w:eastAsia="宋体" w:hint="default"/>
          <w:sz w:val="19"/>
          <w:szCs w:val="19"/>
        </w:rPr>
      </w:pPr>
    </w:p>
    <w:p>
      <w:pPr>
        <w:pStyle w:val="BodyText"/>
        <w:spacing w:line="240" w:lineRule="auto" w:before="66"/>
        <w:ind w:left="0" w:right="153"/>
        <w:jc w:val="right"/>
      </w:pPr>
      <w:r>
        <w:rPr/>
        <w:pict>
          <v:shape style="position:absolute;margin-left:397.993011pt;margin-top:-28.308281pt;width:135.9pt;height:15.6pt;mso-position-horizontal-relative:page;mso-position-vertical-relative:paragraph;z-index:-831616" type="#_x0000_t202" filled="false" stroked="false">
            <v:textbox inset="0,0,0,0">
              <w:txbxContent>
                <w:p>
                  <w:pPr>
                    <w:pStyle w:val="BodyText"/>
                    <w:spacing w:line="225" w:lineRule="exact"/>
                    <w:ind w:left="0" w:right="0"/>
                    <w:jc w:val="left"/>
                  </w:pPr>
                  <w:r>
                    <w:rPr/>
                    <w:t>叶秋宜；</w:t>
                  </w: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4107"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收入占比下降对公司的影 </w:t>
            </w:r>
            <w:r>
              <w:rPr>
                <w:rFonts w:ascii="宋体" w:hAnsi="宋体" w:cs="宋体" w:eastAsia="宋体" w:hint="default"/>
                <w:spacing w:val="-7"/>
                <w:sz w:val="18"/>
                <w:szCs w:val="18"/>
              </w:rPr>
              <w:t>响；</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详细介绍自助一体机</w:t>
            </w:r>
            <w:r>
              <w:rPr>
                <w:rFonts w:ascii="宋体" w:hAnsi="宋体" w:cs="宋体" w:eastAsia="宋体" w:hint="default"/>
                <w:spacing w:val="-82"/>
                <w:sz w:val="18"/>
                <w:szCs w:val="18"/>
              </w:rPr>
              <w:t> </w:t>
            </w:r>
            <w:r>
              <w:rPr>
                <w:rFonts w:ascii="宋体" w:hAnsi="宋体" w:cs="宋体" w:eastAsia="宋体" w:hint="default"/>
                <w:spacing w:val="-7"/>
                <w:sz w:val="18"/>
                <w:szCs w:val="18"/>
              </w:rPr>
              <w:t>的情况；</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自助一体机的主</w:t>
            </w:r>
            <w:r>
              <w:rPr>
                <w:rFonts w:ascii="宋体" w:hAnsi="宋体" w:cs="宋体" w:eastAsia="宋体" w:hint="default"/>
                <w:spacing w:val="-82"/>
                <w:sz w:val="18"/>
                <w:szCs w:val="18"/>
              </w:rPr>
              <w:t> </w:t>
            </w:r>
            <w:r>
              <w:rPr>
                <w:rFonts w:ascii="宋体" w:hAnsi="宋体" w:cs="宋体" w:eastAsia="宋体" w:hint="default"/>
                <w:sz w:val="18"/>
                <w:szCs w:val="18"/>
              </w:rPr>
              <w:t>要竞争对手、推广模式、 出资模式；</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介绍与广西 人社厅签署合作协议的广 西人力资源和社会保障公 </w:t>
            </w:r>
            <w:r>
              <w:rPr>
                <w:rFonts w:ascii="宋体" w:hAnsi="宋体" w:cs="宋体" w:eastAsia="宋体" w:hint="default"/>
                <w:spacing w:val="-7"/>
                <w:sz w:val="18"/>
                <w:szCs w:val="18"/>
              </w:rPr>
              <w:t>共服务平台；</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介绍健康云</w:t>
            </w:r>
            <w:r>
              <w:rPr>
                <w:rFonts w:ascii="宋体" w:hAnsi="宋体" w:cs="宋体" w:eastAsia="宋体" w:hint="default"/>
                <w:spacing w:val="-82"/>
                <w:sz w:val="18"/>
                <w:szCs w:val="18"/>
              </w:rPr>
              <w:t> </w:t>
            </w:r>
            <w:r>
              <w:rPr>
                <w:rFonts w:ascii="宋体" w:hAnsi="宋体" w:cs="宋体" w:eastAsia="宋体" w:hint="default"/>
                <w:sz w:val="18"/>
                <w:szCs w:val="18"/>
              </w:rPr>
              <w:t>创新中心的进展情况；</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介绍公司中标的三明市民 生信息公共服务平台建设 项目；</w:t>
            </w:r>
            <w:r>
              <w:rPr>
                <w:rFonts w:ascii="Times New Roman" w:hAnsi="Times New Roman" w:cs="Times New Roman" w:eastAsia="Times New Roman" w:hint="default"/>
                <w:sz w:val="18"/>
                <w:szCs w:val="18"/>
              </w:rPr>
              <w:t>10.</w:t>
            </w:r>
            <w:r>
              <w:rPr>
                <w:rFonts w:ascii="宋体" w:hAnsi="宋体" w:cs="宋体" w:eastAsia="宋体" w:hint="default"/>
                <w:sz w:val="18"/>
                <w:szCs w:val="18"/>
              </w:rPr>
              <w:t>介绍公司与开联 通合作的预付费卡业务。</w:t>
            </w:r>
          </w:p>
        </w:tc>
      </w:tr>
      <w:tr>
        <w:trPr>
          <w:trHeight w:val="4457"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202"/>
              <w:jc w:val="left"/>
              <w:rPr>
                <w:rFonts w:ascii="宋体" w:hAnsi="宋体" w:cs="宋体" w:eastAsia="宋体" w:hint="default"/>
                <w:sz w:val="18"/>
                <w:szCs w:val="18"/>
              </w:rPr>
            </w:pPr>
            <w:r>
              <w:rPr>
                <w:rFonts w:ascii="宋体" w:hAnsi="宋体" w:cs="宋体" w:eastAsia="宋体" w:hint="default"/>
                <w:sz w:val="18"/>
                <w:szCs w:val="18"/>
              </w:rPr>
              <w:t>普林斯特资本管 理：韩冰</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公司发展存在</w:t>
            </w:r>
            <w:r>
              <w:rPr>
                <w:rFonts w:ascii="宋体" w:hAnsi="宋体" w:cs="宋体" w:eastAsia="宋体" w:hint="default"/>
                <w:spacing w:val="-82"/>
                <w:sz w:val="18"/>
                <w:szCs w:val="18"/>
              </w:rPr>
              <w:t> </w:t>
            </w:r>
            <w:r>
              <w:rPr>
                <w:rFonts w:ascii="宋体" w:hAnsi="宋体" w:cs="宋体" w:eastAsia="宋体" w:hint="default"/>
                <w:spacing w:val="-7"/>
                <w:sz w:val="18"/>
                <w:szCs w:val="18"/>
              </w:rPr>
              <w:t>的障碍与不足；</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社保卡在</w:t>
            </w:r>
            <w:r>
              <w:rPr>
                <w:rFonts w:ascii="宋体" w:hAnsi="宋体" w:cs="宋体" w:eastAsia="宋体" w:hint="default"/>
                <w:spacing w:val="-82"/>
                <w:sz w:val="18"/>
                <w:szCs w:val="18"/>
              </w:rPr>
              <w:t> </w:t>
            </w:r>
            <w:r>
              <w:rPr>
                <w:rFonts w:ascii="宋体" w:hAnsi="宋体" w:cs="宋体" w:eastAsia="宋体" w:hint="default"/>
                <w:sz w:val="18"/>
                <w:szCs w:val="18"/>
              </w:rPr>
              <w:t>其他省市业务扩展上的规 </w:t>
            </w:r>
            <w:r>
              <w:rPr>
                <w:rFonts w:ascii="宋体" w:hAnsi="宋体" w:cs="宋体" w:eastAsia="宋体" w:hint="default"/>
                <w:spacing w:val="-7"/>
                <w:sz w:val="18"/>
                <w:szCs w:val="18"/>
              </w:rPr>
              <w:t>划；</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详细介绍公司自助一</w:t>
            </w:r>
            <w:r>
              <w:rPr>
                <w:rFonts w:ascii="宋体" w:hAnsi="宋体" w:cs="宋体" w:eastAsia="宋体" w:hint="default"/>
                <w:spacing w:val="-82"/>
                <w:sz w:val="18"/>
                <w:szCs w:val="18"/>
              </w:rPr>
              <w:t> </w:t>
            </w:r>
            <w:r>
              <w:rPr>
                <w:rFonts w:ascii="宋体" w:hAnsi="宋体" w:cs="宋体" w:eastAsia="宋体" w:hint="default"/>
                <w:sz w:val="18"/>
                <w:szCs w:val="18"/>
              </w:rPr>
              <w:t>体机的情况；</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山西省人 力和社会保障网上经办平 </w:t>
            </w:r>
            <w:r>
              <w:rPr>
                <w:rFonts w:ascii="宋体" w:hAnsi="宋体" w:cs="宋体" w:eastAsia="宋体" w:hint="default"/>
                <w:spacing w:val="-7"/>
                <w:sz w:val="18"/>
                <w:szCs w:val="18"/>
              </w:rPr>
              <w:t>台的进展情况；</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健康云创</w:t>
            </w:r>
            <w:r>
              <w:rPr>
                <w:rFonts w:ascii="宋体" w:hAnsi="宋体" w:cs="宋体" w:eastAsia="宋体" w:hint="default"/>
                <w:spacing w:val="-82"/>
                <w:sz w:val="18"/>
                <w:szCs w:val="18"/>
              </w:rPr>
              <w:t> </w:t>
            </w:r>
            <w:r>
              <w:rPr>
                <w:rFonts w:ascii="宋体" w:hAnsi="宋体" w:cs="宋体" w:eastAsia="宋体" w:hint="default"/>
                <w:sz w:val="18"/>
                <w:szCs w:val="18"/>
              </w:rPr>
              <w:t>新中心的进展情况；</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 绍公司与开联通合作的预 付费卡业务；</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公司系统 集成、社保卡、自助一体 </w:t>
            </w:r>
            <w:r>
              <w:rPr>
                <w:rFonts w:ascii="宋体" w:hAnsi="宋体" w:cs="宋体" w:eastAsia="宋体" w:hint="default"/>
                <w:spacing w:val="-7"/>
                <w:sz w:val="18"/>
                <w:szCs w:val="18"/>
              </w:rPr>
              <w:t>机业务的进展情况；</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公司</w:t>
            </w:r>
            <w:r>
              <w:rPr>
                <w:rFonts w:ascii="宋体" w:hAnsi="宋体" w:cs="宋体" w:eastAsia="宋体" w:hint="default"/>
                <w:spacing w:val="-82"/>
                <w:sz w:val="18"/>
                <w:szCs w:val="18"/>
              </w:rPr>
              <w:t> </w:t>
            </w:r>
            <w:r>
              <w:rPr>
                <w:rFonts w:ascii="宋体" w:hAnsi="宋体" w:cs="宋体" w:eastAsia="宋体" w:hint="default"/>
                <w:sz w:val="18"/>
                <w:szCs w:val="18"/>
              </w:rPr>
              <w:t>未来业务发展的亮点。</w:t>
            </w:r>
          </w:p>
        </w:tc>
      </w:tr>
      <w:tr>
        <w:trPr>
          <w:trHeight w:val="446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4" w:right="22"/>
              <w:jc w:val="both"/>
              <w:rPr>
                <w:rFonts w:ascii="宋体" w:hAnsi="宋体" w:cs="宋体" w:eastAsia="宋体" w:hint="default"/>
                <w:sz w:val="18"/>
                <w:szCs w:val="18"/>
              </w:rPr>
            </w:pPr>
            <w:r>
              <w:rPr>
                <w:rFonts w:ascii="宋体" w:hAnsi="宋体" w:cs="宋体" w:eastAsia="宋体" w:hint="default"/>
                <w:sz w:val="18"/>
                <w:szCs w:val="18"/>
              </w:rPr>
              <w:t>融通基金：郭鹏； 个人投资者：易修 群</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详细介绍公司</w:t>
            </w:r>
            <w:r>
              <w:rPr>
                <w:rFonts w:ascii="宋体" w:hAnsi="宋体" w:cs="宋体" w:eastAsia="宋体" w:hint="default"/>
                <w:spacing w:val="-82"/>
                <w:sz w:val="18"/>
                <w:szCs w:val="18"/>
              </w:rPr>
              <w:t> </w:t>
            </w:r>
            <w:r>
              <w:rPr>
                <w:rFonts w:ascii="宋体" w:hAnsi="宋体" w:cs="宋体" w:eastAsia="宋体" w:hint="default"/>
                <w:sz w:val="18"/>
                <w:szCs w:val="18"/>
              </w:rPr>
              <w:t>自助一体机的出资模式、 推广情况；</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健康云创新 中心的进展情况；</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山西 省人力和社会保障网上经 办平台的进展情况；</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 司系统集成、社保卡、自 助一体机业务的进展情 况；</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介绍公司与开联通 合作的预付费卡业务；</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公司发展存在的不足和障 </w:t>
            </w:r>
            <w:r>
              <w:rPr>
                <w:rFonts w:ascii="宋体" w:hAnsi="宋体" w:cs="宋体" w:eastAsia="宋体" w:hint="default"/>
                <w:spacing w:val="-7"/>
                <w:sz w:val="18"/>
                <w:szCs w:val="18"/>
              </w:rPr>
              <w:t>碍；</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公司未来业务发展的</w:t>
            </w:r>
            <w:r>
              <w:rPr>
                <w:rFonts w:ascii="宋体" w:hAnsi="宋体" w:cs="宋体" w:eastAsia="宋体" w:hint="default"/>
                <w:spacing w:val="-82"/>
                <w:sz w:val="18"/>
                <w:szCs w:val="18"/>
              </w:rPr>
              <w:t> </w:t>
            </w:r>
            <w:r>
              <w:rPr>
                <w:rFonts w:ascii="宋体" w:hAnsi="宋体" w:cs="宋体" w:eastAsia="宋体" w:hint="default"/>
                <w:sz w:val="18"/>
                <w:szCs w:val="18"/>
              </w:rPr>
              <w:t>亮点。</w:t>
            </w:r>
          </w:p>
        </w:tc>
      </w:tr>
      <w:tr>
        <w:trPr>
          <w:trHeight w:val="67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大成基金：郝蕾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介绍公司的发展历程及 主要业务；</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健康云创新</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97.993011pt;margin-top:233.059982pt;width:135.9pt;height:15.6pt;mso-position-horizontal-relative:page;mso-position-vertical-relative:page;z-index:-831544" type="#_x0000_t202" filled="false" stroked="false">
            <v:textbox inset="0,0,0,0">
              <w:txbxContent>
                <w:p>
                  <w:pPr>
                    <w:pStyle w:val="BodyText"/>
                    <w:spacing w:line="240" w:lineRule="auto" w:before="8"/>
                    <w:ind w:left="0" w:right="0"/>
                    <w:jc w:val="left"/>
                  </w:pPr>
                  <w:r>
                    <w:rPr/>
                    <w:t>黄斐玉、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1611"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7"/>
              <w:jc w:val="both"/>
              <w:rPr>
                <w:rFonts w:ascii="宋体" w:hAnsi="宋体" w:cs="宋体" w:eastAsia="宋体" w:hint="default"/>
                <w:sz w:val="18"/>
                <w:szCs w:val="18"/>
              </w:rPr>
            </w:pPr>
            <w:r>
              <w:rPr>
                <w:rFonts w:ascii="宋体" w:hAnsi="宋体" w:cs="宋体" w:eastAsia="宋体" w:hint="default"/>
                <w:sz w:val="18"/>
                <w:szCs w:val="18"/>
              </w:rPr>
              <w:t>中心的进展情况；</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 公司与开联通合作的预付 </w:t>
            </w:r>
            <w:r>
              <w:rPr>
                <w:rFonts w:ascii="宋体" w:hAnsi="宋体" w:cs="宋体" w:eastAsia="宋体" w:hint="default"/>
                <w:spacing w:val="-7"/>
                <w:sz w:val="18"/>
                <w:szCs w:val="18"/>
              </w:rPr>
              <w:t>费卡业务；</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公司在健康管</w:t>
            </w:r>
            <w:r>
              <w:rPr>
                <w:rFonts w:ascii="宋体" w:hAnsi="宋体" w:cs="宋体" w:eastAsia="宋体" w:hint="default"/>
                <w:spacing w:val="-82"/>
                <w:sz w:val="18"/>
                <w:szCs w:val="18"/>
              </w:rPr>
              <w:t> </w:t>
            </w:r>
            <w:r>
              <w:rPr>
                <w:rFonts w:ascii="宋体" w:hAnsi="宋体" w:cs="宋体" w:eastAsia="宋体" w:hint="default"/>
                <w:sz w:val="18"/>
                <w:szCs w:val="18"/>
              </w:rPr>
              <w:t>理领域的主要业务优势； </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公司未来的发展亮点。</w:t>
            </w:r>
          </w:p>
        </w:tc>
      </w:tr>
      <w:tr>
        <w:trPr>
          <w:trHeight w:val="383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4" w:right="195"/>
              <w:jc w:val="left"/>
              <w:rPr>
                <w:rFonts w:ascii="宋体" w:hAnsi="宋体" w:cs="宋体" w:eastAsia="宋体" w:hint="default"/>
                <w:sz w:val="18"/>
                <w:szCs w:val="18"/>
              </w:rPr>
            </w:pPr>
            <w:r>
              <w:rPr>
                <w:rFonts w:ascii="宋体" w:hAnsi="宋体" w:cs="宋体" w:eastAsia="宋体" w:hint="default"/>
                <w:sz w:val="18"/>
                <w:szCs w:val="18"/>
              </w:rPr>
              <w:t>招商证券： 唐牧嘉、刘逸飞</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307" w:lineRule="auto" w:before="49"/>
              <w:ind w:left="1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介绍公司的发展历程及 </w:t>
            </w:r>
            <w:r>
              <w:rPr>
                <w:rFonts w:ascii="宋体" w:hAnsi="宋体" w:cs="宋体" w:eastAsia="宋体" w:hint="default"/>
                <w:spacing w:val="-7"/>
                <w:sz w:val="18"/>
                <w:szCs w:val="18"/>
              </w:rPr>
              <w:t>主要业务；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介绍公司的健</w:t>
            </w:r>
            <w:r>
              <w:rPr>
                <w:rFonts w:ascii="宋体" w:hAnsi="宋体" w:cs="宋体" w:eastAsia="宋体" w:hint="default"/>
                <w:spacing w:val="-82"/>
                <w:sz w:val="18"/>
                <w:szCs w:val="18"/>
              </w:rPr>
              <w:t> </w:t>
            </w:r>
            <w:r>
              <w:rPr>
                <w:rFonts w:ascii="宋体" w:hAnsi="宋体" w:cs="宋体" w:eastAsia="宋体" w:hint="default"/>
                <w:sz w:val="18"/>
                <w:szCs w:val="18"/>
              </w:rPr>
              <w:t>康管理服务及未来的收费 模式；</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公司在健康管理 领域的主要业务优势；</w:t>
            </w:r>
            <w:r>
              <w:rPr>
                <w:rFonts w:ascii="Times New Roman" w:hAnsi="Times New Roman" w:cs="Times New Roman" w:eastAsia="Times New Roman" w:hint="default"/>
                <w:sz w:val="18"/>
                <w:szCs w:val="18"/>
              </w:rPr>
              <w:t>4. </w:t>
            </w:r>
            <w:r>
              <w:rPr>
                <w:rFonts w:ascii="宋体" w:hAnsi="宋体" w:cs="宋体" w:eastAsia="宋体" w:hint="default"/>
                <w:sz w:val="18"/>
                <w:szCs w:val="18"/>
              </w:rPr>
              <w:t>山西省人力和社会保障网 上经办平台的进展情况；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介绍公司与开联通合作 的预付费卡业务；</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 子公司中职动力的培训业 </w:t>
            </w:r>
            <w:r>
              <w:rPr>
                <w:rFonts w:ascii="宋体" w:hAnsi="宋体" w:cs="宋体" w:eastAsia="宋体" w:hint="default"/>
                <w:spacing w:val="-7"/>
                <w:sz w:val="18"/>
                <w:szCs w:val="18"/>
              </w:rPr>
              <w:t>务；</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公司近两年业务发展</w:t>
            </w:r>
            <w:r>
              <w:rPr>
                <w:rFonts w:ascii="宋体" w:hAnsi="宋体" w:cs="宋体" w:eastAsia="宋体" w:hint="default"/>
                <w:spacing w:val="-82"/>
                <w:sz w:val="18"/>
                <w:szCs w:val="18"/>
              </w:rPr>
              <w:t> </w:t>
            </w:r>
            <w:r>
              <w:rPr>
                <w:rFonts w:ascii="宋体" w:hAnsi="宋体" w:cs="宋体" w:eastAsia="宋体" w:hint="default"/>
                <w:sz w:val="18"/>
                <w:szCs w:val="18"/>
              </w:rPr>
              <w:t>的亮点。</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2" w:lineRule="exact"/>
              <w:ind w:left="16"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1.55pt;height:15.6pt;mso-position-horizontal-relative:char;mso-position-vertical-relative:line" coordorigin="0,0" coordsize="2031,312">
                  <v:group style="position:absolute;left:0;top:0;width:2031;height:312" coordorigin="0,0" coordsize="2031,312">
                    <v:shape style="position:absolute;left:0;top:0;width:2031;height:312" coordorigin="0,0" coordsize="2031,312" path="m0,312l2031,312,2031,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tc>
      </w:tr>
      <w:tr>
        <w:trPr>
          <w:trHeight w:val="383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22"/>
              <w:jc w:val="left"/>
              <w:rPr>
                <w:rFonts w:ascii="宋体" w:hAnsi="宋体" w:cs="宋体" w:eastAsia="宋体" w:hint="default"/>
                <w:sz w:val="18"/>
                <w:szCs w:val="18"/>
              </w:rPr>
            </w:pPr>
            <w:r>
              <w:rPr>
                <w:rFonts w:ascii="宋体" w:hAnsi="宋体" w:cs="宋体" w:eastAsia="宋体" w:hint="default"/>
                <w:sz w:val="18"/>
                <w:szCs w:val="18"/>
              </w:rPr>
              <w:t>银华基金：王斌； 华创证券：李虹蓉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介绍公司在职业培训方 面的规划；</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山西省人力 和社会保障网上经办平台 的进展情况；</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介绍公司 与开联通合作的预付费卡 </w:t>
            </w:r>
            <w:r>
              <w:rPr>
                <w:rFonts w:ascii="宋体" w:hAnsi="宋体" w:cs="宋体" w:eastAsia="宋体" w:hint="default"/>
                <w:spacing w:val="-7"/>
                <w:sz w:val="18"/>
                <w:szCs w:val="18"/>
              </w:rPr>
              <w:t>业务；</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公司在各省社保卡</w:t>
            </w:r>
            <w:r>
              <w:rPr>
                <w:rFonts w:ascii="宋体" w:hAnsi="宋体" w:cs="宋体" w:eastAsia="宋体" w:hint="default"/>
                <w:spacing w:val="-82"/>
                <w:sz w:val="18"/>
                <w:szCs w:val="18"/>
              </w:rPr>
              <w:t> </w:t>
            </w:r>
            <w:r>
              <w:rPr>
                <w:rFonts w:ascii="宋体" w:hAnsi="宋体" w:cs="宋体" w:eastAsia="宋体" w:hint="default"/>
                <w:spacing w:val="-7"/>
                <w:sz w:val="18"/>
                <w:szCs w:val="18"/>
              </w:rPr>
              <w:t>业务的具体情况；</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详细介</w:t>
            </w:r>
            <w:r>
              <w:rPr>
                <w:rFonts w:ascii="宋体" w:hAnsi="宋体" w:cs="宋体" w:eastAsia="宋体" w:hint="default"/>
                <w:spacing w:val="-82"/>
                <w:sz w:val="18"/>
                <w:szCs w:val="18"/>
              </w:rPr>
              <w:t> </w:t>
            </w:r>
            <w:r>
              <w:rPr>
                <w:rFonts w:ascii="宋体" w:hAnsi="宋体" w:cs="宋体" w:eastAsia="宋体" w:hint="default"/>
                <w:sz w:val="18"/>
                <w:szCs w:val="18"/>
              </w:rPr>
              <w:t>绍公司自助一体机的情 </w:t>
            </w:r>
            <w:r>
              <w:rPr>
                <w:rFonts w:ascii="宋体" w:hAnsi="宋体" w:cs="宋体" w:eastAsia="宋体" w:hint="default"/>
                <w:spacing w:val="-7"/>
                <w:sz w:val="18"/>
                <w:szCs w:val="18"/>
              </w:rPr>
              <w:t>况；</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介绍公司的健康管理</w:t>
            </w:r>
            <w:r>
              <w:rPr>
                <w:rFonts w:ascii="宋体" w:hAnsi="宋体" w:cs="宋体" w:eastAsia="宋体" w:hint="default"/>
                <w:spacing w:val="-82"/>
                <w:sz w:val="18"/>
                <w:szCs w:val="18"/>
              </w:rPr>
              <w:t> </w:t>
            </w:r>
            <w:r>
              <w:rPr>
                <w:rFonts w:ascii="宋体" w:hAnsi="宋体" w:cs="宋体" w:eastAsia="宋体" w:hint="default"/>
                <w:sz w:val="18"/>
                <w:szCs w:val="18"/>
              </w:rPr>
              <w:t>服务及未来的盈利模式； </w:t>
            </w:r>
            <w:r>
              <w:rPr>
                <w:rFonts w:ascii="Times New Roman" w:hAnsi="Times New Roman" w:cs="Times New Roman" w:eastAsia="Times New Roman" w:hint="default"/>
                <w:sz w:val="18"/>
                <w:szCs w:val="18"/>
              </w:rPr>
              <w:t>7.</w:t>
            </w:r>
            <w:r>
              <w:rPr>
                <w:rFonts w:ascii="宋体" w:hAnsi="宋体" w:cs="宋体" w:eastAsia="宋体" w:hint="default"/>
                <w:sz w:val="18"/>
                <w:szCs w:val="18"/>
              </w:rPr>
              <w:t>公司未来业务发展的亮 点。</w:t>
            </w:r>
          </w:p>
        </w:tc>
      </w:tr>
    </w:tbl>
    <w:p>
      <w:pPr>
        <w:spacing w:after="0" w:line="30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32"/>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3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公司报告期不存在上市公司发生控股股东及其关联方非经营性占用资金情况。</w:t>
      </w:r>
    </w:p>
    <w:p>
      <w:pPr>
        <w:pStyle w:val="BodyText"/>
        <w:spacing w:line="240" w:lineRule="auto" w:before="41"/>
        <w:ind w:left="513" w:right="0"/>
        <w:jc w:val="left"/>
      </w:pPr>
      <w:r>
        <w:rPr/>
        <w:t>注册会计师对公司资金占用的专项审核意见详见公司与</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年度报告同日披露在中国证监会指定信息披露网站上的</w:t>
      </w:r>
    </w:p>
    <w:p>
      <w:pPr>
        <w:pStyle w:val="BodyText"/>
        <w:spacing w:line="240" w:lineRule="auto" w:before="63"/>
        <w:ind w:right="0"/>
        <w:jc w:val="left"/>
      </w:pPr>
      <w:r>
        <w:rPr/>
        <w:t>《关于公司控股股东及其他关联方占用资金情况的专项说明》。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67"/>
        <w:jc w:val="right"/>
      </w:pPr>
      <w:r>
        <w:rPr/>
        <w:pict>
          <v:shape style="position:absolute;margin-left:231.889999pt;margin-top:63.261719pt;width:84.15pt;height:20pt;mso-position-horizontal-relative:page;mso-position-vertical-relative:paragraph;z-index:-831496"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ind w:left="0" w:right="0"/>
                    <w:jc w:val="left"/>
                  </w:pPr>
                  <w:r>
                    <w:rPr/>
                    <w:t>务连续性、</w:t>
                  </w:r>
                </w:p>
              </w:txbxContent>
            </v:textbox>
            <w10:wrap type="none"/>
          </v:shape>
        </w:pict>
      </w:r>
      <w:r>
        <w:rPr/>
        <w:pict>
          <v:shape style="position:absolute;margin-left:56.424pt;margin-top:-98.768265pt;width:479.05pt;height:272.7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69"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4"/>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160" w:right="68"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4"/>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8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福州实达 医疗系统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23" w:right="98"/>
                          <w:jc w:val="both"/>
                          <w:rPr>
                            <w:rFonts w:ascii="宋体" w:hAnsi="宋体" w:cs="宋体" w:eastAsia="宋体" w:hint="default"/>
                            <w:sz w:val="18"/>
                            <w:szCs w:val="18"/>
                          </w:rPr>
                        </w:pPr>
                        <w:r>
                          <w:rPr>
                            <w:rFonts w:ascii="宋体" w:hAnsi="宋体" w:cs="宋体" w:eastAsia="宋体" w:hint="default"/>
                            <w:sz w:val="18"/>
                            <w:szCs w:val="18"/>
                          </w:rPr>
                          <w:t>安徽易联 众信息技 术有限公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 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所涉及的 资产产权 已全部过 </w:t>
                        </w:r>
                        <w:r>
                          <w:rPr>
                            <w:rFonts w:ascii="宋体" w:hAnsi="宋体" w:cs="宋体" w:eastAsia="宋体" w:hint="default"/>
                            <w:spacing w:val="-18"/>
                            <w:sz w:val="18"/>
                            <w:szCs w:val="18"/>
                          </w:rPr>
                          <w:t>户，所涉及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的债权债 务已全部 转移</w:t>
                        </w:r>
                      </w:p>
                    </w:tc>
                    <w:tc>
                      <w:tcPr>
                        <w:tcW w:w="8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收购事项 对公司业</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管理层稳 定性无影 响</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316" w:lineRule="auto"/>
                          <w:ind w:left="11" w:right="113"/>
                          <w:jc w:val="both"/>
                          <w:rPr>
                            <w:rFonts w:ascii="宋体" w:hAnsi="宋体" w:cs="宋体" w:eastAsia="宋体" w:hint="default"/>
                            <w:sz w:val="18"/>
                            <w:szCs w:val="18"/>
                          </w:rPr>
                        </w:pPr>
                        <w:r>
                          <w:rPr>
                            <w:rFonts w:ascii="宋体" w:hAnsi="宋体" w:cs="宋体" w:eastAsia="宋体" w:hint="default"/>
                            <w:sz w:val="18"/>
                            <w:szCs w:val="18"/>
                          </w:rPr>
                          <w:t>自购买日 起至报告 期末为上 市公司贡 献净利润</w:t>
                        </w:r>
                      </w:p>
                      <w:p>
                        <w:pPr>
                          <w:pStyle w:val="TableParagraph"/>
                          <w:spacing w:line="300" w:lineRule="auto" w:before="19"/>
                          <w:ind w:left="11"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159.03 </w:t>
                        </w:r>
                        <w:r>
                          <w:rPr>
                            <w:rFonts w:ascii="宋体" w:hAnsi="宋体" w:cs="宋体" w:eastAsia="宋体" w:hint="default"/>
                            <w:sz w:val="18"/>
                            <w:szCs w:val="18"/>
                          </w:rPr>
                          <w:t>万 元</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2014-031</w:t>
                        </w:r>
                      </w:p>
                      <w:p>
                        <w:pPr>
                          <w:pStyle w:val="TableParagraph"/>
                          <w:spacing w:line="316"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；公告名 </w:t>
                        </w:r>
                        <w:r>
                          <w:rPr>
                            <w:rFonts w:ascii="宋体" w:hAnsi="宋体" w:cs="宋体" w:eastAsia="宋体" w:hint="default"/>
                            <w:spacing w:val="-18"/>
                            <w:sz w:val="18"/>
                            <w:szCs w:val="18"/>
                          </w:rPr>
                          <w:t>称：《关于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收购安徽 易联众信 息技术有 限公司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的公告》 公告披露</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312" w:lineRule="exact"/>
        <w:ind w:left="452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0.7pt;height:15.6pt;mso-position-horizontal-relative:char;mso-position-vertical-relative:line" coordorigin="0,0" coordsize="814,312">
            <v:group style="position:absolute;left:0;top:0;width:814;height:312" coordorigin="0,0" coordsize="814,312">
              <v:shape style="position:absolute;left:0;top:0;width:814;height:312" coordorigin="0,0" coordsize="814,312" path="m0,312l814,312,814,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44"/>
        <w:ind w:left="0" w:right="167"/>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611"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3"/>
              <w:jc w:val="left"/>
              <w:rPr>
                <w:rFonts w:ascii="宋体" w:hAnsi="宋体" w:cs="宋体" w:eastAsia="宋体" w:hint="default"/>
                <w:sz w:val="18"/>
                <w:szCs w:val="18"/>
              </w:rPr>
            </w:pPr>
            <w:r>
              <w:rPr>
                <w:rFonts w:ascii="宋体" w:hAnsi="宋体" w:cs="宋体" w:eastAsia="宋体" w:hint="default"/>
                <w:spacing w:val="-18"/>
                <w:sz w:val="18"/>
                <w:szCs w:val="18"/>
              </w:rPr>
              <w:t>的网站：巨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潮资讯网</w:t>
            </w:r>
          </w:p>
          <w:p>
            <w:pPr>
              <w:pStyle w:val="TableParagraph"/>
              <w:spacing w:line="362" w:lineRule="auto" w:before="59"/>
              <w:ind w:left="23" w:right="77"/>
              <w:jc w:val="left"/>
              <w:rPr>
                <w:rFonts w:ascii="Times New Roman" w:hAnsi="Times New Roman" w:cs="Times New Roman" w:eastAsia="Times New Roman" w:hint="default"/>
                <w:sz w:val="18"/>
                <w:szCs w:val="18"/>
              </w:rPr>
            </w:pPr>
            <w:hyperlink r:id="rId15">
              <w:r>
                <w:rPr>
                  <w:rFonts w:ascii="Times New Roman"/>
                  <w:sz w:val="18"/>
                </w:rPr>
                <w:t>http://ww</w:t>
              </w:r>
            </w:hyperlink>
            <w:r>
              <w:rPr>
                <w:rFonts w:ascii="Times New Roman"/>
                <w:w w:val="99"/>
                <w:sz w:val="18"/>
              </w:rPr>
              <w:t> </w:t>
            </w:r>
            <w:r>
              <w:rPr>
                <w:rFonts w:ascii="Times New Roman"/>
                <w:sz w:val="18"/>
              </w:rPr>
              <w:t>w.cninfo.c</w:t>
            </w:r>
            <w:r>
              <w:rPr>
                <w:rFonts w:ascii="Times New Roman"/>
                <w:sz w:val="18"/>
              </w:rPr>
              <w:t> om.cn</w:t>
            </w:r>
          </w:p>
        </w:tc>
      </w:tr>
    </w:tbl>
    <w:p>
      <w:pPr>
        <w:pStyle w:val="BodyText"/>
        <w:spacing w:line="240" w:lineRule="auto" w:before="49"/>
        <w:ind w:right="0"/>
        <w:jc w:val="left"/>
      </w:pPr>
      <w:r>
        <w:rPr/>
        <w:t>收购资产情况说明</w:t>
      </w:r>
    </w:p>
    <w:p>
      <w:pPr>
        <w:pStyle w:val="BodyText"/>
        <w:spacing w:line="316" w:lineRule="auto" w:before="115"/>
        <w:ind w:right="151" w:firstLine="360"/>
        <w:jc w:val="both"/>
      </w:pPr>
      <w:r>
        <w:rPr>
          <w:rFonts w:ascii="宋体" w:hAnsi="宋体" w:cs="宋体" w:eastAsia="宋体" w:hint="default"/>
        </w:rPr>
        <w:t>2014</w:t>
      </w:r>
      <w:r>
        <w:rPr>
          <w:rFonts w:ascii="宋体" w:hAnsi="宋体" w:cs="宋体" w:eastAsia="宋体" w:hint="default"/>
          <w:spacing w:val="-44"/>
        </w:rPr>
        <w:t> </w:t>
      </w:r>
      <w:r>
        <w:rPr/>
        <w:t>年</w:t>
      </w:r>
      <w:r>
        <w:rPr>
          <w:spacing w:val="-48"/>
        </w:rPr>
        <w:t> </w:t>
      </w:r>
      <w:r>
        <w:rPr>
          <w:rFonts w:ascii="宋体" w:hAnsi="宋体" w:cs="宋体" w:eastAsia="宋体" w:hint="default"/>
        </w:rPr>
        <w:t>8</w:t>
      </w:r>
      <w:r>
        <w:rPr>
          <w:rFonts w:ascii="宋体" w:hAnsi="宋体" w:cs="宋体" w:eastAsia="宋体" w:hint="default"/>
          <w:spacing w:val="-45"/>
        </w:rPr>
        <w:t> </w:t>
      </w:r>
      <w:r>
        <w:rPr/>
        <w:t>月</w:t>
      </w:r>
      <w:r>
        <w:rPr>
          <w:spacing w:val="-48"/>
        </w:rPr>
        <w:t> </w:t>
      </w:r>
      <w:r>
        <w:rPr>
          <w:rFonts w:ascii="宋体" w:hAnsi="宋体" w:cs="宋体" w:eastAsia="宋体" w:hint="default"/>
        </w:rPr>
        <w:t>4</w:t>
      </w:r>
      <w:r>
        <w:rPr>
          <w:rFonts w:ascii="宋体" w:hAnsi="宋体" w:cs="宋体" w:eastAsia="宋体" w:hint="default"/>
          <w:spacing w:val="-45"/>
        </w:rPr>
        <w:t> </w:t>
      </w:r>
      <w:r>
        <w:rPr/>
        <w:t>日，公司就受让福州实达医疗系统有限公司（以下简称“实达医疗”）持有的安徽易联众信息技术有限 公司（简称“安徽易联众”）</w:t>
      </w:r>
      <w:r>
        <w:rPr>
          <w:rFonts w:ascii="宋体" w:hAnsi="宋体" w:cs="宋体" w:eastAsia="宋体" w:hint="default"/>
        </w:rPr>
        <w:t>25%</w:t>
      </w:r>
      <w:r>
        <w:rPr/>
        <w:t>股权签署了《福州实达医疗系统有限公司与易联众信息技术股份有限公司关于安徽易联众 </w:t>
      </w:r>
      <w:r>
        <w:rPr>
          <w:spacing w:val="-2"/>
        </w:rPr>
        <w:t>信息技术有限公司之股权转让协议》。依据协议，公司以现金方式受让实达医疗持有的安徽易联众</w:t>
      </w:r>
      <w:r>
        <w:rPr>
          <w:spacing w:val="12"/>
        </w:rPr>
        <w:t> </w:t>
      </w:r>
      <w:r>
        <w:rPr>
          <w:rFonts w:ascii="宋体" w:hAnsi="宋体" w:cs="宋体" w:eastAsia="宋体" w:hint="default"/>
          <w:spacing w:val="-1"/>
        </w:rPr>
        <w:t>25%</w:t>
      </w:r>
      <w:r>
        <w:rPr>
          <w:spacing w:val="-1"/>
        </w:rPr>
        <w:t>股权的收购对价为人</w:t>
      </w:r>
      <w:r>
        <w:rPr/>
        <w:t> 民币 </w:t>
      </w:r>
      <w:r>
        <w:rPr>
          <w:rFonts w:ascii="宋体" w:hAnsi="宋体" w:cs="宋体" w:eastAsia="宋体" w:hint="default"/>
        </w:rPr>
        <w:t>625 </w:t>
      </w:r>
      <w:r>
        <w:rPr/>
        <w:t>万元。公司受让安徽易联众 </w:t>
      </w:r>
      <w:r>
        <w:rPr>
          <w:rFonts w:ascii="宋体" w:hAnsi="宋体" w:cs="宋体" w:eastAsia="宋体" w:hint="default"/>
        </w:rPr>
        <w:t>25%</w:t>
      </w:r>
      <w:r>
        <w:rPr/>
        <w:t>股权的资金为自有资金。本次交易完成后，公司持有安徽易联众 </w:t>
      </w:r>
      <w:r>
        <w:rPr>
          <w:rFonts w:ascii="宋体" w:hAnsi="宋体" w:cs="宋体" w:eastAsia="宋体" w:hint="default"/>
        </w:rPr>
        <w:t>100%</w:t>
      </w:r>
      <w:r>
        <w:rPr/>
        <w:t>股权。</w:t>
      </w:r>
    </w:p>
    <w:p>
      <w:pPr>
        <w:pStyle w:val="BodyText"/>
        <w:spacing w:line="319" w:lineRule="auto" w:before="59"/>
        <w:ind w:right="152" w:firstLine="360"/>
        <w:jc w:val="both"/>
      </w:pPr>
      <w:r>
        <w:rPr>
          <w:rFonts w:ascii="宋体" w:hAnsi="宋体" w:cs="宋体" w:eastAsia="宋体" w:hint="default"/>
        </w:rPr>
        <w:t>2014 </w:t>
      </w:r>
      <w:r>
        <w:rPr/>
        <w:t>年 </w:t>
      </w:r>
      <w:r>
        <w:rPr>
          <w:rFonts w:ascii="宋体" w:hAnsi="宋体" w:cs="宋体" w:eastAsia="宋体" w:hint="default"/>
        </w:rPr>
        <w:t>8 </w:t>
      </w:r>
      <w:r>
        <w:rPr/>
        <w:t>月 </w:t>
      </w:r>
      <w:r>
        <w:rPr>
          <w:rFonts w:ascii="宋体" w:hAnsi="宋体" w:cs="宋体" w:eastAsia="宋体" w:hint="default"/>
        </w:rPr>
        <w:t>8 </w:t>
      </w:r>
      <w:r>
        <w:rPr/>
        <w:t>日，公司第二届董事会第十七次会议审议通过了《关于收购安徽易联众信息技术有限公司</w:t>
      </w:r>
      <w:r>
        <w:rPr>
          <w:spacing w:val="-1"/>
        </w:rPr>
        <w:t> </w:t>
      </w:r>
      <w:r>
        <w:rPr>
          <w:rFonts w:ascii="宋体" w:hAnsi="宋体" w:cs="宋体" w:eastAsia="宋体" w:hint="default"/>
        </w:rPr>
        <w:t>25%</w:t>
      </w:r>
      <w:r>
        <w:rPr/>
        <w:t>股权的 </w:t>
      </w:r>
      <w:r>
        <w:rPr>
          <w:spacing w:val="-2"/>
        </w:rPr>
        <w:t>议案》，公司独立董事也发表了明确同意的独立意见（具体内容详见公司同时披露在中国证监会指定创业板信息披露网站巨</w:t>
      </w:r>
      <w:r>
        <w:rPr>
          <w:spacing w:val="-66"/>
        </w:rPr>
        <w:t> </w:t>
      </w:r>
      <w:r>
        <w:rPr>
          <w:spacing w:val="-66"/>
        </w:rPr>
      </w:r>
      <w:r>
        <w:rPr/>
        <w:t>潮资讯网</w:t>
      </w:r>
      <w:r>
        <w:rPr>
          <w:spacing w:val="-49"/>
        </w:rPr>
        <w:t> </w:t>
      </w:r>
      <w:hyperlink r:id="rId13">
        <w:r>
          <w:rPr>
            <w:rFonts w:ascii="宋体" w:hAnsi="宋体" w:cs="宋体" w:eastAsia="宋体" w:hint="default"/>
          </w:rPr>
          <w:t>www.cninfo.com.cn</w:t>
        </w:r>
      </w:hyperlink>
      <w:r>
        <w:rPr>
          <w:rFonts w:ascii="宋体" w:hAnsi="宋体" w:cs="宋体" w:eastAsia="宋体" w:hint="default"/>
          <w:spacing w:val="-48"/>
        </w:rPr>
        <w:t> </w:t>
      </w:r>
      <w:r>
        <w:rPr/>
        <w:t>上的公告）。</w:t>
      </w:r>
    </w:p>
    <w:p>
      <w:pPr>
        <w:pStyle w:val="BodyText"/>
        <w:spacing w:line="316" w:lineRule="auto" w:before="58"/>
        <w:ind w:right="154" w:firstLine="360"/>
        <w:jc w:val="both"/>
      </w:pPr>
      <w:r>
        <w:rPr>
          <w:spacing w:val="-2"/>
        </w:rPr>
        <w:t>根据深圳证券交易所《创业板股票上市规则》的规定，本次交易不构成本公司的关联交易，也不构成《上市公司重大资</w:t>
      </w:r>
      <w:r>
        <w:rPr/>
        <w:t> 产重组管理办法》规定的重大资产重组，并无需经公司股东大会批准。</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公司报告期未出售资产。</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公司报告期未发生企业合并情况。</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、自资产重组报告书或收购出售资产公告刊登后，该事项的进展情况及对报告期经营成果与财务状况的影响</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六、重大关联交易</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after="0" w:line="3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公司报告期未发生资产收购、出售的关联交易。</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公司报告期未发生共同对外投资的重大关联交易。</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是否存在非经营性关联债权债务往来</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59"/>
        <w:gridCol w:w="1136"/>
        <w:gridCol w:w="1135"/>
        <w:gridCol w:w="1136"/>
        <w:gridCol w:w="1135"/>
        <w:gridCol w:w="1136"/>
        <w:gridCol w:w="1133"/>
        <w:gridCol w:w="1003"/>
      </w:tblGrid>
      <w:tr>
        <w:trPr>
          <w:trHeight w:val="1025"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0"/>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20" w:hanging="361"/>
              <w:jc w:val="left"/>
              <w:rPr>
                <w:rFonts w:ascii="宋体" w:hAnsi="宋体" w:cs="宋体" w:eastAsia="宋体" w:hint="default"/>
                <w:sz w:val="18"/>
                <w:szCs w:val="18"/>
              </w:rPr>
            </w:pPr>
            <w:r>
              <w:rPr>
                <w:rFonts w:ascii="宋体" w:hAnsi="宋体" w:cs="宋体" w:eastAsia="宋体" w:hint="default"/>
                <w:sz w:val="18"/>
                <w:szCs w:val="18"/>
              </w:rPr>
              <w:t>期初余额（万 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20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9"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46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4" w:lineRule="auto"/>
              <w:ind w:left="24" w:right="103"/>
              <w:jc w:val="left"/>
              <w:rPr>
                <w:rFonts w:ascii="宋体" w:hAnsi="宋体" w:cs="宋体" w:eastAsia="宋体" w:hint="default"/>
                <w:sz w:val="18"/>
                <w:szCs w:val="18"/>
              </w:rPr>
            </w:pPr>
            <w:r>
              <w:rPr>
                <w:rFonts w:ascii="宋体" w:hAnsi="宋体" w:cs="宋体" w:eastAsia="宋体" w:hint="default"/>
                <w:sz w:val="18"/>
                <w:szCs w:val="18"/>
              </w:rPr>
              <w:t>北京骏豪融生投资有 限责任公司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0"/>
              <w:jc w:val="both"/>
              <w:rPr>
                <w:rFonts w:ascii="宋体" w:hAnsi="宋体" w:cs="宋体" w:eastAsia="宋体" w:hint="default"/>
                <w:sz w:val="18"/>
                <w:szCs w:val="18"/>
              </w:rPr>
            </w:pPr>
            <w:r>
              <w:rPr>
                <w:rFonts w:ascii="宋体" w:hAnsi="宋体" w:cs="宋体" w:eastAsia="宋体" w:hint="default"/>
                <w:sz w:val="18"/>
                <w:szCs w:val="18"/>
              </w:rPr>
              <w:t>本公司现任董 事张曦先生担 任北京骏豪融 生投资有限责 任公司执行董 事、总经理。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4" w:lineRule="auto"/>
              <w:ind w:left="24" w:right="199"/>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本公司控股 孙公司中职 动力（北京） 科技有限公 司因日常经 营和业务拓 展需要，向关 联方北京骏 豪融生投资 有限责任公 司借款人民</w:t>
            </w:r>
          </w:p>
          <w:p>
            <w:pPr>
              <w:pStyle w:val="TableParagraph"/>
              <w:spacing w:line="309"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万元， 该交易构成 关联交易。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r>
      <w:tr>
        <w:trPr>
          <w:trHeight w:val="1028" w:hRule="exact"/>
        </w:trPr>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678" w:type="dxa"/>
            <w:gridSpan w:val="6"/>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8" w:firstLine="360"/>
              <w:jc w:val="both"/>
              <w:rPr>
                <w:rFonts w:ascii="宋体" w:hAnsi="宋体" w:cs="宋体" w:eastAsia="宋体" w:hint="default"/>
                <w:sz w:val="18"/>
                <w:szCs w:val="18"/>
              </w:rPr>
            </w:pPr>
            <w:r>
              <w:rPr>
                <w:rFonts w:ascii="宋体" w:hAnsi="宋体" w:cs="宋体" w:eastAsia="宋体" w:hint="default"/>
                <w:sz w:val="18"/>
                <w:szCs w:val="18"/>
              </w:rPr>
              <w:t>本次借款期限不超过</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个月，免收资金使用费用，属于无息借款。对公司经营成 </w:t>
            </w:r>
            <w:r>
              <w:rPr>
                <w:rFonts w:ascii="宋体" w:hAnsi="宋体" w:cs="宋体" w:eastAsia="宋体" w:hint="default"/>
                <w:spacing w:val="-2"/>
                <w:sz w:val="18"/>
                <w:szCs w:val="18"/>
              </w:rPr>
              <w:t>果不产生重大影响，满足了北京中职动力日常经营和业务拓展对流动资金的需求，缓</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解了现金支付压力，改善了公司的现金流量和财务状况。</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 公司报告期不存在担保情况。</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1"/>
        <w:rPr>
          <w:rFonts w:ascii="宋体" w:hAnsi="宋体" w:cs="宋体" w:eastAsia="宋体" w:hint="default"/>
          <w:b/>
          <w:bCs/>
          <w:sz w:val="26"/>
          <w:szCs w:val="26"/>
        </w:rPr>
      </w:pPr>
    </w:p>
    <w:p>
      <w:pPr>
        <w:pStyle w:val="BodyText"/>
        <w:spacing w:line="340" w:lineRule="auto"/>
        <w:ind w:right="7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公司报告期不存在其他重大合同。</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八、承诺事项履行情况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9"/>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5"/>
        <w:gridCol w:w="1275"/>
        <w:gridCol w:w="1277"/>
        <w:gridCol w:w="1277"/>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66"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关于避免同业 竞争的承诺</w:t>
            </w:r>
            <w:r>
              <w:rPr>
                <w:rFonts w:ascii="Times New Roman" w:hAnsi="Times New Roman" w:cs="Times New Roman" w:eastAsia="Times New Roman" w:hint="default"/>
                <w:sz w:val="18"/>
                <w:szCs w:val="18"/>
              </w:rPr>
              <w:t>: 1</w:t>
            </w:r>
            <w:r>
              <w:rPr>
                <w:rFonts w:ascii="宋体" w:hAnsi="宋体" w:cs="宋体" w:eastAsia="宋体" w:hint="default"/>
                <w:sz w:val="18"/>
                <w:szCs w:val="18"/>
              </w:rPr>
              <w:t>、本人将不从 事与易联众相 同或相近的业 </w:t>
            </w:r>
            <w:r>
              <w:rPr>
                <w:rFonts w:ascii="宋体" w:hAnsi="宋体" w:cs="宋体" w:eastAsia="宋体" w:hint="default"/>
                <w:spacing w:val="-6"/>
                <w:sz w:val="18"/>
                <w:szCs w:val="18"/>
              </w:rPr>
              <w:t>务，以避免对易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联众的生产经 营构成直接或 </w:t>
            </w:r>
            <w:r>
              <w:rPr>
                <w:rFonts w:ascii="宋体" w:hAnsi="宋体" w:cs="宋体" w:eastAsia="宋体" w:hint="default"/>
                <w:spacing w:val="-6"/>
                <w:sz w:val="18"/>
                <w:szCs w:val="18"/>
              </w:rPr>
              <w:t>间接的竞争；保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证将努力促使 本人的其他控 股企业不直接 </w:t>
            </w:r>
            <w:r>
              <w:rPr>
                <w:rFonts w:ascii="宋体" w:hAnsi="宋体" w:cs="宋体" w:eastAsia="宋体" w:hint="default"/>
                <w:spacing w:val="-6"/>
                <w:sz w:val="18"/>
                <w:szCs w:val="18"/>
              </w:rPr>
              <w:t>或间接从事、参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与或进行与易 </w:t>
            </w:r>
            <w:r>
              <w:rPr>
                <w:rFonts w:ascii="宋体" w:hAnsi="宋体" w:cs="宋体" w:eastAsia="宋体" w:hint="default"/>
                <w:spacing w:val="-6"/>
                <w:sz w:val="18"/>
                <w:szCs w:val="18"/>
              </w:rPr>
              <w:t>联众的生产、经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营相竞争的任 何经营活动。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、如本人及除 易联众以外本 人的其他控股 企业与易联众 之间存在有竞 争性同类业务， 由此在市场份 </w:t>
            </w:r>
            <w:r>
              <w:rPr>
                <w:rFonts w:ascii="宋体" w:hAnsi="宋体" w:cs="宋体" w:eastAsia="宋体" w:hint="default"/>
                <w:spacing w:val="-6"/>
                <w:sz w:val="18"/>
                <w:szCs w:val="18"/>
              </w:rPr>
              <w:t>额、商业机会及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资源配置等方 面可能对易联 众带来不公平 </w:t>
            </w:r>
            <w:r>
              <w:rPr>
                <w:rFonts w:ascii="宋体" w:hAnsi="宋体" w:cs="宋体" w:eastAsia="宋体" w:hint="default"/>
                <w:spacing w:val="-6"/>
                <w:sz w:val="18"/>
                <w:szCs w:val="18"/>
              </w:rPr>
              <w:t>的影响时，本人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及其除易联众 以外本人的其</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0"/>
              <w:ind w:left="23"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5"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4666"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9"/>
      </w:tblGrid>
      <w:tr>
        <w:trPr>
          <w:trHeight w:val="4419"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他控股企业自 愿放弃与易联 众的业务竞争。 自本承诺出具 </w:t>
            </w:r>
            <w:r>
              <w:rPr>
                <w:rFonts w:ascii="宋体" w:hAnsi="宋体" w:cs="宋体" w:eastAsia="宋体" w:hint="default"/>
                <w:spacing w:val="-6"/>
                <w:sz w:val="18"/>
                <w:szCs w:val="18"/>
              </w:rPr>
              <w:t>之日起，本人承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诺，赔偿易联众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因本人违反本 承诺任何条款 而遭受或产生 的任何损失或 开支。 本承诺自出具 之日起不可撤 销。</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本人将不在中 国境内外直接 或间接从事或 参与任何在商 业上对易联众 构成竞争的业 务及活动或拥 有与易联众存 在竞争关系的 任何经济实体、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的权益；或以其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他任何形式取 得该经济实体、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的控制权； 本人如有出售 与易联众生产、 经营相关的任 </w:t>
            </w:r>
            <w:r>
              <w:rPr>
                <w:rFonts w:ascii="宋体" w:hAnsi="宋体" w:cs="宋体" w:eastAsia="宋体" w:hint="default"/>
                <w:spacing w:val="-6"/>
                <w:sz w:val="18"/>
                <w:szCs w:val="18"/>
              </w:rPr>
              <w:t>何资产、业务或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权益，易联众均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享有优先购买 </w:t>
            </w:r>
            <w:r>
              <w:rPr>
                <w:rFonts w:ascii="宋体" w:hAnsi="宋体" w:cs="宋体" w:eastAsia="宋体" w:hint="default"/>
                <w:spacing w:val="-6"/>
                <w:sz w:val="18"/>
                <w:szCs w:val="18"/>
              </w:rPr>
              <w:t>权；且本人保证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在出售或转让 有关资产或业 务时给予易联 众的条件不高 于本人或本人 控制的企业向 任何其他第三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0"/>
              <w:ind w:left="23" w:right="-1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tc>
      </w:tr>
    </w:tbl>
    <w:p>
      <w:pPr>
        <w:spacing w:after="0" w:line="312"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9"/>
      </w:tblGrid>
      <w:tr>
        <w:trPr>
          <w:trHeight w:val="379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人提供的条件； 本人愿意承担 因违反上述承 诺而给易联众 造成的全部经 </w:t>
            </w:r>
            <w:r>
              <w:rPr>
                <w:rFonts w:ascii="宋体" w:hAnsi="宋体" w:cs="宋体" w:eastAsia="宋体" w:hint="default"/>
                <w:spacing w:val="-6"/>
                <w:sz w:val="18"/>
                <w:szCs w:val="18"/>
              </w:rPr>
              <w:t>济损失。本人在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不再持有易联</w:t>
            </w:r>
          </w:p>
          <w:p>
            <w:pPr>
              <w:pStyle w:val="TableParagraph"/>
              <w:spacing w:line="314"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及以上股 份及担任公司 高级管理人员 </w:t>
            </w:r>
            <w:r>
              <w:rPr>
                <w:rFonts w:ascii="宋体" w:hAnsi="宋体" w:cs="宋体" w:eastAsia="宋体" w:hint="default"/>
                <w:spacing w:val="-6"/>
                <w:sz w:val="18"/>
                <w:szCs w:val="18"/>
              </w:rPr>
              <w:t>之前，本承诺为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有效之承诺。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卢永华</w:t>
            </w:r>
            <w:r>
              <w:rPr>
                <w:rFonts w:ascii="Times New Roman" w:hAnsi="Times New Roman" w:cs="Times New Roman" w:eastAsia="Times New Roman" w:hint="default"/>
                <w:sz w:val="18"/>
                <w:szCs w:val="18"/>
              </w:rPr>
              <w:t>;</w:t>
            </w:r>
            <w:r>
              <w:rPr>
                <w:rFonts w:ascii="宋体" w:hAnsi="宋体" w:cs="宋体" w:eastAsia="宋体" w:hint="default"/>
                <w:sz w:val="18"/>
                <w:szCs w:val="18"/>
              </w:rPr>
              <w:t>宁家骏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本人将不在中 国境内外直接 或间接从事或 参与任何在商 业上对易联众 构成竞争的业 务及活动或拥 有与易联众存 在竞争关系的 任何经济实体、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的权益；或以其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他任何形式取 得该经济实体、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的控制权；本人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如有出售与易 </w:t>
            </w:r>
            <w:r>
              <w:rPr>
                <w:rFonts w:ascii="宋体" w:hAnsi="宋体" w:cs="宋体" w:eastAsia="宋体" w:hint="default"/>
                <w:spacing w:val="-6"/>
                <w:sz w:val="18"/>
                <w:szCs w:val="18"/>
              </w:rPr>
              <w:t>联众生产、经营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相关的任何资 产、业务或权 </w:t>
            </w:r>
            <w:r>
              <w:rPr>
                <w:rFonts w:ascii="宋体" w:hAnsi="宋体" w:cs="宋体" w:eastAsia="宋体" w:hint="default"/>
                <w:spacing w:val="-6"/>
                <w:sz w:val="18"/>
                <w:szCs w:val="18"/>
              </w:rPr>
              <w:t>益，易联众均享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有优先购买权； 且本人保证在 出售或转让有 关资产或业务 时给予易联众 的条件不高于 本人或本人控 制的企业向任 何其他第三人 </w:t>
            </w:r>
            <w:r>
              <w:rPr>
                <w:rFonts w:ascii="宋体" w:hAnsi="宋体" w:cs="宋体" w:eastAsia="宋体" w:hint="default"/>
                <w:spacing w:val="-6"/>
                <w:sz w:val="18"/>
                <w:szCs w:val="18"/>
              </w:rPr>
              <w:t>提供的条件；本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人愿意承担因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0"/>
              <w:ind w:left="23" w:right="-1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tc>
      </w:tr>
    </w:tbl>
    <w:p>
      <w:pPr>
        <w:spacing w:after="0" w:line="312"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9"/>
      </w:tblGrid>
      <w:tr>
        <w:trPr>
          <w:trHeight w:val="223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违反上述承诺 而给易联众造 成的全部经济 </w:t>
            </w:r>
            <w:r>
              <w:rPr>
                <w:rFonts w:ascii="宋体" w:hAnsi="宋体" w:cs="宋体" w:eastAsia="宋体" w:hint="default"/>
                <w:spacing w:val="-6"/>
                <w:sz w:val="18"/>
                <w:szCs w:val="18"/>
              </w:rPr>
              <w:t>损失。本人在不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再担任易联众 </w:t>
            </w:r>
            <w:r>
              <w:rPr>
                <w:rFonts w:ascii="宋体" w:hAnsi="宋体" w:cs="宋体" w:eastAsia="宋体" w:hint="default"/>
                <w:spacing w:val="-6"/>
                <w:sz w:val="18"/>
                <w:szCs w:val="18"/>
              </w:rPr>
              <w:t>董事前，本承诺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为有效之承诺。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11596"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陈星</w:t>
            </w:r>
            <w:r>
              <w:rPr>
                <w:rFonts w:ascii="Times New Roman" w:hAnsi="Times New Roman" w:cs="Times New Roman" w:eastAsia="Times New Roman" w:hint="default"/>
                <w:sz w:val="18"/>
                <w:szCs w:val="18"/>
              </w:rPr>
              <w:t>;</w:t>
            </w:r>
            <w:r>
              <w:rPr>
                <w:rFonts w:ascii="宋体" w:hAnsi="宋体" w:cs="宋体" w:eastAsia="宋体" w:hint="default"/>
                <w:sz w:val="18"/>
                <w:szCs w:val="18"/>
              </w:rPr>
              <w:t>雷锐生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本人将不在中 国境内外直接 或间接从事或 参与任何在商 业上对易联众 构成竞争的业 务及活动或拥 有与易联众存 在竞争关系的 任何经济实体、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的权益；或以其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他任何形式取 得该经济实体、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的控制权；本人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如有出售与易 </w:t>
            </w:r>
            <w:r>
              <w:rPr>
                <w:rFonts w:ascii="宋体" w:hAnsi="宋体" w:cs="宋体" w:eastAsia="宋体" w:hint="default"/>
                <w:spacing w:val="-6"/>
                <w:sz w:val="18"/>
                <w:szCs w:val="18"/>
              </w:rPr>
              <w:t>联众生产、经营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相关的任何资 产、业务或权 </w:t>
            </w:r>
            <w:r>
              <w:rPr>
                <w:rFonts w:ascii="宋体" w:hAnsi="宋体" w:cs="宋体" w:eastAsia="宋体" w:hint="default"/>
                <w:spacing w:val="-6"/>
                <w:sz w:val="18"/>
                <w:szCs w:val="18"/>
              </w:rPr>
              <w:t>益，易联众均享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有优先购买权； 且本人保证在 出售或转让有 关资产或业务 时给予易联众 的条件不高于 本人或本人控 制的企业向任 何其他第三人 </w:t>
            </w:r>
            <w:r>
              <w:rPr>
                <w:rFonts w:ascii="宋体" w:hAnsi="宋体" w:cs="宋体" w:eastAsia="宋体" w:hint="default"/>
                <w:spacing w:val="-6"/>
                <w:sz w:val="18"/>
                <w:szCs w:val="18"/>
              </w:rPr>
              <w:t>提供的条件；本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人愿意承担因 违反上述承诺 而给易联众造 成的全部经济 </w:t>
            </w:r>
            <w:r>
              <w:rPr>
                <w:rFonts w:ascii="宋体" w:hAnsi="宋体" w:cs="宋体" w:eastAsia="宋体" w:hint="default"/>
                <w:spacing w:val="-6"/>
                <w:sz w:val="18"/>
                <w:szCs w:val="18"/>
              </w:rPr>
              <w:t>损失。本人在不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再担任易联众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1"/>
              <w:ind w:left="23" w:right="-1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p>
            <w:pPr>
              <w:pStyle w:val="TableParagraph"/>
              <w:spacing w:line="316" w:lineRule="auto" w:before="22"/>
              <w:ind w:left="23" w:right="31"/>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（注：陈星先生</w:t>
            </w:r>
            <w:r>
              <w:rPr>
                <w:rFonts w:ascii="宋体" w:hAnsi="宋体" w:cs="宋体" w:eastAsia="宋体" w:hint="default"/>
                <w:sz w:val="18"/>
                <w:szCs w:val="18"/>
              </w:rPr>
              <w:t> 因工作安排原 因于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316" w:lineRule="auto"/>
              <w:ind w:left="23" w:right="-1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日申请辞 </w:t>
            </w:r>
            <w:r>
              <w:rPr>
                <w:rFonts w:ascii="宋体" w:hAnsi="宋体" w:cs="宋体" w:eastAsia="宋体" w:hint="default"/>
                <w:spacing w:val="-7"/>
                <w:sz w:val="18"/>
                <w:szCs w:val="18"/>
              </w:rPr>
              <w:t>去公司监事、监</w:t>
            </w:r>
            <w:r>
              <w:rPr>
                <w:rFonts w:ascii="宋体" w:hAnsi="宋体" w:cs="宋体" w:eastAsia="宋体" w:hint="default"/>
                <w:sz w:val="18"/>
                <w:szCs w:val="18"/>
              </w:rPr>
              <w:t> 事会主席职务， 陈星先生辞去 </w:t>
            </w:r>
            <w:r>
              <w:rPr>
                <w:rFonts w:ascii="宋体" w:hAnsi="宋体" w:cs="宋体" w:eastAsia="宋体" w:hint="default"/>
                <w:spacing w:val="-7"/>
                <w:sz w:val="18"/>
                <w:szCs w:val="18"/>
              </w:rPr>
              <w:t>公司监事、监事</w:t>
            </w:r>
            <w:r>
              <w:rPr>
                <w:rFonts w:ascii="宋体" w:hAnsi="宋体" w:cs="宋体" w:eastAsia="宋体" w:hint="default"/>
                <w:sz w:val="18"/>
                <w:szCs w:val="18"/>
              </w:rPr>
              <w:t> 会主席职务后， 公司第二届董 事会第十八次 会议于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ind w:left="23" w:right="3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日审议 </w:t>
            </w:r>
            <w:r>
              <w:rPr>
                <w:rFonts w:ascii="宋体" w:hAnsi="宋体" w:cs="宋体" w:eastAsia="宋体" w:hint="default"/>
                <w:spacing w:val="-7"/>
                <w:sz w:val="18"/>
                <w:szCs w:val="18"/>
              </w:rPr>
              <w:t>通过了《关于拟</w:t>
            </w:r>
            <w:r>
              <w:rPr>
                <w:rFonts w:ascii="宋体" w:hAnsi="宋体" w:cs="宋体" w:eastAsia="宋体" w:hint="default"/>
                <w:sz w:val="18"/>
                <w:szCs w:val="18"/>
              </w:rPr>
              <w:t> 补选陈星先生 为公司第二届 董事会董事的 </w:t>
            </w:r>
            <w:r>
              <w:rPr>
                <w:rFonts w:ascii="宋体" w:hAnsi="宋体" w:cs="宋体" w:eastAsia="宋体" w:hint="default"/>
                <w:spacing w:val="-7"/>
                <w:sz w:val="18"/>
                <w:szCs w:val="18"/>
              </w:rPr>
              <w:t>议案》，该议案</w:t>
            </w:r>
            <w:r>
              <w:rPr>
                <w:rFonts w:ascii="宋体" w:hAnsi="宋体" w:cs="宋体" w:eastAsia="宋体" w:hint="default"/>
                <w:sz w:val="18"/>
                <w:szCs w:val="18"/>
              </w:rPr>
              <w:t> 已经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p>
          <w:p>
            <w:pPr>
              <w:pStyle w:val="TableParagraph"/>
              <w:spacing w:line="312" w:lineRule="auto" w:before="63"/>
              <w:ind w:left="23" w:right="11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 审议通过并生 效。）</w:t>
            </w:r>
          </w:p>
        </w:tc>
      </w:tr>
    </w:tbl>
    <w:p>
      <w:pPr>
        <w:spacing w:after="0" w:line="312"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0"/>
      </w:tblGrid>
      <w:tr>
        <w:trPr>
          <w:trHeight w:val="67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
              <w:jc w:val="left"/>
              <w:rPr>
                <w:rFonts w:ascii="宋体" w:hAnsi="宋体" w:cs="宋体" w:eastAsia="宋体" w:hint="default"/>
                <w:sz w:val="18"/>
                <w:szCs w:val="18"/>
              </w:rPr>
            </w:pPr>
            <w:r>
              <w:rPr>
                <w:rFonts w:ascii="宋体" w:hAnsi="宋体" w:cs="宋体" w:eastAsia="宋体" w:hint="default"/>
                <w:spacing w:val="-6"/>
                <w:sz w:val="18"/>
                <w:szCs w:val="18"/>
              </w:rPr>
              <w:t>监事前，本承诺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为有效之承诺。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2570" w:hRule="exact"/>
        </w:trPr>
        <w:tc>
          <w:tcPr>
            <w:tcW w:w="3194"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黄文灿</w:t>
            </w:r>
            <w:r>
              <w:rPr>
                <w:rFonts w:ascii="Times New Roman" w:hAnsi="Times New Roman" w:cs="Times New Roman" w:eastAsia="Times New Roman" w:hint="default"/>
                <w:sz w:val="18"/>
                <w:szCs w:val="18"/>
              </w:rPr>
              <w:t>;</w:t>
            </w:r>
            <w:r>
              <w:rPr>
                <w:rFonts w:ascii="宋体" w:hAnsi="宋体" w:cs="宋体" w:eastAsia="宋体" w:hint="default"/>
                <w:sz w:val="18"/>
                <w:szCs w:val="18"/>
              </w:rPr>
              <w:t>吴文飞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本人将不在中 国境内外直接 或间接从事或 参与任何在商 业上对易联众 构成竞争的业 务及活动或拥 有与易联众存 在竞争关系的 任何经济实体、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的权益；或以其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他任何形式取 得该经济实体、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的控制权；本人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如有出售与易 </w:t>
            </w:r>
            <w:r>
              <w:rPr>
                <w:rFonts w:ascii="宋体" w:hAnsi="宋体" w:cs="宋体" w:eastAsia="宋体" w:hint="default"/>
                <w:spacing w:val="-6"/>
                <w:sz w:val="18"/>
                <w:szCs w:val="18"/>
              </w:rPr>
              <w:t>联众生产、经营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相关的任何资 产、业务或权 </w:t>
            </w:r>
            <w:r>
              <w:rPr>
                <w:rFonts w:ascii="宋体" w:hAnsi="宋体" w:cs="宋体" w:eastAsia="宋体" w:hint="default"/>
                <w:spacing w:val="-6"/>
                <w:sz w:val="18"/>
                <w:szCs w:val="18"/>
              </w:rPr>
              <w:t>益，易联众均享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有优先购买权； 且本人保证在 出售或转让有 关资产或业务 时给予易联众 的条件不高于 本人或本人控 制的企业向任 何其他第三人 </w:t>
            </w:r>
            <w:r>
              <w:rPr>
                <w:rFonts w:ascii="宋体" w:hAnsi="宋体" w:cs="宋体" w:eastAsia="宋体" w:hint="default"/>
                <w:spacing w:val="-6"/>
                <w:sz w:val="18"/>
                <w:szCs w:val="18"/>
              </w:rPr>
              <w:t>提供的条件；本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人愿意承担因 违反上述承诺 而给易联众造 成的全部经济 </w:t>
            </w:r>
            <w:r>
              <w:rPr>
                <w:rFonts w:ascii="宋体" w:hAnsi="宋体" w:cs="宋体" w:eastAsia="宋体" w:hint="default"/>
                <w:spacing w:val="-6"/>
                <w:sz w:val="18"/>
                <w:szCs w:val="18"/>
              </w:rPr>
              <w:t>损失。本人在不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再担任易联众 </w:t>
            </w:r>
            <w:r>
              <w:rPr>
                <w:rFonts w:ascii="宋体" w:hAnsi="宋体" w:cs="宋体" w:eastAsia="宋体" w:hint="default"/>
                <w:spacing w:val="-6"/>
                <w:sz w:val="18"/>
                <w:szCs w:val="18"/>
              </w:rPr>
              <w:t>副总经理前，本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承诺为有效之 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3"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tc>
      </w:tr>
      <w:tr>
        <w:trPr>
          <w:trHeight w:val="674"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游海涛</w:t>
            </w:r>
            <w:r>
              <w:rPr>
                <w:rFonts w:ascii="Times New Roman" w:hAnsi="Times New Roman" w:cs="Times New Roman" w:eastAsia="Times New Roman" w:hint="default"/>
                <w:sz w:val="18"/>
                <w:szCs w:val="18"/>
              </w:rPr>
              <w:t>;</w:t>
            </w:r>
            <w:r>
              <w:rPr>
                <w:rFonts w:ascii="宋体" w:hAnsi="宋体" w:cs="宋体" w:eastAsia="宋体" w:hint="default"/>
                <w:sz w:val="18"/>
                <w:szCs w:val="18"/>
              </w:rPr>
              <w:t>施建安</w:t>
            </w:r>
            <w:r>
              <w:rPr>
                <w:rFonts w:ascii="Times New Roman" w:hAnsi="Times New Roman" w:cs="Times New Roman" w:eastAsia="Times New Roman" w:hint="default"/>
                <w:sz w:val="18"/>
                <w:szCs w:val="18"/>
              </w:rPr>
              <w:t>; </w:t>
            </w:r>
            <w:r>
              <w:rPr>
                <w:rFonts w:ascii="宋体" w:hAnsi="宋体" w:cs="宋体" w:eastAsia="宋体" w:hint="default"/>
                <w:sz w:val="18"/>
                <w:szCs w:val="18"/>
              </w:rPr>
              <w:t>陈江生</w:t>
            </w:r>
            <w:r>
              <w:rPr>
                <w:rFonts w:ascii="Times New Roman" w:hAnsi="Times New Roman" w:cs="Times New Roman" w:eastAsia="Times New Roman" w:hint="default"/>
                <w:sz w:val="18"/>
                <w:szCs w:val="18"/>
              </w:rPr>
              <w:t>;</w:t>
            </w:r>
            <w:r>
              <w:rPr>
                <w:rFonts w:ascii="宋体" w:hAnsi="宋体" w:cs="宋体" w:eastAsia="宋体" w:hint="default"/>
                <w:sz w:val="18"/>
                <w:szCs w:val="18"/>
              </w:rPr>
              <w:t>何军</w:t>
            </w:r>
            <w:r>
              <w:rPr>
                <w:rFonts w:ascii="Times New Roman" w:hAnsi="Times New Roman" w:cs="Times New Roman" w:eastAsia="Times New Roman" w:hint="default"/>
                <w:sz w:val="18"/>
                <w:szCs w:val="18"/>
              </w:rPr>
              <w:t>;</w:t>
            </w:r>
            <w:r>
              <w:rPr>
                <w:rFonts w:ascii="宋体" w:hAnsi="宋体" w:cs="宋体" w:eastAsia="宋体" w:hint="default"/>
                <w:sz w:val="18"/>
                <w:szCs w:val="18"/>
              </w:rPr>
              <w:t>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本人将不在中 国境内外直接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0"/>
      </w:tblGrid>
      <w:tr>
        <w:trPr>
          <w:trHeight w:val="11908"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58"/>
              <w:jc w:val="both"/>
              <w:rPr>
                <w:rFonts w:ascii="宋体" w:hAnsi="宋体" w:cs="宋体" w:eastAsia="宋体" w:hint="default"/>
                <w:sz w:val="18"/>
                <w:szCs w:val="18"/>
              </w:rPr>
            </w:pPr>
            <w:r>
              <w:rPr>
                <w:rFonts w:ascii="宋体" w:hAnsi="宋体" w:cs="宋体" w:eastAsia="宋体" w:hint="default"/>
                <w:sz w:val="18"/>
                <w:szCs w:val="18"/>
              </w:rPr>
              <w:t>峰</w:t>
            </w:r>
            <w:r>
              <w:rPr>
                <w:rFonts w:ascii="Times New Roman" w:hAnsi="Times New Roman" w:cs="Times New Roman" w:eastAsia="Times New Roman" w:hint="default"/>
                <w:sz w:val="18"/>
                <w:szCs w:val="18"/>
              </w:rPr>
              <w:t>;</w:t>
            </w:r>
            <w:r>
              <w:rPr>
                <w:rFonts w:ascii="宋体" w:hAnsi="宋体" w:cs="宋体" w:eastAsia="宋体" w:hint="default"/>
                <w:sz w:val="18"/>
                <w:szCs w:val="18"/>
              </w:rPr>
              <w:t>江敦忠</w:t>
            </w:r>
            <w:r>
              <w:rPr>
                <w:rFonts w:ascii="Times New Roman" w:hAnsi="Times New Roman" w:cs="Times New Roman" w:eastAsia="Times New Roman" w:hint="default"/>
                <w:sz w:val="18"/>
                <w:szCs w:val="18"/>
              </w:rPr>
              <w:t>;</w:t>
            </w:r>
            <w:r>
              <w:rPr>
                <w:rFonts w:ascii="宋体" w:hAnsi="宋体" w:cs="宋体" w:eastAsia="宋体" w:hint="default"/>
                <w:sz w:val="18"/>
                <w:szCs w:val="18"/>
              </w:rPr>
              <w:t>罗建 森</w:t>
            </w:r>
            <w:r>
              <w:rPr>
                <w:rFonts w:ascii="Times New Roman" w:hAnsi="Times New Roman" w:cs="Times New Roman" w:eastAsia="Times New Roman" w:hint="default"/>
                <w:sz w:val="18"/>
                <w:szCs w:val="18"/>
              </w:rPr>
              <w:t>;</w:t>
            </w:r>
            <w:r>
              <w:rPr>
                <w:rFonts w:ascii="宋体" w:hAnsi="宋体" w:cs="宋体" w:eastAsia="宋体" w:hint="default"/>
                <w:sz w:val="18"/>
                <w:szCs w:val="18"/>
              </w:rPr>
              <w:t>吴天恩</w:t>
            </w:r>
            <w:r>
              <w:rPr>
                <w:rFonts w:ascii="Times New Roman" w:hAnsi="Times New Roman" w:cs="Times New Roman" w:eastAsia="Times New Roman" w:hint="default"/>
                <w:sz w:val="18"/>
                <w:szCs w:val="18"/>
              </w:rPr>
              <w:t>;</w:t>
            </w:r>
            <w:r>
              <w:rPr>
                <w:rFonts w:ascii="宋体" w:hAnsi="宋体" w:cs="宋体" w:eastAsia="宋体" w:hint="default"/>
                <w:sz w:val="18"/>
                <w:szCs w:val="18"/>
              </w:rPr>
              <w:t>郭骁 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或间接从事或 参与任何在商 业上对易联众 构成竞争的业 务及活动或拥 有与易联众存 在竞争关系的 任何经济实体、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的权益；或以其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他任何形式取 得该经济实体、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的控制权；本人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如有出售与易 </w:t>
            </w:r>
            <w:r>
              <w:rPr>
                <w:rFonts w:ascii="宋体" w:hAnsi="宋体" w:cs="宋体" w:eastAsia="宋体" w:hint="default"/>
                <w:spacing w:val="-6"/>
                <w:sz w:val="18"/>
                <w:szCs w:val="18"/>
              </w:rPr>
              <w:t>联众生产、经营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相关的任何资 产、业务或权 </w:t>
            </w:r>
            <w:r>
              <w:rPr>
                <w:rFonts w:ascii="宋体" w:hAnsi="宋体" w:cs="宋体" w:eastAsia="宋体" w:hint="default"/>
                <w:spacing w:val="-6"/>
                <w:sz w:val="18"/>
                <w:szCs w:val="18"/>
              </w:rPr>
              <w:t>益，易联众均享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有优先购买权； 且本人保证在 出售或转让有 关资产或业务 时给予易联众 的条件不高于 本人或本人控 制的企业向任 何其他第三人 </w:t>
            </w:r>
            <w:r>
              <w:rPr>
                <w:rFonts w:ascii="宋体" w:hAnsi="宋体" w:cs="宋体" w:eastAsia="宋体" w:hint="default"/>
                <w:spacing w:val="-6"/>
                <w:sz w:val="18"/>
                <w:szCs w:val="18"/>
              </w:rPr>
              <w:t>提供的条件；本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人愿意承担因 违反上述承诺 而给易联众造 成的全部经济 </w:t>
            </w:r>
            <w:r>
              <w:rPr>
                <w:rFonts w:ascii="宋体" w:hAnsi="宋体" w:cs="宋体" w:eastAsia="宋体" w:hint="default"/>
                <w:spacing w:val="-6"/>
                <w:sz w:val="18"/>
                <w:szCs w:val="18"/>
              </w:rPr>
              <w:t>损失。本人在不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再担任易联众 </w:t>
            </w:r>
            <w:r>
              <w:rPr>
                <w:rFonts w:ascii="宋体" w:hAnsi="宋体" w:cs="宋体" w:eastAsia="宋体" w:hint="default"/>
                <w:spacing w:val="-6"/>
                <w:sz w:val="18"/>
                <w:szCs w:val="18"/>
              </w:rPr>
              <w:t>相应职务前，本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承诺为有效之 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4"/>
              <w:jc w:val="left"/>
              <w:rPr>
                <w:rFonts w:ascii="宋体" w:hAnsi="宋体" w:cs="宋体" w:eastAsia="宋体" w:hint="default"/>
                <w:sz w:val="18"/>
                <w:szCs w:val="18"/>
              </w:rPr>
            </w:pPr>
            <w:r>
              <w:rPr>
                <w:rFonts w:ascii="宋体" w:hAnsi="宋体" w:cs="宋体" w:eastAsia="宋体" w:hint="default"/>
                <w:sz w:val="18"/>
                <w:szCs w:val="18"/>
              </w:rPr>
              <w:t>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p>
            <w:pPr>
              <w:pStyle w:val="TableParagraph"/>
              <w:spacing w:line="316" w:lineRule="auto" w:before="17"/>
              <w:ind w:left="23" w:right="22"/>
              <w:jc w:val="left"/>
              <w:rPr>
                <w:rFonts w:ascii="宋体" w:hAnsi="宋体" w:cs="宋体" w:eastAsia="宋体" w:hint="default"/>
                <w:sz w:val="18"/>
                <w:szCs w:val="18"/>
              </w:rPr>
            </w:pPr>
            <w:r>
              <w:rPr>
                <w:rFonts w:ascii="宋体" w:hAnsi="宋体" w:cs="宋体" w:eastAsia="宋体" w:hint="default"/>
                <w:spacing w:val="-7"/>
                <w:sz w:val="18"/>
                <w:szCs w:val="18"/>
              </w:rPr>
              <w:t>（注：随着公司</w:t>
            </w:r>
            <w:r>
              <w:rPr>
                <w:rFonts w:ascii="宋体" w:hAnsi="宋体" w:cs="宋体" w:eastAsia="宋体" w:hint="default"/>
                <w:sz w:val="18"/>
                <w:szCs w:val="18"/>
              </w:rPr>
              <w:t> </w:t>
            </w:r>
            <w:r>
              <w:rPr>
                <w:rFonts w:ascii="宋体" w:hAnsi="宋体" w:cs="宋体" w:eastAsia="宋体" w:hint="default"/>
                <w:spacing w:val="-7"/>
                <w:sz w:val="18"/>
                <w:szCs w:val="18"/>
              </w:rPr>
              <w:t>的发展，上述部</w:t>
            </w:r>
            <w:r>
              <w:rPr>
                <w:rFonts w:ascii="宋体" w:hAnsi="宋体" w:cs="宋体" w:eastAsia="宋体" w:hint="default"/>
                <w:sz w:val="18"/>
                <w:szCs w:val="18"/>
              </w:rPr>
              <w:t> 分人员的工作 岗位已发生变 </w:t>
            </w:r>
            <w:r>
              <w:rPr>
                <w:rFonts w:ascii="宋体" w:hAnsi="宋体" w:cs="宋体" w:eastAsia="宋体" w:hint="default"/>
                <w:spacing w:val="-7"/>
                <w:sz w:val="18"/>
                <w:szCs w:val="18"/>
              </w:rPr>
              <w:t>动，上述承诺人</w:t>
            </w:r>
            <w:r>
              <w:rPr>
                <w:rFonts w:ascii="宋体" w:hAnsi="宋体" w:cs="宋体" w:eastAsia="宋体" w:hint="default"/>
                <w:sz w:val="18"/>
                <w:szCs w:val="18"/>
              </w:rPr>
              <w:t> 均继续履行上 述承诺。）</w:t>
            </w:r>
          </w:p>
        </w:tc>
      </w:tr>
      <w:tr>
        <w:trPr>
          <w:trHeight w:val="1922"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9"/>
              <w:jc w:val="both"/>
              <w:rPr>
                <w:rFonts w:ascii="宋体" w:hAnsi="宋体" w:cs="宋体" w:eastAsia="宋体" w:hint="default"/>
                <w:sz w:val="18"/>
                <w:szCs w:val="18"/>
              </w:rPr>
            </w:pPr>
            <w:r>
              <w:rPr>
                <w:rFonts w:ascii="宋体" w:hAnsi="宋体" w:cs="宋体" w:eastAsia="宋体" w:hint="default"/>
                <w:sz w:val="18"/>
                <w:szCs w:val="18"/>
              </w:rPr>
              <w:t>古培坚</w:t>
            </w:r>
            <w:r>
              <w:rPr>
                <w:rFonts w:ascii="Times New Roman" w:hAnsi="Times New Roman" w:cs="Times New Roman" w:eastAsia="Times New Roman" w:hint="default"/>
                <w:sz w:val="18"/>
                <w:szCs w:val="18"/>
              </w:rPr>
              <w:t>;</w:t>
            </w:r>
            <w:r>
              <w:rPr>
                <w:rFonts w:ascii="宋体" w:hAnsi="宋体" w:cs="宋体" w:eastAsia="宋体" w:hint="default"/>
                <w:sz w:val="18"/>
                <w:szCs w:val="18"/>
              </w:rPr>
              <w:t>雷彪</w:t>
            </w:r>
            <w:r>
              <w:rPr>
                <w:rFonts w:ascii="Times New Roman" w:hAnsi="Times New Roman" w:cs="Times New Roman" w:eastAsia="Times New Roman" w:hint="default"/>
                <w:sz w:val="18"/>
                <w:szCs w:val="18"/>
              </w:rPr>
              <w:t>;</w:t>
            </w:r>
            <w:r>
              <w:rPr>
                <w:rFonts w:ascii="宋体" w:hAnsi="宋体" w:cs="宋体" w:eastAsia="宋体" w:hint="default"/>
                <w:sz w:val="18"/>
                <w:szCs w:val="18"/>
              </w:rPr>
              <w:t>吴 文飞</w:t>
            </w:r>
            <w:r>
              <w:rPr>
                <w:rFonts w:ascii="Times New Roman" w:hAnsi="Times New Roman" w:cs="Times New Roman" w:eastAsia="Times New Roman" w:hint="default"/>
                <w:sz w:val="18"/>
                <w:szCs w:val="18"/>
              </w:rPr>
              <w:t>;</w:t>
            </w:r>
            <w:r>
              <w:rPr>
                <w:rFonts w:ascii="宋体" w:hAnsi="宋体" w:cs="宋体" w:eastAsia="宋体" w:hint="default"/>
                <w:sz w:val="18"/>
                <w:szCs w:val="18"/>
              </w:rPr>
              <w:t>黄文灿</w:t>
            </w:r>
            <w:r>
              <w:rPr>
                <w:rFonts w:ascii="Times New Roman" w:hAnsi="Times New Roman" w:cs="Times New Roman" w:eastAsia="Times New Roman" w:hint="default"/>
                <w:sz w:val="18"/>
                <w:szCs w:val="18"/>
              </w:rPr>
              <w:t>;</w:t>
            </w:r>
            <w:r>
              <w:rPr>
                <w:rFonts w:ascii="宋体" w:hAnsi="宋体" w:cs="宋体" w:eastAsia="宋体" w:hint="default"/>
                <w:sz w:val="18"/>
                <w:szCs w:val="18"/>
              </w:rPr>
              <w:t>郑 仁贵</w:t>
            </w:r>
            <w:r>
              <w:rPr>
                <w:rFonts w:ascii="Times New Roman" w:hAnsi="Times New Roman" w:cs="Times New Roman" w:eastAsia="Times New Roman" w:hint="default"/>
                <w:sz w:val="18"/>
                <w:szCs w:val="18"/>
              </w:rPr>
              <w:t>;</w:t>
            </w:r>
            <w:r>
              <w:rPr>
                <w:rFonts w:ascii="宋体" w:hAnsi="宋体" w:cs="宋体" w:eastAsia="宋体" w:hint="default"/>
                <w:sz w:val="18"/>
                <w:szCs w:val="18"/>
              </w:rPr>
              <w:t>杨靖</w:t>
            </w:r>
            <w:r>
              <w:rPr>
                <w:rFonts w:ascii="Times New Roman" w:hAnsi="Times New Roman" w:cs="Times New Roman" w:eastAsia="Times New Roman" w:hint="default"/>
                <w:sz w:val="18"/>
                <w:szCs w:val="18"/>
              </w:rPr>
              <w:t>;</w:t>
            </w:r>
            <w:r>
              <w:rPr>
                <w:rFonts w:ascii="宋体" w:hAnsi="宋体" w:cs="宋体" w:eastAsia="宋体" w:hint="default"/>
                <w:sz w:val="18"/>
                <w:szCs w:val="18"/>
              </w:rPr>
              <w:t>黄晓 晖</w:t>
            </w:r>
            <w:r>
              <w:rPr>
                <w:rFonts w:ascii="Times New Roman" w:hAnsi="Times New Roman" w:cs="Times New Roman" w:eastAsia="Times New Roman" w:hint="default"/>
                <w:sz w:val="18"/>
                <w:szCs w:val="18"/>
              </w:rPr>
              <w:t>;</w:t>
            </w:r>
            <w:r>
              <w:rPr>
                <w:rFonts w:ascii="宋体" w:hAnsi="宋体" w:cs="宋体" w:eastAsia="宋体" w:hint="default"/>
                <w:sz w:val="18"/>
                <w:szCs w:val="18"/>
              </w:rPr>
              <w:t>许永锋</w:t>
            </w:r>
            <w:r>
              <w:rPr>
                <w:rFonts w:ascii="Times New Roman" w:hAnsi="Times New Roman" w:cs="Times New Roman" w:eastAsia="Times New Roman" w:hint="default"/>
                <w:sz w:val="18"/>
                <w:szCs w:val="18"/>
              </w:rPr>
              <w:t>;</w:t>
            </w:r>
            <w:r>
              <w:rPr>
                <w:rFonts w:ascii="宋体" w:hAnsi="宋体" w:cs="宋体" w:eastAsia="宋体" w:hint="default"/>
                <w:sz w:val="18"/>
                <w:szCs w:val="18"/>
              </w:rPr>
              <w:t>郝纪 清</w:t>
            </w:r>
            <w:r>
              <w:rPr>
                <w:rFonts w:ascii="Times New Roman" w:hAnsi="Times New Roman" w:cs="Times New Roman" w:eastAsia="Times New Roman" w:hint="default"/>
                <w:sz w:val="18"/>
                <w:szCs w:val="18"/>
              </w:rPr>
              <w:t>;</w:t>
            </w:r>
            <w:r>
              <w:rPr>
                <w:rFonts w:ascii="宋体" w:hAnsi="宋体" w:cs="宋体" w:eastAsia="宋体" w:hint="default"/>
                <w:sz w:val="18"/>
                <w:szCs w:val="18"/>
              </w:rPr>
              <w:t>迟海宁</w:t>
            </w:r>
            <w:r>
              <w:rPr>
                <w:rFonts w:ascii="Times New Roman" w:hAnsi="Times New Roman" w:cs="Times New Roman" w:eastAsia="Times New Roman" w:hint="default"/>
                <w:sz w:val="18"/>
                <w:szCs w:val="18"/>
              </w:rPr>
              <w:t>;</w:t>
            </w:r>
            <w:r>
              <w:rPr>
                <w:rFonts w:ascii="宋体" w:hAnsi="宋体" w:cs="宋体" w:eastAsia="宋体" w:hint="default"/>
                <w:sz w:val="18"/>
                <w:szCs w:val="18"/>
              </w:rPr>
              <w:t>陈益 刚</w:t>
            </w:r>
            <w:r>
              <w:rPr>
                <w:rFonts w:ascii="Times New Roman" w:hAnsi="Times New Roman" w:cs="Times New Roman" w:eastAsia="Times New Roman" w:hint="default"/>
                <w:sz w:val="18"/>
                <w:szCs w:val="18"/>
              </w:rPr>
              <w:t>;</w:t>
            </w:r>
            <w:r>
              <w:rPr>
                <w:rFonts w:ascii="宋体" w:hAnsi="宋体" w:cs="宋体" w:eastAsia="宋体" w:hint="default"/>
                <w:sz w:val="18"/>
                <w:szCs w:val="18"/>
              </w:rPr>
              <w:t>卢苗</w:t>
            </w:r>
            <w:r>
              <w:rPr>
                <w:rFonts w:ascii="Times New Roman" w:hAnsi="Times New Roman" w:cs="Times New Roman" w:eastAsia="Times New Roman" w:hint="default"/>
                <w:sz w:val="18"/>
                <w:szCs w:val="18"/>
              </w:rPr>
              <w:t>;</w:t>
            </w:r>
            <w:r>
              <w:rPr>
                <w:rFonts w:ascii="宋体" w:hAnsi="宋体" w:cs="宋体" w:eastAsia="宋体" w:hint="default"/>
                <w:sz w:val="18"/>
                <w:szCs w:val="18"/>
              </w:rPr>
              <w:t>刘晓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若本公司因员 工缴纳的各项 社保及住房公 积金不符合规 定而承担任何 </w:t>
            </w:r>
            <w:r>
              <w:rPr>
                <w:rFonts w:ascii="宋体" w:hAnsi="宋体" w:cs="宋体" w:eastAsia="宋体" w:hint="default"/>
                <w:spacing w:val="-6"/>
                <w:sz w:val="18"/>
                <w:szCs w:val="18"/>
              </w:rPr>
              <w:t>罚款或损失，本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0"/>
              <w:ind w:left="23"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tc>
      </w:tr>
    </w:tbl>
    <w:p>
      <w:pPr>
        <w:spacing w:after="0" w:line="312"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0"/>
      </w:tblGrid>
      <w:tr>
        <w:trPr>
          <w:trHeight w:val="3171"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58"/>
              <w:jc w:val="left"/>
              <w:rPr>
                <w:rFonts w:ascii="宋体" w:hAnsi="宋体" w:cs="宋体" w:eastAsia="宋体" w:hint="default"/>
                <w:sz w:val="18"/>
                <w:szCs w:val="18"/>
              </w:rPr>
            </w:pPr>
            <w:r>
              <w:rPr>
                <w:rFonts w:ascii="宋体" w:hAnsi="宋体" w:cs="宋体" w:eastAsia="宋体" w:hint="default"/>
                <w:sz w:val="18"/>
                <w:szCs w:val="18"/>
              </w:rPr>
              <w:t>东</w:t>
            </w:r>
            <w:r>
              <w:rPr>
                <w:rFonts w:ascii="Times New Roman" w:hAnsi="Times New Roman" w:cs="Times New Roman" w:eastAsia="Times New Roman" w:hint="default"/>
                <w:sz w:val="18"/>
                <w:szCs w:val="18"/>
              </w:rPr>
              <w:t>;</w:t>
            </w:r>
            <w:r>
              <w:rPr>
                <w:rFonts w:ascii="宋体" w:hAnsi="宋体" w:cs="宋体" w:eastAsia="宋体" w:hint="default"/>
                <w:sz w:val="18"/>
                <w:szCs w:val="18"/>
              </w:rPr>
              <w:t>江敦忠</w:t>
            </w:r>
            <w:r>
              <w:rPr>
                <w:rFonts w:ascii="Times New Roman" w:hAnsi="Times New Roman" w:cs="Times New Roman" w:eastAsia="Times New Roman" w:hint="default"/>
                <w:sz w:val="18"/>
                <w:szCs w:val="18"/>
              </w:rPr>
              <w:t>;</w:t>
            </w:r>
            <w:r>
              <w:rPr>
                <w:rFonts w:ascii="宋体" w:hAnsi="宋体" w:cs="宋体" w:eastAsia="宋体" w:hint="default"/>
                <w:sz w:val="18"/>
                <w:szCs w:val="18"/>
              </w:rPr>
              <w:t>游海 涛</w:t>
            </w:r>
            <w:r>
              <w:rPr>
                <w:rFonts w:ascii="Times New Roman" w:hAnsi="Times New Roman" w:cs="Times New Roman" w:eastAsia="Times New Roman" w:hint="default"/>
                <w:sz w:val="18"/>
                <w:szCs w:val="18"/>
              </w:rPr>
              <w:t>;</w:t>
            </w:r>
            <w:r>
              <w:rPr>
                <w:rFonts w:ascii="宋体" w:hAnsi="宋体" w:cs="宋体" w:eastAsia="宋体" w:hint="default"/>
                <w:sz w:val="18"/>
                <w:szCs w:val="18"/>
              </w:rPr>
              <w:t>施建安</w:t>
            </w:r>
            <w:r>
              <w:rPr>
                <w:rFonts w:ascii="Times New Roman" w:hAnsi="Times New Roman" w:cs="Times New Roman" w:eastAsia="Times New Roman" w:hint="default"/>
                <w:sz w:val="18"/>
                <w:szCs w:val="18"/>
              </w:rPr>
              <w:t>;</w:t>
            </w:r>
            <w:r>
              <w:rPr>
                <w:rFonts w:ascii="宋体" w:hAnsi="宋体" w:cs="宋体" w:eastAsia="宋体" w:hint="default"/>
                <w:sz w:val="18"/>
                <w:szCs w:val="18"/>
              </w:rPr>
              <w:t>罗建 森</w:t>
            </w:r>
            <w:r>
              <w:rPr>
                <w:rFonts w:ascii="Times New Roman" w:hAnsi="Times New Roman" w:cs="Times New Roman" w:eastAsia="Times New Roman" w:hint="default"/>
                <w:sz w:val="18"/>
                <w:szCs w:val="18"/>
              </w:rPr>
              <w:t>;</w:t>
            </w:r>
            <w:r>
              <w:rPr>
                <w:rFonts w:ascii="宋体" w:hAnsi="宋体" w:cs="宋体" w:eastAsia="宋体" w:hint="default"/>
                <w:sz w:val="18"/>
                <w:szCs w:val="18"/>
              </w:rPr>
              <w:t>陈江生</w:t>
            </w:r>
            <w:r>
              <w:rPr>
                <w:rFonts w:ascii="Times New Roman" w:hAnsi="Times New Roman" w:cs="Times New Roman" w:eastAsia="Times New Roman" w:hint="default"/>
                <w:sz w:val="18"/>
                <w:szCs w:val="18"/>
              </w:rPr>
              <w:t>;</w:t>
            </w:r>
            <w:r>
              <w:rPr>
                <w:rFonts w:ascii="宋体" w:hAnsi="宋体" w:cs="宋体" w:eastAsia="宋体" w:hint="default"/>
                <w:sz w:val="18"/>
                <w:szCs w:val="18"/>
              </w:rPr>
              <w:t>张学 勤</w:t>
            </w:r>
            <w:r>
              <w:rPr>
                <w:rFonts w:ascii="Times New Roman" w:hAnsi="Times New Roman" w:cs="Times New Roman" w:eastAsia="Times New Roman" w:hint="default"/>
                <w:sz w:val="18"/>
                <w:szCs w:val="18"/>
              </w:rPr>
              <w:t>;</w:t>
            </w:r>
            <w:r>
              <w:rPr>
                <w:rFonts w:ascii="宋体" w:hAnsi="宋体" w:cs="宋体" w:eastAsia="宋体" w:hint="default"/>
                <w:sz w:val="18"/>
                <w:szCs w:val="18"/>
              </w:rPr>
              <w:t>黎宗辉</w:t>
            </w:r>
            <w:r>
              <w:rPr>
                <w:rFonts w:ascii="Times New Roman" w:hAnsi="Times New Roman" w:cs="Times New Roman" w:eastAsia="Times New Roman" w:hint="default"/>
                <w:sz w:val="18"/>
                <w:szCs w:val="18"/>
              </w:rPr>
              <w:t>;</w:t>
            </w:r>
            <w:r>
              <w:rPr>
                <w:rFonts w:ascii="宋体" w:hAnsi="宋体" w:cs="宋体" w:eastAsia="宋体" w:hint="default"/>
                <w:sz w:val="18"/>
                <w:szCs w:val="18"/>
              </w:rPr>
              <w:t>饶俊 伟</w:t>
            </w:r>
            <w:r>
              <w:rPr>
                <w:rFonts w:ascii="Times New Roman" w:hAnsi="Times New Roman" w:cs="Times New Roman" w:eastAsia="Times New Roman" w:hint="default"/>
                <w:sz w:val="18"/>
                <w:szCs w:val="18"/>
              </w:rPr>
              <w:t>;</w:t>
            </w:r>
            <w:r>
              <w:rPr>
                <w:rFonts w:ascii="宋体" w:hAnsi="宋体" w:cs="宋体" w:eastAsia="宋体" w:hint="default"/>
                <w:sz w:val="18"/>
                <w:szCs w:val="18"/>
              </w:rPr>
              <w:t>邵楠</w:t>
            </w:r>
            <w:r>
              <w:rPr>
                <w:rFonts w:ascii="Times New Roman" w:hAnsi="Times New Roman" w:cs="Times New Roman" w:eastAsia="Times New Roman" w:hint="default"/>
                <w:sz w:val="18"/>
                <w:szCs w:val="18"/>
              </w:rPr>
              <w:t>;</w:t>
            </w:r>
            <w:r>
              <w:rPr>
                <w:rFonts w:ascii="宋体" w:hAnsi="宋体" w:cs="宋体" w:eastAsia="宋体" w:hint="default"/>
                <w:sz w:val="18"/>
                <w:szCs w:val="18"/>
              </w:rPr>
              <w:t>李其 铿</w:t>
            </w:r>
            <w:r>
              <w:rPr>
                <w:rFonts w:ascii="Times New Roman" w:hAnsi="Times New Roman" w:cs="Times New Roman" w:eastAsia="Times New Roman" w:hint="default"/>
                <w:sz w:val="18"/>
                <w:szCs w:val="18"/>
              </w:rPr>
              <w:t>;</w:t>
            </w:r>
            <w:r>
              <w:rPr>
                <w:rFonts w:ascii="宋体" w:hAnsi="宋体" w:cs="宋体" w:eastAsia="宋体" w:hint="default"/>
                <w:sz w:val="18"/>
                <w:szCs w:val="18"/>
              </w:rPr>
              <w:t>何军</w:t>
            </w:r>
            <w:r>
              <w:rPr>
                <w:rFonts w:ascii="Times New Roman" w:hAnsi="Times New Roman" w:cs="Times New Roman" w:eastAsia="Times New Roman" w:hint="default"/>
                <w:sz w:val="18"/>
                <w:szCs w:val="18"/>
              </w:rPr>
              <w:t>;</w:t>
            </w:r>
            <w:r>
              <w:rPr>
                <w:rFonts w:ascii="宋体" w:hAnsi="宋体" w:cs="宋体" w:eastAsia="宋体" w:hint="default"/>
                <w:sz w:val="18"/>
                <w:szCs w:val="18"/>
              </w:rPr>
              <w:t>牛平</w:t>
            </w:r>
            <w:r>
              <w:rPr>
                <w:rFonts w:ascii="Times New Roman" w:hAnsi="Times New Roman" w:cs="Times New Roman" w:eastAsia="Times New Roman" w:hint="default"/>
                <w:sz w:val="18"/>
                <w:szCs w:val="18"/>
              </w:rPr>
              <w:t>; </w:t>
            </w:r>
            <w:r>
              <w:rPr>
                <w:rFonts w:ascii="宋体" w:hAnsi="宋体" w:cs="宋体" w:eastAsia="宋体" w:hint="default"/>
                <w:sz w:val="18"/>
                <w:szCs w:val="18"/>
              </w:rPr>
              <w:t>陈立志</w:t>
            </w:r>
            <w:r>
              <w:rPr>
                <w:rFonts w:ascii="Times New Roman" w:hAnsi="Times New Roman" w:cs="Times New Roman" w:eastAsia="Times New Roman" w:hint="default"/>
                <w:sz w:val="18"/>
                <w:szCs w:val="18"/>
              </w:rPr>
              <w:t>;</w:t>
            </w:r>
            <w:r>
              <w:rPr>
                <w:rFonts w:ascii="宋体" w:hAnsi="宋体" w:cs="宋体" w:eastAsia="宋体" w:hint="default"/>
                <w:sz w:val="18"/>
                <w:szCs w:val="18"/>
              </w:rPr>
              <w:t>孙文松</w:t>
            </w:r>
            <w:r>
              <w:rPr>
                <w:rFonts w:ascii="Times New Roman" w:hAnsi="Times New Roman" w:cs="Times New Roman" w:eastAsia="Times New Roman" w:hint="default"/>
                <w:sz w:val="18"/>
                <w:szCs w:val="18"/>
              </w:rPr>
              <w:t>; </w:t>
            </w:r>
            <w:r>
              <w:rPr>
                <w:rFonts w:ascii="宋体" w:hAnsi="宋体" w:cs="宋体" w:eastAsia="宋体" w:hint="default"/>
                <w:sz w:val="18"/>
                <w:szCs w:val="18"/>
              </w:rPr>
              <w:t>陈海燕</w:t>
            </w:r>
            <w:r>
              <w:rPr>
                <w:rFonts w:ascii="Times New Roman" w:hAnsi="Times New Roman" w:cs="Times New Roman" w:eastAsia="Times New Roman" w:hint="default"/>
                <w:sz w:val="18"/>
                <w:szCs w:val="18"/>
              </w:rPr>
              <w:t>;</w:t>
            </w:r>
            <w:r>
              <w:rPr>
                <w:rFonts w:ascii="宋体" w:hAnsi="宋体" w:cs="宋体" w:eastAsia="宋体" w:hint="default"/>
                <w:sz w:val="18"/>
                <w:szCs w:val="18"/>
              </w:rPr>
              <w:t>高亚进</w:t>
            </w:r>
            <w:r>
              <w:rPr>
                <w:rFonts w:ascii="Times New Roman" w:hAnsi="Times New Roman" w:cs="Times New Roman" w:eastAsia="Times New Roman" w:hint="default"/>
                <w:sz w:val="18"/>
                <w:szCs w:val="18"/>
              </w:rPr>
              <w:t>; </w:t>
            </w:r>
            <w:r>
              <w:rPr>
                <w:rFonts w:ascii="宋体" w:hAnsi="宋体" w:cs="宋体" w:eastAsia="宋体" w:hint="default"/>
                <w:sz w:val="18"/>
                <w:szCs w:val="18"/>
              </w:rPr>
              <w:t>黄勇华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人及其他股东 均承诺承担相 </w:t>
            </w:r>
            <w:r>
              <w:rPr>
                <w:rFonts w:ascii="宋体" w:hAnsi="宋体" w:cs="宋体" w:eastAsia="宋体" w:hint="default"/>
                <w:spacing w:val="-6"/>
                <w:sz w:val="18"/>
                <w:szCs w:val="18"/>
              </w:rPr>
              <w:t>关连带责任，共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同为本公司补 缴各项社会保 险及住房公积 </w:t>
            </w:r>
            <w:r>
              <w:rPr>
                <w:rFonts w:ascii="宋体" w:hAnsi="宋体" w:cs="宋体" w:eastAsia="宋体" w:hint="default"/>
                <w:spacing w:val="-6"/>
                <w:sz w:val="18"/>
                <w:szCs w:val="18"/>
              </w:rPr>
              <w:t>金、承担任何罚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款等一切可能 给本公司造成 的损失。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60"/>
              <w:ind w:left="24" w:right="59"/>
              <w:jc w:val="left"/>
              <w:rPr>
                <w:rFonts w:ascii="宋体" w:hAnsi="宋体" w:cs="宋体" w:eastAsia="宋体" w:hint="default"/>
                <w:sz w:val="18"/>
                <w:szCs w:val="18"/>
              </w:rPr>
            </w:pPr>
            <w:r>
              <w:rPr>
                <w:rFonts w:ascii="宋体" w:hAnsi="宋体" w:cs="宋体" w:eastAsia="宋体" w:hint="default"/>
                <w:sz w:val="18"/>
                <w:szCs w:val="18"/>
              </w:rPr>
              <w:t>黄邦杰</w:t>
            </w:r>
            <w:r>
              <w:rPr>
                <w:rFonts w:ascii="Times New Roman" w:hAnsi="Times New Roman" w:cs="Times New Roman" w:eastAsia="Times New Roman" w:hint="default"/>
                <w:sz w:val="18"/>
                <w:szCs w:val="18"/>
              </w:rPr>
              <w:t>;</w:t>
            </w:r>
            <w:r>
              <w:rPr>
                <w:rFonts w:ascii="宋体" w:hAnsi="宋体" w:cs="宋体" w:eastAsia="宋体" w:hint="default"/>
                <w:sz w:val="18"/>
                <w:szCs w:val="18"/>
              </w:rPr>
              <w:t>柴世峰</w:t>
            </w:r>
            <w:r>
              <w:rPr>
                <w:rFonts w:ascii="Times New Roman" w:hAnsi="Times New Roman" w:cs="Times New Roman" w:eastAsia="Times New Roman" w:hint="default"/>
                <w:sz w:val="18"/>
                <w:szCs w:val="18"/>
              </w:rPr>
              <w:t>; </w:t>
            </w:r>
            <w:r>
              <w:rPr>
                <w:rFonts w:ascii="宋体" w:hAnsi="宋体" w:cs="宋体" w:eastAsia="宋体" w:hint="default"/>
                <w:sz w:val="18"/>
                <w:szCs w:val="18"/>
              </w:rPr>
              <w:t>毛峰</w:t>
            </w:r>
            <w:r>
              <w:rPr>
                <w:rFonts w:ascii="Times New Roman" w:hAnsi="Times New Roman" w:cs="Times New Roman" w:eastAsia="Times New Roman" w:hint="default"/>
                <w:sz w:val="18"/>
                <w:szCs w:val="18"/>
              </w:rPr>
              <w:t>;</w:t>
            </w:r>
            <w:r>
              <w:rPr>
                <w:rFonts w:ascii="宋体" w:hAnsi="宋体" w:cs="宋体" w:eastAsia="宋体" w:hint="default"/>
                <w:sz w:val="18"/>
                <w:szCs w:val="18"/>
              </w:rPr>
              <w:t>尹拴亮</w:t>
            </w:r>
            <w:r>
              <w:rPr>
                <w:rFonts w:ascii="Times New Roman" w:hAnsi="Times New Roman" w:cs="Times New Roman" w:eastAsia="Times New Roman" w:hint="default"/>
                <w:sz w:val="18"/>
                <w:szCs w:val="18"/>
              </w:rPr>
              <w:t>;</w:t>
            </w:r>
            <w:r>
              <w:rPr>
                <w:rFonts w:ascii="宋体" w:hAnsi="宋体" w:cs="宋体" w:eastAsia="宋体" w:hint="default"/>
                <w:sz w:val="18"/>
                <w:szCs w:val="18"/>
              </w:rPr>
              <w:t>陈 智勇</w:t>
            </w:r>
            <w:r>
              <w:rPr>
                <w:rFonts w:ascii="Times New Roman" w:hAnsi="Times New Roman" w:cs="Times New Roman" w:eastAsia="Times New Roman" w:hint="default"/>
                <w:sz w:val="18"/>
                <w:szCs w:val="18"/>
              </w:rPr>
              <w:t>;</w:t>
            </w:r>
            <w:r>
              <w:rPr>
                <w:rFonts w:ascii="宋体" w:hAnsi="宋体" w:cs="宋体" w:eastAsia="宋体" w:hint="default"/>
                <w:sz w:val="18"/>
                <w:szCs w:val="18"/>
              </w:rPr>
              <w:t>程凌芳</w:t>
            </w:r>
            <w:r>
              <w:rPr>
                <w:rFonts w:ascii="Times New Roman" w:hAnsi="Times New Roman" w:cs="Times New Roman" w:eastAsia="Times New Roman" w:hint="default"/>
                <w:sz w:val="18"/>
                <w:szCs w:val="18"/>
              </w:rPr>
              <w:t>;</w:t>
            </w:r>
            <w:r>
              <w:rPr>
                <w:rFonts w:ascii="宋体" w:hAnsi="宋体" w:cs="宋体" w:eastAsia="宋体" w:hint="default"/>
                <w:sz w:val="18"/>
                <w:szCs w:val="18"/>
              </w:rPr>
              <w:t>吴 天恩</w:t>
            </w:r>
            <w:r>
              <w:rPr>
                <w:rFonts w:ascii="Times New Roman" w:hAnsi="Times New Roman" w:cs="Times New Roman" w:eastAsia="Times New Roman" w:hint="default"/>
                <w:sz w:val="18"/>
                <w:szCs w:val="18"/>
              </w:rPr>
              <w:t>;</w:t>
            </w:r>
            <w:r>
              <w:rPr>
                <w:rFonts w:ascii="宋体" w:hAnsi="宋体" w:cs="宋体" w:eastAsia="宋体" w:hint="default"/>
                <w:sz w:val="18"/>
                <w:szCs w:val="18"/>
              </w:rPr>
              <w:t>郭骁昌</w:t>
            </w:r>
            <w:r>
              <w:rPr>
                <w:rFonts w:ascii="Times New Roman" w:hAnsi="Times New Roman" w:cs="Times New Roman" w:eastAsia="Times New Roman" w:hint="default"/>
                <w:sz w:val="18"/>
                <w:szCs w:val="18"/>
              </w:rPr>
              <w:t>;</w:t>
            </w:r>
            <w:r>
              <w:rPr>
                <w:rFonts w:ascii="宋体" w:hAnsi="宋体" w:cs="宋体" w:eastAsia="宋体" w:hint="default"/>
                <w:sz w:val="18"/>
                <w:szCs w:val="18"/>
              </w:rPr>
              <w:t>姚 建彬</w:t>
            </w:r>
            <w:r>
              <w:rPr>
                <w:rFonts w:ascii="Times New Roman" w:hAnsi="Times New Roman" w:cs="Times New Roman" w:eastAsia="Times New Roman" w:hint="default"/>
                <w:sz w:val="18"/>
                <w:szCs w:val="18"/>
              </w:rPr>
              <w:t>;</w:t>
            </w:r>
            <w:r>
              <w:rPr>
                <w:rFonts w:ascii="宋体" w:hAnsi="宋体" w:cs="宋体" w:eastAsia="宋体" w:hint="default"/>
                <w:sz w:val="18"/>
                <w:szCs w:val="18"/>
              </w:rPr>
              <w:t>丁德明</w:t>
            </w:r>
            <w:r>
              <w:rPr>
                <w:rFonts w:ascii="Times New Roman" w:hAnsi="Times New Roman" w:cs="Times New Roman" w:eastAsia="Times New Roman" w:hint="default"/>
                <w:sz w:val="18"/>
                <w:szCs w:val="18"/>
              </w:rPr>
              <w:t>;</w:t>
            </w:r>
            <w:r>
              <w:rPr>
                <w:rFonts w:ascii="宋体" w:hAnsi="宋体" w:cs="宋体" w:eastAsia="宋体" w:hint="default"/>
                <w:sz w:val="18"/>
                <w:szCs w:val="18"/>
              </w:rPr>
              <w:t>陈 键</w:t>
            </w:r>
            <w:r>
              <w:rPr>
                <w:rFonts w:ascii="Times New Roman" w:hAnsi="Times New Roman" w:cs="Times New Roman" w:eastAsia="Times New Roman" w:hint="default"/>
                <w:sz w:val="18"/>
                <w:szCs w:val="18"/>
              </w:rPr>
              <w:t>;</w:t>
            </w:r>
            <w:r>
              <w:rPr>
                <w:rFonts w:ascii="宋体" w:hAnsi="宋体" w:cs="宋体" w:eastAsia="宋体" w:hint="default"/>
                <w:sz w:val="18"/>
                <w:szCs w:val="18"/>
              </w:rPr>
              <w:t>沈晋安</w:t>
            </w:r>
            <w:r>
              <w:rPr>
                <w:rFonts w:ascii="Times New Roman" w:hAnsi="Times New Roman" w:cs="Times New Roman" w:eastAsia="Times New Roman" w:hint="default"/>
                <w:sz w:val="18"/>
                <w:szCs w:val="18"/>
              </w:rPr>
              <w:t>;</w:t>
            </w:r>
            <w:r>
              <w:rPr>
                <w:rFonts w:ascii="宋体" w:hAnsi="宋体" w:cs="宋体" w:eastAsia="宋体" w:hint="default"/>
                <w:sz w:val="18"/>
                <w:szCs w:val="18"/>
              </w:rPr>
              <w:t>黄剑 铭</w:t>
            </w:r>
            <w:r>
              <w:rPr>
                <w:rFonts w:ascii="Times New Roman" w:hAnsi="Times New Roman" w:cs="Times New Roman" w:eastAsia="Times New Roman" w:hint="default"/>
                <w:sz w:val="18"/>
                <w:szCs w:val="18"/>
              </w:rPr>
              <w:t>;</w:t>
            </w:r>
            <w:r>
              <w:rPr>
                <w:rFonts w:ascii="宋体" w:hAnsi="宋体" w:cs="宋体" w:eastAsia="宋体" w:hint="default"/>
                <w:sz w:val="18"/>
                <w:szCs w:val="18"/>
              </w:rPr>
              <w:t>郜恩光</w:t>
            </w:r>
            <w:r>
              <w:rPr>
                <w:rFonts w:ascii="Times New Roman" w:hAnsi="Times New Roman" w:cs="Times New Roman" w:eastAsia="Times New Roman" w:hint="default"/>
                <w:sz w:val="18"/>
                <w:szCs w:val="18"/>
              </w:rPr>
              <w:t>;</w:t>
            </w:r>
            <w:r>
              <w:rPr>
                <w:rFonts w:ascii="宋体" w:hAnsi="宋体" w:cs="宋体" w:eastAsia="宋体" w:hint="default"/>
                <w:sz w:val="18"/>
                <w:szCs w:val="18"/>
              </w:rPr>
              <w:t>林 强</w:t>
            </w:r>
            <w:r>
              <w:rPr>
                <w:rFonts w:ascii="Times New Roman" w:hAnsi="Times New Roman" w:cs="Times New Roman" w:eastAsia="Times New Roman" w:hint="default"/>
                <w:sz w:val="18"/>
                <w:szCs w:val="18"/>
              </w:rPr>
              <w:t>;</w:t>
            </w:r>
            <w:r>
              <w:rPr>
                <w:rFonts w:ascii="宋体" w:hAnsi="宋体" w:cs="宋体" w:eastAsia="宋体" w:hint="default"/>
                <w:sz w:val="18"/>
                <w:szCs w:val="18"/>
              </w:rPr>
              <w:t>张和平</w:t>
            </w:r>
            <w:r>
              <w:rPr>
                <w:rFonts w:ascii="Times New Roman" w:hAnsi="Times New Roman" w:cs="Times New Roman" w:eastAsia="Times New Roman" w:hint="default"/>
                <w:sz w:val="18"/>
                <w:szCs w:val="18"/>
              </w:rPr>
              <w:t>;</w:t>
            </w:r>
            <w:r>
              <w:rPr>
                <w:rFonts w:ascii="宋体" w:hAnsi="宋体" w:cs="宋体" w:eastAsia="宋体" w:hint="default"/>
                <w:sz w:val="18"/>
                <w:szCs w:val="18"/>
              </w:rPr>
              <w:t>丁志 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若本公司因自 成立之日起至 在深交所上市 之日止为员工 缴纳的各项社 保及住房公积 金不符合规定 而承担任何罚 </w:t>
            </w:r>
            <w:r>
              <w:rPr>
                <w:rFonts w:ascii="宋体" w:hAnsi="宋体" w:cs="宋体" w:eastAsia="宋体" w:hint="default"/>
                <w:spacing w:val="-6"/>
                <w:sz w:val="18"/>
                <w:szCs w:val="18"/>
              </w:rPr>
              <w:t>款或损失，本人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及其他股东均 承诺承担相关 </w:t>
            </w:r>
            <w:r>
              <w:rPr>
                <w:rFonts w:ascii="宋体" w:hAnsi="宋体" w:cs="宋体" w:eastAsia="宋体" w:hint="default"/>
                <w:spacing w:val="-6"/>
                <w:sz w:val="18"/>
                <w:szCs w:val="18"/>
              </w:rPr>
              <w:t>连带责任，共同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为本公司补缴 各项社会保险 及住房公积金、 承担任何罚款 等一切可能给 本公司造成的 损失。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3"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tc>
      </w:tr>
      <w:tr>
        <w:trPr>
          <w:trHeight w:val="473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4" w:right="159"/>
              <w:jc w:val="both"/>
              <w:rPr>
                <w:rFonts w:ascii="宋体" w:hAnsi="宋体" w:cs="宋体" w:eastAsia="宋体" w:hint="default"/>
                <w:sz w:val="18"/>
                <w:szCs w:val="18"/>
              </w:rPr>
            </w:pPr>
            <w:r>
              <w:rPr>
                <w:rFonts w:ascii="宋体" w:hAnsi="宋体" w:cs="宋体" w:eastAsia="宋体" w:hint="default"/>
                <w:sz w:val="18"/>
                <w:szCs w:val="18"/>
              </w:rPr>
              <w:t>易联众信息技 术股份有限公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319"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日，经公司第二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届董事会第七 次会议审议通 过，并于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w:t>
            </w:r>
          </w:p>
          <w:p>
            <w:pPr>
              <w:pStyle w:val="TableParagraph"/>
              <w:spacing w:line="314"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 东大会审议通 </w:t>
            </w:r>
            <w:r>
              <w:rPr>
                <w:rFonts w:ascii="宋体" w:hAnsi="宋体" w:cs="宋体" w:eastAsia="宋体" w:hint="default"/>
                <w:spacing w:val="-6"/>
                <w:sz w:val="18"/>
                <w:szCs w:val="18"/>
              </w:rPr>
              <w:t>过，公司以超募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永久补充流动 资金，同时承 </w:t>
            </w:r>
            <w:r>
              <w:rPr>
                <w:rFonts w:ascii="宋体" w:hAnsi="宋体" w:cs="宋体" w:eastAsia="宋体" w:hint="default"/>
                <w:spacing w:val="-6"/>
                <w:sz w:val="18"/>
                <w:szCs w:val="18"/>
              </w:rPr>
              <w:t>诺：公司过去十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二个月内未进 行证券投资等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14" w:lineRule="auto" w:before="63"/>
              <w:ind w:left="23"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日，该承诺</w:t>
            </w:r>
            <w:r>
              <w:rPr>
                <w:rFonts w:ascii="宋体" w:hAnsi="宋体" w:cs="宋体" w:eastAsia="宋体" w:hint="default"/>
                <w:sz w:val="18"/>
                <w:szCs w:val="18"/>
              </w:rPr>
              <w:t> </w:t>
            </w:r>
            <w:r>
              <w:rPr>
                <w:rFonts w:ascii="宋体" w:hAnsi="宋体" w:cs="宋体" w:eastAsia="宋体" w:hint="default"/>
                <w:spacing w:val="-7"/>
                <w:sz w:val="18"/>
                <w:szCs w:val="18"/>
              </w:rPr>
              <w:t>已履行完毕。公</w:t>
            </w:r>
            <w:r>
              <w:rPr>
                <w:rFonts w:ascii="宋体" w:hAnsi="宋体" w:cs="宋体" w:eastAsia="宋体" w:hint="default"/>
                <w:sz w:val="18"/>
                <w:szCs w:val="18"/>
              </w:rPr>
              <w:t> 司严格信守承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9"/>
      </w:tblGrid>
      <w:tr>
        <w:trPr>
          <w:trHeight w:val="8164"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pacing w:val="-12"/>
                <w:sz w:val="18"/>
                <w:szCs w:val="18"/>
              </w:rPr>
              <w:t>高风险投资，并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承诺未来十二</w:t>
            </w:r>
            <w:r>
              <w:rPr>
                <w:rFonts w:ascii="宋体" w:hAnsi="宋体" w:cs="宋体" w:eastAsia="宋体" w:hint="default"/>
                <w:sz w:val="18"/>
                <w:szCs w:val="18"/>
              </w:rPr>
              <w:t> 个月内不进行 </w:t>
            </w:r>
            <w:r>
              <w:rPr>
                <w:rFonts w:ascii="宋体" w:hAnsi="宋体" w:cs="宋体" w:eastAsia="宋体" w:hint="default"/>
                <w:spacing w:val="-6"/>
                <w:sz w:val="18"/>
                <w:szCs w:val="18"/>
              </w:rPr>
              <w:t>证券投资、委托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理财、衍生品投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资、创业投资等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高风险投资。剩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余超募资金，公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司将根据自身 发展规划及实 际生产经营需 </w:t>
            </w:r>
            <w:r>
              <w:rPr>
                <w:rFonts w:ascii="宋体" w:hAnsi="宋体" w:cs="宋体" w:eastAsia="宋体" w:hint="default"/>
                <w:spacing w:val="-6"/>
                <w:sz w:val="18"/>
                <w:szCs w:val="18"/>
              </w:rPr>
              <w:t>求，按照中国证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券监督管理委 员会和深圳证 券交易所的有 </w:t>
            </w:r>
            <w:r>
              <w:rPr>
                <w:rFonts w:ascii="宋体" w:hAnsi="宋体" w:cs="宋体" w:eastAsia="宋体" w:hint="default"/>
                <w:spacing w:val="-6"/>
                <w:sz w:val="18"/>
                <w:szCs w:val="18"/>
              </w:rPr>
              <w:t>关规定，围绕主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业、合理规划， 妥善安排其余 超募资金的使 </w:t>
            </w:r>
            <w:r>
              <w:rPr>
                <w:rFonts w:ascii="宋体" w:hAnsi="宋体" w:cs="宋体" w:eastAsia="宋体" w:hint="default"/>
                <w:spacing w:val="-6"/>
                <w:sz w:val="18"/>
                <w:szCs w:val="18"/>
              </w:rPr>
              <w:t>用计划。公司在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实际使用超募 </w:t>
            </w:r>
            <w:r>
              <w:rPr>
                <w:rFonts w:ascii="宋体" w:hAnsi="宋体" w:cs="宋体" w:eastAsia="宋体" w:hint="default"/>
                <w:spacing w:val="-6"/>
                <w:sz w:val="18"/>
                <w:szCs w:val="18"/>
              </w:rPr>
              <w:t>资金前，将履行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相应的董事会、 股东大会等审 </w:t>
            </w:r>
            <w:r>
              <w:rPr>
                <w:rFonts w:ascii="宋体" w:hAnsi="宋体" w:cs="宋体" w:eastAsia="宋体" w:hint="default"/>
                <w:spacing w:val="-6"/>
                <w:sz w:val="18"/>
                <w:szCs w:val="18"/>
              </w:rPr>
              <w:t>议程序，并及时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披露。</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4" w:right="159"/>
              <w:jc w:val="both"/>
              <w:rPr>
                <w:rFonts w:ascii="宋体" w:hAnsi="宋体" w:cs="宋体" w:eastAsia="宋体" w:hint="default"/>
                <w:sz w:val="18"/>
                <w:szCs w:val="18"/>
              </w:rPr>
            </w:pPr>
            <w:r>
              <w:rPr>
                <w:rFonts w:ascii="宋体" w:hAnsi="宋体" w:cs="宋体" w:eastAsia="宋体" w:hint="default"/>
                <w:sz w:val="18"/>
                <w:szCs w:val="18"/>
              </w:rPr>
              <w:t>易联众信息技 术股份有限公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316" w:lineRule="auto" w:before="63"/>
              <w:ind w:left="23" w:right="18"/>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日，经公司第二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届董事会第十 四次会议审议 </w:t>
            </w:r>
            <w:r>
              <w:rPr>
                <w:rFonts w:ascii="宋体" w:hAnsi="宋体" w:cs="宋体" w:eastAsia="宋体" w:hint="default"/>
                <w:spacing w:val="-17"/>
                <w:sz w:val="18"/>
                <w:szCs w:val="18"/>
              </w:rPr>
              <w:t>通过，并于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 东大会审议通 </w:t>
            </w:r>
            <w:r>
              <w:rPr>
                <w:rFonts w:ascii="宋体" w:hAnsi="宋体" w:cs="宋体" w:eastAsia="宋体" w:hint="default"/>
                <w:spacing w:val="-6"/>
                <w:sz w:val="18"/>
                <w:szCs w:val="18"/>
              </w:rPr>
              <w:t>过，公司以超募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永久补充流动 资金，同时承 </w:t>
            </w:r>
            <w:r>
              <w:rPr>
                <w:rFonts w:ascii="宋体" w:hAnsi="宋体" w:cs="宋体" w:eastAsia="宋体" w:hint="default"/>
                <w:spacing w:val="-6"/>
                <w:sz w:val="18"/>
                <w:szCs w:val="18"/>
              </w:rPr>
              <w:t>诺：公司最近十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二个月内未进 </w:t>
            </w:r>
            <w:r>
              <w:rPr>
                <w:rFonts w:ascii="宋体" w:hAnsi="宋体" w:cs="宋体" w:eastAsia="宋体" w:hint="default"/>
                <w:spacing w:val="-6"/>
                <w:sz w:val="18"/>
                <w:szCs w:val="18"/>
              </w:rPr>
              <w:t>行证券投资、委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托理财、衍生品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投资、创业投资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等高风险投资，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1"/>
              <w:ind w:left="23" w:right="-1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该承诺的情况。</w:t>
            </w:r>
          </w:p>
        </w:tc>
      </w:tr>
    </w:tbl>
    <w:p>
      <w:pPr>
        <w:spacing w:after="0" w:line="312"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9"/>
      </w:tblGrid>
      <w:tr>
        <w:trPr>
          <w:trHeight w:val="910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并承诺在此次 永久补充流动 资金后的未来 十二个月内不 进行证券投资、 </w:t>
            </w:r>
            <w:r>
              <w:rPr>
                <w:rFonts w:ascii="宋体" w:hAnsi="宋体" w:cs="宋体" w:eastAsia="宋体" w:hint="default"/>
                <w:spacing w:val="-6"/>
                <w:sz w:val="18"/>
                <w:szCs w:val="18"/>
              </w:rPr>
              <w:t>委托理财、衍生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品投资、创业投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资等高风险投 资以及为他人 提供财务资助。 剩余超募资金， 公司将根据自 身发展规划及 实际生产经营 </w:t>
            </w:r>
            <w:r>
              <w:rPr>
                <w:rFonts w:ascii="宋体" w:hAnsi="宋体" w:cs="宋体" w:eastAsia="宋体" w:hint="default"/>
                <w:spacing w:val="-6"/>
                <w:sz w:val="18"/>
                <w:szCs w:val="18"/>
              </w:rPr>
              <w:t>需求，按照中国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证券监督管理 委员会和深圳 证券交易所的 </w:t>
            </w:r>
            <w:r>
              <w:rPr>
                <w:rFonts w:ascii="宋体" w:hAnsi="宋体" w:cs="宋体" w:eastAsia="宋体" w:hint="default"/>
                <w:spacing w:val="-6"/>
                <w:sz w:val="18"/>
                <w:szCs w:val="18"/>
              </w:rPr>
              <w:t>有关规定，围绕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主业、合理规 </w:t>
            </w:r>
            <w:r>
              <w:rPr>
                <w:rFonts w:ascii="宋体" w:hAnsi="宋体" w:cs="宋体" w:eastAsia="宋体" w:hint="default"/>
                <w:spacing w:val="-6"/>
                <w:sz w:val="18"/>
                <w:szCs w:val="18"/>
              </w:rPr>
              <w:t>划，妥善安排其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余超募资金的 </w:t>
            </w:r>
            <w:r>
              <w:rPr>
                <w:rFonts w:ascii="宋体" w:hAnsi="宋体" w:cs="宋体" w:eastAsia="宋体" w:hint="default"/>
                <w:spacing w:val="-6"/>
                <w:sz w:val="18"/>
                <w:szCs w:val="18"/>
              </w:rPr>
              <w:t>使用计划。公司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在实际使用超 </w:t>
            </w:r>
            <w:r>
              <w:rPr>
                <w:rFonts w:ascii="宋体" w:hAnsi="宋体" w:cs="宋体" w:eastAsia="宋体" w:hint="default"/>
                <w:spacing w:val="-6"/>
                <w:sz w:val="18"/>
                <w:szCs w:val="18"/>
              </w:rPr>
              <w:t>募资金前，将履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行相应的董事 </w:t>
            </w:r>
            <w:r>
              <w:rPr>
                <w:rFonts w:ascii="宋体" w:hAnsi="宋体" w:cs="宋体" w:eastAsia="宋体" w:hint="default"/>
                <w:spacing w:val="-6"/>
                <w:sz w:val="18"/>
                <w:szCs w:val="18"/>
              </w:rPr>
              <w:t>会、股东大会等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审议程序，并及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时披露。</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公司实际控制 人及控股股东 古培坚先生自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319" w:lineRule="auto"/>
              <w:ind w:left="23"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日起连续六个 月内（即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pacing w:val="-6"/>
                <w:sz w:val="18"/>
                <w:szCs w:val="18"/>
              </w:rPr>
              <w:t>日）通过证券交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易系统（集中竞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价或大宗交易 </w:t>
            </w:r>
            <w:r>
              <w:rPr>
                <w:rFonts w:ascii="宋体" w:hAnsi="宋体" w:cs="宋体" w:eastAsia="宋体" w:hint="default"/>
                <w:spacing w:val="-6"/>
                <w:sz w:val="18"/>
                <w:szCs w:val="18"/>
              </w:rPr>
              <w:t>方式）出售其持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有的公司股份 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1,532 </w:t>
            </w:r>
            <w:r>
              <w:rPr>
                <w:rFonts w:ascii="宋体" w:hAnsi="宋体" w:cs="宋体" w:eastAsia="宋体" w:hint="default"/>
                <w:sz w:val="18"/>
                <w:szCs w:val="18"/>
              </w:rPr>
              <w:t>万 </w:t>
            </w:r>
            <w:r>
              <w:rPr>
                <w:rFonts w:ascii="宋体" w:hAnsi="宋体" w:cs="宋体" w:eastAsia="宋体" w:hint="default"/>
                <w:spacing w:val="-6"/>
                <w:sz w:val="18"/>
                <w:szCs w:val="18"/>
              </w:rPr>
              <w:t>股，即不超过公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314" w:lineRule="auto" w:before="61"/>
              <w:ind w:left="23" w:right="-1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日，该承 诺已履行完毕。 承诺人严格信 </w:t>
            </w:r>
            <w:r>
              <w:rPr>
                <w:rFonts w:ascii="宋体" w:hAnsi="宋体" w:cs="宋体" w:eastAsia="宋体" w:hint="default"/>
                <w:spacing w:val="-7"/>
                <w:sz w:val="18"/>
                <w:szCs w:val="18"/>
              </w:rPr>
              <w:t>守承诺，未出现</w:t>
            </w:r>
            <w:r>
              <w:rPr>
                <w:rFonts w:ascii="宋体" w:hAnsi="宋体" w:cs="宋体" w:eastAsia="宋体" w:hint="default"/>
                <w:sz w:val="18"/>
                <w:szCs w:val="18"/>
              </w:rPr>
              <w:t> 违反该承诺的 情况。</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0"/>
      </w:tblGrid>
      <w:tr>
        <w:trPr>
          <w:trHeight w:val="67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司总股份的</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8.91%</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Times New Roman" w:hAnsi="Times New Roman" w:cs="Times New Roman" w:eastAsia="Times New Roman" w:hint="default"/>
          <w:sz w:val="22"/>
          <w:szCs w:val="22"/>
        </w:rPr>
      </w:pPr>
    </w:p>
    <w:p>
      <w:pPr>
        <w:pStyle w:val="Heading3"/>
        <w:spacing w:line="273" w:lineRule="auto" w:before="37"/>
        <w:ind w:right="0"/>
        <w:jc w:val="left"/>
        <w:rPr>
          <w:b w:val="0"/>
          <w:bCs w:val="0"/>
        </w:rPr>
      </w:pPr>
      <w:r>
        <w:rPr>
          <w:rFonts w:ascii="Times New Roman" w:hAnsi="Times New Roman" w:cs="Times New Roman" w:eastAsia="Times New Roman" w:hint="default"/>
          <w:spacing w:val="-1"/>
          <w:w w:val="95"/>
        </w:rPr>
        <w:t>2</w:t>
      </w:r>
      <w:r>
        <w:rPr>
          <w:spacing w:val="-1"/>
          <w:w w:val="95"/>
        </w:rPr>
        <w:t>、公司资产或项目存在盈利预测，且报告期仍处在盈利预测期间，公司就资产或项目达到原盈利预测及其原因</w:t>
      </w:r>
      <w:r>
        <w:rPr>
          <w:spacing w:val="37"/>
          <w:w w:val="95"/>
        </w:rPr>
        <w:t> </w:t>
      </w:r>
      <w:r>
        <w:rPr>
          <w:spacing w:val="37"/>
          <w:w w:val="95"/>
        </w:rPr>
      </w:r>
      <w:r>
        <w:rPr/>
        <w:t>做出说明</w:t>
      </w:r>
      <w:r>
        <w:rPr>
          <w:b w:val="0"/>
          <w:bCs w:val="0"/>
        </w:rPr>
      </w:r>
    </w:p>
    <w:p>
      <w:pPr>
        <w:spacing w:line="240" w:lineRule="auto" w:before="9"/>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5"/>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李仕谦、陈志达</w:t>
            </w:r>
          </w:p>
        </w:tc>
      </w:tr>
    </w:tbl>
    <w:p>
      <w:pPr>
        <w:pStyle w:val="BodyText"/>
        <w:spacing w:line="240" w:lineRule="auto" w:before="49"/>
        <w:ind w:right="0"/>
        <w:jc w:val="left"/>
      </w:pPr>
      <w:r>
        <w:rPr/>
        <w:t>是否改聘会计师事务所</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4"/>
          <w:szCs w:val="24"/>
        </w:rPr>
      </w:pPr>
    </w:p>
    <w:p>
      <w:pPr>
        <w:pStyle w:val="Heading2"/>
        <w:spacing w:line="240" w:lineRule="auto"/>
        <w:ind w:right="135"/>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39"/>
        <w:ind w:right="5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上市公司及其子公司是否存在其他重大社会安全问题</w:t>
      </w:r>
    </w:p>
    <w:p>
      <w:pPr>
        <w:pStyle w:val="BodyText"/>
        <w:spacing w:line="338" w:lineRule="auto" w:before="41"/>
        <w:ind w:right="7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报告期内是否被行政处罚</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公司股东及其一致行动人在报告期内未提出或实施股份增持计划。</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十二、董事、监事、高级管理人员、持股</w:t>
      </w:r>
      <w:r>
        <w:rPr>
          <w:spacing w:val="-66"/>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63"/>
        <w:jc w:val="left"/>
        <w:rPr>
          <w:b w:val="0"/>
          <w:bCs w:val="0"/>
        </w:rPr>
      </w:pP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63"/>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63"/>
        <w:jc w:val="left"/>
      </w:pPr>
      <w:r>
        <w:rPr>
          <w:rFonts w:ascii="Times New Roman" w:hAnsi="Times New Roman" w:cs="Times New Roman" w:eastAsia="Times New Roman" w:hint="default"/>
        </w:rPr>
        <w:t>1</w:t>
      </w:r>
      <w:r>
        <w:rPr/>
        <w:t>、募集资金投资项目变动情况</w:t>
      </w:r>
    </w:p>
    <w:p>
      <w:pPr>
        <w:pStyle w:val="BodyText"/>
        <w:spacing w:line="300" w:lineRule="auto" w:before="63"/>
        <w:ind w:right="178"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日，经公司第二届董事会第十三次会议审议通过了《关于调整募集资金投资项目</w:t>
      </w:r>
      <w:r>
        <w:rPr>
          <w:rFonts w:ascii="Times New Roman" w:hAnsi="Times New Roman" w:cs="Times New Roman" w:eastAsia="Times New Roman" w:hint="default"/>
        </w:rPr>
        <w:t>——</w:t>
      </w:r>
      <w:r>
        <w:rPr/>
        <w:t>民生一体化综合信息 服务平台项目实施进度的议案》。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日，公司披露了《关于调整募集资金投资项目</w:t>
      </w:r>
      <w:r>
        <w:rPr>
          <w:rFonts w:ascii="Times New Roman" w:hAnsi="Times New Roman" w:cs="Times New Roman" w:eastAsia="Times New Roman" w:hint="default"/>
        </w:rPr>
        <w:t>——</w:t>
      </w:r>
      <w:r>
        <w:rPr/>
        <w:t>民生一体化综合信息服务 平台项目实施进度的公告》。</w:t>
      </w:r>
    </w:p>
    <w:p>
      <w:pPr>
        <w:pStyle w:val="BodyText"/>
        <w:spacing w:line="240" w:lineRule="auto" w:before="31"/>
        <w:ind w:left="513" w:right="163"/>
        <w:jc w:val="left"/>
      </w:pPr>
      <w:r>
        <w:rPr/>
        <w:t>具体内容详见公司刊登在巨潮资讯网的相关公告。</w:t>
      </w:r>
    </w:p>
    <w:p>
      <w:pPr>
        <w:pStyle w:val="BodyText"/>
        <w:spacing w:line="240" w:lineRule="auto" w:before="77"/>
        <w:ind w:right="163"/>
        <w:jc w:val="left"/>
      </w:pPr>
      <w:r>
        <w:rPr>
          <w:rFonts w:ascii="Times New Roman" w:hAnsi="Times New Roman" w:cs="Times New Roman" w:eastAsia="Times New Roman" w:hint="default"/>
        </w:rPr>
        <w:t>2</w:t>
      </w:r>
      <w:r>
        <w:rPr/>
        <w:t>、与山西省人力资源和社会保障厅签署了《合作协议》</w:t>
      </w:r>
    </w:p>
    <w:p>
      <w:pPr>
        <w:pStyle w:val="BodyText"/>
        <w:spacing w:line="300" w:lineRule="auto" w:before="63"/>
        <w:ind w:right="16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日，公司与山西省人力资源和社会保障厅签署了《合作协议》，就山西省人力资源和社会保障网上经办业 务便民服务平台合作事宜达成协议。</w:t>
      </w:r>
    </w:p>
    <w:p>
      <w:pPr>
        <w:pStyle w:val="BodyText"/>
        <w:spacing w:line="240" w:lineRule="auto" w:before="31"/>
        <w:ind w:left="513" w:right="93"/>
        <w:jc w:val="left"/>
      </w:pPr>
      <w:r>
        <w:rPr/>
        <w:t>具体内容详见公司</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24</w:t>
      </w:r>
      <w:r>
        <w:rPr/>
        <w:t>日在巨潮资讯网披露的《关于与山西省人力资源和社会保障厅签署合作协议的公告》。</w:t>
      </w:r>
    </w:p>
    <w:p>
      <w:pPr>
        <w:pStyle w:val="BodyText"/>
        <w:spacing w:line="240" w:lineRule="auto" w:before="76"/>
        <w:ind w:right="163"/>
        <w:jc w:val="left"/>
      </w:pPr>
      <w:r>
        <w:rPr>
          <w:rFonts w:ascii="Times New Roman" w:hAnsi="Times New Roman" w:cs="Times New Roman" w:eastAsia="Times New Roman" w:hint="default"/>
        </w:rPr>
        <w:t>3</w:t>
      </w:r>
      <w:r>
        <w:rPr/>
        <w:t>、与开联通签署战略合作协议并共同投资设立厦门市民生通电子商务有限公司</w:t>
      </w:r>
    </w:p>
    <w:p>
      <w:pPr>
        <w:pStyle w:val="BodyText"/>
        <w:spacing w:line="307" w:lineRule="auto" w:before="63"/>
        <w:ind w:right="93"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日，经公司第二届董事会第十六次会议审议通过了《关于与开联通网络技术服务有限公司签署战略合作协 议并共同投资设立合资公司的议案》，同意公司与开联通网络技术服务有限公司（简称</w:t>
      </w:r>
      <w:r>
        <w:rPr>
          <w:rFonts w:ascii="Times New Roman" w:hAnsi="Times New Roman" w:cs="Times New Roman" w:eastAsia="Times New Roman" w:hint="default"/>
        </w:rPr>
        <w:t>“</w:t>
      </w:r>
      <w:r>
        <w:rPr/>
        <w:t>开联通</w:t>
      </w:r>
      <w:r>
        <w:rPr>
          <w:rFonts w:ascii="Times New Roman" w:hAnsi="Times New Roman" w:cs="Times New Roman" w:eastAsia="Times New Roman" w:hint="default"/>
        </w:rPr>
        <w:t>”</w:t>
      </w:r>
      <w:r>
        <w:rPr/>
        <w:t>）签署《战略合作协议》， </w:t>
      </w:r>
      <w:r>
        <w:rPr>
          <w:spacing w:val="-2"/>
        </w:rPr>
        <w:t>共同出资成立合资经营企业，在合作区域内通过合资公司合作开展业务。同时根据《战略合作协议》，双方签署在福建省投</w:t>
      </w:r>
      <w:r>
        <w:rPr>
          <w:spacing w:val="-67"/>
        </w:rPr>
        <w:t> </w:t>
      </w:r>
      <w:r>
        <w:rPr>
          <w:spacing w:val="-67"/>
        </w:rPr>
      </w:r>
      <w:r>
        <w:rPr>
          <w:spacing w:val="-2"/>
        </w:rPr>
        <w:t>资设立合资公司的《合作协议书（福建）》，公司与开联通共同投资设立厦门市民生通电子商务有限公司，以拓展福建省的</w:t>
      </w:r>
      <w:r>
        <w:rPr>
          <w:spacing w:val="-70"/>
        </w:rPr>
        <w:t> </w:t>
      </w:r>
      <w:r>
        <w:rPr>
          <w:spacing w:val="-70"/>
        </w:rPr>
      </w:r>
      <w:r>
        <w:rPr/>
        <w:t>预付费卡业务。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日，公司披露了《关于与开联通网络技术服务有限公司签署战略合作协议并共同投资设立合资 公司的公告》。</w:t>
      </w:r>
    </w:p>
    <w:p>
      <w:pPr>
        <w:pStyle w:val="BodyText"/>
        <w:spacing w:line="300" w:lineRule="auto" w:before="26"/>
        <w:ind w:left="513" w:right="133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日，厦门市民生通电子商务有限公司已完成工商注册登记并取得《企业法人营业执照》。 具体内容详见公司刊登在巨潮资讯网的相关公告。</w:t>
      </w:r>
    </w:p>
    <w:p>
      <w:pPr>
        <w:pStyle w:val="BodyText"/>
        <w:spacing w:line="240" w:lineRule="auto" w:before="31"/>
        <w:ind w:right="163"/>
        <w:jc w:val="left"/>
      </w:pPr>
      <w:r>
        <w:rPr>
          <w:rFonts w:ascii="Times New Roman" w:hAnsi="Times New Roman" w:cs="Times New Roman" w:eastAsia="Times New Roman" w:hint="default"/>
        </w:rPr>
        <w:t>4</w:t>
      </w:r>
      <w:r>
        <w:rPr/>
        <w:t>、中标</w:t>
      </w:r>
      <w:r>
        <w:rPr>
          <w:rFonts w:ascii="宋体" w:hAnsi="宋体" w:cs="宋体" w:eastAsia="宋体" w:hint="default"/>
          <w:b/>
          <w:bCs/>
        </w:rPr>
        <w:t>三</w:t>
      </w:r>
      <w:r>
        <w:rPr/>
        <w:t>明市民生信息公共服务平台建设项目</w:t>
      </w:r>
    </w:p>
    <w:p>
      <w:pPr>
        <w:pStyle w:val="BodyText"/>
        <w:spacing w:line="297" w:lineRule="auto" w:before="103"/>
        <w:ind w:right="163" w:firstLine="364"/>
        <w:jc w:val="left"/>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日中标了</w:t>
      </w:r>
      <w:r>
        <w:rPr>
          <w:rFonts w:ascii="宋体" w:hAnsi="宋体" w:cs="宋体" w:eastAsia="宋体" w:hint="default"/>
          <w:b/>
          <w:bCs/>
        </w:rPr>
        <w:t>三</w:t>
      </w:r>
      <w:r>
        <w:rPr/>
        <w:t>明市民生信息公共服务平台建设项目（人力资源社会保障业务整合及公共服务应用部 </w:t>
      </w:r>
      <w:r>
        <w:rPr>
          <w:spacing w:val="-2"/>
        </w:rPr>
        <w:t>分），并于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月与三明市人力资源和社会保障局、三明市财政局正式签署的《三明市民生信息公共服务平台建设项目</w:t>
      </w:r>
    </w:p>
    <w:p>
      <w:pPr>
        <w:pStyle w:val="BodyText"/>
        <w:spacing w:line="319" w:lineRule="auto" w:before="15"/>
        <w:ind w:right="163"/>
        <w:jc w:val="left"/>
      </w:pPr>
      <w:r>
        <w:rPr>
          <w:spacing w:val="-2"/>
        </w:rPr>
        <w:t>（人力资源社会保障业务整合及公共服务应用部分）合同》。详情请见巨潮资讯网上公司于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日披露的《关于收</w:t>
      </w:r>
      <w:r>
        <w:rPr>
          <w:spacing w:val="-58"/>
        </w:rPr>
        <w:t> </w:t>
      </w:r>
      <w:r>
        <w:rPr>
          <w:spacing w:val="-58"/>
        </w:rPr>
      </w:r>
      <w:r>
        <w:rPr/>
        <w:t>到中标通知书的公告》及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日披露的《关于公司中标项目正式签署合同的公告》。 </w:t>
      </w:r>
      <w:r>
        <w:rPr>
          <w:rFonts w:ascii="Times New Roman" w:hAnsi="Times New Roman" w:cs="Times New Roman" w:eastAsia="Times New Roman" w:hint="default"/>
        </w:rPr>
        <w:t>5</w:t>
      </w:r>
      <w:r>
        <w:rPr/>
        <w:t>、与广西壮族自治区人力资源和社会保障厅签署了合作协议</w:t>
      </w:r>
    </w:p>
    <w:p>
      <w:pPr>
        <w:pStyle w:val="BodyText"/>
        <w:spacing w:line="300" w:lineRule="auto" w:before="38"/>
        <w:ind w:right="171"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日，公司与广西壮族自治区人力资源与社会保障厅签署了《广西人力资源和社会保障公共服务平台建设及</w:t>
      </w:r>
      <w:r>
        <w:rPr/>
        <w:t> </w:t>
      </w:r>
      <w:r>
        <w:rPr>
          <w:spacing w:val="-2"/>
        </w:rPr>
        <w:t>运营项目合作协议》，具体内容详见公司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日在巨潮资讯网披露的《关于与广西壮族自治区人力资源和社会保障</w:t>
      </w:r>
      <w:r>
        <w:rPr>
          <w:spacing w:val="-62"/>
        </w:rPr>
        <w:t> </w:t>
      </w:r>
      <w:r>
        <w:rPr>
          <w:spacing w:val="-62"/>
        </w:rPr>
      </w:r>
      <w:r>
        <w:rPr/>
        <w:t>厅签署合作协议的公告》。</w:t>
      </w:r>
    </w:p>
    <w:p>
      <w:pPr>
        <w:spacing w:line="240" w:lineRule="auto" w:before="9"/>
        <w:rPr>
          <w:rFonts w:ascii="宋体" w:hAnsi="宋体" w:cs="宋体" w:eastAsia="宋体" w:hint="default"/>
          <w:sz w:val="21"/>
          <w:szCs w:val="21"/>
        </w:rPr>
      </w:pPr>
    </w:p>
    <w:p>
      <w:pPr>
        <w:pStyle w:val="Heading2"/>
        <w:spacing w:line="240" w:lineRule="auto"/>
        <w:ind w:right="163"/>
        <w:jc w:val="left"/>
        <w:rPr>
          <w:b w:val="0"/>
          <w:bCs w:val="0"/>
        </w:rPr>
      </w:pPr>
      <w:r>
        <w:rPr/>
        <w:t>十五、控股子公司重要事项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63"/>
        <w:jc w:val="left"/>
      </w:pPr>
      <w:r>
        <w:rPr>
          <w:rFonts w:ascii="Times New Roman" w:hAnsi="Times New Roman" w:cs="Times New Roman" w:eastAsia="Times New Roman" w:hint="default"/>
        </w:rPr>
        <w:t>1</w:t>
      </w:r>
      <w:r>
        <w:rPr/>
        <w:t>、收购安徽易联众信息技术有限公司</w:t>
      </w:r>
      <w:r>
        <w:rPr>
          <w:rFonts w:ascii="Times New Roman" w:hAnsi="Times New Roman" w:cs="Times New Roman" w:eastAsia="Times New Roman" w:hint="default"/>
        </w:rPr>
        <w:t>25%</w:t>
      </w:r>
      <w:r>
        <w:rPr/>
        <w:t>股权</w:t>
      </w:r>
    </w:p>
    <w:p>
      <w:pPr>
        <w:pStyle w:val="BodyText"/>
        <w:spacing w:line="307" w:lineRule="auto" w:before="63"/>
        <w:ind w:right="163" w:firstLine="345"/>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4</w:t>
      </w:r>
      <w:r>
        <w:rPr>
          <w:spacing w:val="-1"/>
        </w:rPr>
        <w:t>日，公司就受让福州实达医疗系统有限公司持有的安徽易联众信息技术有限公司（简称</w:t>
      </w:r>
      <w:r>
        <w:rPr>
          <w:rFonts w:ascii="Times New Roman" w:hAnsi="Times New Roman" w:cs="Times New Roman" w:eastAsia="Times New Roman" w:hint="default"/>
          <w:spacing w:val="-1"/>
        </w:rPr>
        <w:t>“</w:t>
      </w:r>
      <w:r>
        <w:rPr>
          <w:spacing w:val="-1"/>
        </w:rPr>
        <w:t>安徽易联众</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1"/>
        </w:rPr>
        <w:t> </w:t>
      </w:r>
      <w:r>
        <w:rPr/>
        <w:t>股权签署了《福州实达医疗系统有限公司与易联众信息技术股份有限公司关于安徽易联众信息技术有限公司之股权转让协 议》，本次交易完成后，公司持有安徽易联众</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日，公司第二届董事会第十七次会议审议通过了《关 于收购安徽易联众信息技术有限公司</w:t>
      </w:r>
      <w:r>
        <w:rPr>
          <w:rFonts w:ascii="Times New Roman" w:hAnsi="Times New Roman" w:cs="Times New Roman" w:eastAsia="Times New Roman" w:hint="default"/>
        </w:rPr>
        <w:t>25%</w:t>
      </w:r>
      <w:r>
        <w:rPr/>
        <w:t>股权的议案》。</w:t>
      </w:r>
    </w:p>
    <w:p>
      <w:pPr>
        <w:pStyle w:val="BodyText"/>
        <w:spacing w:line="240" w:lineRule="auto" w:before="7"/>
        <w:ind w:left="498" w:right="163"/>
        <w:jc w:val="left"/>
      </w:pPr>
      <w:r>
        <w:rPr/>
        <w:t>具体内容详见公司刊登在巨潮资讯网的相关公告。</w:t>
      </w:r>
    </w:p>
    <w:p>
      <w:pPr>
        <w:spacing w:after="0" w:line="240" w:lineRule="auto"/>
        <w:jc w:val="left"/>
        <w:sectPr>
          <w:pgSz w:w="11910" w:h="16840"/>
          <w:pgMar w:header="745" w:footer="979" w:top="1060" w:bottom="1160" w:left="9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right="0"/>
        <w:jc w:val="left"/>
      </w:pPr>
      <w:r>
        <w:rPr>
          <w:rFonts w:ascii="Times New Roman" w:hAnsi="Times New Roman" w:cs="Times New Roman" w:eastAsia="Times New Roman" w:hint="default"/>
        </w:rPr>
        <w:t>2</w:t>
      </w:r>
      <w:r>
        <w:rPr/>
        <w:t>、放弃中职动力（北京）科技有限公司（简称</w:t>
      </w:r>
      <w:r>
        <w:rPr>
          <w:rFonts w:ascii="Times New Roman" w:hAnsi="Times New Roman" w:cs="Times New Roman" w:eastAsia="Times New Roman" w:hint="default"/>
        </w:rPr>
        <w:t>“</w:t>
      </w:r>
      <w:r>
        <w:rPr/>
        <w:t>中职动力</w:t>
      </w:r>
      <w:r>
        <w:rPr>
          <w:rFonts w:ascii="Times New Roman" w:hAnsi="Times New Roman" w:cs="Times New Roman" w:eastAsia="Times New Roman" w:hint="default"/>
        </w:rPr>
        <w:t>”</w:t>
      </w:r>
      <w:r>
        <w:rPr/>
        <w:t>）增资优先认购权暨关联交易</w:t>
      </w:r>
    </w:p>
    <w:p>
      <w:pPr>
        <w:pStyle w:val="BodyText"/>
        <w:spacing w:line="304" w:lineRule="auto" w:before="63"/>
        <w:ind w:right="14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日，公司第二届董事会第二十次会议审议通过了《关于子公司放弃控股孙公司增资优先认购权暨关联交易 </w:t>
      </w:r>
      <w:r>
        <w:rPr>
          <w:spacing w:val="-2"/>
        </w:rPr>
        <w:t>的议案》，同意公司现任董事长张曦先生、现任董事及总经理雷彪先生以自有资金通过增资扩股方式对公司控股孙公司中职</w:t>
      </w:r>
      <w:r>
        <w:rPr>
          <w:spacing w:val="-66"/>
        </w:rPr>
        <w:t> </w:t>
      </w:r>
      <w:r>
        <w:rPr>
          <w:spacing w:val="-66"/>
        </w:rPr>
      </w:r>
      <w:r>
        <w:rPr>
          <w:spacing w:val="-2"/>
        </w:rPr>
        <w:t>动力（北京）科技有限公司进行投资，同时公司控股子公司福州易联众信息技术有限公司（简称</w:t>
      </w:r>
      <w:r>
        <w:rPr>
          <w:rFonts w:ascii="Times New Roman" w:hAnsi="Times New Roman" w:cs="Times New Roman" w:eastAsia="Times New Roman" w:hint="default"/>
          <w:spacing w:val="-2"/>
        </w:rPr>
        <w:t>“</w:t>
      </w:r>
      <w:r>
        <w:rPr>
          <w:spacing w:val="-2"/>
        </w:rPr>
        <w:t>福州易联众</w:t>
      </w:r>
      <w:r>
        <w:rPr>
          <w:rFonts w:ascii="Times New Roman" w:hAnsi="Times New Roman" w:cs="Times New Roman" w:eastAsia="Times New Roman" w:hint="default"/>
          <w:spacing w:val="-2"/>
        </w:rPr>
        <w:t>”</w:t>
      </w:r>
      <w:r>
        <w:rPr>
          <w:spacing w:val="-2"/>
        </w:rPr>
        <w:t>）拟放弃本次</w:t>
      </w:r>
      <w:r>
        <w:rPr>
          <w:spacing w:val="-46"/>
        </w:rPr>
        <w:t> </w:t>
      </w:r>
      <w:r>
        <w:rPr>
          <w:spacing w:val="-46"/>
        </w:rPr>
      </w:r>
      <w:r>
        <w:rPr>
          <w:spacing w:val="-1"/>
        </w:rPr>
        <w:t>中职动力增资的优先认购权。交易实施后，福州易联众持有中职动力的股权比例由</w:t>
      </w:r>
      <w:r>
        <w:rPr>
          <w:rFonts w:ascii="Times New Roman" w:hAnsi="Times New Roman" w:cs="Times New Roman" w:eastAsia="Times New Roman" w:hint="default"/>
          <w:spacing w:val="-1"/>
        </w:rPr>
        <w:t>65%</w:t>
      </w:r>
      <w:r>
        <w:rPr>
          <w:spacing w:val="-1"/>
        </w:rPr>
        <w:t>下降至</w:t>
      </w:r>
      <w:r>
        <w:rPr>
          <w:rFonts w:ascii="Times New Roman" w:hAnsi="Times New Roman" w:cs="Times New Roman" w:eastAsia="Times New Roman" w:hint="default"/>
          <w:spacing w:val="-1"/>
        </w:rPr>
        <w:t>26%</w:t>
      </w:r>
      <w:r>
        <w:rPr>
          <w:spacing w:val="-1"/>
        </w:rPr>
        <w:t>，成为中职动力的少数股</w:t>
      </w:r>
      <w:r>
        <w:rPr>
          <w:spacing w:val="-57"/>
        </w:rPr>
        <w:t> </w:t>
      </w:r>
      <w:r>
        <w:rPr>
          <w:spacing w:val="-57"/>
        </w:rPr>
      </w:r>
      <w:r>
        <w:rPr/>
        <w:t>东，公司不再将中职动力纳入合并报表范围。该议案已于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日经公司</w:t>
      </w:r>
      <w:r>
        <w:rPr>
          <w:rFonts w:ascii="Times New Roman" w:hAnsi="Times New Roman" w:cs="Times New Roman" w:eastAsia="Times New Roman" w:hint="default"/>
        </w:rPr>
        <w:t>2015</w:t>
      </w:r>
      <w:r>
        <w:rPr/>
        <w:t>年第一次临时股东大会审议通过。</w:t>
      </w:r>
    </w:p>
    <w:p>
      <w:pPr>
        <w:pStyle w:val="BodyText"/>
        <w:spacing w:line="300" w:lineRule="auto" w:before="9"/>
        <w:ind w:right="323" w:firstLine="360"/>
        <w:jc w:val="left"/>
      </w:pPr>
      <w:r>
        <w:rPr/>
        <w:t>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日在巨潮资讯网披露的《关于子公司放弃控股孙公司增资优先认购权暨关联交易的公 告》。</w:t>
      </w:r>
    </w:p>
    <w:p>
      <w:pPr>
        <w:spacing w:line="240" w:lineRule="auto" w:before="3"/>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3</w:t>
      </w:r>
      <w:r>
        <w:rPr/>
        <w:t>、放弃厦门市民生通电子商务有限公司（简称</w:t>
      </w:r>
      <w:r>
        <w:rPr>
          <w:rFonts w:ascii="Times New Roman" w:hAnsi="Times New Roman" w:cs="Times New Roman" w:eastAsia="Times New Roman" w:hint="default"/>
        </w:rPr>
        <w:t>“</w:t>
      </w:r>
      <w:r>
        <w:rPr/>
        <w:t>民生通</w:t>
      </w:r>
      <w:r>
        <w:rPr>
          <w:rFonts w:ascii="Times New Roman" w:hAnsi="Times New Roman" w:cs="Times New Roman" w:eastAsia="Times New Roman" w:hint="default"/>
        </w:rPr>
        <w:t>”</w:t>
      </w:r>
      <w:r>
        <w:rPr/>
        <w:t>）股权优先购买权暨关联交易</w:t>
      </w:r>
    </w:p>
    <w:p>
      <w:pPr>
        <w:pStyle w:val="BodyText"/>
        <w:spacing w:line="300" w:lineRule="auto" w:before="63"/>
        <w:ind w:right="14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日，公司第二届董事会第二十一次会议审议通过了《关于放弃控股子公司股权优先购买权暨关联交易的议 </w:t>
      </w:r>
      <w:r>
        <w:rPr>
          <w:spacing w:val="-2"/>
        </w:rPr>
        <w:t>案》，同意开联通网络技术服务有限公司将其持有的</w:t>
      </w:r>
      <w:r>
        <w:rPr>
          <w:rFonts w:ascii="Times New Roman" w:hAnsi="Times New Roman" w:cs="Times New Roman" w:eastAsia="Times New Roman" w:hint="default"/>
          <w:spacing w:val="-2"/>
        </w:rPr>
        <w:t>11%</w:t>
      </w:r>
      <w:r>
        <w:rPr>
          <w:spacing w:val="-2"/>
        </w:rPr>
        <w:t>民生通股权转让给公司现任董事、总经理雷彪先生。考虑到公司已</w:t>
      </w:r>
      <w:r>
        <w:rPr>
          <w:spacing w:val="-37"/>
        </w:rPr>
        <w:t> </w:t>
      </w:r>
      <w:r>
        <w:rPr>
          <w:spacing w:val="-37"/>
        </w:rPr>
      </w:r>
      <w:r>
        <w:rPr>
          <w:spacing w:val="-1"/>
        </w:rPr>
        <w:t>是民生通绝对控股股东，公司同意本次股权转让且拟放弃优先购买权。本次股权转让后，公司仍持有民生通</w:t>
      </w:r>
      <w:r>
        <w:rPr>
          <w:rFonts w:ascii="Times New Roman" w:hAnsi="Times New Roman" w:cs="Times New Roman" w:eastAsia="Times New Roman" w:hint="default"/>
          <w:spacing w:val="-1"/>
        </w:rPr>
        <w:t>51%</w:t>
      </w:r>
      <w:r>
        <w:rPr>
          <w:spacing w:val="-1"/>
        </w:rPr>
        <w:t>的股权，仍</w:t>
      </w:r>
      <w:r>
        <w:rPr>
          <w:spacing w:val="-87"/>
        </w:rPr>
        <w:t> </w:t>
      </w:r>
      <w:r>
        <w:rPr>
          <w:spacing w:val="-87"/>
        </w:rPr>
      </w:r>
      <w:r>
        <w:rPr/>
        <w:t>未民生通的控股股东。该议案已于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日经公司</w:t>
      </w:r>
      <w:r>
        <w:rPr>
          <w:rFonts w:ascii="Times New Roman" w:hAnsi="Times New Roman" w:cs="Times New Roman" w:eastAsia="Times New Roman" w:hint="default"/>
        </w:rPr>
        <w:t>2015</w:t>
      </w:r>
      <w:r>
        <w:rPr/>
        <w:t>年第二次临时股东大会审议通过。</w:t>
      </w:r>
    </w:p>
    <w:p>
      <w:pPr>
        <w:pStyle w:val="BodyText"/>
        <w:spacing w:line="240" w:lineRule="auto" w:before="13"/>
        <w:ind w:left="513" w:right="0"/>
        <w:jc w:val="left"/>
      </w:pPr>
      <w:r>
        <w:rPr/>
        <w:t>具体内容详见公司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日在巨潮资讯网披露的《关于放弃控股子公司股权优先购买权暨关联交易的公告》。</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20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03"/>
        <w:jc w:val="left"/>
        <w:rPr>
          <w:b w:val="0"/>
          <w:bCs w:val="0"/>
        </w:rPr>
      </w:pPr>
      <w:r>
        <w:rPr/>
        <w:t>一、股份变动情况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20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10"/>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2"/>
        <w:gridCol w:w="842"/>
        <w:gridCol w:w="843"/>
        <w:gridCol w:w="845"/>
        <w:gridCol w:w="814"/>
        <w:gridCol w:w="814"/>
      </w:tblGrid>
      <w:tr>
        <w:trPr>
          <w:trHeight w:val="40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32.70%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84,375,00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-9,631,250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130,993,7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30.46%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32.70%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84,375,00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-9,631,250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74,743,75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130,993,7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30.46%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32.70%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-9,631,250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74,743,75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130,993,7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30.46%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115,750,0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67.29%</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173,625,0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9,631,250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183,256,2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299,006,2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69.53%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67.29%</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173,625,0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9,631,250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183,256,2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299,006,2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69.53%</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43"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203"/>
        <w:jc w:val="left"/>
      </w:pPr>
      <w:r>
        <w:rPr/>
        <w:t>股份变动的原因</w:t>
      </w:r>
    </w:p>
    <w:p>
      <w:pPr>
        <w:pStyle w:val="BodyText"/>
        <w:spacing w:line="240" w:lineRule="auto" w:before="115"/>
        <w:ind w:right="2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203"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年首个交易日，中国证券登记结算有限公司深圳分公司根据公司董事、监事和高级管理人员</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日所 持公司股份重新计算本年度可转让股份法定额度，其余部分作为高管锁定股份进行锁定。</w:t>
      </w:r>
    </w:p>
    <w:p>
      <w:pPr>
        <w:pStyle w:val="BodyText"/>
        <w:spacing w:line="338" w:lineRule="auto" w:before="72"/>
        <w:ind w:right="0" w:firstLine="360"/>
        <w:jc w:val="left"/>
      </w:pP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日实施了</w:t>
      </w:r>
      <w:r>
        <w:rPr>
          <w:rFonts w:ascii="Times New Roman" w:hAnsi="Times New Roman" w:cs="Times New Roman" w:eastAsia="Times New Roman" w:hint="default"/>
          <w:spacing w:val="-1"/>
        </w:rPr>
        <w:t>2014</w:t>
      </w:r>
      <w:r>
        <w:rPr>
          <w:spacing w:val="-1"/>
        </w:rPr>
        <w:t>年半年度权益分派，公司总股本由</w:t>
      </w:r>
      <w:r>
        <w:rPr>
          <w:rFonts w:ascii="Times New Roman" w:hAnsi="Times New Roman" w:cs="Times New Roman" w:eastAsia="Times New Roman" w:hint="default"/>
          <w:spacing w:val="-1"/>
        </w:rPr>
        <w:t>17,200</w:t>
      </w:r>
      <w:r>
        <w:rPr>
          <w:spacing w:val="-1"/>
        </w:rPr>
        <w:t>万股增加至</w:t>
      </w:r>
      <w:r>
        <w:rPr>
          <w:rFonts w:ascii="Times New Roman" w:hAnsi="Times New Roman" w:cs="Times New Roman" w:eastAsia="Times New Roman" w:hint="default"/>
          <w:spacing w:val="-1"/>
        </w:rPr>
        <w:t>43,000</w:t>
      </w:r>
      <w:r>
        <w:rPr>
          <w:spacing w:val="-1"/>
        </w:rPr>
        <w:t>万股，增加</w:t>
      </w:r>
      <w:r>
        <w:rPr>
          <w:rFonts w:ascii="Times New Roman" w:hAnsi="Times New Roman" w:cs="Times New Roman" w:eastAsia="Times New Roman" w:hint="default"/>
          <w:spacing w:val="-1"/>
        </w:rPr>
        <w:t>25,800</w:t>
      </w:r>
      <w:r>
        <w:rPr>
          <w:spacing w:val="-1"/>
        </w:rPr>
        <w:t>万股。</w:t>
      </w:r>
      <w:r>
        <w:rPr/>
        <w:t> 股份变动的批准情况</w:t>
      </w:r>
    </w:p>
    <w:p>
      <w:pPr>
        <w:pStyle w:val="BodyText"/>
        <w:spacing w:line="340" w:lineRule="auto" w:before="44"/>
        <w:ind w:left="513" w:right="20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日召开第二届董事会第十八次会议、第二届监事会第十四次会议，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日召开公司</w:t>
      </w:r>
      <w:r>
        <w:rPr>
          <w:rFonts w:ascii="Times New Roman" w:hAnsi="Times New Roman" w:cs="Times New Roman" w:eastAsia="Times New Roman" w:hint="default"/>
          <w:spacing w:val="-2"/>
        </w:rPr>
        <w:t>2014</w:t>
      </w:r>
      <w:r>
        <w:rPr>
          <w:spacing w:val="-2"/>
        </w:rPr>
        <w:t>年第</w:t>
      </w:r>
    </w:p>
    <w:p>
      <w:pPr>
        <w:pStyle w:val="BodyText"/>
        <w:spacing w:line="228" w:lineRule="exact"/>
        <w:ind w:right="203"/>
        <w:jc w:val="left"/>
      </w:pPr>
      <w:r>
        <w:rPr/>
        <w:t>一次临时股东大会，审议通过了公司</w:t>
      </w:r>
      <w:r>
        <w:rPr>
          <w:rFonts w:ascii="Times New Roman" w:hAnsi="Times New Roman" w:cs="Times New Roman" w:eastAsia="Times New Roman" w:hint="default"/>
        </w:rPr>
        <w:t>2014</w:t>
      </w:r>
      <w:r>
        <w:rPr/>
        <w:t>年半年度资本公积金转增股本方案。</w:t>
      </w:r>
    </w:p>
    <w:p>
      <w:pPr>
        <w:pStyle w:val="BodyText"/>
        <w:spacing w:line="240" w:lineRule="auto" w:before="101"/>
        <w:ind w:right="203"/>
        <w:jc w:val="left"/>
      </w:pPr>
      <w:r>
        <w:rPr/>
        <w:t>股份变动的过户情况</w:t>
      </w:r>
    </w:p>
    <w:p>
      <w:pPr>
        <w:pStyle w:val="BodyText"/>
        <w:spacing w:line="340" w:lineRule="auto" w:before="117"/>
        <w:ind w:left="513" w:right="20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根据</w:t>
      </w:r>
      <w:r>
        <w:rPr>
          <w:rFonts w:ascii="Times New Roman" w:hAnsi="Times New Roman" w:cs="Times New Roman" w:eastAsia="Times New Roman" w:hint="default"/>
        </w:rPr>
        <w:t>2014</w:t>
      </w:r>
      <w:r>
        <w:rPr/>
        <w:t>年第一次临时股东大会决议，公司于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日发布了《</w:t>
      </w:r>
      <w:r>
        <w:rPr>
          <w:rFonts w:ascii="Times New Roman" w:hAnsi="Times New Roman" w:cs="Times New Roman" w:eastAsia="Times New Roman" w:hint="default"/>
        </w:rPr>
        <w:t>2014</w:t>
      </w:r>
      <w:r>
        <w:rPr/>
        <w:t>年半年度权益分派实施公告》，权益分派股</w:t>
      </w:r>
    </w:p>
    <w:p>
      <w:pPr>
        <w:pStyle w:val="BodyText"/>
        <w:spacing w:line="228" w:lineRule="exact"/>
        <w:ind w:right="0"/>
        <w:jc w:val="left"/>
      </w:pPr>
      <w:r>
        <w:rPr/>
        <w:t>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日，上述股份变动已在中国证券登记结算有限公司深圳分公司办理完</w:t>
      </w:r>
    </w:p>
    <w:p>
      <w:pPr>
        <w:pStyle w:val="BodyText"/>
        <w:spacing w:line="300" w:lineRule="auto" w:before="63"/>
        <w:ind w:right="203"/>
        <w:jc w:val="left"/>
      </w:pPr>
      <w:r>
        <w:rPr>
          <w:spacing w:val="-3"/>
        </w:rPr>
        <w:t>成了相关的登记手续。</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30</w:t>
      </w:r>
      <w:r>
        <w:rPr>
          <w:spacing w:val="-3"/>
        </w:rPr>
        <w:t>日，公司取得了厦门市工商行政管理局换发的《企业法人营业执照》，股本增加至</w:t>
      </w:r>
      <w:r>
        <w:rPr>
          <w:rFonts w:ascii="Times New Roman" w:hAnsi="Times New Roman" w:cs="Times New Roman" w:eastAsia="Times New Roman" w:hint="default"/>
          <w:spacing w:val="-3"/>
        </w:rPr>
        <w:t>43,000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万股。</w:t>
      </w:r>
    </w:p>
    <w:p>
      <w:pPr>
        <w:pStyle w:val="BodyText"/>
        <w:spacing w:line="240" w:lineRule="auto" w:before="72"/>
        <w:ind w:right="203"/>
        <w:jc w:val="left"/>
      </w:pPr>
      <w:r>
        <w:rPr/>
        <w:t>股份变动对最近一年和最近一期基本每股收益和稀释每股收益、归属于公司普通股股东的每股净资产等财务指标的影响</w:t>
      </w:r>
    </w:p>
    <w:p>
      <w:pPr>
        <w:spacing w:after="0" w:line="240" w:lineRule="auto"/>
        <w:jc w:val="left"/>
        <w:sectPr>
          <w:pgSz w:w="11910" w:h="16840"/>
          <w:pgMar w:header="745" w:footer="979"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4"/>
        <w:ind w:right="153" w:firstLine="360"/>
        <w:jc w:val="both"/>
      </w:pPr>
      <w:r>
        <w:rPr>
          <w:spacing w:val="-1"/>
        </w:rPr>
        <w:t>报告期内，公司完成</w:t>
      </w:r>
      <w:r>
        <w:rPr>
          <w:rFonts w:ascii="Times New Roman" w:hAnsi="Times New Roman" w:cs="Times New Roman" w:eastAsia="Times New Roman" w:hint="default"/>
          <w:spacing w:val="-1"/>
        </w:rPr>
        <w:t>2014</w:t>
      </w:r>
      <w:r>
        <w:rPr>
          <w:spacing w:val="-1"/>
        </w:rPr>
        <w:t>年半年度资本公积金转增股本方案，</w:t>
      </w:r>
      <w:r>
        <w:rPr>
          <w:spacing w:val="-34"/>
        </w:rPr>
        <w:t> </w:t>
      </w:r>
      <w:r>
        <w:rPr>
          <w:spacing w:val="-1"/>
        </w:rPr>
        <w:t>总股本由</w:t>
      </w:r>
      <w:r>
        <w:rPr>
          <w:rFonts w:ascii="Times New Roman" w:hAnsi="Times New Roman" w:cs="Times New Roman" w:eastAsia="Times New Roman" w:hint="default"/>
          <w:spacing w:val="-1"/>
        </w:rPr>
        <w:t>17,200</w:t>
      </w:r>
      <w:r>
        <w:rPr>
          <w:spacing w:val="-1"/>
        </w:rPr>
        <w:t>万股增加至</w:t>
      </w:r>
      <w:r>
        <w:rPr>
          <w:rFonts w:ascii="Times New Roman" w:hAnsi="Times New Roman" w:cs="Times New Roman" w:eastAsia="Times New Roman" w:hint="default"/>
          <w:spacing w:val="-1"/>
        </w:rPr>
        <w:t>43,000</w:t>
      </w:r>
      <w:r>
        <w:rPr>
          <w:spacing w:val="-1"/>
        </w:rPr>
        <w:t>万股。股份变动对最近</w:t>
      </w:r>
      <w:r>
        <w:rPr/>
        <w:t> 一年每股收益、稀释每股收益、归属于公司普通股股东的每股净资产等财务指标的影响详见</w:t>
      </w:r>
      <w:r>
        <w:rPr>
          <w:rFonts w:ascii="Times New Roman" w:hAnsi="Times New Roman" w:cs="Times New Roman" w:eastAsia="Times New Roman" w:hint="default"/>
        </w:rPr>
        <w:t>“</w:t>
      </w:r>
      <w:r>
        <w:rPr/>
        <w:t>本报告第三节一、主要会计数 据和财务指标</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公司认为必要或证券监管机构要求披露的其他内容</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2"/>
        <w:ind w:left="0" w:right="150"/>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77,230,000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111,700,000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16" w:lineRule="auto" w:before="60"/>
              <w:ind w:left="23" w:right="71"/>
              <w:jc w:val="left"/>
              <w:rPr>
                <w:rFonts w:ascii="宋体" w:hAnsi="宋体" w:cs="宋体" w:eastAsia="宋体" w:hint="default"/>
                <w:sz w:val="18"/>
                <w:szCs w:val="18"/>
              </w:rPr>
            </w:pPr>
            <w:r>
              <w:rPr>
                <w:rFonts w:ascii="宋体" w:hAnsi="宋体" w:cs="宋体" w:eastAsia="宋体" w:hint="default"/>
                <w:sz w:val="18"/>
                <w:szCs w:val="18"/>
              </w:rPr>
              <w:t>日离职，离职高 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1,223,438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2,039,063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1,712,812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2,854,687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每年按照上年末 持有股份数的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14,062,500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88,806,250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130,993,750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left="513"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日召开第二届董事会第十八次会议、第二届监事会第十四次会议，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日召开公司</w:t>
      </w:r>
      <w:r>
        <w:rPr>
          <w:rFonts w:ascii="Times New Roman" w:hAnsi="Times New Roman" w:cs="Times New Roman" w:eastAsia="Times New Roman" w:hint="default"/>
          <w:spacing w:val="-2"/>
        </w:rPr>
        <w:t>2014</w:t>
      </w:r>
      <w:r>
        <w:rPr>
          <w:spacing w:val="-2"/>
        </w:rPr>
        <w:t>年第</w:t>
      </w:r>
      <w:r>
        <w:rPr/>
      </w:r>
    </w:p>
    <w:p>
      <w:pPr>
        <w:pStyle w:val="BodyText"/>
        <w:spacing w:line="230" w:lineRule="exact"/>
        <w:ind w:right="0"/>
        <w:jc w:val="left"/>
      </w:pPr>
      <w:r>
        <w:rPr/>
        <w:t>一次临时股东大会，审议通过了公司</w:t>
      </w:r>
      <w:r>
        <w:rPr>
          <w:rFonts w:ascii="Times New Roman" w:hAnsi="Times New Roman" w:cs="Times New Roman" w:eastAsia="Times New Roman" w:hint="default"/>
        </w:rPr>
        <w:t>2014</w:t>
      </w:r>
      <w:r>
        <w:rPr/>
        <w:t>年半年度资本公积金转增股本方案，以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17,200</w:t>
      </w:r>
      <w:r>
        <w:rPr/>
        <w:t>万股为基数向</w:t>
      </w:r>
    </w:p>
    <w:p>
      <w:pPr>
        <w:pStyle w:val="BodyText"/>
        <w:spacing w:line="300" w:lineRule="auto" w:before="63"/>
        <w:ind w:right="143"/>
        <w:jc w:val="left"/>
      </w:pP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股，共计转增</w:t>
      </w:r>
      <w:r>
        <w:rPr>
          <w:rFonts w:ascii="Times New Roman" w:hAnsi="Times New Roman" w:cs="Times New Roman" w:eastAsia="Times New Roman" w:hint="default"/>
        </w:rPr>
        <w:t>25,800</w:t>
      </w:r>
      <w:r>
        <w:rPr/>
        <w:t>万股，转增后公司总股本将增加至</w:t>
      </w:r>
      <w:r>
        <w:rPr>
          <w:rFonts w:ascii="Times New Roman" w:hAnsi="Times New Roman" w:cs="Times New Roman" w:eastAsia="Times New Roman" w:hint="default"/>
        </w:rPr>
        <w:t>43,000</w:t>
      </w:r>
      <w:r>
        <w:rPr/>
        <w:t>万股。</w:t>
      </w:r>
      <w:r>
        <w:rPr>
          <w:rFonts w:ascii="Times New Roman" w:hAnsi="Times New Roman" w:cs="Times New Roman" w:eastAsia="Times New Roman" w:hint="default"/>
        </w:rPr>
        <w:t>2014</w:t>
      </w:r>
      <w:r>
        <w:rPr/>
        <w:t>年半年度权益分派已于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日实施完毕，公司总股本由</w:t>
      </w:r>
      <w:r>
        <w:rPr>
          <w:rFonts w:ascii="Times New Roman" w:hAnsi="Times New Roman" w:cs="Times New Roman" w:eastAsia="Times New Roman" w:hint="default"/>
        </w:rPr>
        <w:t>17,200</w:t>
      </w:r>
      <w:r>
        <w:rPr/>
        <w:t>万股增加至</w:t>
      </w:r>
      <w:r>
        <w:rPr>
          <w:rFonts w:ascii="Times New Roman" w:hAnsi="Times New Roman" w:cs="Times New Roman" w:eastAsia="Times New Roman" w:hint="default"/>
        </w:rPr>
        <w:t>43,000</w:t>
      </w:r>
      <w:r>
        <w:rPr/>
        <w:t>万股。</w:t>
      </w:r>
    </w:p>
    <w:p>
      <w:pPr>
        <w:pStyle w:val="BodyText"/>
        <w:spacing w:line="240" w:lineRule="auto" w:before="13"/>
        <w:ind w:left="513" w:right="0"/>
        <w:jc w:val="left"/>
      </w:pPr>
      <w:r>
        <w:rPr/>
        <w:t>以上事项未引起公司资产和负责结构发生变动。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48"/>
        <w:gridCol w:w="1380"/>
        <w:gridCol w:w="881"/>
        <w:gridCol w:w="815"/>
        <w:gridCol w:w="803"/>
        <w:gridCol w:w="809"/>
        <w:gridCol w:w="862"/>
        <w:gridCol w:w="1148"/>
        <w:gridCol w:w="239"/>
        <w:gridCol w:w="1385"/>
      </w:tblGrid>
      <w:tr>
        <w:trPr>
          <w:trHeight w:val="406"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7" w:type="dxa"/>
            <w:gridSpan w:val="2"/>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w:t>
            </w:r>
          </w:p>
        </w:tc>
        <w:tc>
          <w:tcPr>
            <w:tcW w:w="36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58,915</w:t>
            </w:r>
          </w:p>
        </w:tc>
      </w:tr>
      <w:tr>
        <w:trPr>
          <w:trHeight w:val="394"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8"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881" w:type="dxa"/>
            <w:vMerge w:val="restart"/>
            <w:tcBorders>
              <w:top w:val="single" w:sz="4" w:space="0" w:color="000000"/>
              <w:left w:val="single" w:sz="4" w:space="0" w:color="000000"/>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 w:right="3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8" w:right="38"/>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 w:right="4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right w:val="single" w:sz="4" w:space="0" w:color="000000"/>
            </w:tcBorders>
            <w:shd w:val="clear" w:color="auto" w:fill="D2D2D2"/>
          </w:tcPr>
          <w:p>
            <w:pPr/>
          </w:p>
        </w:tc>
      </w:tr>
      <w:tr>
        <w:trPr>
          <w:trHeight w:val="140" w:hRule="exact"/>
        </w:trPr>
        <w:tc>
          <w:tcPr>
            <w:tcW w:w="12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8"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881" w:type="dxa"/>
            <w:vMerge w:val="restart"/>
            <w:tcBorders>
              <w:top w:val="nil" w:sz="6" w:space="0" w:color="auto"/>
              <w:left w:val="single" w:sz="4" w:space="0" w:color="000000"/>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right w:val="single" w:sz="4" w:space="0" w:color="000000"/>
            </w:tcBorders>
            <w:shd w:val="clear" w:color="auto" w:fill="D2D2D2"/>
          </w:tcPr>
          <w:p>
            <w:pPr/>
          </w:p>
        </w:tc>
        <w:tc>
          <w:tcPr>
            <w:tcW w:w="80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1387"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8"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387"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25.98%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111,700,0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65,720,00</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111,700,000</w:t>
            </w:r>
          </w:p>
        </w:tc>
      </w:tr>
      <w:tr>
        <w:trPr>
          <w:trHeight w:val="71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15,800,00</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8,120,000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东吴基金－农 业银行－东吴</w:t>
            </w:r>
          </w:p>
          <w:p>
            <w:pPr>
              <w:pStyle w:val="TableParagraph"/>
              <w:spacing w:line="309" w:lineRule="auto" w:before="19"/>
              <w:ind w:left="24" w:right="38"/>
              <w:jc w:val="left"/>
              <w:rPr>
                <w:rFonts w:ascii="宋体" w:hAnsi="宋体" w:cs="宋体" w:eastAsia="宋体" w:hint="default"/>
                <w:sz w:val="18"/>
                <w:szCs w:val="18"/>
              </w:rPr>
            </w:pPr>
            <w:r>
              <w:rPr>
                <w:rFonts w:ascii="宋体" w:hAnsi="宋体" w:cs="宋体" w:eastAsia="宋体" w:hint="default"/>
                <w:sz w:val="18"/>
                <w:szCs w:val="18"/>
              </w:rPr>
              <w:t>－鼎利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 级股票型资产 管理计划</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12,900,25</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7,740,150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12,900,25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华宝信托有限 责任公司－时 节好雨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 合资金信托信 托</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12,485,00</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z w:val="18"/>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6,045,071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6" w:lineRule="auto" w:before="76"/>
              <w:ind w:left="24" w:right="132"/>
              <w:jc w:val="left"/>
              <w:rPr>
                <w:rFonts w:ascii="宋体" w:hAnsi="宋体" w:cs="宋体" w:eastAsia="宋体" w:hint="default"/>
                <w:sz w:val="18"/>
                <w:szCs w:val="18"/>
              </w:rPr>
            </w:pPr>
            <w:r>
              <w:rPr>
                <w:rFonts w:ascii="宋体" w:hAnsi="宋体" w:cs="宋体" w:eastAsia="宋体" w:hint="default"/>
                <w:sz w:val="18"/>
                <w:szCs w:val="18"/>
              </w:rPr>
              <w:t>－诺安股票证 券投资基金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9,657,291</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8,764,290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9,657,291</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中国银行－嘉 实主题精选混 合型证券投资 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6,000,000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4,210,000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招商银行股份 有限公司－中 邮核心主题股 票型证券投资 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4,999,909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4,999,909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4,999,909</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6" w:lineRule="auto" w:before="76"/>
              <w:ind w:left="24" w:right="132"/>
              <w:jc w:val="both"/>
              <w:rPr>
                <w:rFonts w:ascii="宋体" w:hAnsi="宋体" w:cs="宋体" w:eastAsia="宋体" w:hint="default"/>
                <w:sz w:val="18"/>
                <w:szCs w:val="18"/>
              </w:rPr>
            </w:pPr>
            <w:r>
              <w:rPr>
                <w:rFonts w:ascii="宋体" w:hAnsi="宋体" w:cs="宋体" w:eastAsia="宋体" w:hint="default"/>
                <w:sz w:val="18"/>
                <w:szCs w:val="18"/>
              </w:rPr>
              <w:t>－诺安价值增 长股票证券投 资基金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3,977,983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2"/>
              <w:jc w:val="right"/>
              <w:rPr>
                <w:rFonts w:ascii="Times New Roman" w:hAnsi="Times New Roman" w:cs="Times New Roman" w:eastAsia="Times New Roman" w:hint="default"/>
                <w:sz w:val="18"/>
                <w:szCs w:val="18"/>
              </w:rPr>
            </w:pPr>
            <w:r>
              <w:rPr>
                <w:rFonts w:ascii="Times New Roman"/>
                <w:spacing w:val="-1"/>
                <w:sz w:val="18"/>
              </w:rPr>
              <w:t>3,977,983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3,977,983</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3,086,249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2"/>
              <w:jc w:val="right"/>
              <w:rPr>
                <w:rFonts w:ascii="Times New Roman" w:hAnsi="Times New Roman" w:cs="Times New Roman" w:eastAsia="Times New Roman" w:hint="default"/>
                <w:sz w:val="18"/>
                <w:szCs w:val="18"/>
              </w:rPr>
            </w:pPr>
            <w:r>
              <w:rPr>
                <w:rFonts w:ascii="Times New Roman"/>
                <w:spacing w:val="-1"/>
                <w:sz w:val="18"/>
              </w:rPr>
              <w:t>1,563,749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2,854,687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231,562</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173.419998pt;margin-top:108.259979pt;width:360.35pt;height:19.6pt;mso-position-horizontal-relative:page;mso-position-vertical-relative:page;z-index:-831448" type="#_x0000_t202" filled="false" stroked="false">
            <v:textbox inset="0,0,0,0">
              <w:txbxContent>
                <w:p>
                  <w:pPr>
                    <w:pStyle w:val="BodyText"/>
                    <w:spacing w:line="240" w:lineRule="auto" w:before="46"/>
                    <w:ind w:left="0" w:right="0"/>
                    <w:jc w:val="left"/>
                  </w:pPr>
                  <w:r>
                    <w:rPr/>
                    <w:t>有）</w:t>
                  </w:r>
                </w:p>
              </w:txbxContent>
            </v:textbox>
            <w10:wrap type="none"/>
          </v:shape>
        </w:pict>
      </w:r>
      <w:r>
        <w:rPr/>
        <w:pict>
          <v:group style="position:absolute;margin-left:188.690002pt;margin-top:107.719986pt;width:345.1pt;height:20.65pt;mso-position-horizontal-relative:page;mso-position-vertical-relative:page;z-index:-831424" coordorigin="3774,2154" coordsize="6902,413">
            <v:group style="position:absolute;left:3785;top:2165;width:2;height:392" coordorigin="3785,2165" coordsize="2,392">
              <v:shape style="position:absolute;left:3785;top:2165;width:2;height:392" coordorigin="3785,2165" coordsize="0,392" path="m3785,2165l3785,2556e" filled="false" stroked="true" strokeweight="1.08pt" strokecolor="#ffffff">
                <v:path arrowok="t"/>
              </v:shape>
            </v:group>
            <v:group style="position:absolute;left:3795;top:2165;width:6880;height:392" coordorigin="3795,2165" coordsize="6880,392">
              <v:shape style="position:absolute;left:3795;top:2165;width:6880;height:392" coordorigin="3795,2165" coordsize="6880,392" path="m3795,2556l10675,2556,10675,2165,3795,2165,3795,2556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248"/>
        <w:gridCol w:w="1380"/>
        <w:gridCol w:w="881"/>
        <w:gridCol w:w="809"/>
        <w:gridCol w:w="809"/>
        <w:gridCol w:w="809"/>
        <w:gridCol w:w="862"/>
        <w:gridCol w:w="1387"/>
        <w:gridCol w:w="1385"/>
      </w:tblGrid>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8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373" w:right="0"/>
              <w:jc w:val="left"/>
              <w:rPr>
                <w:rFonts w:ascii="Times New Roman" w:hAnsi="Times New Roman" w:cs="Times New Roman" w:eastAsia="Times New Roman" w:hint="default"/>
                <w:sz w:val="18"/>
                <w:szCs w:val="18"/>
              </w:rPr>
            </w:pPr>
            <w:r>
              <w:rPr>
                <w:rFonts w:ascii="Times New Roman"/>
                <w:sz w:val="18"/>
              </w:rPr>
              <w:t>0.50%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2,143,750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1,056,250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2,039,063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104,687</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28"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4" w:lineRule="auto" w:before="51"/>
              <w:ind w:left="24" w:right="6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12"/>
                <w:sz w:val="18"/>
                <w:szCs w:val="18"/>
              </w:rPr>
              <w:t>名股东的情况（如</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81" w:type="dxa"/>
            <w:tcBorders>
              <w:top w:val="single" w:sz="4" w:space="0" w:color="000000"/>
              <w:left w:val="single" w:sz="13"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9" w:type="dxa"/>
            <w:tcBorders>
              <w:top w:val="single" w:sz="4" w:space="0" w:color="000000"/>
              <w:left w:val="single" w:sz="13" w:space="0" w:color="FFFFFF"/>
              <w:bottom w:val="single" w:sz="4" w:space="0" w:color="000000"/>
              <w:right w:val="nil" w:sz="6" w:space="0" w:color="auto"/>
            </w:tcBorders>
          </w:tcPr>
          <w:p>
            <w:pPr/>
          </w:p>
        </w:tc>
        <w:tc>
          <w:tcPr>
            <w:tcW w:w="809" w:type="dxa"/>
            <w:tcBorders>
              <w:top w:val="single" w:sz="4" w:space="0" w:color="000000"/>
              <w:left w:val="single" w:sz="13" w:space="0" w:color="FFFFFF"/>
              <w:bottom w:val="single" w:sz="4" w:space="0" w:color="000000"/>
              <w:right w:val="nil" w:sz="6" w:space="0" w:color="auto"/>
            </w:tcBorders>
          </w:tcPr>
          <w:p>
            <w:pPr/>
          </w:p>
        </w:tc>
        <w:tc>
          <w:tcPr>
            <w:tcW w:w="809" w:type="dxa"/>
            <w:tcBorders>
              <w:top w:val="single" w:sz="4" w:space="0" w:color="000000"/>
              <w:left w:val="single" w:sz="13" w:space="0" w:color="FFFFFF"/>
              <w:bottom w:val="single" w:sz="4" w:space="0" w:color="000000"/>
              <w:right w:val="nil" w:sz="6" w:space="0" w:color="auto"/>
            </w:tcBorders>
          </w:tcPr>
          <w:p>
            <w:pPr/>
          </w:p>
        </w:tc>
        <w:tc>
          <w:tcPr>
            <w:tcW w:w="862" w:type="dxa"/>
            <w:tcBorders>
              <w:top w:val="single" w:sz="4" w:space="0" w:color="000000"/>
              <w:left w:val="single" w:sz="13" w:space="0" w:color="FFFFFF"/>
              <w:bottom w:val="single" w:sz="4" w:space="0" w:color="000000"/>
              <w:right w:val="nil" w:sz="6" w:space="0" w:color="auto"/>
            </w:tcBorders>
          </w:tcPr>
          <w:p>
            <w:pPr/>
          </w:p>
        </w:tc>
        <w:tc>
          <w:tcPr>
            <w:tcW w:w="1387" w:type="dxa"/>
            <w:tcBorders>
              <w:top w:val="single" w:sz="4" w:space="0" w:color="000000"/>
              <w:left w:val="single" w:sz="13" w:space="0" w:color="FFFFFF"/>
              <w:bottom w:val="single" w:sz="4" w:space="0" w:color="000000"/>
              <w:right w:val="nil" w:sz="6" w:space="0" w:color="auto"/>
            </w:tcBorders>
          </w:tcPr>
          <w:p>
            <w:pPr/>
          </w:p>
        </w:tc>
        <w:tc>
          <w:tcPr>
            <w:tcW w:w="1385" w:type="dxa"/>
            <w:tcBorders>
              <w:top w:val="single" w:sz="4" w:space="0" w:color="000000"/>
              <w:left w:val="single" w:sz="13" w:space="0" w:color="FFFFFF"/>
              <w:bottom w:val="single" w:sz="4" w:space="0" w:color="000000"/>
              <w:right w:val="single" w:sz="4" w:space="0" w:color="000000"/>
            </w:tcBorders>
          </w:tcPr>
          <w:p>
            <w:pPr/>
          </w:p>
        </w:tc>
      </w:tr>
      <w:tr>
        <w:trPr>
          <w:trHeight w:val="785" w:hRule="exact"/>
        </w:trPr>
        <w:tc>
          <w:tcPr>
            <w:tcW w:w="2628" w:type="dxa"/>
            <w:gridSpan w:val="2"/>
            <w:tcBorders>
              <w:top w:val="single" w:sz="4" w:space="0" w:color="000000"/>
              <w:left w:val="single" w:sz="4" w:space="0" w:color="000000"/>
              <w:bottom w:val="nil" w:sz="6" w:space="0" w:color="auto"/>
              <w:right w:val="single" w:sz="13" w:space="0" w:color="FFFFFF"/>
            </w:tcBorders>
            <w:shd w:val="clear" w:color="auto" w:fill="D2D2D2"/>
          </w:tcPr>
          <w:p>
            <w:pPr/>
          </w:p>
        </w:tc>
        <w:tc>
          <w:tcPr>
            <w:tcW w:w="6943" w:type="dxa"/>
            <w:gridSpan w:val="7"/>
            <w:vMerge w:val="restart"/>
            <w:tcBorders>
              <w:top w:val="single" w:sz="4" w:space="0" w:color="000000"/>
              <w:left w:val="single" w:sz="13" w:space="0" w:color="FFFFFF"/>
              <w:right w:val="single" w:sz="4" w:space="0" w:color="000000"/>
            </w:tcBorders>
          </w:tcPr>
          <w:p>
            <w:pPr>
              <w:pStyle w:val="TableParagraph"/>
              <w:spacing w:line="240" w:lineRule="auto" w:before="49"/>
              <w:ind w:left="3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报告期内，古培坚为公司控股股东，原任公司董事长、法定代表人，已于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312" w:lineRule="auto" w:before="63"/>
              <w:ind w:left="18" w:right="-2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日正式辞去公司董事长职务，辞职后不再在公司担任任何职务；雷彪任公司董事、 总经理；吴文飞、黄文灿任公司副总经理。古培坚、雷彪、吴文飞、黄文灿所持有的公 司股份均为公司首次发行股票并上市时持有。截至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日，股东古培坚、雷</w:t>
            </w:r>
            <w:r>
              <w:rPr>
                <w:rFonts w:ascii="宋体" w:hAnsi="宋体" w:cs="宋体" w:eastAsia="宋体" w:hint="default"/>
                <w:sz w:val="18"/>
                <w:szCs w:val="18"/>
              </w:rPr>
              <w:t> 彪、吴文飞、黄文灿之间无关联关系，无一致行动约定。古培坚、雷彪、吴文飞、黄文 灿分别与上述其他股东之间无关联关系，无一致行动约定。公司未知其他股东之间是否 存在关联关系，也未知是否属于一致行动人。</w:t>
            </w:r>
          </w:p>
        </w:tc>
      </w:tr>
      <w:tr>
        <w:trPr>
          <w:trHeight w:val="703" w:hRule="exact"/>
        </w:trPr>
        <w:tc>
          <w:tcPr>
            <w:tcW w:w="2628" w:type="dxa"/>
            <w:gridSpan w:val="2"/>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6" w:lineRule="auto" w:before="49"/>
              <w:ind w:left="24" w:right="6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43" w:type="dxa"/>
            <w:gridSpan w:val="7"/>
            <w:vMerge/>
            <w:tcBorders>
              <w:left w:val="single" w:sz="13" w:space="0" w:color="FFFFFF"/>
              <w:right w:val="single" w:sz="4" w:space="0" w:color="000000"/>
            </w:tcBorders>
          </w:tcPr>
          <w:p>
            <w:pPr/>
          </w:p>
        </w:tc>
      </w:tr>
      <w:tr>
        <w:trPr>
          <w:trHeight w:val="786" w:hRule="exact"/>
        </w:trPr>
        <w:tc>
          <w:tcPr>
            <w:tcW w:w="2628" w:type="dxa"/>
            <w:gridSpan w:val="2"/>
            <w:tcBorders>
              <w:top w:val="nil" w:sz="6" w:space="0" w:color="auto"/>
              <w:left w:val="single" w:sz="4" w:space="0" w:color="000000"/>
              <w:bottom w:val="single" w:sz="4" w:space="0" w:color="000000"/>
              <w:right w:val="single" w:sz="13" w:space="0" w:color="FFFFFF"/>
            </w:tcBorders>
            <w:shd w:val="clear" w:color="auto" w:fill="D2D2D2"/>
          </w:tcPr>
          <w:p>
            <w:pPr/>
          </w:p>
        </w:tc>
        <w:tc>
          <w:tcPr>
            <w:tcW w:w="6943" w:type="dxa"/>
            <w:gridSpan w:val="7"/>
            <w:vMerge/>
            <w:tcBorders>
              <w:left w:val="single" w:sz="13" w:space="0" w:color="FFFFFF"/>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62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7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62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7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28" w:type="dxa"/>
            <w:gridSpan w:val="2"/>
            <w:vMerge/>
            <w:tcBorders>
              <w:left w:val="single" w:sz="4" w:space="0" w:color="000000"/>
              <w:bottom w:val="nil" w:sz="6" w:space="0" w:color="auto"/>
              <w:right w:val="single" w:sz="4" w:space="0" w:color="000000"/>
            </w:tcBorders>
            <w:shd w:val="clear" w:color="auto" w:fill="D2D2D2"/>
          </w:tcPr>
          <w:p>
            <w:pPr/>
          </w:p>
        </w:tc>
        <w:tc>
          <w:tcPr>
            <w:tcW w:w="4170" w:type="dxa"/>
            <w:gridSpan w:val="5"/>
            <w:vMerge/>
            <w:tcBorders>
              <w:left w:val="single" w:sz="4" w:space="0" w:color="000000"/>
              <w:bottom w:val="nil" w:sz="6" w:space="0" w:color="auto"/>
              <w:right w:val="single" w:sz="4" w:space="0" w:color="000000"/>
            </w:tcBorders>
            <w:shd w:val="clear" w:color="auto" w:fill="D2D2D2"/>
          </w:tcPr>
          <w:p>
            <w:pPr/>
          </w:p>
        </w:tc>
        <w:tc>
          <w:tcPr>
            <w:tcW w:w="1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2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7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7"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东吴基金－农业银行－东吴－鼎 利</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号分级股票型资产管理计划</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12,900,250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12,900,250</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华宝信托有限责任公司－时节好 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号集合资金信托信托</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12,485,000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12,485,000</w:t>
            </w: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中国工商银行－诺安股票证券投 资基金</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9,657,291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9,657,291</w:t>
            </w:r>
          </w:p>
        </w:tc>
      </w:tr>
      <w:tr>
        <w:trPr>
          <w:trHeight w:val="716"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中国银行－嘉实主题精选混合型 证券投资基金</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3"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招商银行股份有限公司－中邮核 心主题股票型证券投资基金</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4,999,909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4,999,909</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中国工商银行－诺安价值增长股 票证券投资基金</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3,977,983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3,977,983</w:t>
            </w:r>
          </w:p>
        </w:tc>
      </w:tr>
      <w:tr>
        <w:trPr>
          <w:trHeight w:val="401"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黄晓晖</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2,125,000</w:t>
            </w:r>
          </w:p>
        </w:tc>
      </w:tr>
      <w:tr>
        <w:trPr>
          <w:trHeight w:val="403"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沈海纳</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2,000,100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2,000,100</w:t>
            </w:r>
          </w:p>
        </w:tc>
      </w:tr>
      <w:tr>
        <w:trPr>
          <w:trHeight w:val="401"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汪小菲</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1,692,422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1,692,422</w:t>
            </w:r>
          </w:p>
        </w:tc>
      </w:tr>
      <w:tr>
        <w:trPr>
          <w:trHeight w:val="716" w:hRule="exact"/>
        </w:trPr>
        <w:tc>
          <w:tcPr>
            <w:tcW w:w="26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农银人寿保险股份有限公司－万 能－个险万能</w:t>
            </w:r>
          </w:p>
        </w:tc>
        <w:tc>
          <w:tcPr>
            <w:tcW w:w="41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1,655,670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1,655,670</w:t>
            </w:r>
          </w:p>
        </w:tc>
      </w:tr>
      <w:tr>
        <w:trPr>
          <w:trHeight w:val="1337"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名无限售流通股股东和</w:t>
            </w:r>
          </w:p>
          <w:p>
            <w:pPr>
              <w:pStyle w:val="TableParagraph"/>
              <w:spacing w:line="300" w:lineRule="auto" w:before="63"/>
              <w:ind w:left="24" w:right="1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名股东之间关联关系或一致 行动的说明</w:t>
            </w:r>
          </w:p>
        </w:tc>
        <w:tc>
          <w:tcPr>
            <w:tcW w:w="6943"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20" w:firstLine="360"/>
              <w:jc w:val="left"/>
              <w:rPr>
                <w:rFonts w:ascii="宋体" w:hAnsi="宋体" w:cs="宋体" w:eastAsia="宋体" w:hint="default"/>
                <w:sz w:val="18"/>
                <w:szCs w:val="18"/>
              </w:rPr>
            </w:pPr>
            <w:r>
              <w:rPr>
                <w:rFonts w:ascii="宋体" w:hAnsi="宋体" w:cs="宋体" w:eastAsia="宋体" w:hint="default"/>
                <w:sz w:val="18"/>
                <w:szCs w:val="18"/>
              </w:rPr>
              <w:t>公司未知上述前</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名无限售条件股东之间是否存在关联关系，也未知是否属于一致 行动人。</w:t>
            </w:r>
          </w:p>
        </w:tc>
      </w:tr>
      <w:tr>
        <w:trPr>
          <w:trHeight w:val="715" w:hRule="exact"/>
        </w:trPr>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3"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公司股东沈海纳通过普通证券账户持有公司股份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股，通过齐鲁证券有限公司客</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 </w:t>
            </w:r>
            <w:r>
              <w:rPr>
                <w:rFonts w:ascii="宋体" w:hAnsi="宋体" w:cs="宋体" w:eastAsia="宋体" w:hint="default"/>
                <w:sz w:val="18"/>
                <w:szCs w:val="18"/>
              </w:rPr>
              <w:t>股，合计持有公司股份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2,000,100 </w:t>
            </w:r>
            <w:r>
              <w:rPr>
                <w:rFonts w:ascii="宋体" w:hAnsi="宋体" w:cs="宋体" w:eastAsia="宋体" w:hint="default"/>
                <w:sz w:val="18"/>
                <w:szCs w:val="18"/>
              </w:rPr>
              <w:t>股。</w:t>
            </w:r>
          </w:p>
        </w:tc>
      </w:tr>
    </w:tbl>
    <w:p>
      <w:pPr>
        <w:pStyle w:val="BodyText"/>
        <w:spacing w:line="240" w:lineRule="auto" w:before="49"/>
        <w:ind w:right="0"/>
        <w:jc w:val="left"/>
      </w:pPr>
      <w:r>
        <w:rPr/>
        <w:t>公司股东在报告期内是否进行约定购回交易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公司股东在报告期内未进行约定购回交易。</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44"/>
        <w:ind w:left="0" w:right="158"/>
        <w:jc w:val="right"/>
      </w:pPr>
      <w:r>
        <w:rPr/>
        <w:pict>
          <v:shape style="position:absolute;margin-left:56.484001pt;margin-top:-72.128311pt;width:479.2pt;height:127.7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7"/>
                  </w:tblGrid>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月，任本公司执行董事；</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5"/>
                            <w:sz w:val="18"/>
                            <w:szCs w:val="18"/>
                          </w:rPr>
                          <w:t>月，任本公司董事、董事长。</w:t>
                        </w:r>
                        <w:r>
                          <w:rPr>
                            <w:rFonts w:ascii="Times New Roman" w:hAnsi="Times New Roman" w:cs="Times New Roman" w:eastAsia="Times New Roman" w:hint="default"/>
                            <w:spacing w:val="-5"/>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月任本公司第一届董事会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11"/>
                            <w:sz w:val="18"/>
                            <w:szCs w:val="18"/>
                          </w:rPr>
                          <w:t>董事、董事长。</w:t>
                        </w:r>
                        <w:r>
                          <w:rPr>
                            <w:rFonts w:ascii="Times New Roman" w:hAnsi="Times New Roman" w:cs="Times New Roman" w:eastAsia="Times New Roman" w:hint="default"/>
                            <w:spacing w:val="-11"/>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月任本公司第二届董事会董事、董事长</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月至今，任福建武夷燊健康产业开发有限公司执行董事。</w:t>
                        </w:r>
                      </w:p>
                    </w:tc>
                  </w:tr>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0"/>
        <w:jc w:val="left"/>
      </w:pPr>
      <w:r>
        <w:rPr/>
        <w:t>控股股东报告期内变更</w:t>
      </w:r>
    </w:p>
    <w:p>
      <w:pPr>
        <w:pStyle w:val="BodyText"/>
        <w:spacing w:line="338" w:lineRule="auto" w:before="117"/>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8"/>
        <w:gridCol w:w="2031"/>
        <w:gridCol w:w="4119"/>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详见本报告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第六节股份变动及股东情况</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公司控股股东情况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实际控制人报告期内变更</w:t>
      </w:r>
    </w:p>
    <w:p>
      <w:pPr>
        <w:pStyle w:val="BodyText"/>
        <w:spacing w:line="348"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3"/>
        <w:rPr>
          <w:rFonts w:ascii="宋体" w:hAnsi="宋体" w:cs="宋体" w:eastAsia="宋体" w:hint="default"/>
          <w:sz w:val="20"/>
          <w:szCs w:val="20"/>
        </w:rPr>
      </w:pPr>
    </w:p>
    <w:p>
      <w:pPr>
        <w:spacing w:line="3564" w:lineRule="exact"/>
        <w:ind w:left="1017"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012158" cy="226333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5012158" cy="2263330"/>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8"/>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after="0"/>
        <w:jc w:val="left"/>
        <w:rPr>
          <w:rFonts w:ascii="宋体" w:hAnsi="宋体" w:cs="宋体" w:eastAsia="宋体" w:hint="default"/>
          <w:sz w:val="24"/>
          <w:szCs w:val="24"/>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名限售条件股东持股数量及限售条件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BodyText"/>
        <w:spacing w:line="240" w:lineRule="auto" w:before="44"/>
        <w:ind w:left="0" w:right="167"/>
        <w:jc w:val="right"/>
      </w:pPr>
      <w:r>
        <w:rPr/>
        <w:pict>
          <v:shape style="position:absolute;margin-left:56.424pt;margin-top:-36.488289pt;width:479.4pt;height:132.3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5"/>
                    <w:gridCol w:w="1913"/>
                    <w:gridCol w:w="1916"/>
                    <w:gridCol w:w="1913"/>
                    <w:gridCol w:w="1916"/>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3" w:right="50" w:hanging="541"/>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日离职 离职高管锁定</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2,854,687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6" w:id="7"/>
      <w:bookmarkEnd w:id="7"/>
      <w:r>
        <w:rPr>
          <w:b w:val="0"/>
          <w:bCs w:val="0"/>
        </w:rPr>
      </w:r>
      <w:r>
        <w:rPr/>
        <w:t>第七节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5"/>
        <w:gridCol w:w="684"/>
        <w:gridCol w:w="684"/>
        <w:gridCol w:w="684"/>
        <w:gridCol w:w="684"/>
      </w:tblGrid>
      <w:tr>
        <w:trPr>
          <w:trHeight w:val="2276"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7"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56"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3"/>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2"/>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58" w:right="65" w:hanging="92"/>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67" w:right="65"/>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
              <w:jc w:val="left"/>
              <w:rPr>
                <w:rFonts w:ascii="宋体" w:hAnsi="宋体" w:cs="宋体" w:eastAsia="宋体" w:hint="default"/>
                <w:sz w:val="18"/>
                <w:szCs w:val="18"/>
              </w:rPr>
            </w:pPr>
            <w:r>
              <w:rPr>
                <w:rFonts w:ascii="宋体" w:hAnsi="宋体" w:cs="宋体" w:eastAsia="宋体" w:hint="default"/>
                <w:sz w:val="18"/>
                <w:szCs w:val="18"/>
              </w:rPr>
              <w:t>董事、 总经</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9,480,0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资本公 积金转 增股 本、减 持</w:t>
            </w: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雷锐生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黄邦杰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1,522,5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1,953,7</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390,000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3,086,2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资本公 积金转 增股 本、减</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5"/>
        <w:gridCol w:w="684"/>
        <w:gridCol w:w="684"/>
        <w:gridCol w:w="684"/>
        <w:gridCol w:w="684"/>
      </w:tblGrid>
      <w:tr>
        <w:trPr>
          <w:trHeight w:val="363"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持</w:t>
            </w:r>
          </w:p>
        </w:tc>
      </w:tr>
      <w:tr>
        <w:trPr>
          <w:trHeight w:val="164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1,286,2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230,000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资本公 积金转 增股 本、减 持</w:t>
            </w: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技术 总监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副总 经理、 董事 会秘</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45,980,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67,020,</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111,700</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资本公 积金转 增股 本、减 持</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56,270,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79,739,</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999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132,729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,999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3"/>
        <w:spacing w:line="240" w:lineRule="auto" w:before="37"/>
        <w:ind w:right="1713"/>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713"/>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713"/>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40" w:lineRule="auto" w:before="102"/>
        <w:ind w:left="513" w:right="2613"/>
        <w:jc w:val="left"/>
      </w:pPr>
      <w:r>
        <w:rPr>
          <w:rFonts w:ascii="Times New Roman" w:hAnsi="Times New Roman" w:cs="Times New Roman" w:eastAsia="Times New Roman" w:hint="default"/>
        </w:rPr>
        <w:t>1</w:t>
      </w:r>
      <w:r>
        <w:rPr/>
        <w:t>、公司现任董事 公司现任董事会由</w:t>
      </w:r>
      <w:r>
        <w:rPr>
          <w:rFonts w:ascii="Times New Roman" w:hAnsi="Times New Roman" w:cs="Times New Roman" w:eastAsia="Times New Roman" w:hint="default"/>
        </w:rPr>
        <w:t>7</w:t>
      </w:r>
      <w:r>
        <w:rPr/>
        <w:t>名董事组成，其中独立董事</w:t>
      </w:r>
      <w:r>
        <w:rPr>
          <w:rFonts w:ascii="Times New Roman" w:hAnsi="Times New Roman" w:cs="Times New Roman" w:eastAsia="Times New Roman" w:hint="default"/>
        </w:rPr>
        <w:t>3</w:t>
      </w:r>
      <w:r>
        <w:rPr/>
        <w:t>名，任期三年，董事会成员简历如下：</w:t>
      </w:r>
    </w:p>
    <w:p>
      <w:pPr>
        <w:pStyle w:val="BodyText"/>
        <w:spacing w:line="300" w:lineRule="auto" w:before="20"/>
        <w:ind w:right="99" w:firstLine="360"/>
        <w:jc w:val="left"/>
      </w:pPr>
      <w:r>
        <w:rPr>
          <w:rFonts w:ascii="Times New Roman" w:hAnsi="Times New Roman" w:cs="Times New Roman" w:eastAsia="Times New Roman" w:hint="default"/>
        </w:rPr>
        <w:t>1</w:t>
      </w:r>
      <w:r>
        <w:rPr/>
        <w:t>）张曦：男，生于</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月，中国国籍，中国香港永久居民。</w:t>
      </w:r>
      <w:r>
        <w:rPr>
          <w:rFonts w:ascii="Times New Roman" w:hAnsi="Times New Roman" w:cs="Times New Roman" w:eastAsia="Times New Roman" w:hint="default"/>
        </w:rPr>
        <w:t>2001</w:t>
      </w:r>
      <w:r>
        <w:rPr/>
        <w:t>年至今，任重庆宏邦实业有限公司董事长；</w:t>
      </w:r>
      <w:r>
        <w:rPr>
          <w:rFonts w:ascii="Times New Roman" w:hAnsi="Times New Roman" w:cs="Times New Roman" w:eastAsia="Times New Roman" w:hint="default"/>
        </w:rPr>
        <w:t>2009 </w:t>
      </w:r>
      <w:r>
        <w:rPr>
          <w:spacing w:val="-2"/>
        </w:rPr>
        <w:t>年至今，任重庆宏邦投资有限公司董事长；</w:t>
      </w:r>
      <w:r>
        <w:rPr>
          <w:rFonts w:ascii="Times New Roman" w:hAnsi="Times New Roman" w:cs="Times New Roman" w:eastAsia="Times New Roman" w:hint="default"/>
          <w:spacing w:val="-2"/>
        </w:rPr>
        <w:t>2009</w:t>
      </w:r>
      <w:r>
        <w:rPr>
          <w:spacing w:val="-2"/>
        </w:rPr>
        <w:t>年至今，重庆然诺建材有限公司执行董事；</w:t>
      </w:r>
      <w:r>
        <w:rPr>
          <w:rFonts w:ascii="Times New Roman" w:hAnsi="Times New Roman" w:cs="Times New Roman" w:eastAsia="Times New Roman" w:hint="default"/>
          <w:spacing w:val="-2"/>
        </w:rPr>
        <w:t>2012</w:t>
      </w:r>
      <w:r>
        <w:rPr>
          <w:spacing w:val="-2"/>
        </w:rPr>
        <w:t>年至今，任北京京发置业有</w:t>
      </w:r>
      <w:r>
        <w:rPr>
          <w:spacing w:val="-62"/>
        </w:rPr>
        <w:t> </w:t>
      </w:r>
      <w:r>
        <w:rPr>
          <w:spacing w:val="-62"/>
        </w:rPr>
      </w:r>
      <w:r>
        <w:rPr>
          <w:spacing w:val="-3"/>
        </w:rPr>
        <w:t>限公司董事长；</w:t>
      </w:r>
      <w:r>
        <w:rPr>
          <w:rFonts w:ascii="Times New Roman" w:hAnsi="Times New Roman" w:cs="Times New Roman" w:eastAsia="Times New Roman" w:hint="default"/>
          <w:spacing w:val="-3"/>
        </w:rPr>
        <w:t>2014</w:t>
      </w:r>
      <w:r>
        <w:rPr>
          <w:spacing w:val="-3"/>
        </w:rPr>
        <w:t>年至今任北京骏豪融生投资有限责任公司董事长。</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8</w:t>
      </w:r>
      <w:r>
        <w:rPr>
          <w:spacing w:val="-3"/>
        </w:rPr>
        <w:t>月，担任公司第二届董事会董事；</w:t>
      </w:r>
      <w:r>
        <w:rPr>
          <w:spacing w:val="-80"/>
        </w:rPr>
        <w:t> </w:t>
      </w:r>
      <w:r>
        <w:rPr>
          <w:spacing w:val="-80"/>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月至今，担任公司第二届董事会董事长。</w:t>
      </w:r>
    </w:p>
    <w:p>
      <w:pPr>
        <w:spacing w:line="240" w:lineRule="auto" w:before="0"/>
        <w:rPr>
          <w:rFonts w:ascii="宋体" w:hAnsi="宋体" w:cs="宋体" w:eastAsia="宋体" w:hint="default"/>
          <w:sz w:val="18"/>
          <w:szCs w:val="18"/>
        </w:rPr>
      </w:pPr>
    </w:p>
    <w:p>
      <w:pPr>
        <w:pStyle w:val="BodyText"/>
        <w:spacing w:line="300" w:lineRule="auto" w:before="128"/>
        <w:ind w:right="183" w:firstLine="360"/>
        <w:jc w:val="left"/>
      </w:pPr>
      <w:r>
        <w:rPr>
          <w:rFonts w:ascii="Times New Roman" w:hAnsi="Times New Roman" w:cs="Times New Roman" w:eastAsia="Times New Roman" w:hint="default"/>
        </w:rPr>
        <w:t>2</w:t>
      </w:r>
      <w:r>
        <w:rPr/>
        <w:t>）雷彪：男，生于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9</w:t>
      </w:r>
      <w:r>
        <w:rPr/>
        <w:t>月，中国国籍，无永久境外居留权，硕士研究生毕业，高级工程师。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 </w:t>
      </w:r>
      <w:r>
        <w:rPr/>
        <w:t>月，任公司副总经理、总经理；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月，任公司监事；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月，任本公司总经理。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 </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月任本公司第一届董事会董事、总经理。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月至今，任实邑科技（福建）信息产业有限公司董事。现任本</w:t>
      </w:r>
    </w:p>
    <w:p>
      <w:pPr>
        <w:spacing w:after="0" w:line="30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3" w:right="203" w:hanging="360"/>
        <w:jc w:val="left"/>
      </w:pPr>
      <w:r>
        <w:rPr/>
        <w:t>公司第二届董事会董事、总经理，任期为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 </w:t>
      </w:r>
      <w:r>
        <w:rPr>
          <w:spacing w:val="-1"/>
        </w:rPr>
        <w:t>雷彪先生曾获得</w:t>
      </w:r>
      <w:r>
        <w:rPr>
          <w:rFonts w:ascii="Times New Roman" w:hAnsi="Times New Roman" w:cs="Times New Roman" w:eastAsia="Times New Roman" w:hint="default"/>
          <w:spacing w:val="-1"/>
        </w:rPr>
        <w:t>“</w:t>
      </w:r>
      <w:r>
        <w:rPr>
          <w:spacing w:val="-1"/>
        </w:rPr>
        <w:t>中国百名优秀企业家</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2006</w:t>
      </w:r>
      <w:r>
        <w:rPr>
          <w:spacing w:val="-1"/>
        </w:rPr>
        <w:t>年获得厦门市首届</w:t>
      </w:r>
      <w:r>
        <w:rPr>
          <w:rFonts w:ascii="Times New Roman" w:hAnsi="Times New Roman" w:cs="Times New Roman" w:eastAsia="Times New Roman" w:hint="default"/>
          <w:spacing w:val="-1"/>
        </w:rPr>
        <w:t>“</w:t>
      </w:r>
      <w:r>
        <w:rPr>
          <w:spacing w:val="-1"/>
        </w:rPr>
        <w:t>十大杰出创业青年</w:t>
      </w:r>
      <w:r>
        <w:rPr>
          <w:rFonts w:ascii="Times New Roman" w:hAnsi="Times New Roman" w:cs="Times New Roman" w:eastAsia="Times New Roman" w:hint="default"/>
          <w:spacing w:val="-1"/>
        </w:rPr>
        <w:t>”</w:t>
      </w:r>
      <w:r>
        <w:rPr>
          <w:spacing w:val="-1"/>
        </w:rPr>
        <w:t>提名奖；</w:t>
      </w:r>
      <w:r>
        <w:rPr>
          <w:rFonts w:ascii="Times New Roman" w:hAnsi="Times New Roman" w:cs="Times New Roman" w:eastAsia="Times New Roman" w:hint="default"/>
          <w:spacing w:val="-1"/>
        </w:rPr>
        <w:t>2007</w:t>
      </w:r>
      <w:r>
        <w:rPr>
          <w:spacing w:val="-1"/>
        </w:rPr>
        <w:t>年获得厦门市政</w:t>
      </w:r>
    </w:p>
    <w:p>
      <w:pPr>
        <w:pStyle w:val="BodyText"/>
        <w:spacing w:line="300" w:lineRule="auto" w:before="13"/>
        <w:ind w:right="211"/>
        <w:jc w:val="both"/>
      </w:pPr>
      <w:r>
        <w:rPr>
          <w:spacing w:val="-1"/>
        </w:rPr>
        <w:t>府授予的</w:t>
      </w:r>
      <w:r>
        <w:rPr>
          <w:rFonts w:ascii="Times New Roman" w:hAnsi="Times New Roman" w:cs="Times New Roman" w:eastAsia="Times New Roman" w:hint="default"/>
          <w:spacing w:val="-1"/>
        </w:rPr>
        <w:t>“</w:t>
      </w:r>
      <w:r>
        <w:rPr>
          <w:spacing w:val="-1"/>
        </w:rPr>
        <w:t>厦门市拔尖人才</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2007</w:t>
      </w:r>
      <w:r>
        <w:rPr>
          <w:spacing w:val="-1"/>
        </w:rPr>
        <w:t>年作为项目设计者，所研发的项目</w:t>
      </w:r>
      <w:r>
        <w:rPr>
          <w:rFonts w:ascii="Times New Roman" w:hAnsi="Times New Roman" w:cs="Times New Roman" w:eastAsia="Times New Roman" w:hint="default"/>
          <w:spacing w:val="-1"/>
        </w:rPr>
        <w:t>“</w:t>
      </w:r>
      <w:r>
        <w:rPr>
          <w:spacing w:val="-1"/>
        </w:rPr>
        <w:t>厦门市金保工程信息平台</w:t>
      </w:r>
      <w:r>
        <w:rPr>
          <w:rFonts w:ascii="Times New Roman" w:hAnsi="Times New Roman" w:cs="Times New Roman" w:eastAsia="Times New Roman" w:hint="default"/>
          <w:spacing w:val="-1"/>
        </w:rPr>
        <w:t>”</w:t>
      </w:r>
      <w:r>
        <w:rPr>
          <w:spacing w:val="-1"/>
        </w:rPr>
        <w:t>获得厦门市科技进步二</w:t>
      </w:r>
      <w:r>
        <w:rPr>
          <w:spacing w:val="-78"/>
        </w:rPr>
        <w:t> </w:t>
      </w:r>
      <w:r>
        <w:rPr/>
        <w:t>等奖；</w:t>
      </w:r>
      <w:r>
        <w:rPr>
          <w:rFonts w:ascii="Times New Roman" w:hAnsi="Times New Roman" w:cs="Times New Roman" w:eastAsia="Times New Roman" w:hint="default"/>
        </w:rPr>
        <w:t>2008</w:t>
      </w:r>
      <w:r>
        <w:rPr/>
        <w:t>年获得</w:t>
      </w:r>
      <w:r>
        <w:rPr>
          <w:rFonts w:ascii="Times New Roman" w:hAnsi="Times New Roman" w:cs="Times New Roman" w:eastAsia="Times New Roman" w:hint="default"/>
        </w:rPr>
        <w:t>“</w:t>
      </w:r>
      <w:r>
        <w:rPr/>
        <w:t>改革开放</w:t>
      </w:r>
      <w:r>
        <w:rPr>
          <w:rFonts w:ascii="Times New Roman" w:hAnsi="Times New Roman" w:cs="Times New Roman" w:eastAsia="Times New Roman" w:hint="default"/>
        </w:rPr>
        <w:t>30</w:t>
      </w:r>
      <w:r>
        <w:rPr/>
        <w:t>年中国企业管理成就奖</w:t>
      </w:r>
      <w:r>
        <w:rPr>
          <w:rFonts w:ascii="Times New Roman" w:hAnsi="Times New Roman" w:cs="Times New Roman" w:eastAsia="Times New Roman" w:hint="default"/>
        </w:rPr>
        <w:t>”</w:t>
      </w:r>
      <w:r>
        <w:rPr/>
        <w:t>、中国民营企业领袖年会</w:t>
      </w:r>
      <w:r>
        <w:rPr>
          <w:rFonts w:ascii="Times New Roman" w:hAnsi="Times New Roman" w:cs="Times New Roman" w:eastAsia="Times New Roman" w:hint="default"/>
        </w:rPr>
        <w:t>“</w:t>
      </w:r>
      <w:r>
        <w:rPr/>
        <w:t>创新人物</w:t>
      </w:r>
      <w:r>
        <w:rPr>
          <w:rFonts w:ascii="Times New Roman" w:hAnsi="Times New Roman" w:cs="Times New Roman" w:eastAsia="Times New Roman" w:hint="default"/>
        </w:rPr>
        <w:t>”</w:t>
      </w:r>
      <w:r>
        <w:rPr/>
        <w:t>及中国改革开放</w:t>
      </w:r>
      <w:r>
        <w:rPr>
          <w:rFonts w:ascii="Times New Roman" w:hAnsi="Times New Roman" w:cs="Times New Roman" w:eastAsia="Times New Roman" w:hint="default"/>
        </w:rPr>
        <w:t>30</w:t>
      </w:r>
      <w:r>
        <w:rPr/>
        <w:t>周年</w:t>
      </w:r>
      <w:r>
        <w:rPr>
          <w:rFonts w:ascii="Times New Roman" w:hAnsi="Times New Roman" w:cs="Times New Roman" w:eastAsia="Times New Roman" w:hint="default"/>
        </w:rPr>
        <w:t>“</w:t>
      </w:r>
      <w:r>
        <w:rPr/>
        <w:t>创新人 物</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年作为项目设计者，所研发的</w:t>
      </w:r>
      <w:r>
        <w:rPr>
          <w:rFonts w:ascii="Times New Roman" w:hAnsi="Times New Roman" w:cs="Times New Roman" w:eastAsia="Times New Roman" w:hint="default"/>
        </w:rPr>
        <w:t>“</w:t>
      </w:r>
      <w:r>
        <w:rPr/>
        <w:t>厦门市金保工程信息平台</w:t>
      </w:r>
      <w:r>
        <w:rPr>
          <w:rFonts w:ascii="Times New Roman" w:hAnsi="Times New Roman" w:cs="Times New Roman" w:eastAsia="Times New Roman" w:hint="default"/>
        </w:rPr>
        <w:t>”</w:t>
      </w:r>
      <w:r>
        <w:rPr/>
        <w:t>获得福建省科技进步三等奖等多项奖项；</w:t>
      </w:r>
      <w:r>
        <w:rPr>
          <w:rFonts w:ascii="Times New Roman" w:hAnsi="Times New Roman" w:cs="Times New Roman" w:eastAsia="Times New Roman" w:hint="default"/>
        </w:rPr>
        <w:t>2011</w:t>
      </w:r>
      <w:r>
        <w:rPr/>
        <w:t>年被评为 成就十年</w:t>
      </w:r>
      <w:r>
        <w:rPr>
          <w:rFonts w:ascii="Times New Roman" w:hAnsi="Times New Roman" w:cs="Times New Roman" w:eastAsia="Times New Roman" w:hint="default"/>
        </w:rPr>
        <w:t>·2010-2011</w:t>
      </w:r>
      <w:r>
        <w:rPr/>
        <w:t>年度中国软件和信息服务十大领军人物；</w:t>
      </w:r>
      <w:r>
        <w:rPr>
          <w:rFonts w:ascii="Times New Roman" w:hAnsi="Times New Roman" w:cs="Times New Roman" w:eastAsia="Times New Roman" w:hint="default"/>
        </w:rPr>
        <w:t>2012</w:t>
      </w:r>
      <w:r>
        <w:rPr/>
        <w:t>年获</w:t>
      </w:r>
      <w:r>
        <w:rPr>
          <w:rFonts w:ascii="Times New Roman" w:hAnsi="Times New Roman" w:cs="Times New Roman" w:eastAsia="Times New Roman" w:hint="default"/>
        </w:rPr>
        <w:t>“</w:t>
      </w:r>
      <w:r>
        <w:rPr/>
        <w:t>第三届中国企业自主创新十大人物</w:t>
      </w:r>
      <w:r>
        <w:rPr>
          <w:rFonts w:ascii="Times New Roman" w:hAnsi="Times New Roman" w:cs="Times New Roman" w:eastAsia="Times New Roman" w:hint="default"/>
        </w:rPr>
        <w:t>”</w:t>
      </w:r>
      <w:r>
        <w:rPr/>
        <w:t>称号。</w:t>
      </w:r>
    </w:p>
    <w:p>
      <w:pPr>
        <w:spacing w:line="240" w:lineRule="auto" w:before="11"/>
        <w:rPr>
          <w:rFonts w:ascii="宋体" w:hAnsi="宋体" w:cs="宋体" w:eastAsia="宋体" w:hint="default"/>
          <w:sz w:val="24"/>
          <w:szCs w:val="24"/>
        </w:rPr>
      </w:pPr>
    </w:p>
    <w:p>
      <w:pPr>
        <w:pStyle w:val="BodyText"/>
        <w:spacing w:line="316" w:lineRule="auto"/>
        <w:ind w:right="213" w:firstLine="360"/>
        <w:jc w:val="both"/>
      </w:pPr>
      <w:r>
        <w:rPr>
          <w:rFonts w:ascii="宋体" w:hAnsi="宋体" w:cs="宋体" w:eastAsia="宋体" w:hint="default"/>
        </w:rPr>
        <w:t>3</w:t>
      </w:r>
      <w:r>
        <w:rPr/>
        <w:t>）童斌：男，生于</w:t>
      </w:r>
      <w:r>
        <w:rPr>
          <w:rFonts w:ascii="宋体" w:hAnsi="宋体" w:cs="宋体" w:eastAsia="宋体" w:hint="default"/>
        </w:rPr>
        <w:t>1968</w:t>
      </w:r>
      <w:r>
        <w:rPr/>
        <w:t>年</w:t>
      </w:r>
      <w:r>
        <w:rPr>
          <w:rFonts w:ascii="宋体" w:hAnsi="宋体" w:cs="宋体" w:eastAsia="宋体" w:hint="default"/>
        </w:rPr>
        <w:t>12</w:t>
      </w:r>
      <w:r>
        <w:rPr/>
        <w:t>月，中国国籍，无永久境外居留权，大学本科。</w:t>
      </w:r>
      <w:r>
        <w:rPr>
          <w:rFonts w:ascii="宋体" w:hAnsi="宋体" w:cs="宋体" w:eastAsia="宋体" w:hint="default"/>
        </w:rPr>
        <w:t>2006</w:t>
      </w:r>
      <w:r>
        <w:rPr/>
        <w:t>年</w:t>
      </w:r>
      <w:r>
        <w:rPr>
          <w:rFonts w:ascii="宋体" w:hAnsi="宋体" w:cs="宋体" w:eastAsia="宋体" w:hint="default"/>
        </w:rPr>
        <w:t>5</w:t>
      </w:r>
      <w:r>
        <w:rPr/>
        <w:t>月至</w:t>
      </w:r>
      <w:r>
        <w:rPr>
          <w:rFonts w:ascii="宋体" w:hAnsi="宋体" w:cs="宋体" w:eastAsia="宋体" w:hint="default"/>
        </w:rPr>
        <w:t>2010</w:t>
      </w:r>
      <w:r>
        <w:rPr/>
        <w:t>年</w:t>
      </w:r>
      <w:r>
        <w:rPr>
          <w:rFonts w:ascii="宋体" w:hAnsi="宋体" w:cs="宋体" w:eastAsia="宋体" w:hint="default"/>
        </w:rPr>
        <w:t>4</w:t>
      </w:r>
      <w:r>
        <w:rPr/>
        <w:t>月，任重庆骏树置业 有限公司董事、副总经理。</w:t>
      </w:r>
      <w:r>
        <w:rPr>
          <w:rFonts w:ascii="宋体" w:hAnsi="宋体" w:cs="宋体" w:eastAsia="宋体" w:hint="default"/>
        </w:rPr>
        <w:t>2009</w:t>
      </w:r>
      <w:r>
        <w:rPr/>
        <w:t>年至今，任福州海天装潢装修有限公司监事。</w:t>
      </w:r>
      <w:r>
        <w:rPr>
          <w:rFonts w:ascii="宋体" w:hAnsi="宋体" w:cs="宋体" w:eastAsia="宋体" w:hint="default"/>
        </w:rPr>
        <w:t>2010</w:t>
      </w:r>
      <w:r>
        <w:rPr/>
        <w:t>年</w:t>
      </w:r>
      <w:r>
        <w:rPr>
          <w:rFonts w:ascii="宋体" w:hAnsi="宋体" w:cs="宋体" w:eastAsia="宋体" w:hint="default"/>
        </w:rPr>
        <w:t>5</w:t>
      </w:r>
      <w:r>
        <w:rPr/>
        <w:t>月至今，任福建新华都置业有限公司 董事、执行总经理。现任公司第二届董事会董事，任期为</w:t>
      </w:r>
      <w:r>
        <w:rPr>
          <w:rFonts w:ascii="宋体" w:hAnsi="宋体" w:cs="宋体" w:eastAsia="宋体" w:hint="default"/>
        </w:rPr>
        <w:t>2012</w:t>
      </w:r>
      <w:r>
        <w:rPr/>
        <w:t>年</w:t>
      </w:r>
      <w:r>
        <w:rPr>
          <w:rFonts w:ascii="宋体" w:hAnsi="宋体" w:cs="宋体" w:eastAsia="宋体" w:hint="default"/>
        </w:rPr>
        <w:t>6</w:t>
      </w:r>
      <w:r>
        <w:rPr/>
        <w:t>月起三年。</w:t>
      </w:r>
    </w:p>
    <w:p>
      <w:pPr>
        <w:spacing w:line="240" w:lineRule="auto" w:before="0"/>
        <w:rPr>
          <w:rFonts w:ascii="宋体" w:hAnsi="宋体" w:cs="宋体" w:eastAsia="宋体" w:hint="default"/>
          <w:sz w:val="18"/>
          <w:szCs w:val="18"/>
        </w:rPr>
      </w:pPr>
    </w:p>
    <w:p>
      <w:pPr>
        <w:pStyle w:val="BodyText"/>
        <w:spacing w:line="300" w:lineRule="auto" w:before="136"/>
        <w:ind w:right="211" w:firstLine="360"/>
        <w:jc w:val="both"/>
      </w:pPr>
      <w:r>
        <w:rPr>
          <w:rFonts w:ascii="Times New Roman" w:hAnsi="Times New Roman" w:cs="Times New Roman" w:eastAsia="Times New Roman" w:hint="default"/>
          <w:spacing w:val="-2"/>
        </w:rPr>
        <w:t>4</w:t>
      </w:r>
      <w:r>
        <w:rPr>
          <w:spacing w:val="-2"/>
        </w:rPr>
        <w:t>）陈星：男，生于</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3</w:t>
      </w:r>
      <w:r>
        <w:rPr>
          <w:spacing w:val="-2"/>
        </w:rPr>
        <w:t>月，中国国籍，本科学历，无永久境外居留权。</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10</w:t>
      </w:r>
      <w:r>
        <w:rPr>
          <w:spacing w:val="-2"/>
        </w:rPr>
        <w:t>月至今，任云南时代英捷投资有限</w:t>
      </w:r>
      <w:r>
        <w:rPr/>
        <w:t> 公司董事长。</w:t>
      </w:r>
      <w:r>
        <w:rPr>
          <w:rFonts w:ascii="Times New Roman" w:hAnsi="Times New Roman" w:cs="Times New Roman" w:eastAsia="Times New Roman" w:hint="default"/>
        </w:rPr>
        <w:t>2008</w:t>
      </w:r>
      <w:r>
        <w:rPr/>
        <w:t>年至今，任云南时代涌泰工贸有限责任公司董事</w:t>
      </w:r>
      <w:r>
        <w:rPr>
          <w:spacing w:val="-23"/>
        </w:rPr>
        <w:t> </w:t>
      </w:r>
      <w:r>
        <w:rPr/>
        <w:t>。</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月，任公司第一届监事会主席。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月，任公司第二届监事会主席。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月至今，任公司第二届董事会董事。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07" w:lineRule="auto"/>
        <w:ind w:right="209" w:firstLine="360"/>
        <w:jc w:val="both"/>
      </w:pPr>
      <w:r>
        <w:rPr>
          <w:rFonts w:ascii="Times New Roman" w:hAnsi="Times New Roman" w:cs="Times New Roman" w:eastAsia="Times New Roman" w:hint="default"/>
          <w:spacing w:val="-2"/>
        </w:rPr>
        <w:t>5</w:t>
      </w:r>
      <w:r>
        <w:rPr>
          <w:spacing w:val="-2"/>
        </w:rPr>
        <w:t>）宁家骏：男，生于</w:t>
      </w:r>
      <w:r>
        <w:rPr>
          <w:rFonts w:ascii="Times New Roman" w:hAnsi="Times New Roman" w:cs="Times New Roman" w:eastAsia="Times New Roman" w:hint="default"/>
          <w:spacing w:val="-2"/>
        </w:rPr>
        <w:t>1945</w:t>
      </w:r>
      <w:r>
        <w:rPr>
          <w:spacing w:val="-2"/>
        </w:rPr>
        <w:t>年</w:t>
      </w:r>
      <w:r>
        <w:rPr>
          <w:rFonts w:ascii="Times New Roman" w:hAnsi="Times New Roman" w:cs="Times New Roman" w:eastAsia="Times New Roman" w:hint="default"/>
          <w:spacing w:val="-2"/>
        </w:rPr>
        <w:t>7</w:t>
      </w:r>
      <w:r>
        <w:rPr>
          <w:spacing w:val="-2"/>
        </w:rPr>
        <w:t>月，中国国籍，无永久境外居留权，研究生学历，高级工程师，研究员。</w:t>
      </w:r>
      <w:r>
        <w:rPr>
          <w:rFonts w:ascii="Times New Roman" w:hAnsi="Times New Roman" w:cs="Times New Roman" w:eastAsia="Times New Roman" w:hint="default"/>
          <w:spacing w:val="-2"/>
        </w:rPr>
        <w:t>2009</w:t>
      </w:r>
      <w:r>
        <w:rPr>
          <w:spacing w:val="-2"/>
        </w:rPr>
        <w:t>年至今任国</w:t>
      </w:r>
      <w:r>
        <w:rPr/>
        <w:t> </w:t>
      </w:r>
      <w:r>
        <w:rPr>
          <w:spacing w:val="-2"/>
        </w:rPr>
        <w:t>家信息中心专家委员会主任，中国计算机用户协会副理事长。现兼任北京中科金财股份有限公司独立董事、浪潮电子信息产</w:t>
      </w:r>
      <w:r>
        <w:rPr>
          <w:spacing w:val="-63"/>
        </w:rPr>
        <w:t> </w:t>
      </w:r>
      <w:r>
        <w:rPr>
          <w:spacing w:val="-63"/>
        </w:rPr>
      </w:r>
      <w:r>
        <w:rPr>
          <w:spacing w:val="-2"/>
        </w:rPr>
        <w:t>业股份有限公司独立董事。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月任公司第一届董事会独立董事。现任公司第二届董事会独立董事，任期为</w:t>
      </w:r>
      <w:r>
        <w:rPr>
          <w:spacing w:val="-57"/>
        </w:rPr>
        <w:t> </w:t>
      </w:r>
      <w:r>
        <w:rPr>
          <w:spacing w:val="-57"/>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pStyle w:val="BodyText"/>
        <w:spacing w:line="312" w:lineRule="auto" w:before="48"/>
        <w:ind w:right="0" w:firstLine="360"/>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日，宁家骏先生向公司董事会递交辞职书，申请辞去董事会独立董事以及董事会专业委员会相应职务。由</w:t>
      </w:r>
      <w:r>
        <w:rPr/>
        <w:t> </w:t>
      </w:r>
      <w:r>
        <w:rPr>
          <w:spacing w:val="-4"/>
        </w:rPr>
        <w:t>于宁家骏先生的辞职导致公司独立董事占董事会全体成员的比例低于三分之一，根据法律、行政法规及《公司章程》的规定，</w:t>
      </w:r>
      <w:r>
        <w:rPr>
          <w:spacing w:val="-46"/>
        </w:rPr>
        <w:t> </w:t>
      </w:r>
      <w:r>
        <w:rPr>
          <w:spacing w:val="-46"/>
        </w:rPr>
      </w:r>
      <w:r>
        <w:rPr>
          <w:spacing w:val="-2"/>
        </w:rPr>
        <w:t>宁家骏先生的辞呈将自公司股东大会补选出新任独立董事后生效。在此之前，宁家骏先生将依据相关法律、法规、《公司章</w:t>
      </w:r>
      <w:r>
        <w:rPr>
          <w:spacing w:val="-65"/>
        </w:rPr>
        <w:t> </w:t>
      </w:r>
      <w:r>
        <w:rPr>
          <w:spacing w:val="-65"/>
        </w:rPr>
      </w:r>
      <w:r>
        <w:rPr/>
        <w:t>程》等的规定，继续履行独立董事及其在董事会各专门委员会中的职责。</w:t>
      </w:r>
    </w:p>
    <w:p>
      <w:pPr>
        <w:spacing w:line="240" w:lineRule="auto" w:before="7"/>
        <w:rPr>
          <w:rFonts w:ascii="宋体" w:hAnsi="宋体" w:cs="宋体" w:eastAsia="宋体" w:hint="default"/>
          <w:sz w:val="25"/>
          <w:szCs w:val="25"/>
        </w:rPr>
      </w:pPr>
    </w:p>
    <w:p>
      <w:pPr>
        <w:pStyle w:val="BodyText"/>
        <w:spacing w:line="304" w:lineRule="auto"/>
        <w:ind w:right="0" w:firstLine="360"/>
        <w:jc w:val="left"/>
      </w:pPr>
      <w:r>
        <w:rPr>
          <w:rFonts w:ascii="Times New Roman" w:hAnsi="Times New Roman" w:cs="Times New Roman" w:eastAsia="Times New Roman" w:hint="default"/>
          <w:spacing w:val="-2"/>
        </w:rPr>
        <w:t>6</w:t>
      </w:r>
      <w:r>
        <w:rPr>
          <w:spacing w:val="-2"/>
        </w:rPr>
        <w:t>）卢永华：男，生于</w:t>
      </w:r>
      <w:r>
        <w:rPr>
          <w:rFonts w:ascii="Times New Roman" w:hAnsi="Times New Roman" w:cs="Times New Roman" w:eastAsia="Times New Roman" w:hint="default"/>
          <w:spacing w:val="-2"/>
        </w:rPr>
        <w:t>1954</w:t>
      </w:r>
      <w:r>
        <w:rPr>
          <w:spacing w:val="-2"/>
        </w:rPr>
        <w:t>年</w:t>
      </w:r>
      <w:r>
        <w:rPr>
          <w:rFonts w:ascii="Times New Roman" w:hAnsi="Times New Roman" w:cs="Times New Roman" w:eastAsia="Times New Roman" w:hint="default"/>
          <w:spacing w:val="-2"/>
        </w:rPr>
        <w:t>12</w:t>
      </w:r>
      <w:r>
        <w:rPr>
          <w:spacing w:val="-2"/>
        </w:rPr>
        <w:t>月，中国国籍，无永久境外居留权，会计学博士，会计学教授。</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7</w:t>
      </w:r>
      <w:r>
        <w:rPr>
          <w:spacing w:val="-2"/>
        </w:rPr>
        <w:t>月，</w:t>
      </w:r>
      <w:r>
        <w:rPr/>
        <w:t> </w:t>
      </w:r>
      <w:r>
        <w:rPr>
          <w:spacing w:val="-3"/>
        </w:rPr>
        <w:t>在厦门大学会计学专业就读，获学士学位；</w:t>
      </w:r>
      <w:r>
        <w:rPr>
          <w:rFonts w:ascii="Times New Roman" w:hAnsi="Times New Roman" w:cs="Times New Roman" w:eastAsia="Times New Roman" w:hint="default"/>
          <w:spacing w:val="-3"/>
        </w:rPr>
        <w:t>1984</w:t>
      </w:r>
      <w:r>
        <w:rPr>
          <w:spacing w:val="-3"/>
        </w:rPr>
        <w:t>年</w:t>
      </w:r>
      <w:r>
        <w:rPr>
          <w:rFonts w:ascii="Times New Roman" w:hAnsi="Times New Roman" w:cs="Times New Roman" w:eastAsia="Times New Roman" w:hint="default"/>
          <w:spacing w:val="-3"/>
        </w:rPr>
        <w:t>7</w:t>
      </w:r>
      <w:r>
        <w:rPr>
          <w:spacing w:val="-3"/>
        </w:rPr>
        <w:t>月厦门大学会计系毕业留校后一直从事会计教学、科研工作；期间于</w:t>
      </w:r>
      <w:r>
        <w:rPr>
          <w:rFonts w:ascii="Times New Roman" w:hAnsi="Times New Roman" w:cs="Times New Roman" w:eastAsia="Times New Roman" w:hint="default"/>
          <w:spacing w:val="-3"/>
        </w:rPr>
        <w:t>1992</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2"/>
        </w:rPr>
        <w:t>年</w:t>
      </w:r>
      <w:r>
        <w:rPr>
          <w:rFonts w:ascii="Times New Roman" w:hAnsi="Times New Roman" w:cs="Times New Roman" w:eastAsia="Times New Roman" w:hint="default"/>
          <w:spacing w:val="-2"/>
        </w:rPr>
        <w:t>7</w:t>
      </w:r>
      <w:r>
        <w:rPr>
          <w:spacing w:val="-2"/>
        </w:rPr>
        <w:t>月获得厦门大学会计系硕士学位；</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6</w:t>
      </w:r>
      <w:r>
        <w:rPr>
          <w:spacing w:val="-2"/>
        </w:rPr>
        <w:t>月获厦门大学管理学（会计学）博士学位。历任厦门大学会计系助教、厦门大</w:t>
      </w:r>
      <w:r>
        <w:rPr>
          <w:spacing w:val="-59"/>
        </w:rPr>
        <w:t> </w:t>
      </w:r>
      <w:r>
        <w:rPr>
          <w:spacing w:val="-59"/>
        </w:rPr>
      </w:r>
      <w:r>
        <w:rPr>
          <w:spacing w:val="-2"/>
        </w:rPr>
        <w:t>学会计系讲师、厦门大学会计系副教授、厦门大学会计系党总支副书记、厦门大学会计系副主任。卢永华先生现任厦门合兴</w:t>
      </w:r>
      <w:r>
        <w:rPr>
          <w:spacing w:val="-65"/>
        </w:rPr>
        <w:t> </w:t>
      </w:r>
      <w:r>
        <w:rPr>
          <w:spacing w:val="-65"/>
        </w:rPr>
      </w:r>
      <w:r>
        <w:rPr>
          <w:spacing w:val="-2"/>
        </w:rPr>
        <w:t>包装印刷股份有限公司独立董事。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月，任本公司第一届董事会独立董事。目前任公司第二届董事会独立</w:t>
      </w:r>
      <w:r>
        <w:rPr>
          <w:spacing w:val="-59"/>
        </w:rPr>
        <w:t> </w:t>
      </w:r>
      <w:r>
        <w:rPr>
          <w:spacing w:val="-59"/>
        </w:rPr>
      </w:r>
      <w:r>
        <w:rPr/>
        <w:t>董事，任期为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spacing w:line="240" w:lineRule="auto" w:before="7"/>
        <w:rPr>
          <w:rFonts w:ascii="宋体" w:hAnsi="宋体" w:cs="宋体" w:eastAsia="宋体" w:hint="default"/>
          <w:sz w:val="24"/>
          <w:szCs w:val="24"/>
        </w:rPr>
      </w:pPr>
    </w:p>
    <w:p>
      <w:pPr>
        <w:pStyle w:val="BodyText"/>
        <w:spacing w:line="319" w:lineRule="auto"/>
        <w:ind w:right="208" w:firstLine="360"/>
        <w:jc w:val="both"/>
      </w:pPr>
      <w:r>
        <w:rPr>
          <w:rFonts w:ascii="宋体" w:hAnsi="宋体" w:cs="宋体" w:eastAsia="宋体" w:hint="default"/>
          <w:spacing w:val="-2"/>
        </w:rPr>
        <w:t>7</w:t>
      </w:r>
      <w:r>
        <w:rPr>
          <w:spacing w:val="-2"/>
        </w:rPr>
        <w:t>）邢文祥：男，生于</w:t>
      </w:r>
      <w:r>
        <w:rPr>
          <w:rFonts w:ascii="宋体" w:hAnsi="宋体" w:cs="宋体" w:eastAsia="宋体" w:hint="default"/>
          <w:spacing w:val="-2"/>
        </w:rPr>
        <w:t>1963</w:t>
      </w:r>
      <w:r>
        <w:rPr>
          <w:spacing w:val="-2"/>
        </w:rPr>
        <w:t>年</w:t>
      </w:r>
      <w:r>
        <w:rPr>
          <w:rFonts w:ascii="宋体" w:hAnsi="宋体" w:cs="宋体" w:eastAsia="宋体" w:hint="default"/>
          <w:spacing w:val="-2"/>
        </w:rPr>
        <w:t>2</w:t>
      </w:r>
      <w:r>
        <w:rPr>
          <w:spacing w:val="-2"/>
        </w:rPr>
        <w:t>月，中国国籍，无永久境外居留权，中国哲学博士，教授。</w:t>
      </w:r>
      <w:r>
        <w:rPr>
          <w:rFonts w:ascii="宋体" w:hAnsi="宋体" w:cs="宋体" w:eastAsia="宋体" w:hint="default"/>
          <w:spacing w:val="-2"/>
        </w:rPr>
        <w:t>1980</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1984</w:t>
      </w:r>
      <w:r>
        <w:rPr>
          <w:spacing w:val="-2"/>
        </w:rPr>
        <w:t>年</w:t>
      </w:r>
      <w:r>
        <w:rPr>
          <w:rFonts w:ascii="宋体" w:hAnsi="宋体" w:cs="宋体" w:eastAsia="宋体" w:hint="default"/>
          <w:spacing w:val="-2"/>
        </w:rPr>
        <w:t>7</w:t>
      </w:r>
      <w:r>
        <w:rPr>
          <w:spacing w:val="-2"/>
        </w:rPr>
        <w:t>与，就读</w:t>
      </w:r>
      <w:r>
        <w:rPr/>
        <w:t> </w:t>
      </w:r>
      <w:r>
        <w:rPr>
          <w:spacing w:val="-3"/>
        </w:rPr>
        <w:t>辽宁大学哲学专业，获学士学位；</w:t>
      </w:r>
      <w:r>
        <w:rPr>
          <w:rFonts w:ascii="宋体" w:hAnsi="宋体" w:cs="宋体" w:eastAsia="宋体" w:hint="default"/>
          <w:spacing w:val="-3"/>
        </w:rPr>
        <w:t>1991</w:t>
      </w:r>
      <w:r>
        <w:rPr>
          <w:spacing w:val="-3"/>
        </w:rPr>
        <w:t>年</w:t>
      </w:r>
      <w:r>
        <w:rPr>
          <w:rFonts w:ascii="宋体" w:hAnsi="宋体" w:cs="宋体" w:eastAsia="宋体" w:hint="default"/>
          <w:spacing w:val="-3"/>
        </w:rPr>
        <w:t>9</w:t>
      </w:r>
      <w:r>
        <w:rPr>
          <w:spacing w:val="-3"/>
        </w:rPr>
        <w:t>月至</w:t>
      </w:r>
      <w:r>
        <w:rPr>
          <w:rFonts w:ascii="宋体" w:hAnsi="宋体" w:cs="宋体" w:eastAsia="宋体" w:hint="default"/>
          <w:spacing w:val="-3"/>
        </w:rPr>
        <w:t>1994</w:t>
      </w:r>
      <w:r>
        <w:rPr>
          <w:spacing w:val="-3"/>
        </w:rPr>
        <w:t>年</w:t>
      </w:r>
      <w:r>
        <w:rPr>
          <w:rFonts w:ascii="宋体" w:hAnsi="宋体" w:cs="宋体" w:eastAsia="宋体" w:hint="default"/>
          <w:spacing w:val="-3"/>
        </w:rPr>
        <w:t>7</w:t>
      </w:r>
      <w:r>
        <w:rPr>
          <w:spacing w:val="-3"/>
        </w:rPr>
        <w:t>月，就读辽宁大学国民经济管理专业，获硕士学位；</w:t>
      </w:r>
      <w:r>
        <w:rPr>
          <w:rFonts w:ascii="宋体" w:hAnsi="宋体" w:cs="宋体" w:eastAsia="宋体" w:hint="default"/>
          <w:spacing w:val="-3"/>
        </w:rPr>
        <w:t>2007</w:t>
      </w:r>
      <w:r>
        <w:rPr>
          <w:spacing w:val="-3"/>
        </w:rPr>
        <w:t>年</w:t>
      </w:r>
      <w:r>
        <w:rPr>
          <w:rFonts w:ascii="宋体" w:hAnsi="宋体" w:cs="宋体" w:eastAsia="宋体" w:hint="default"/>
          <w:spacing w:val="-3"/>
        </w:rPr>
        <w:t>9</w:t>
      </w:r>
      <w:r>
        <w:rPr>
          <w:spacing w:val="-3"/>
        </w:rPr>
        <w:t>月至</w:t>
      </w:r>
      <w:r>
        <w:rPr>
          <w:rFonts w:ascii="宋体" w:hAnsi="宋体" w:cs="宋体" w:eastAsia="宋体" w:hint="default"/>
          <w:spacing w:val="-3"/>
        </w:rPr>
        <w:t>2010</w:t>
      </w:r>
      <w:r>
        <w:rPr>
          <w:rFonts w:ascii="宋体" w:hAnsi="宋体" w:cs="宋体" w:eastAsia="宋体" w:hint="default"/>
          <w:spacing w:val="-82"/>
        </w:rPr>
        <w:t> </w:t>
      </w:r>
      <w:r>
        <w:rPr>
          <w:rFonts w:ascii="宋体" w:hAnsi="宋体" w:cs="宋体" w:eastAsia="宋体" w:hint="default"/>
          <w:spacing w:val="-82"/>
        </w:rPr>
      </w:r>
      <w:r>
        <w:rPr/>
        <w:t>年</w:t>
      </w:r>
      <w:r>
        <w:rPr>
          <w:rFonts w:ascii="宋体" w:hAnsi="宋体" w:cs="宋体" w:eastAsia="宋体" w:hint="default"/>
        </w:rPr>
        <w:t>7</w:t>
      </w:r>
      <w:r>
        <w:rPr/>
        <w:t>月，就读河北大学中国哲学专业，获博士学位。历任辽宁青年干部学院团委书记、学校办公室主任；中共沈阳市委宣传 </w:t>
      </w:r>
      <w:r>
        <w:rPr>
          <w:spacing w:val="-2"/>
        </w:rPr>
        <w:t>部副处长；沈阳金杯客车制造有限公司党委书记、第一副总经理；共青团沈阳市委书记；沈阳市沈河区政府区长；沈阳市政</w:t>
      </w:r>
      <w:r>
        <w:rPr>
          <w:spacing w:val="-67"/>
        </w:rPr>
        <w:t> </w:t>
      </w:r>
      <w:r>
        <w:rPr>
          <w:spacing w:val="-67"/>
        </w:rPr>
      </w:r>
      <w:r>
        <w:rPr>
          <w:spacing w:val="-2"/>
        </w:rPr>
        <w:t>府副秘书长；亿达集团有限公司总裁；成都理工大学教授；中国地质大学教授；中央财经大学宣传部长、新闻中心主任；澳</w:t>
      </w:r>
      <w:r>
        <w:rPr>
          <w:spacing w:val="-70"/>
        </w:rPr>
        <w:t> </w:t>
      </w:r>
      <w:r>
        <w:rPr>
          <w:spacing w:val="-70"/>
        </w:rPr>
      </w:r>
      <w:r>
        <w:rPr/>
        <w:t>门城市大学教授；现任中央财经大学教授。邢文祥先生现兼任福建龙马环卫装备股份有限公司独立董事。</w:t>
      </w:r>
      <w:r>
        <w:rPr>
          <w:rFonts w:ascii="宋体" w:hAnsi="宋体" w:cs="宋体" w:eastAsia="宋体" w:hint="default"/>
        </w:rPr>
        <w:t>2012</w:t>
      </w:r>
      <w:r>
        <w:rPr/>
        <w:t>年</w:t>
      </w:r>
      <w:r>
        <w:rPr>
          <w:rFonts w:ascii="宋体" w:hAnsi="宋体" w:cs="宋体" w:eastAsia="宋体" w:hint="default"/>
        </w:rPr>
        <w:t>6</w:t>
      </w:r>
      <w:r>
        <w:rPr/>
        <w:t>月起任公 司第二届董事会独立董事，任期为</w:t>
      </w:r>
      <w:r>
        <w:rPr>
          <w:rFonts w:ascii="宋体" w:hAnsi="宋体" w:cs="宋体" w:eastAsia="宋体" w:hint="default"/>
        </w:rPr>
        <w:t>2012</w:t>
      </w:r>
      <w:r>
        <w:rPr/>
        <w:t>年</w:t>
      </w:r>
      <w:r>
        <w:rPr>
          <w:rFonts w:ascii="宋体" w:hAnsi="宋体" w:cs="宋体" w:eastAsia="宋体" w:hint="default"/>
        </w:rPr>
        <w:t>6</w:t>
      </w:r>
      <w:r>
        <w:rPr/>
        <w:t>月起三年。</w:t>
      </w:r>
    </w:p>
    <w:p>
      <w:pPr>
        <w:spacing w:line="240" w:lineRule="auto" w:before="2"/>
        <w:rPr>
          <w:rFonts w:ascii="宋体" w:hAnsi="宋体" w:cs="宋体" w:eastAsia="宋体" w:hint="default"/>
          <w:sz w:val="25"/>
          <w:szCs w:val="25"/>
        </w:rPr>
      </w:pPr>
    </w:p>
    <w:p>
      <w:pPr>
        <w:pStyle w:val="BodyText"/>
        <w:spacing w:line="300" w:lineRule="auto"/>
        <w:ind w:left="513" w:right="4613"/>
        <w:jc w:val="left"/>
      </w:pPr>
      <w:r>
        <w:rPr>
          <w:rFonts w:ascii="Times New Roman" w:hAnsi="Times New Roman" w:cs="Times New Roman" w:eastAsia="Times New Roman" w:hint="default"/>
        </w:rPr>
        <w:t>2</w:t>
      </w:r>
      <w:r>
        <w:rPr/>
        <w:t>、公司现任监事 公司第二届监事会由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w:t>
      </w:r>
    </w:p>
    <w:p>
      <w:pPr>
        <w:pStyle w:val="BodyText"/>
        <w:spacing w:line="300" w:lineRule="auto" w:before="53"/>
        <w:ind w:right="113" w:firstLine="360"/>
        <w:jc w:val="left"/>
      </w:pPr>
      <w:r>
        <w:rPr>
          <w:rFonts w:ascii="Times New Roman" w:hAnsi="Times New Roman" w:cs="Times New Roman" w:eastAsia="Times New Roman" w:hint="default"/>
        </w:rPr>
        <w:t>1</w:t>
      </w:r>
      <w:r>
        <w:rPr/>
        <w:t>）江敦忠：男，生于</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3</w:t>
      </w:r>
      <w:r>
        <w:rPr/>
        <w:t>月，中国国籍，无永久境外居留权，高级工程师。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月起至今，任职于易联众信息 技术股份有限公司。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月至今，任福州尼洋投资有限公司执行董事。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月至今，任福建三联投资有限公司董事。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月起，任公司第二届监事会主席。</w:t>
      </w:r>
    </w:p>
    <w:p>
      <w:pPr>
        <w:spacing w:after="0" w:line="300" w:lineRule="auto"/>
        <w:jc w:val="left"/>
        <w:sectPr>
          <w:footerReference w:type="default" r:id="rId17"/>
          <w:pgSz w:w="11910" w:h="16840"/>
          <w:pgMar w:footer="979" w:header="745" w:top="1060" w:bottom="1160" w:left="980" w:right="920"/>
          <w:pgNumType w:start="64"/>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00" w:lineRule="auto" w:before="44"/>
        <w:ind w:right="193" w:firstLine="360"/>
        <w:jc w:val="both"/>
      </w:pPr>
      <w:r>
        <w:rPr>
          <w:rFonts w:ascii="Times New Roman" w:hAnsi="Times New Roman" w:cs="Times New Roman" w:eastAsia="Times New Roman" w:hint="default"/>
        </w:rPr>
        <w:t>2</w:t>
      </w:r>
      <w:r>
        <w:rPr/>
        <w:t>）雷锐生：男，生于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10</w:t>
      </w:r>
      <w:r>
        <w:rPr/>
        <w:t>月，中国国籍，研究生学历，无永久境外居留权，工程师。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月至今，任厦门大 学嘉庚学院副院长。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月，任公司第一届监事会监事，现任公司第二届监事会监事，任期自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 三年。</w:t>
      </w:r>
    </w:p>
    <w:p>
      <w:pPr>
        <w:spacing w:line="240" w:lineRule="auto" w:before="3"/>
        <w:rPr>
          <w:rFonts w:ascii="宋体" w:hAnsi="宋体" w:cs="宋体" w:eastAsia="宋体" w:hint="default"/>
          <w:sz w:val="26"/>
          <w:szCs w:val="26"/>
        </w:rPr>
      </w:pPr>
    </w:p>
    <w:p>
      <w:pPr>
        <w:pStyle w:val="BodyText"/>
        <w:spacing w:line="300" w:lineRule="auto"/>
        <w:ind w:right="188" w:firstLine="360"/>
        <w:jc w:val="both"/>
      </w:pPr>
      <w:r>
        <w:rPr>
          <w:rFonts w:ascii="Times New Roman" w:hAnsi="Times New Roman" w:cs="Times New Roman" w:eastAsia="Times New Roman" w:hint="default"/>
          <w:spacing w:val="-2"/>
        </w:rPr>
        <w:t>3</w:t>
      </w:r>
      <w:r>
        <w:rPr>
          <w:spacing w:val="-2"/>
        </w:rPr>
        <w:t>）黄邦杰，男，生于</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11</w:t>
      </w:r>
      <w:r>
        <w:rPr>
          <w:spacing w:val="-2"/>
        </w:rPr>
        <w:t>月，中国国籍，专科学历，无境外永久居留权。</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月至今就职于易联众信息技术股</w:t>
      </w:r>
      <w:r>
        <w:rPr/>
        <w:t> </w:t>
      </w:r>
      <w:r>
        <w:rPr>
          <w:spacing w:val="-2"/>
        </w:rPr>
        <w:t>份有限公司行政部，现任公司行政部副总经理。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月任公司第一届监事会职工代表监事，现任公司第二届</w:t>
      </w:r>
      <w:r>
        <w:rPr>
          <w:spacing w:val="-56"/>
        </w:rPr>
        <w:t> </w:t>
      </w:r>
      <w:r>
        <w:rPr>
          <w:spacing w:val="-56"/>
        </w:rPr>
      </w:r>
      <w:r>
        <w:rPr/>
        <w:t>监事会职工代表监事，任期为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spacing w:line="240" w:lineRule="auto" w:before="11"/>
        <w:rPr>
          <w:rFonts w:ascii="宋体" w:hAnsi="宋体" w:cs="宋体" w:eastAsia="宋体" w:hint="default"/>
          <w:sz w:val="24"/>
          <w:szCs w:val="24"/>
        </w:rPr>
      </w:pPr>
    </w:p>
    <w:p>
      <w:pPr>
        <w:pStyle w:val="BodyText"/>
        <w:spacing w:line="309" w:lineRule="auto"/>
        <w:ind w:left="513" w:right="4433"/>
        <w:jc w:val="left"/>
      </w:pPr>
      <w:r>
        <w:rPr>
          <w:rFonts w:ascii="Times New Roman" w:hAnsi="Times New Roman" w:cs="Times New Roman" w:eastAsia="Times New Roman" w:hint="default"/>
        </w:rPr>
        <w:t>3</w:t>
      </w:r>
      <w:r>
        <w:rPr/>
        <w:t>、高级管理人员 公司高级管理人员均已经公司第二届董事会聘任。 </w:t>
      </w:r>
      <w:r>
        <w:rPr>
          <w:rFonts w:ascii="Times New Roman" w:hAnsi="Times New Roman" w:cs="Times New Roman" w:eastAsia="Times New Roman" w:hint="default"/>
        </w:rPr>
        <w:t>1</w:t>
      </w:r>
      <w:r>
        <w:rPr/>
        <w:t>）雷彪：公司总经理，简历详见</w:t>
      </w:r>
      <w:r>
        <w:rPr>
          <w:rFonts w:ascii="Times New Roman" w:hAnsi="Times New Roman" w:cs="Times New Roman" w:eastAsia="Times New Roman" w:hint="default"/>
        </w:rPr>
        <w:t>“</w:t>
      </w:r>
      <w:r>
        <w:rPr/>
        <w:t>本节二、</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4"/>
          <w:szCs w:val="24"/>
        </w:rPr>
      </w:pPr>
    </w:p>
    <w:p>
      <w:pPr>
        <w:pStyle w:val="BodyText"/>
        <w:spacing w:line="300" w:lineRule="auto"/>
        <w:ind w:right="188" w:firstLine="360"/>
        <w:jc w:val="both"/>
      </w:pPr>
      <w:r>
        <w:rPr>
          <w:rFonts w:ascii="Times New Roman" w:hAnsi="Times New Roman" w:cs="Times New Roman" w:eastAsia="Times New Roman" w:hint="default"/>
          <w:spacing w:val="-2"/>
        </w:rPr>
        <w:t>2</w:t>
      </w:r>
      <w:r>
        <w:rPr>
          <w:spacing w:val="-2"/>
        </w:rPr>
        <w:t>）吴文飞：男，生于</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3</w:t>
      </w:r>
      <w:r>
        <w:rPr>
          <w:spacing w:val="-2"/>
        </w:rPr>
        <w:t>月，中国国籍，本科毕业，无永久境外居留权，高级工程师。</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7</w:t>
      </w:r>
      <w:r>
        <w:rPr>
          <w:spacing w:val="-2"/>
        </w:rPr>
        <w:t>月，在</w:t>
      </w:r>
      <w:r>
        <w:rPr/>
        <w:t> </w:t>
      </w:r>
      <w:r>
        <w:rPr>
          <w:spacing w:val="-2"/>
        </w:rPr>
        <w:t>厦门大学控制科学专业就读本科；</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月，在厦门自来水公司工作；</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月，任厦门市巨龙</w:t>
      </w:r>
      <w:r>
        <w:rPr>
          <w:spacing w:val="-50"/>
        </w:rPr>
        <w:t> </w:t>
      </w:r>
      <w:r>
        <w:rPr>
          <w:spacing w:val="-50"/>
        </w:rPr>
      </w:r>
      <w:r>
        <w:rPr/>
        <w:t>软件工程有限公司副总经理；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月，任公司副总经理。现任公司副总经理。</w:t>
      </w:r>
    </w:p>
    <w:p>
      <w:pPr>
        <w:spacing w:line="240" w:lineRule="auto" w:before="11"/>
        <w:rPr>
          <w:rFonts w:ascii="宋体" w:hAnsi="宋体" w:cs="宋体" w:eastAsia="宋体" w:hint="default"/>
          <w:sz w:val="24"/>
          <w:szCs w:val="24"/>
        </w:rPr>
      </w:pPr>
    </w:p>
    <w:p>
      <w:pPr>
        <w:pStyle w:val="BodyText"/>
        <w:spacing w:line="300" w:lineRule="auto"/>
        <w:ind w:right="195" w:firstLine="360"/>
        <w:jc w:val="both"/>
      </w:pPr>
      <w:r>
        <w:rPr>
          <w:rFonts w:ascii="Times New Roman" w:hAnsi="Times New Roman" w:cs="Times New Roman" w:eastAsia="Times New Roman" w:hint="default"/>
        </w:rPr>
        <w:t>3</w:t>
      </w:r>
      <w:r>
        <w:rPr/>
        <w:t>）黄文灿：男，生于</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12</w:t>
      </w:r>
      <w:r>
        <w:rPr/>
        <w:t>月，中国国籍，硕士研究生毕业，无永久境外居留权，高级工程师。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1996</w:t>
      </w:r>
      <w:r>
        <w:rPr/>
        <w:t>年， 就职于航天航空部计算机和仿真技术研究所；</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2000</w:t>
      </w:r>
      <w:r>
        <w:rPr/>
        <w:t>年，任厦门市巨龙软件工程有限公司副总工程师；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spacing w:val="-3"/>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月，任公司总工程师、副总经理。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月，任公司副总经理、技术总监。现任公司副总经理。</w:t>
      </w:r>
    </w:p>
    <w:p>
      <w:pPr>
        <w:spacing w:line="240" w:lineRule="auto" w:before="11"/>
        <w:rPr>
          <w:rFonts w:ascii="宋体" w:hAnsi="宋体" w:cs="宋体" w:eastAsia="宋体" w:hint="default"/>
          <w:sz w:val="24"/>
          <w:szCs w:val="24"/>
        </w:rPr>
      </w:pPr>
    </w:p>
    <w:p>
      <w:pPr>
        <w:pStyle w:val="BodyText"/>
        <w:spacing w:line="240" w:lineRule="auto"/>
        <w:ind w:left="513" w:right="0"/>
        <w:jc w:val="left"/>
      </w:pPr>
      <w:r>
        <w:rPr>
          <w:rFonts w:ascii="Times New Roman" w:hAnsi="Times New Roman" w:cs="Times New Roman" w:eastAsia="Times New Roman" w:hint="default"/>
        </w:rPr>
        <w:t>4</w:t>
      </w:r>
      <w:r>
        <w:rPr/>
        <w:t>）陈东红：男，生于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3</w:t>
      </w:r>
      <w:r>
        <w:rPr/>
        <w:t>月，中国国籍，厦门大学、厦门国家会计学院会计硕士专业研究生，无永久境外居留权。</w:t>
      </w:r>
    </w:p>
    <w:p>
      <w:pPr>
        <w:pStyle w:val="BodyText"/>
        <w:spacing w:line="300" w:lineRule="auto" w:before="63"/>
        <w:ind w:right="192"/>
        <w:jc w:val="both"/>
      </w:pP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月任厦门市审计局审计员，</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月，任厦门厦信实业集团有限公司计财部副经理；</w:t>
      </w:r>
      <w:r>
        <w:rPr>
          <w:rFonts w:ascii="Times New Roman" w:hAnsi="Times New Roman" w:cs="Times New Roman" w:eastAsia="Times New Roman" w:hint="default"/>
          <w:spacing w:val="-2"/>
        </w:rPr>
        <w:t>1999</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月任厦门中威敬贤会计师事务所有限公司主任会计师。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月至今任本公司财务管理部总经理。现任公 司财务总监。</w:t>
      </w:r>
    </w:p>
    <w:p>
      <w:pPr>
        <w:spacing w:line="240" w:lineRule="auto" w:before="3"/>
        <w:rPr>
          <w:rFonts w:ascii="宋体" w:hAnsi="宋体" w:cs="宋体" w:eastAsia="宋体" w:hint="default"/>
          <w:sz w:val="26"/>
          <w:szCs w:val="26"/>
        </w:rPr>
      </w:pPr>
    </w:p>
    <w:p>
      <w:pPr>
        <w:pStyle w:val="BodyText"/>
        <w:spacing w:line="300" w:lineRule="auto"/>
        <w:ind w:right="93" w:firstLine="360"/>
        <w:jc w:val="left"/>
      </w:pPr>
      <w:r>
        <w:rPr>
          <w:rFonts w:ascii="Times New Roman" w:hAnsi="Times New Roman" w:cs="Times New Roman" w:eastAsia="Times New Roman" w:hint="default"/>
        </w:rPr>
        <w:t>5</w:t>
      </w:r>
      <w:r>
        <w:rPr/>
        <w:t>）施建安：男，生于</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w:t>
      </w:r>
      <w:r>
        <w:rPr/>
        <w:t>月，中国国籍，无永久境外居留权，本科学历，高级工程师。毕业于厦门大学计算机系， </w:t>
      </w:r>
      <w:r>
        <w:rPr>
          <w:spacing w:val="-2"/>
        </w:rPr>
        <w:t>获学士学位、学历。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2003</w:t>
      </w:r>
      <w:r>
        <w:rPr>
          <w:spacing w:val="-2"/>
        </w:rPr>
        <w:t>年任实达巨龙信息技术有限公司软件开发部门副经理、经理，</w:t>
      </w:r>
      <w:r>
        <w:rPr>
          <w:rFonts w:ascii="Times New Roman" w:hAnsi="Times New Roman" w:cs="Times New Roman" w:eastAsia="Times New Roman" w:hint="default"/>
          <w:spacing w:val="-2"/>
        </w:rPr>
        <w:t>2004</w:t>
      </w:r>
      <w:r>
        <w:rPr>
          <w:spacing w:val="-2"/>
        </w:rPr>
        <w:t>年任安徽实达系统软件</w:t>
      </w:r>
      <w:r>
        <w:rPr>
          <w:spacing w:val="-54"/>
        </w:rPr>
        <w:t> </w:t>
      </w:r>
      <w:r>
        <w:rPr>
          <w:spacing w:val="-2"/>
        </w:rPr>
        <w:t>有限公司副总经理，</w:t>
      </w:r>
      <w:r>
        <w:rPr>
          <w:rFonts w:ascii="Times New Roman" w:hAnsi="Times New Roman" w:cs="Times New Roman" w:eastAsia="Times New Roman" w:hint="default"/>
          <w:spacing w:val="-2"/>
        </w:rPr>
        <w:t>2005</w:t>
      </w:r>
      <w:r>
        <w:rPr>
          <w:spacing w:val="-2"/>
        </w:rPr>
        <w:t>年起任本公司福建本部副总经理、常务副总经理，</w:t>
      </w:r>
      <w:r>
        <w:rPr>
          <w:rFonts w:ascii="Times New Roman" w:hAnsi="Times New Roman" w:cs="Times New Roman" w:eastAsia="Times New Roman" w:hint="default"/>
          <w:spacing w:val="-2"/>
        </w:rPr>
        <w:t>2011</w:t>
      </w:r>
      <w:r>
        <w:rPr>
          <w:spacing w:val="-2"/>
        </w:rPr>
        <w:t>年起至今任本公司研发管理部总经理。现任</w:t>
      </w:r>
      <w:r>
        <w:rPr>
          <w:spacing w:val="-58"/>
        </w:rPr>
        <w:t> </w:t>
      </w:r>
      <w:r>
        <w:rPr>
          <w:spacing w:val="-58"/>
        </w:rPr>
      </w:r>
      <w:r>
        <w:rPr/>
        <w:t>公司技术总监。</w:t>
      </w:r>
    </w:p>
    <w:p>
      <w:pPr>
        <w:spacing w:line="240" w:lineRule="auto" w:before="0"/>
        <w:rPr>
          <w:rFonts w:ascii="宋体" w:hAnsi="宋体" w:cs="宋体" w:eastAsia="宋体" w:hint="default"/>
          <w:sz w:val="18"/>
          <w:szCs w:val="18"/>
        </w:rPr>
      </w:pPr>
    </w:p>
    <w:p>
      <w:pPr>
        <w:pStyle w:val="BodyText"/>
        <w:spacing w:line="300" w:lineRule="auto" w:before="148"/>
        <w:ind w:right="187"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6</w:t>
      </w:r>
      <w:r>
        <w:rPr>
          <w:spacing w:val="-2"/>
        </w:rPr>
        <w:t>）李虹海：男，生于</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12</w:t>
      </w:r>
      <w:r>
        <w:rPr>
          <w:spacing w:val="-2"/>
        </w:rPr>
        <w:t>月，中国国籍，中国香港永久居民。</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7</w:t>
      </w:r>
      <w:r>
        <w:rPr>
          <w:spacing w:val="-2"/>
        </w:rPr>
        <w:t>月，毕业于上海交通大学计算机科学技术专</w:t>
      </w:r>
      <w:r>
        <w:rPr/>
        <w:t> 业，获学士学位、学历；</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月，任广州邮电通信设备有限公司项目经理，部门经理；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1997</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w:t>
      </w:r>
      <w:r>
        <w:rPr>
          <w:rFonts w:ascii="Times New Roman" w:hAnsi="Times New Roman" w:cs="Times New Roman" w:eastAsia="Times New Roman" w:hint="default"/>
        </w:rPr>
        <w:t>4</w:t>
      </w:r>
      <w:r>
        <w:rPr/>
        <w:t>月，任香港中鹏科技有限公司总经理；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月，任广州海达信息有限公司总工程师；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2005</w:t>
      </w:r>
    </w:p>
    <w:p>
      <w:pPr>
        <w:pStyle w:val="BodyText"/>
        <w:spacing w:line="300" w:lineRule="auto" w:before="13"/>
        <w:ind w:right="109"/>
        <w:jc w:val="both"/>
      </w:pPr>
      <w:r>
        <w:rPr/>
        <w:t>年</w:t>
      </w:r>
      <w:r>
        <w:rPr>
          <w:rFonts w:ascii="Times New Roman" w:hAnsi="Times New Roman" w:cs="Times New Roman" w:eastAsia="Times New Roman" w:hint="default"/>
        </w:rPr>
        <w:t>12</w:t>
      </w:r>
      <w:r>
        <w:rPr/>
        <w:t>月，任实达科技（控股）有限公司部门经理，客户总监。</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月，任本公司医疗卫生信息化业务主管。 现任公司董事会秘书、投资部总经理。</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00" w:lineRule="auto"/>
        <w:ind w:right="93" w:firstLine="360"/>
        <w:jc w:val="left"/>
      </w:pPr>
      <w:r>
        <w:rPr>
          <w:rFonts w:ascii="Times New Roman" w:hAnsi="Times New Roman" w:cs="Times New Roman" w:eastAsia="Times New Roman" w:hint="default"/>
        </w:rPr>
        <w:t>7</w:t>
      </w:r>
      <w:r>
        <w:rPr/>
        <w:t>）游海涛：男，生于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3</w:t>
      </w:r>
      <w:r>
        <w:rPr/>
        <w:t>月，中国国籍，无永久境外居留权，工程师。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1997</w:t>
      </w:r>
      <w:r>
        <w:rPr/>
        <w:t>年，在浙江理工大学就读</w:t>
      </w:r>
      <w:r>
        <w:rPr>
          <w:rFonts w:ascii="Times New Roman" w:hAnsi="Times New Roman" w:cs="Times New Roman" w:eastAsia="Times New Roman" w:hint="default"/>
        </w:rPr>
        <w:t>,</w:t>
      </w:r>
      <w:r>
        <w:rPr/>
        <w:t>获 学士学位。</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月，任职于厦门巨龙软件工程有限公司；</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月，任职于实达科技（福建） 软件系统有限公司；</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月，任实达科技（福建）软件系统集团有限公司总工程师；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月，任公司产品与市场发展部总经理；</w:t>
      </w:r>
      <w:r>
        <w:rPr>
          <w:rFonts w:ascii="Times New Roman" w:hAnsi="Times New Roman" w:cs="Times New Roman" w:eastAsia="Times New Roman" w:hint="default"/>
        </w:rPr>
        <w:t>2013</w:t>
      </w:r>
      <w:r>
        <w:rPr/>
        <w:t>年起至今，任公司民生信息服务中心总经理。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月起，任公司副总经理。</w:t>
      </w:r>
    </w:p>
    <w:p>
      <w:pPr>
        <w:pStyle w:val="BodyText"/>
        <w:spacing w:line="240" w:lineRule="auto" w:before="53"/>
        <w:ind w:right="0"/>
        <w:jc w:val="both"/>
      </w:pPr>
      <w:r>
        <w:rPr/>
        <w:t>在股东单位任职情况</w:t>
      </w:r>
    </w:p>
    <w:p>
      <w:pPr>
        <w:pStyle w:val="BodyText"/>
        <w:spacing w:line="340" w:lineRule="auto" w:before="114"/>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spacing w:after="0" w:line="340" w:lineRule="auto"/>
        <w:jc w:val="left"/>
        <w:sectPr>
          <w:footerReference w:type="default" r:id="rId18"/>
          <w:pgSz w:w="11910" w:h="16840"/>
          <w:pgMar w:footer="979" w:header="745" w:top="1060" w:bottom="1160" w:left="980" w:right="940"/>
          <w:pgNumType w:start="65"/>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重庆宏邦实业有限公司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重庆宏邦投资有限公司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重庆然诺建材有限公司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北京骏豪融生投资有限责任公司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实邑科技（福建）信息产业有限公司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福建新华都置业有限公司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董事、执行总</w:t>
            </w:r>
            <w:r>
              <w:rPr>
                <w:rFonts w:ascii="宋体" w:hAnsi="宋体" w:cs="宋体" w:eastAsia="宋体" w:hint="default"/>
                <w:sz w:val="18"/>
                <w:szCs w:val="18"/>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福州海天装璜装修有限公司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云南时代英捷投资有限公司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云南时代涌泰工贸有限责任公司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国家信息中心专家委员会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北京中科金财股份有限公司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厦门合兴包装印刷股份有限公司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福建龙马环卫装备股份有限公司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福州尼洋投资有限公司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福建三联投资有限公司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雷锐生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厦门大学嘉庚学院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福州易联众软件系统开发有限公司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北京尚洋易捷信息技术有限公司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北京尚洋易捷信息技术有限公司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福州易联众软件系统开发有限公司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before="44"/>
        <w:ind w:left="0" w:right="159"/>
        <w:jc w:val="right"/>
      </w:pPr>
      <w:r>
        <w:rPr/>
        <w:pict>
          <v:shape style="position:absolute;margin-left:56.484001pt;margin-top:-31.958254pt;width:479.2pt;height:154.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0"/>
                    <w:gridCol w:w="5310"/>
                  </w:tblGrid>
                  <w:tr>
                    <w:trPr>
                      <w:trHeight w:val="1652"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4" w:firstLine="360"/>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 事会决定。在公司担任职务的董事、监事、高级管理人员报酬由公 </w:t>
                        </w:r>
                        <w:r>
                          <w:rPr>
                            <w:rFonts w:ascii="宋体" w:hAnsi="宋体" w:cs="宋体" w:eastAsia="宋体" w:hint="default"/>
                            <w:spacing w:val="-3"/>
                            <w:sz w:val="18"/>
                            <w:szCs w:val="18"/>
                          </w:rPr>
                          <w:t>司支付，在公司担任职务的董事、监事不另外支付津贴。独立董事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外部董事、外部监事津贴依据股东大会决议支付，独立董事、外部 董事、外部监事会务费据实报销。</w:t>
                        </w:r>
                      </w:p>
                    </w:tc>
                  </w:tr>
                  <w:tr>
                    <w:trPr>
                      <w:trHeight w:val="1025"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firstLine="360"/>
                          <w:jc w:val="both"/>
                          <w:rPr>
                            <w:rFonts w:ascii="宋体" w:hAnsi="宋体" w:cs="宋体" w:eastAsia="宋体" w:hint="default"/>
                            <w:sz w:val="18"/>
                            <w:szCs w:val="18"/>
                          </w:rPr>
                        </w:pPr>
                        <w:r>
                          <w:rPr>
                            <w:rFonts w:ascii="宋体" w:hAnsi="宋体" w:cs="宋体" w:eastAsia="宋体" w:hint="default"/>
                            <w:sz w:val="18"/>
                            <w:szCs w:val="18"/>
                          </w:rPr>
                          <w:t>参与公司经营的董事、高级管理人员年薪总收入由基本薪酬和 考核薪酬组成。独立董事、外部董事、外部监事津贴依据市场水平 并按照责、权、利一致的原则确定。</w:t>
                        </w:r>
                      </w:p>
                    </w:tc>
                  </w:tr>
                  <w:tr>
                    <w:trPr>
                      <w:trHeight w:val="403"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年度全体董事、监事、高级管理人员实际支付报酬</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4249;height:354" coordorigin="12,14" coordsize="4249,354">
              <v:shape style="position:absolute;left:12;top:14;width:4249;height:354" coordorigin="12,14" coordsize="4249,354" path="m12,368l4261,368,4261,14,12,14,12,368xe" filled="true" fillcolor="#d2d2d2" stroked="false">
                <v:path arrowok="t"/>
                <v:fill type="solid"/>
              </v:shape>
            </v:group>
            <v:group style="position:absolute;left:10;top:10;width:4252;height:2" coordorigin="10,10" coordsize="4252,2">
              <v:shape style="position:absolute;left:10;top:10;width:4252;height:2" coordorigin="10,10" coordsize="4252,0" path="m10,10l4261,10e" filled="false" stroked="true" strokeweight=".48pt" strokecolor="#000000">
                <v:path arrowok="t"/>
              </v:shape>
            </v:group>
            <v:group style="position:absolute;left:4271;top:10;width:5301;height:2" coordorigin="4271,10" coordsize="5301,2">
              <v:shape style="position:absolute;left:4271;top:10;width:5301;height:2" coordorigin="4271,10" coordsize="5301,0" path="m4271,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4252;height:2" coordorigin="10,372" coordsize="4252,2">
              <v:shape style="position:absolute;left:10;top:372;width:4252;height:2" coordorigin="10,372" coordsize="4252,0" path="m10,372l4261,372e" filled="false" stroked="true" strokeweight=".48pt" strokecolor="#000000">
                <v:path arrowok="t"/>
              </v:shape>
            </v:group>
            <v:group style="position:absolute;left:4266;top:5;width:2;height:373" coordorigin="4266,5" coordsize="2,373">
              <v:shape style="position:absolute;left:4266;top:5;width:2;height:373" coordorigin="4266,5" coordsize="0,373" path="m4266,5l4266,377e" filled="false" stroked="true" strokeweight=".47998pt" strokecolor="#000000">
                <v:path arrowok="t"/>
              </v:shape>
            </v:group>
            <v:group style="position:absolute;left:4271;top:372;width:5301;height:2" coordorigin="4271,372" coordsize="5301,2">
              <v:shape style="position:absolute;left:4271;top:372;width:5301;height:2" coordorigin="4271,372" coordsize="5301,0" path="m4271,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4266;top:10;width:5310;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423.96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50"/>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3" w:right="53" w:hanging="181"/>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22.78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71.15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雷锐生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黄邦杰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40.85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28.66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41.48</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0"/>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28.35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423.96</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5"/>
        <w:gridCol w:w="1327"/>
        <w:gridCol w:w="1330"/>
        <w:gridCol w:w="424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新增，负责公司民生信息服务业务。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原董事长辞职，公司第二届董事会选举其担任新一任 董事长</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5"/>
        <w:gridCol w:w="1327"/>
        <w:gridCol w:w="1330"/>
        <w:gridCol w:w="4247"/>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工作安排原因离职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补选</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补选</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原监事会主席辞职，公司第二届监事会选举其担任新 一任监事会主席</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报告期内公司核心技术团队或关键技术人员无变动。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日，公司共有在册员工</w:t>
      </w:r>
      <w:r>
        <w:rPr>
          <w:rFonts w:ascii="Times New Roman" w:hAnsi="Times New Roman" w:cs="Times New Roman" w:eastAsia="Times New Roman" w:hint="default"/>
        </w:rPr>
        <w:t>1335</w:t>
      </w:r>
      <w:r>
        <w:rPr/>
        <w:t>人，员工专业结构、受教育程度及年龄分布情况如下：</w:t>
      </w:r>
    </w:p>
    <w:p>
      <w:pPr>
        <w:spacing w:line="240" w:lineRule="auto" w:before="9"/>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569"/>
        <w:gridCol w:w="2693"/>
        <w:gridCol w:w="3260"/>
      </w:tblGrid>
      <w:tr>
        <w:trPr>
          <w:trHeight w:val="336" w:hRule="exact"/>
        </w:trPr>
        <w:tc>
          <w:tcPr>
            <w:tcW w:w="8522" w:type="dxa"/>
            <w:gridSpan w:val="3"/>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b/>
                <w:bCs/>
                <w:sz w:val="18"/>
                <w:szCs w:val="18"/>
              </w:rPr>
              <w:t>（一）员工专业结构</w:t>
            </w:r>
            <w:r>
              <w:rPr>
                <w:rFonts w:ascii="宋体" w:hAnsi="宋体" w:cs="宋体" w:eastAsia="宋体" w:hint="default"/>
                <w:sz w:val="18"/>
                <w:szCs w:val="18"/>
              </w:rPr>
            </w:r>
          </w:p>
        </w:tc>
      </w:tr>
      <w:tr>
        <w:trPr>
          <w:trHeight w:val="353"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岗位类别</w:t>
            </w:r>
          </w:p>
        </w:tc>
        <w:tc>
          <w:tcPr>
            <w:tcW w:w="269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440"/>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258</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41"/>
              <w:jc w:val="right"/>
              <w:rPr>
                <w:rFonts w:ascii="Times New Roman" w:hAnsi="Times New Roman" w:cs="Times New Roman" w:eastAsia="Times New Roman" w:hint="default"/>
                <w:sz w:val="18"/>
                <w:szCs w:val="18"/>
              </w:rPr>
            </w:pPr>
            <w:r>
              <w:rPr>
                <w:rFonts w:ascii="Times New Roman"/>
                <w:sz w:val="18"/>
              </w:rPr>
              <w:t>19.33%</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技术员工</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604</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41"/>
              <w:jc w:val="right"/>
              <w:rPr>
                <w:rFonts w:ascii="Times New Roman" w:hAnsi="Times New Roman" w:cs="Times New Roman" w:eastAsia="Times New Roman" w:hint="default"/>
                <w:sz w:val="18"/>
                <w:szCs w:val="18"/>
              </w:rPr>
            </w:pPr>
            <w:r>
              <w:rPr>
                <w:rFonts w:ascii="Times New Roman"/>
                <w:sz w:val="18"/>
              </w:rPr>
              <w:t>45.24%</w:t>
            </w:r>
          </w:p>
        </w:tc>
      </w:tr>
      <w:tr>
        <w:trPr>
          <w:trHeight w:val="428"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营销人员</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87"/>
              <w:jc w:val="right"/>
              <w:rPr>
                <w:rFonts w:ascii="Times New Roman" w:hAnsi="Times New Roman" w:cs="Times New Roman" w:eastAsia="Times New Roman" w:hint="default"/>
                <w:sz w:val="18"/>
                <w:szCs w:val="18"/>
              </w:rPr>
            </w:pPr>
            <w:r>
              <w:rPr>
                <w:rFonts w:ascii="Times New Roman"/>
                <w:sz w:val="18"/>
              </w:rPr>
              <w:t>7.94%</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41"/>
              <w:jc w:val="right"/>
              <w:rPr>
                <w:rFonts w:ascii="Times New Roman" w:hAnsi="Times New Roman" w:cs="Times New Roman" w:eastAsia="Times New Roman" w:hint="default"/>
                <w:sz w:val="18"/>
                <w:szCs w:val="18"/>
              </w:rPr>
            </w:pPr>
            <w:r>
              <w:rPr>
                <w:rFonts w:ascii="Times New Roman"/>
                <w:sz w:val="18"/>
              </w:rPr>
              <w:t>15.06%</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行政后勤</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41"/>
              <w:jc w:val="right"/>
              <w:rPr>
                <w:rFonts w:ascii="Times New Roman" w:hAnsi="Times New Roman" w:cs="Times New Roman" w:eastAsia="Times New Roman" w:hint="default"/>
                <w:sz w:val="18"/>
                <w:szCs w:val="18"/>
              </w:rPr>
            </w:pPr>
            <w:r>
              <w:rPr>
                <w:rFonts w:ascii="Times New Roman"/>
                <w:sz w:val="18"/>
              </w:rPr>
              <w:t>12.43%</w:t>
            </w:r>
          </w:p>
        </w:tc>
      </w:tr>
      <w:tr>
        <w:trPr>
          <w:trHeight w:val="439"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1335</w:t>
            </w:r>
          </w:p>
        </w:tc>
        <w:tc>
          <w:tcPr>
            <w:tcW w:w="326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00"/>
              <w:ind w:right="1407"/>
              <w:jc w:val="right"/>
              <w:rPr>
                <w:rFonts w:ascii="Times New Roman" w:hAnsi="Times New Roman" w:cs="Times New Roman" w:eastAsia="Times New Roman" w:hint="default"/>
                <w:sz w:val="18"/>
                <w:szCs w:val="18"/>
              </w:rPr>
            </w:pPr>
            <w:r>
              <w:rPr>
                <w:rFonts w:ascii="Times New Roman"/>
                <w:sz w:val="18"/>
              </w:rPr>
              <w:t>100%</w:t>
            </w:r>
          </w:p>
        </w:tc>
      </w:tr>
      <w:tr>
        <w:trPr>
          <w:trHeight w:val="329" w:hRule="exact"/>
        </w:trPr>
        <w:tc>
          <w:tcPr>
            <w:tcW w:w="8522" w:type="dxa"/>
            <w:gridSpan w:val="3"/>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b/>
                <w:bCs/>
                <w:sz w:val="18"/>
                <w:szCs w:val="18"/>
              </w:rPr>
              <w:t>（二）员工受教育程度</w:t>
            </w:r>
            <w:r>
              <w:rPr>
                <w:rFonts w:ascii="宋体" w:hAnsi="宋体" w:cs="宋体" w:eastAsia="宋体" w:hint="default"/>
                <w:sz w:val="18"/>
                <w:szCs w:val="18"/>
              </w:rPr>
            </w:r>
          </w:p>
        </w:tc>
      </w:tr>
      <w:tr>
        <w:trPr>
          <w:trHeight w:val="353"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员工受教育程度</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440"/>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33</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87"/>
              <w:jc w:val="right"/>
              <w:rPr>
                <w:rFonts w:ascii="Times New Roman" w:hAnsi="Times New Roman" w:cs="Times New Roman" w:eastAsia="Times New Roman" w:hint="default"/>
                <w:sz w:val="18"/>
                <w:szCs w:val="18"/>
              </w:rPr>
            </w:pPr>
            <w:r>
              <w:rPr>
                <w:rFonts w:ascii="Times New Roman"/>
                <w:sz w:val="18"/>
              </w:rPr>
              <w:t>2.47%</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763</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41"/>
              <w:jc w:val="right"/>
              <w:rPr>
                <w:rFonts w:ascii="Times New Roman" w:hAnsi="Times New Roman" w:cs="Times New Roman" w:eastAsia="Times New Roman" w:hint="default"/>
                <w:sz w:val="18"/>
                <w:szCs w:val="18"/>
              </w:rPr>
            </w:pPr>
            <w:r>
              <w:rPr>
                <w:rFonts w:ascii="Times New Roman"/>
                <w:sz w:val="18"/>
              </w:rPr>
              <w:t>57.15%</w:t>
            </w:r>
          </w:p>
        </w:tc>
      </w:tr>
      <w:tr>
        <w:trPr>
          <w:trHeight w:val="425"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专科</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378</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41"/>
              <w:jc w:val="right"/>
              <w:rPr>
                <w:rFonts w:ascii="Times New Roman" w:hAnsi="Times New Roman" w:cs="Times New Roman" w:eastAsia="Times New Roman" w:hint="default"/>
                <w:sz w:val="18"/>
                <w:szCs w:val="18"/>
              </w:rPr>
            </w:pPr>
            <w:r>
              <w:rPr>
                <w:rFonts w:ascii="Times New Roman"/>
                <w:sz w:val="18"/>
              </w:rPr>
              <w:t>28.31%</w:t>
            </w:r>
          </w:p>
        </w:tc>
      </w:tr>
      <w:tr>
        <w:trPr>
          <w:trHeight w:val="428"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161</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41"/>
              <w:jc w:val="right"/>
              <w:rPr>
                <w:rFonts w:ascii="Times New Roman" w:hAnsi="Times New Roman" w:cs="Times New Roman" w:eastAsia="Times New Roman" w:hint="default"/>
                <w:sz w:val="18"/>
                <w:szCs w:val="18"/>
              </w:rPr>
            </w:pPr>
            <w:r>
              <w:rPr>
                <w:rFonts w:ascii="Times New Roman"/>
                <w:sz w:val="18"/>
              </w:rPr>
              <w:t>12.06%</w:t>
            </w:r>
          </w:p>
        </w:tc>
      </w:tr>
      <w:tr>
        <w:trPr>
          <w:trHeight w:val="442"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1335</w:t>
            </w:r>
          </w:p>
        </w:tc>
        <w:tc>
          <w:tcPr>
            <w:tcW w:w="3260"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03"/>
              <w:ind w:right="1407"/>
              <w:jc w:val="right"/>
              <w:rPr>
                <w:rFonts w:ascii="Times New Roman" w:hAnsi="Times New Roman" w:cs="Times New Roman" w:eastAsia="Times New Roman" w:hint="default"/>
                <w:sz w:val="18"/>
                <w:szCs w:val="18"/>
              </w:rPr>
            </w:pPr>
            <w:r>
              <w:rPr>
                <w:rFonts w:ascii="Times New Roman"/>
                <w:sz w:val="18"/>
              </w:rPr>
              <w:t>100%</w:t>
            </w:r>
          </w:p>
        </w:tc>
      </w:tr>
      <w:tr>
        <w:trPr>
          <w:trHeight w:val="329" w:hRule="exact"/>
        </w:trPr>
        <w:tc>
          <w:tcPr>
            <w:tcW w:w="8522" w:type="dxa"/>
            <w:gridSpan w:val="3"/>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5"/>
              <w:ind w:left="3" w:right="0"/>
              <w:jc w:val="center"/>
              <w:rPr>
                <w:rFonts w:ascii="宋体" w:hAnsi="宋体" w:cs="宋体" w:eastAsia="宋体" w:hint="default"/>
                <w:sz w:val="18"/>
                <w:szCs w:val="18"/>
              </w:rPr>
            </w:pPr>
            <w:r>
              <w:rPr>
                <w:rFonts w:ascii="宋体" w:hAnsi="宋体" w:cs="宋体" w:eastAsia="宋体" w:hint="default"/>
                <w:b/>
                <w:bCs/>
                <w:sz w:val="18"/>
                <w:szCs w:val="18"/>
              </w:rPr>
              <w:t>（三）员工年龄分布</w:t>
            </w:r>
            <w:r>
              <w:rPr>
                <w:rFonts w:ascii="宋体" w:hAnsi="宋体" w:cs="宋体" w:eastAsia="宋体" w:hint="default"/>
                <w:sz w:val="18"/>
                <w:szCs w:val="18"/>
              </w:rPr>
            </w:r>
          </w:p>
        </w:tc>
      </w:tr>
      <w:tr>
        <w:trPr>
          <w:trHeight w:val="350"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年龄构成</w:t>
            </w:r>
          </w:p>
        </w:tc>
        <w:tc>
          <w:tcPr>
            <w:tcW w:w="269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7"/>
              <w:ind w:right="1440"/>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岁以下</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390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41"/>
              <w:jc w:val="right"/>
              <w:rPr>
                <w:rFonts w:ascii="Times New Roman" w:hAnsi="Times New Roman" w:cs="Times New Roman" w:eastAsia="Times New Roman" w:hint="default"/>
                <w:sz w:val="18"/>
                <w:szCs w:val="18"/>
              </w:rPr>
            </w:pPr>
            <w:r>
              <w:rPr>
                <w:rFonts w:ascii="Times New Roman"/>
                <w:sz w:val="18"/>
              </w:rPr>
              <w:t>29.21%</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25-30</w:t>
            </w:r>
            <w:r>
              <w:rPr>
                <w:rFonts w:ascii="宋体" w:hAnsi="宋体" w:cs="宋体" w:eastAsia="宋体" w:hint="default"/>
                <w:sz w:val="18"/>
                <w:szCs w:val="18"/>
              </w:rPr>
              <w:t>岁</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518</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41"/>
              <w:jc w:val="right"/>
              <w:rPr>
                <w:rFonts w:ascii="Times New Roman" w:hAnsi="Times New Roman" w:cs="Times New Roman" w:eastAsia="Times New Roman" w:hint="default"/>
                <w:sz w:val="18"/>
                <w:szCs w:val="18"/>
              </w:rPr>
            </w:pPr>
            <w:r>
              <w:rPr>
                <w:rFonts w:ascii="Times New Roman"/>
                <w:sz w:val="18"/>
              </w:rPr>
              <w:t>38.80%</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30-35</w:t>
            </w:r>
            <w:r>
              <w:rPr>
                <w:rFonts w:ascii="宋体" w:hAnsi="宋体" w:cs="宋体" w:eastAsia="宋体" w:hint="default"/>
                <w:sz w:val="18"/>
                <w:szCs w:val="18"/>
              </w:rPr>
              <w:t>岁</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216</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41"/>
              <w:jc w:val="right"/>
              <w:rPr>
                <w:rFonts w:ascii="Times New Roman" w:hAnsi="Times New Roman" w:cs="Times New Roman" w:eastAsia="Times New Roman" w:hint="default"/>
                <w:sz w:val="18"/>
                <w:szCs w:val="18"/>
              </w:rPr>
            </w:pPr>
            <w:r>
              <w:rPr>
                <w:rFonts w:ascii="Times New Roman"/>
                <w:sz w:val="18"/>
              </w:rPr>
              <w:t>16.18%</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35-40</w:t>
            </w:r>
            <w:r>
              <w:rPr>
                <w:rFonts w:ascii="宋体" w:hAnsi="宋体" w:cs="宋体" w:eastAsia="宋体" w:hint="default"/>
                <w:sz w:val="18"/>
                <w:szCs w:val="18"/>
              </w:rPr>
              <w:t>岁</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109</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87"/>
              <w:jc w:val="right"/>
              <w:rPr>
                <w:rFonts w:ascii="Times New Roman" w:hAnsi="Times New Roman" w:cs="Times New Roman" w:eastAsia="Times New Roman" w:hint="default"/>
                <w:sz w:val="18"/>
                <w:szCs w:val="18"/>
              </w:rPr>
            </w:pPr>
            <w:r>
              <w:rPr>
                <w:rFonts w:ascii="Times New Roman"/>
                <w:sz w:val="18"/>
              </w:rPr>
              <w:t>8.16%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569"/>
        <w:gridCol w:w="2693"/>
        <w:gridCol w:w="3260"/>
      </w:tblGrid>
      <w:tr>
        <w:trPr>
          <w:trHeight w:val="428"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岁以上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102</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390" w:right="0"/>
              <w:jc w:val="left"/>
              <w:rPr>
                <w:rFonts w:ascii="Times New Roman" w:hAnsi="Times New Roman" w:cs="Times New Roman" w:eastAsia="Times New Roman" w:hint="default"/>
                <w:sz w:val="18"/>
                <w:szCs w:val="18"/>
              </w:rPr>
            </w:pPr>
            <w:r>
              <w:rPr>
                <w:rFonts w:ascii="Times New Roman"/>
                <w:sz w:val="18"/>
              </w:rPr>
              <w:t>7.64%</w:t>
            </w:r>
          </w:p>
        </w:tc>
      </w:tr>
      <w:tr>
        <w:trPr>
          <w:trHeight w:val="427" w:hRule="exact"/>
        </w:trPr>
        <w:tc>
          <w:tcPr>
            <w:tcW w:w="2569" w:type="dxa"/>
            <w:tcBorders>
              <w:top w:val="single" w:sz="6" w:space="0" w:color="000000"/>
              <w:left w:val="single" w:sz="6" w:space="0" w:color="000000"/>
              <w:bottom w:val="single" w:sz="6" w:space="0" w:color="000000"/>
              <w:right w:val="single" w:sz="6"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1335</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411" w:right="0"/>
              <w:jc w:val="left"/>
              <w:rPr>
                <w:rFonts w:ascii="Times New Roman" w:hAnsi="Times New Roman" w:cs="Times New Roman" w:eastAsia="Times New Roman" w:hint="default"/>
                <w:sz w:val="18"/>
                <w:szCs w:val="18"/>
              </w:rPr>
            </w:pPr>
            <w:r>
              <w:rPr>
                <w:rFonts w:ascii="Times New Roman"/>
                <w:sz w:val="18"/>
              </w:rPr>
              <w:t>100%</w:t>
            </w:r>
          </w:p>
        </w:tc>
      </w:tr>
    </w:tbl>
    <w:p>
      <w:pPr>
        <w:pStyle w:val="Heading4"/>
        <w:spacing w:line="240" w:lineRule="auto" w:before="49"/>
        <w:ind w:left="153" w:right="0"/>
        <w:jc w:val="left"/>
        <w:rPr>
          <w:b w:val="0"/>
          <w:bCs w:val="0"/>
        </w:rPr>
      </w:pPr>
      <w:r>
        <w:rPr/>
        <w:t>（四）公司没有需要承担费用的退休人员</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590" w:right="3625"/>
        <w:jc w:val="center"/>
        <w:rPr>
          <w:b w:val="0"/>
          <w:bCs w:val="0"/>
        </w:rPr>
      </w:pPr>
      <w:bookmarkStart w:name="_bookmark7" w:id="8"/>
      <w:bookmarkEnd w:id="8"/>
      <w:r>
        <w:rPr>
          <w:b w:val="0"/>
          <w:bCs w:val="0"/>
        </w:rPr>
      </w:r>
      <w:r>
        <w:rPr/>
        <w:t>第八节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713"/>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3"/>
        <w:jc w:val="left"/>
      </w:pPr>
      <w:r>
        <w:rPr>
          <w:spacing w:val="-4"/>
        </w:rPr>
        <w:t>报告期内，公司严格按照《公司法》、《证券法》、《上市公司治理准则》、《深圳证券交易所创业板股票上市规则》、</w:t>
      </w:r>
    </w:p>
    <w:p>
      <w:pPr>
        <w:pStyle w:val="BodyText"/>
        <w:spacing w:line="316" w:lineRule="auto" w:before="76"/>
        <w:ind w:right="93"/>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 </w:t>
      </w:r>
      <w:r>
        <w:rPr>
          <w:spacing w:val="-2"/>
        </w:rPr>
        <w:t>截至报告期末，公司实际状况符合《上市公司治理准则》和《深圳证券交易所创业板上市公司规范运作指引》的要求，不存</w:t>
      </w:r>
      <w:r>
        <w:rPr>
          <w:spacing w:val="-68"/>
        </w:rPr>
        <w:t> </w:t>
      </w:r>
      <w:r>
        <w:rPr>
          <w:spacing w:val="-68"/>
        </w:rPr>
      </w:r>
      <w:r>
        <w:rPr/>
        <w:t>在尚未解决的治理问题。</w:t>
      </w:r>
    </w:p>
    <w:p>
      <w:pPr>
        <w:pStyle w:val="BodyText"/>
        <w:spacing w:line="316" w:lineRule="auto" w:before="19"/>
        <w:ind w:left="513" w:right="93"/>
        <w:jc w:val="left"/>
      </w:pPr>
      <w:r>
        <w:rPr/>
        <w:t>（一）关于股东和股东大会 </w:t>
      </w:r>
      <w:r>
        <w:rPr>
          <w:spacing w:val="-2"/>
        </w:rPr>
        <w:t>公司严格按照《上市公司股东大会准则》、《公司章程》、《股东大会议事规则》等规定和要求，规范地召集、召开股</w:t>
      </w:r>
    </w:p>
    <w:p>
      <w:pPr>
        <w:pStyle w:val="BodyText"/>
        <w:spacing w:line="240" w:lineRule="auto" w:before="19"/>
        <w:ind w:right="1713"/>
        <w:jc w:val="left"/>
      </w:pPr>
      <w:r>
        <w:rPr/>
        <w:t>东大会，平等对待所有股东，并尽力为股东参加股东大会提供便利，使其充分行使股东权利。</w:t>
      </w:r>
    </w:p>
    <w:p>
      <w:pPr>
        <w:pStyle w:val="BodyText"/>
        <w:spacing w:line="316" w:lineRule="auto" w:before="76"/>
        <w:ind w:left="513" w:right="93"/>
        <w:jc w:val="left"/>
      </w:pPr>
      <w:r>
        <w:rPr/>
        <w:t>（二）公司与控股股东 </w:t>
      </w:r>
      <w:r>
        <w:rPr>
          <w:spacing w:val="-2"/>
        </w:rPr>
        <w:t>公司控股股东为自然人古培坚先生。</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日前，古培坚先生在公司担任董事长职务。</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10</w:t>
      </w:r>
      <w:r>
        <w:rPr>
          <w:spacing w:val="-2"/>
        </w:rPr>
        <w:t>日，古培坚先</w:t>
      </w:r>
    </w:p>
    <w:p>
      <w:pPr>
        <w:pStyle w:val="BodyText"/>
        <w:spacing w:line="316" w:lineRule="auto"/>
        <w:ind w:right="93"/>
        <w:jc w:val="left"/>
      </w:pPr>
      <w:r>
        <w:rPr>
          <w:spacing w:val="-2"/>
        </w:rPr>
        <w:t>生辞去公司第二届董事会董事长职务，辞职后不再在公司担任任何职务。古培坚先生在任职期间及离职之后，皆严格规范自</w:t>
      </w:r>
      <w:r>
        <w:rPr>
          <w:spacing w:val="-63"/>
        </w:rPr>
        <w:t> </w:t>
      </w:r>
      <w:r>
        <w:rPr>
          <w:spacing w:val="-63"/>
        </w:rPr>
      </w:r>
      <w:r>
        <w:rPr/>
        <w:t>己的行为，没有超越股东大会直接或间接干预公司的决策和经营活动。公司拥有独立完整的业务和自主经营能力，在业务、 人员、资产、机构、财务上独立于控股股东，公司董事会、监事会和内部机构独立运作。</w:t>
      </w:r>
    </w:p>
    <w:p>
      <w:pPr>
        <w:pStyle w:val="BodyText"/>
        <w:spacing w:line="316" w:lineRule="auto" w:before="19"/>
        <w:ind w:left="513" w:right="93"/>
        <w:jc w:val="left"/>
      </w:pPr>
      <w:r>
        <w:rPr/>
        <w:t>（三）关于董事和董事会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名，董事会的人数及人员构成符合法律、法规和《公司章程》的要求。各位董事</w:t>
      </w:r>
    </w:p>
    <w:p>
      <w:pPr>
        <w:pStyle w:val="BodyText"/>
        <w:spacing w:line="319" w:lineRule="auto"/>
        <w:ind w:right="93"/>
        <w:jc w:val="left"/>
      </w:pPr>
      <w:r>
        <w:rPr>
          <w:spacing w:val="-2"/>
        </w:rPr>
        <w:t>能够依据《董事会议事规则》、《独立董事工作制度》、《深圳证券交易所创业板上市公司规范运作指引》等开展工作，出</w:t>
      </w:r>
      <w:r>
        <w:rPr>
          <w:spacing w:val="-70"/>
        </w:rPr>
        <w:t> </w:t>
      </w:r>
      <w:r>
        <w:rPr>
          <w:spacing w:val="-70"/>
        </w:rPr>
      </w:r>
      <w:r>
        <w:rPr>
          <w:spacing w:val="-4"/>
        </w:rPr>
        <w:t>席董事会和股东大会，勤勉尽责地履行职务和义务，同时积极参加相关培训，熟悉相关法律法规。各董事严格审议相关议案，</w:t>
      </w:r>
      <w:r>
        <w:rPr>
          <w:spacing w:val="-46"/>
        </w:rPr>
        <w:t> </w:t>
      </w:r>
      <w:r>
        <w:rPr>
          <w:spacing w:val="-46"/>
        </w:rPr>
      </w:r>
      <w:r>
        <w:rPr/>
        <w:t>保证了公司相关事项的科学决策。</w:t>
      </w:r>
    </w:p>
    <w:p>
      <w:pPr>
        <w:pStyle w:val="BodyText"/>
        <w:spacing w:line="316" w:lineRule="auto" w:before="17"/>
        <w:ind w:left="513" w:right="93"/>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名，监事会的人数及人员构成符合法律、法规的要求。各位监事能够按照《监事</w:t>
      </w:r>
    </w:p>
    <w:p>
      <w:pPr>
        <w:pStyle w:val="BodyText"/>
        <w:spacing w:line="316" w:lineRule="auto"/>
        <w:ind w:right="93"/>
        <w:jc w:val="left"/>
      </w:pPr>
      <w:r>
        <w:rPr>
          <w:spacing w:val="-2"/>
        </w:rPr>
        <w:t>会议事规则》的要求，认真履行自己的职责，对公司重大事项、财务状况以及董事、高管人员履行职责的合法合规性进行监</w:t>
      </w:r>
      <w:r>
        <w:rPr>
          <w:spacing w:val="-67"/>
        </w:rPr>
        <w:t> </w:t>
      </w:r>
      <w:r>
        <w:rPr>
          <w:spacing w:val="-67"/>
        </w:rPr>
      </w:r>
      <w:r>
        <w:rPr/>
        <w:t>督。</w:t>
      </w:r>
    </w:p>
    <w:p>
      <w:pPr>
        <w:pStyle w:val="BodyText"/>
        <w:spacing w:line="316" w:lineRule="auto" w:before="19"/>
        <w:ind w:left="513" w:right="183"/>
        <w:jc w:val="left"/>
      </w:pPr>
      <w:r>
        <w:rPr/>
        <w:t>（五）关于独立董事制度运作情况 公司独立董事</w:t>
      </w:r>
      <w:r>
        <w:rPr>
          <w:rFonts w:ascii="Times New Roman" w:hAnsi="Times New Roman" w:cs="Times New Roman" w:eastAsia="Times New Roman" w:hint="default"/>
        </w:rPr>
        <w:t>3</w:t>
      </w:r>
      <w:r>
        <w:rPr/>
        <w:t>名。报告期内，公司独立董事严格按照有关法律、法规、《公司章程》及《独立董事工作制度》勤勉尽</w:t>
      </w:r>
    </w:p>
    <w:p>
      <w:pPr>
        <w:pStyle w:val="BodyText"/>
        <w:spacing w:line="316" w:lineRule="auto"/>
        <w:ind w:right="93"/>
        <w:jc w:val="left"/>
      </w:pPr>
      <w:r>
        <w:rPr/>
        <w:t>职的履行职责，对需要独立董事发表意见的事项均发表了独立意见，对公司内部控制制度及公司发展提出许多意见和建议， 对完善公司治理结构和规范公司运作发挥了积极作用。</w:t>
      </w:r>
    </w:p>
    <w:p>
      <w:pPr>
        <w:pStyle w:val="BodyText"/>
        <w:spacing w:line="319" w:lineRule="auto" w:before="19"/>
        <w:ind w:left="513" w:right="93"/>
        <w:jc w:val="left"/>
      </w:pPr>
      <w:r>
        <w:rPr/>
        <w:t>（六）关于董事会秘书制度运行情况 </w:t>
      </w:r>
      <w:r>
        <w:rPr>
          <w:spacing w:val="-2"/>
        </w:rPr>
        <w:t>报告期内，公司董事会秘书一直按照有关法律、法规和《公司章程》的规定认真履行其职责，做好信息披露，认真对待</w:t>
      </w:r>
    </w:p>
    <w:p>
      <w:pPr>
        <w:pStyle w:val="BodyText"/>
        <w:spacing w:line="240" w:lineRule="auto" w:before="17"/>
        <w:ind w:right="93"/>
        <w:jc w:val="left"/>
      </w:pPr>
      <w:r>
        <w:rPr/>
        <w:t>各方投资者，做好投资者接待工作，及时回复互动平台投资者提问，积极参加各监管机构组织的相关培训。</w:t>
      </w:r>
    </w:p>
    <w:p>
      <w:pPr>
        <w:pStyle w:val="BodyText"/>
        <w:spacing w:line="316" w:lineRule="auto" w:before="76"/>
        <w:ind w:left="513" w:right="93"/>
        <w:jc w:val="left"/>
      </w:pPr>
      <w:r>
        <w:rPr/>
        <w:t>（七）关于内幕信息知情人管理制度执行情况 </w:t>
      </w:r>
      <w:r>
        <w:rPr>
          <w:spacing w:val="-2"/>
        </w:rPr>
        <w:t>报告期内，公司加强内幕信息知情人管理，维护公司及全体股东的合法权益，严格执行了《公司内幕信息知情人登记管</w:t>
      </w:r>
    </w:p>
    <w:p>
      <w:pPr>
        <w:pStyle w:val="BodyText"/>
        <w:spacing w:line="316" w:lineRule="auto" w:before="19"/>
        <w:ind w:right="190"/>
        <w:jc w:val="both"/>
      </w:pPr>
      <w:r>
        <w:rPr>
          <w:spacing w:val="-2"/>
        </w:rPr>
        <w:t>理制度》，从制度层面加强内幕信息的管理。公司董事会办公室是公司信息披露、内幕信息登记备案的日常办事机构，并负</w:t>
      </w:r>
      <w:r>
        <w:rPr>
          <w:spacing w:val="-67"/>
        </w:rPr>
        <w:t> </w:t>
      </w:r>
      <w:r>
        <w:rPr>
          <w:spacing w:val="-67"/>
        </w:rPr>
      </w:r>
      <w:r>
        <w:rPr>
          <w:spacing w:val="-2"/>
        </w:rPr>
        <w:t>责公司内幕信息的监管工作，确保各部门对内幕信息的即时反馈，严格执行内幕信息知情人登记备案手续，及时向证券监管</w:t>
      </w:r>
      <w:r>
        <w:rPr>
          <w:spacing w:val="-63"/>
        </w:rPr>
        <w:t> </w:t>
      </w:r>
      <w:r>
        <w:rPr>
          <w:spacing w:val="-63"/>
        </w:rPr>
      </w:r>
      <w:r>
        <w:rPr/>
        <w:t>部门报送规范格式的《内幕信息知情人登记表》。</w:t>
      </w:r>
    </w:p>
    <w:p>
      <w:pPr>
        <w:pStyle w:val="BodyText"/>
        <w:spacing w:line="360" w:lineRule="auto" w:before="19"/>
        <w:ind w:left="513" w:right="93"/>
        <w:jc w:val="left"/>
      </w:pPr>
      <w:r>
        <w:rPr/>
        <w:t>（八）绩效评价与激励约束机制情况 </w:t>
      </w:r>
      <w:r>
        <w:rPr>
          <w:spacing w:val="-2"/>
        </w:rPr>
        <w:t>董事会下设的薪酬与考核委员会负责对公司的董事、高级管理人员进行考核，建立并逐步完善公正、透明的绩效评价标</w:t>
      </w:r>
    </w:p>
    <w:p>
      <w:pPr>
        <w:pStyle w:val="BodyText"/>
        <w:spacing w:line="220" w:lineRule="exact"/>
        <w:ind w:right="0"/>
        <w:jc w:val="left"/>
      </w:pPr>
      <w:r>
        <w:rPr/>
        <w:t>准和激励约束机制。《公司章程》明确规定了高级管理人员的履职行为、权限和职责，高级管理人员的聘任公开、透明，符</w:t>
      </w:r>
    </w:p>
    <w:p>
      <w:pPr>
        <w:pStyle w:val="BodyText"/>
        <w:spacing w:line="240" w:lineRule="auto" w:before="76"/>
        <w:ind w:right="0"/>
        <w:jc w:val="left"/>
      </w:pPr>
      <w:r>
        <w:rPr/>
        <w:t>合有关法律、法规的规定。参与公司经营管理的董事、高级管理人员年薪总收入由基本薪酬和考核薪酬组成。现有绩效评价</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60" w:lineRule="auto" w:before="44"/>
        <w:ind w:right="4593"/>
        <w:jc w:val="left"/>
      </w:pPr>
      <w:r>
        <w:rPr/>
        <w:t>标准和激励约束机制符合公司的发展情况。 公司治理与《公司法》和中国证监会相关规定的要求是否存在差异</w:t>
      </w:r>
    </w:p>
    <w:p>
      <w:pPr>
        <w:pStyle w:val="BodyText"/>
        <w:spacing w:line="240" w:lineRule="auto" w:before="25"/>
        <w:ind w:right="17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713"/>
        <w:jc w:val="left"/>
        <w:rPr>
          <w:b w:val="0"/>
          <w:bCs w:val="0"/>
        </w:rPr>
      </w:pPr>
      <w:r>
        <w:rPr/>
        <w:t>二、报告期内召开的年度股东大会和临时股东大会的有关情况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713"/>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4"/>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2"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0"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9"/>
        <w:rPr>
          <w:rFonts w:ascii="宋体" w:hAnsi="宋体" w:cs="宋体" w:eastAsia="宋体" w:hint="default"/>
          <w:b/>
          <w:bCs/>
          <w:sz w:val="19"/>
          <w:szCs w:val="19"/>
        </w:rPr>
      </w:pPr>
    </w:p>
    <w:p>
      <w:pPr>
        <w:pStyle w:val="Heading3"/>
        <w:spacing w:line="240" w:lineRule="auto" w:before="37"/>
        <w:ind w:right="1713"/>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4"/>
        <w:gridCol w:w="2392"/>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2"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1713"/>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713"/>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 w:firstLine="360"/>
        <w:jc w:val="both"/>
      </w:pPr>
      <w:r>
        <w:rPr>
          <w:spacing w:val="-2"/>
        </w:rPr>
        <w:t>公司已经根据《证券法》、《会计法》、《上市公司信息披露管理办法》、《上市公司治理准则》和《深圳证券交易所</w:t>
      </w:r>
      <w:r>
        <w:rPr/>
        <w:t> </w:t>
      </w:r>
      <w:r>
        <w:rPr>
          <w:spacing w:val="-2"/>
        </w:rPr>
        <w:t>创业板股票上市规则》等法律法规的规定，制定了《年报信息披露重大差错责任追究制度》，该制度的制定在进一步健全公</w:t>
      </w:r>
      <w:r>
        <w:rPr>
          <w:spacing w:val="-67"/>
        </w:rPr>
        <w:t> </w:t>
      </w:r>
      <w:r>
        <w:rPr>
          <w:spacing w:val="-67"/>
        </w:rPr>
      </w:r>
      <w:r>
        <w:rPr>
          <w:spacing w:val="-2"/>
        </w:rPr>
        <w:t>司的信息披露管理制度，提高公司规范运作水平，增强信息披露的真实性、准确性、完整性和及时性，提高年报信息披露的</w:t>
      </w:r>
      <w:r>
        <w:rPr>
          <w:spacing w:val="-67"/>
        </w:rPr>
        <w:t> </w:t>
      </w:r>
      <w:r>
        <w:rPr>
          <w:spacing w:val="-67"/>
        </w:rPr>
      </w:r>
      <w:r>
        <w:rPr>
          <w:spacing w:val="-4"/>
        </w:rPr>
        <w:t>质量和透明度方面起到了促进作用。报告期内，公司未发生重大会计差错更正、重大遗漏信息补充以及业绩预告修正等情况。</w:t>
      </w:r>
    </w:p>
    <w:p>
      <w:pPr>
        <w:spacing w:line="240" w:lineRule="auto" w:before="11"/>
        <w:rPr>
          <w:rFonts w:ascii="宋体" w:hAnsi="宋体" w:cs="宋体" w:eastAsia="宋体" w:hint="default"/>
          <w:sz w:val="20"/>
          <w:szCs w:val="20"/>
        </w:rPr>
      </w:pPr>
    </w:p>
    <w:p>
      <w:pPr>
        <w:pStyle w:val="Heading2"/>
        <w:spacing w:line="240" w:lineRule="auto"/>
        <w:ind w:right="1713"/>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713"/>
        <w:jc w:val="left"/>
      </w:pPr>
      <w:r>
        <w:rPr/>
        <w:t>监事会在报告期内的监督活动是否发现公司存在风险</w:t>
      </w:r>
    </w:p>
    <w:p>
      <w:pPr>
        <w:pStyle w:val="BodyText"/>
        <w:spacing w:line="240" w:lineRule="auto" w:before="117"/>
        <w:ind w:right="17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footerReference w:type="default" r:id="rId19"/>
          <w:pgSz w:w="11910" w:h="16840"/>
          <w:pgMar w:footer="979" w:header="745" w:top="1060" w:bottom="1160" w:left="980" w:right="940"/>
          <w:pgNumType w:start="72"/>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公司监事会对报告期内的监督事项无异议。</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889" w:right="3787"/>
        <w:jc w:val="center"/>
        <w:rPr>
          <w:b w:val="0"/>
          <w:bCs w:val="0"/>
        </w:rPr>
      </w:pPr>
      <w:bookmarkStart w:name="_bookmark8" w:id="9"/>
      <w:bookmarkEnd w:id="9"/>
      <w:r>
        <w:rPr>
          <w:b w:val="0"/>
          <w:bCs w:val="0"/>
        </w:rPr>
      </w:r>
      <w:r>
        <w:rPr/>
        <w:t>第九节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293" w:right="167"/>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8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350ZA0067 </w:t>
            </w:r>
            <w:r>
              <w:rPr>
                <w:rFonts w:ascii="宋体" w:hAnsi="宋体" w:cs="宋体" w:eastAsia="宋体" w:hint="default"/>
                <w:sz w:val="18"/>
                <w:szCs w:val="18"/>
              </w:rPr>
              <w:t>号</w:t>
            </w:r>
          </w:p>
        </w:tc>
      </w:tr>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李仕谦、陈志达</w:t>
            </w:r>
          </w:p>
        </w:tc>
      </w:tr>
    </w:tbl>
    <w:p>
      <w:pPr>
        <w:pStyle w:val="BodyText"/>
        <w:spacing w:line="240" w:lineRule="auto" w:before="49"/>
        <w:ind w:left="3887" w:right="3787"/>
        <w:jc w:val="center"/>
      </w:pPr>
      <w:r>
        <w:rPr/>
        <w:t>审计报告正文</w:t>
      </w:r>
    </w:p>
    <w:p>
      <w:pPr>
        <w:spacing w:line="240" w:lineRule="auto" w:before="8"/>
        <w:rPr>
          <w:rFonts w:ascii="宋体" w:hAnsi="宋体" w:cs="宋体" w:eastAsia="宋体" w:hint="default"/>
          <w:sz w:val="11"/>
          <w:szCs w:val="11"/>
        </w:rPr>
      </w:pPr>
    </w:p>
    <w:p>
      <w:pPr>
        <w:pStyle w:val="Heading4"/>
        <w:spacing w:line="240" w:lineRule="auto" w:before="44"/>
        <w:ind w:left="293" w:right="167"/>
        <w:jc w:val="left"/>
        <w:rPr>
          <w:b w:val="0"/>
          <w:bCs w:val="0"/>
        </w:rPr>
      </w:pPr>
      <w:r>
        <w:rPr/>
        <w:t>易联众信息技术股份有限公司全体股东：</w:t>
      </w:r>
      <w:r>
        <w:rPr>
          <w:b w:val="0"/>
          <w:bCs w:val="0"/>
        </w:rPr>
      </w:r>
    </w:p>
    <w:p>
      <w:pPr>
        <w:spacing w:line="240" w:lineRule="auto" w:before="11"/>
        <w:rPr>
          <w:rFonts w:ascii="宋体" w:hAnsi="宋体" w:cs="宋体" w:eastAsia="宋体" w:hint="default"/>
          <w:b/>
          <w:bCs/>
          <w:sz w:val="14"/>
          <w:szCs w:val="14"/>
        </w:rPr>
      </w:pPr>
    </w:p>
    <w:p>
      <w:pPr>
        <w:pStyle w:val="BodyText"/>
        <w:spacing w:line="300" w:lineRule="auto"/>
        <w:ind w:left="293" w:right="167" w:firstLine="376"/>
        <w:jc w:val="left"/>
      </w:pPr>
      <w:r>
        <w:rPr>
          <w:spacing w:val="-2"/>
        </w:rPr>
        <w:t>我们审计了后附的易联众信息技术股份有限公司（以下简称</w:t>
      </w:r>
      <w:r>
        <w:rPr>
          <w:rFonts w:ascii="Times New Roman" w:hAnsi="Times New Roman" w:cs="Times New Roman" w:eastAsia="Times New Roman" w:hint="default"/>
          <w:spacing w:val="-2"/>
        </w:rPr>
        <w:t>“</w:t>
      </w:r>
      <w:r>
        <w:rPr>
          <w:spacing w:val="-2"/>
        </w:rPr>
        <w:t>易联众公司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w:t>
      </w:r>
      <w:r>
        <w:rPr/>
        <w:t> 司资产负债表，</w:t>
      </w:r>
      <w:r>
        <w:rPr>
          <w:rFonts w:ascii="Times New Roman" w:hAnsi="Times New Roman" w:cs="Times New Roman" w:eastAsia="Times New Roman" w:hint="default"/>
        </w:rPr>
        <w:t>2014</w:t>
      </w:r>
      <w:r>
        <w:rPr/>
        <w:t>年度的合并及公司利润表、合并及公司现金流量表、合并及公司股东权益变动表以及财务报表附注。</w:t>
      </w:r>
    </w:p>
    <w:p>
      <w:pPr>
        <w:pStyle w:val="Heading4"/>
        <w:spacing w:line="240" w:lineRule="auto"/>
        <w:ind w:right="167"/>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left="293" w:right="167" w:firstLine="376"/>
        <w:jc w:val="left"/>
      </w:pPr>
      <w:r>
        <w:rPr/>
        <w:t>编制和公允列报财务报表是易联众公司管理层的责任，这种责任包括：（</w:t>
      </w:r>
      <w:r>
        <w:rPr>
          <w:rFonts w:ascii="Times New Roman" w:hAnsi="Times New Roman" w:cs="Times New Roman" w:eastAsia="Times New Roman" w:hint="default"/>
        </w:rPr>
        <w:t>1</w:t>
      </w:r>
      <w:r>
        <w:rPr/>
        <w:t>）按照企业会计准则的规定编制财务报表， 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Heading4"/>
        <w:spacing w:line="240" w:lineRule="auto"/>
        <w:ind w:right="167"/>
        <w:jc w:val="left"/>
        <w:rPr>
          <w:b w:val="0"/>
          <w:bCs w:val="0"/>
        </w:rPr>
      </w:pPr>
      <w:r>
        <w:rPr/>
        <w:t>二、注册会计师的责任</w:t>
      </w:r>
      <w:r>
        <w:rPr>
          <w:b w:val="0"/>
          <w:bCs w:val="0"/>
        </w:rPr>
      </w:r>
    </w:p>
    <w:p>
      <w:pPr>
        <w:spacing w:line="240" w:lineRule="auto" w:before="1"/>
        <w:rPr>
          <w:rFonts w:ascii="宋体" w:hAnsi="宋体" w:cs="宋体" w:eastAsia="宋体" w:hint="default"/>
          <w:b/>
          <w:bCs/>
          <w:sz w:val="15"/>
          <w:szCs w:val="15"/>
        </w:rPr>
      </w:pPr>
    </w:p>
    <w:p>
      <w:pPr>
        <w:pStyle w:val="BodyText"/>
        <w:spacing w:line="316" w:lineRule="auto"/>
        <w:ind w:left="293" w:right="191" w:firstLine="376"/>
        <w:jc w:val="both"/>
      </w:pPr>
      <w:r>
        <w:rPr/>
        <w:t>我们的责任是在执行审计工作的基础上对财务报表发表审计意见。我们按照中国注册会计师审计准则的规定执行了审 </w:t>
      </w: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2" w:lineRule="auto" w:before="139"/>
        <w:ind w:left="293" w:right="0" w:firstLine="376"/>
        <w:jc w:val="left"/>
      </w:pPr>
      <w:r>
        <w:rPr>
          <w:spacing w:val="-1"/>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3"/>
        </w:rPr>
        <w:t> </w:t>
      </w:r>
      <w:r>
        <w:rPr>
          <w:spacing w:val="-63"/>
        </w:rPr>
      </w:r>
      <w:r>
        <w:rPr>
          <w:spacing w:val="-2"/>
        </w:rPr>
        <w:t>报相关的内部控制，以设计恰当的审计程序，但目的并非对内部控制的有效性发表意见</w:t>
      </w:r>
      <w:r>
        <w:rPr>
          <w:rFonts w:ascii="宋体" w:hAnsi="宋体" w:cs="宋体" w:eastAsia="宋体" w:hint="default"/>
          <w:i/>
          <w:spacing w:val="-2"/>
          <w:sz w:val="19"/>
          <w:szCs w:val="19"/>
        </w:rPr>
        <w:t>。</w:t>
      </w:r>
      <w:r>
        <w:rPr>
          <w:spacing w:val="-2"/>
        </w:rPr>
        <w:t>审计工作还包括评价管理层选用会</w:t>
      </w:r>
      <w:r>
        <w:rPr>
          <w:spacing w:val="-72"/>
        </w:rPr>
        <w:t> </w:t>
      </w:r>
      <w:r>
        <w:rPr/>
        <w:t>计政策的恰当性和作出会计估计的合理性，以及评价财务报表的总体列报。</w:t>
      </w:r>
    </w:p>
    <w:p>
      <w:pPr>
        <w:pStyle w:val="BodyText"/>
        <w:spacing w:line="439" w:lineRule="auto" w:before="142"/>
        <w:ind w:left="653" w:right="3137" w:firstLine="16"/>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47"/>
        <w:ind w:left="293" w:right="167" w:firstLine="376"/>
        <w:jc w:val="left"/>
      </w:pPr>
      <w:r>
        <w:rPr/>
        <w:t>我们认为，易联众公司财务报表在所有重大方面按照企业会计准则的规定编制，公允反映了易联众公司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日的合并及公司财务状况以及</w:t>
      </w:r>
      <w:r>
        <w:rPr>
          <w:rFonts w:ascii="Times New Roman" w:hAnsi="Times New Roman" w:cs="Times New Roman" w:eastAsia="Times New Roman" w:hint="default"/>
        </w:rPr>
        <w:t>2014</w:t>
      </w:r>
      <w:r>
        <w:rPr/>
        <w:t>年度的合并及公司经营成果和合并及公司现金流量。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3452"/>
        <w:gridCol w:w="3082"/>
        <w:gridCol w:w="1007"/>
      </w:tblGrid>
      <w:tr>
        <w:trPr>
          <w:trHeight w:val="1504"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致同会计师事务所</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（特殊普通合伙）</w:t>
            </w:r>
          </w:p>
        </w:tc>
        <w:tc>
          <w:tcPr>
            <w:tcW w:w="3082" w:type="dxa"/>
            <w:tcBorders>
              <w:top w:val="nil" w:sz="6" w:space="0" w:color="auto"/>
              <w:left w:val="nil" w:sz="6" w:space="0" w:color="auto"/>
              <w:bottom w:val="nil" w:sz="6" w:space="0" w:color="auto"/>
              <w:right w:val="nil" w:sz="6" w:space="0" w:color="auto"/>
            </w:tcBorders>
          </w:tcPr>
          <w:p>
            <w:pPr>
              <w:pStyle w:val="TableParagraph"/>
              <w:spacing w:line="180" w:lineRule="exact"/>
              <w:ind w:left="1812" w:right="0"/>
              <w:jc w:val="left"/>
              <w:rPr>
                <w:rFonts w:ascii="宋体" w:hAnsi="宋体" w:cs="宋体" w:eastAsia="宋体" w:hint="default"/>
                <w:sz w:val="18"/>
                <w:szCs w:val="18"/>
              </w:rPr>
            </w:pPr>
            <w:r>
              <w:rPr>
                <w:rFonts w:ascii="宋体" w:hAnsi="宋体" w:cs="宋体" w:eastAsia="宋体" w:hint="default"/>
                <w:sz w:val="18"/>
                <w:szCs w:val="18"/>
              </w:rPr>
              <w:t>中国注册会计师</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12"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c>
          <w:tcPr>
            <w:tcW w:w="1007" w:type="dxa"/>
            <w:tcBorders>
              <w:top w:val="nil" w:sz="6" w:space="0" w:color="auto"/>
              <w:left w:val="nil" w:sz="6" w:space="0" w:color="auto"/>
              <w:bottom w:val="nil" w:sz="6" w:space="0" w:color="auto"/>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sz w:val="18"/>
                <w:szCs w:val="18"/>
              </w:rPr>
              <w:t>：李仕谦</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：陈志达</w:t>
            </w:r>
          </w:p>
        </w:tc>
      </w:tr>
      <w:tr>
        <w:trPr>
          <w:trHeight w:val="577" w:hRule="exact"/>
        </w:trPr>
        <w:tc>
          <w:tcPr>
            <w:tcW w:w="34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p>
        </w:tc>
        <w:tc>
          <w:tcPr>
            <w:tcW w:w="40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16" w:right="0"/>
              <w:jc w:val="left"/>
              <w:rPr>
                <w:rFonts w:ascii="宋体" w:hAnsi="宋体" w:cs="宋体" w:eastAsia="宋体" w:hint="default"/>
                <w:sz w:val="18"/>
                <w:szCs w:val="18"/>
              </w:rPr>
            </w:pPr>
            <w:r>
              <w:rPr>
                <w:rFonts w:ascii="宋体" w:hAnsi="宋体" w:cs="宋体" w:eastAsia="宋体" w:hint="default"/>
                <w:sz w:val="18"/>
                <w:szCs w:val="18"/>
              </w:rPr>
              <w:t>二Ｏ一五年四</w:t>
            </w:r>
            <w:r>
              <w:rPr>
                <w:rFonts w:ascii="宋体" w:hAnsi="宋体" w:cs="宋体" w:eastAsia="宋体" w:hint="default"/>
                <w:spacing w:val="-18"/>
                <w:sz w:val="18"/>
                <w:szCs w:val="18"/>
              </w:rPr>
              <w:t> </w:t>
            </w:r>
            <w:r>
              <w:rPr>
                <w:rFonts w:ascii="宋体" w:hAnsi="宋体" w:cs="宋体" w:eastAsia="宋体" w:hint="default"/>
                <w:sz w:val="18"/>
                <w:szCs w:val="18"/>
              </w:rPr>
              <w:t>月十七日</w:t>
            </w:r>
          </w:p>
        </w:tc>
      </w:tr>
    </w:tbl>
    <w:p>
      <w:pPr>
        <w:spacing w:after="0" w:line="240" w:lineRule="auto"/>
        <w:jc w:val="left"/>
        <w:rPr>
          <w:rFonts w:ascii="宋体" w:hAnsi="宋体" w:cs="宋体" w:eastAsia="宋体" w:hint="default"/>
          <w:sz w:val="18"/>
          <w:szCs w:val="18"/>
        </w:rPr>
        <w:sectPr>
          <w:pgSz w:w="11910" w:h="16840"/>
          <w:pgMar w:header="745" w:footer="979" w:top="1060" w:bottom="1160" w:left="84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240" w:lineRule="auto" w:before="44"/>
        <w:ind w:right="-20"/>
        <w:jc w:val="left"/>
      </w:pPr>
      <w:r>
        <w:rPr/>
        <w:t>编制单位：易联众信息技术股份有限公司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394" w:space="682"/>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396,391,272.02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392,227,331.53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232,640,574.73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191,320,769.62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7,030,387.58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10,964,426.14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3,061,586.78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2,500,856.47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7,616,421.88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5,876,383.50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75,603,379.09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57,726,393.89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296,830.37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218,250.50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733,854.08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7,004,451.56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723,374,306.53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667,838,863.21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5,275,064.60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3,519,980.33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113,870,493.70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95,563,654.98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34,436,062.84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25,178,437.00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180,309.66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4,482,892.56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5,874,941.40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3,772,423.59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12,475,962.82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8,586,540.46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172,112,835.02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141,103,928.92</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895,487,141.55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808,942,792.13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113,419,848.78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62,867,560.14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31,304,832.57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45,501,212.16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25,269,265.27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15,365,356.47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21,109,942.59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10,866,098.74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14,062.26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12,770,879.93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2,889,491.76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333,333.33</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203,885,315.83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137,837,114.86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4,684,166.88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6,691,666.80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4,684,166.88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6,691,666.80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208,569,482.71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144,528,781.66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32,412,517.39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292,196,667.26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17,689,963.77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15,642,479.75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201,539,317.29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173,882,730.66</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681,641,798.45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653,721,877.67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5,275,860.39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10,692,132.80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686,917,658.84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664,414,010.47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895,487,141.55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808,942,792.13</w:t>
            </w:r>
          </w:p>
        </w:tc>
      </w:tr>
    </w:tbl>
    <w:p>
      <w:pPr>
        <w:spacing w:line="240" w:lineRule="auto" w:before="11"/>
        <w:rPr>
          <w:rFonts w:ascii="Times New Roman" w:hAnsi="Times New Roman" w:cs="Times New Roman" w:eastAsia="Times New Roman" w:hint="default"/>
          <w:sz w:val="22"/>
          <w:szCs w:val="22"/>
        </w:rPr>
      </w:pPr>
    </w:p>
    <w:p>
      <w:pPr>
        <w:pStyle w:val="BodyText"/>
        <w:tabs>
          <w:tab w:pos="3334" w:val="left" w:leader="none"/>
          <w:tab w:pos="7566" w:val="left" w:leader="none"/>
        </w:tabs>
        <w:spacing w:line="240" w:lineRule="auto" w:before="44"/>
        <w:ind w:left="0" w:right="244"/>
        <w:jc w:val="right"/>
      </w:pPr>
      <w:r>
        <w:rPr/>
        <w:t>法定代表人：张曦</w:t>
        <w:tab/>
      </w:r>
      <w:r>
        <w:rPr>
          <w:spacing w:val="-1"/>
        </w:rPr>
        <w:t>主管会计工作负责人：陈东红</w:t>
        <w:tab/>
      </w:r>
      <w:r>
        <w:rPr/>
        <w:t>会计机构负责人：尤泽祥</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208,754,409.17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275,733,566.79</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180,163,188.69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104,341,345.95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3,621,075.35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10,759,377.30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3,061,586.78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2,475,692.60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14,606,259.48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5,015,287.14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32,096,890.63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34,125,635.70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54,111.31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97,526.89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458,165.65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3,705,309.98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442,815,687.06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436,253,742.35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136,481,029.76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125,275,960.20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102,434,670.74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89,745,160.89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34,323,205.56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25,052,413.19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4,303,049.97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4,884,126.99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3,296,208.14</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4,335,910.93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3,465,966.37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282,458,943.98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251,138,758.76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725,274,631.04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687,392,501.11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117,949,071.01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74,364,954.96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10,779,622.33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27,700,620.36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11,857,277.28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6,845,548.99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5,486,527.69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1,843,524.70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14,062.26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2,338,785.67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1,038,329.77</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148,421,830.67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111,807,041.04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4,684,166.88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6,691,666.80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4,684,166.88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6,691,666.80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153,105,997.55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118,498,707.84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37,368,995.89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295,368,995.89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17,689,963.77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15,642,479.75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87,109,673.83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85,882,317.63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572,168,633.49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568,893,793.27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725,274,631.04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687,392,501.11</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7"/>
      </w:tblGrid>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402,179,494.09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300,929,840.66</w:t>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402,179,494.09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300,929,840.66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366,140,355.60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268,440,301.97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216,115,915.85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149,192,461.19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89999pt;margin-top:541.51001pt;width:192.05pt;height:19.6pt;mso-position-horizontal-relative:page;mso-position-vertical-relative:page;z-index:-83128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130005pt;margin-top:420.345978pt;width:158.8pt;height:20.7pt;mso-position-horizontal-relative:page;mso-position-vertical-relative:page;z-index:-831256" coordorigin="4223,8407" coordsize="3176,414">
            <v:group style="position:absolute;left:4233;top:8418;width:2;height:392" coordorigin="4233,8418" coordsize="2,392">
              <v:shape style="position:absolute;left:4233;top:8418;width:2;height:392" coordorigin="4233,8418" coordsize="0,392" path="m4233,8418l4233,8809e" filled="false" stroked="true" strokeweight="1.08pt" strokecolor="#ffffff">
                <v:path arrowok="t"/>
              </v:shape>
            </v:group>
            <v:group style="position:absolute;left:4244;top:8418;width:3154;height:392" coordorigin="4244,8418" coordsize="3154,392">
              <v:shape style="position:absolute;left:4244;top:8418;width:3154;height:392" coordorigin="4244,8418" coordsize="3154,392" path="m4244,8809l7398,8809,7398,8418,4244,8418,4244,8809xe" filled="true" fillcolor="#ffffff" stroked="false">
                <v:path arrowok="t"/>
                <v:fill type="solid"/>
              </v:shape>
            </v:group>
            <w10:wrap type="none"/>
          </v:group>
        </w:pict>
      </w:r>
      <w:r>
        <w:rPr/>
        <w:pict>
          <v:group style="position:absolute;margin-left:211.130005pt;margin-top:540.969971pt;width:158.8pt;height:20.65pt;mso-position-horizontal-relative:page;mso-position-vertical-relative:page;z-index:-831232" coordorigin="4223,10819" coordsize="3176,413">
            <v:group style="position:absolute;left:4233;top:10830;width:2;height:392" coordorigin="4233,10830" coordsize="2,392">
              <v:shape style="position:absolute;left:4233;top:10830;width:2;height:392" coordorigin="4233,10830" coordsize="0,392" path="m4233,10830l4233,11221e" filled="false" stroked="true" strokeweight="1.08pt" strokecolor="#ffffff">
                <v:path arrowok="t"/>
              </v:shape>
            </v:group>
            <v:group style="position:absolute;left:4244;top:10830;width:3154;height:392" coordorigin="4244,10830" coordsize="3154,392">
              <v:shape style="position:absolute;left:4244;top:10830;width:3154;height:392" coordorigin="4244,10830" coordsize="3154,392" path="m4244,11221l7398,11221,7398,10830,4244,10830,4244,112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0"/>
        <w:gridCol w:w="1116"/>
        <w:gridCol w:w="2106"/>
        <w:gridCol w:w="3277"/>
      </w:tblGrid>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3,141,173.51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2,901,853.39</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33,002,776.18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25,597,849.21</w:t>
            </w:r>
          </w:p>
        </w:tc>
      </w:tr>
      <w:tr>
        <w:trPr>
          <w:trHeight w:val="404"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2056" w:right="0"/>
              <w:jc w:val="left"/>
              <w:rPr>
                <w:rFonts w:ascii="Times New Roman" w:hAnsi="Times New Roman" w:cs="Times New Roman" w:eastAsia="Times New Roman" w:hint="default"/>
                <w:sz w:val="18"/>
                <w:szCs w:val="18"/>
              </w:rPr>
            </w:pPr>
            <w:r>
              <w:rPr>
                <w:rFonts w:ascii="Times New Roman"/>
                <w:sz w:val="18"/>
              </w:rPr>
              <w:t>113,092,015.40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91,437,225.70</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-6,221,071.70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-6,980,172.06</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7,009,546.36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6,291,084.54</w:t>
            </w:r>
          </w:p>
        </w:tc>
      </w:tr>
      <w:tr>
        <w:trPr>
          <w:trHeight w:val="71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1,755,084.27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2,141,863.45</w:t>
            </w:r>
          </w:p>
        </w:tc>
      </w:tr>
      <w:tr>
        <w:trPr>
          <w:trHeight w:val="71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1,755,084.27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2,141,863.45</w:t>
            </w:r>
          </w:p>
        </w:tc>
      </w:tr>
      <w:tr>
        <w:trPr>
          <w:trHeight w:val="404"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4"/>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37,794,222.76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34,631,402.14</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12,435,269.40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12,696,090.69</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116,783.49</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143,268.49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98,908.69</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103,532.08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91,788.07</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16" w:type="dxa"/>
            <w:tcBorders>
              <w:top w:val="single" w:sz="4" w:space="0" w:color="000000"/>
              <w:left w:val="single" w:sz="10" w:space="0" w:color="D2D2D2"/>
              <w:bottom w:val="single" w:sz="4" w:space="0" w:color="000000"/>
              <w:right w:val="nil" w:sz="6" w:space="0" w:color="auto"/>
            </w:tcBorders>
          </w:tcPr>
          <w:p>
            <w:pP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50,086,223.67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47,228,584.14</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5,932,575.30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8,885,820.58</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44,153,648.37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38,342,763.56</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46,904,070.65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40,405,024.15</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-2,750,422.28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-2,062,260.59</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7"/>
      </w:tblGrid>
      <w:tr>
        <w:trPr>
          <w:trHeight w:val="102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44,153,648.37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38,342,763.56</w:t>
            </w: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46,904,070.65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40,405,024.15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-2,750,422.28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-2,062,260.59</w:t>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0.094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0.094</w:t>
            </w:r>
          </w:p>
        </w:tc>
      </w:tr>
    </w:tbl>
    <w:p>
      <w:pPr>
        <w:pStyle w:val="BodyText"/>
        <w:tabs>
          <w:tab w:pos="3487" w:val="left" w:leader="none"/>
          <w:tab w:pos="7719" w:val="left" w:leader="none"/>
        </w:tabs>
        <w:spacing w:line="597" w:lineRule="auto" w:before="49"/>
        <w:ind w:right="244"/>
        <w:jc w:val="both"/>
        <w:rPr>
          <w:rFonts w:ascii="宋体" w:hAnsi="宋体" w:cs="宋体" w:eastAsia="宋体" w:hint="default"/>
          <w:sz w:val="20"/>
          <w:szCs w:val="20"/>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法定代表人：张曦</w:t>
        <w:tab/>
      </w:r>
      <w:r>
        <w:rPr>
          <w:spacing w:val="-1"/>
        </w:rPr>
        <w:t>主管会计工作负责人：陈东红</w:t>
        <w:tab/>
      </w:r>
      <w:r>
        <w:rPr/>
        <w:t>会计机构负责人：尤泽祥</w:t>
      </w:r>
      <w:r>
        <w:rPr/>
        <w:t> </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pStyle w:val="BodyText"/>
        <w:spacing w:line="240" w:lineRule="auto" w:before="2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204,099,478.18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172,049,805.05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129,110,274.32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106,206,874.69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1,137,238.79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1,136,812.61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5,781,497.44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4,229,038.22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56,847,859.53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45,159,669.34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-5,539,762.68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-5,224,796.67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5,799,630.49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3,814,209.60</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1,755,069.56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1,213,157.10</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1,755,069.56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2,142,170.31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12,717,809.85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17,941,154.36</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9,269,306.87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6,155,379.37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22,223.03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58,170.52</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58,170.52</w:t>
            </w: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21,936,736.72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24,038,363.21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1,461,896.50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3,044,802.52</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20,474,840.22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20,993,560.69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20,474,840.22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20,993,560.69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402,714,286.00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352,508,917.78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6,714,752.94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7,842,913.70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32,906,497.65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26,815,257.56</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442,335,536.59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387,167,089.04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182,917,808.58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180,146,396.55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pacing w:val="-1"/>
                <w:sz w:val="18"/>
                <w:szCs w:val="18"/>
              </w:rPr>
              <w:t>支付给职工以及为职工支付的现</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104,080,814.56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86,134,168.38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36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32,167,204.04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37,210,931.11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60,669,805.89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53,154,968.07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379,835,633.07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356,646,464.11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62,499,903.52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30,520,624.93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80,369.50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52,596.94</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27,082,696.75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27,163,066.25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12,552,596.94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30,858,926.20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46,743,570.31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57,197,489.72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33,858,926.20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103,941,060.03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-6,695,859.95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-91,388,463.09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2,007,499.92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2,007,500.00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16,913,246.17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17,776,183.18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25,170,746.09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19,783,683.18</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-23,370,746.09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-17,333,683.18</w:t>
            </w:r>
          </w:p>
        </w:tc>
      </w:tr>
      <w:tr>
        <w:trPr>
          <w:trHeight w:val="715"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32,433,297.48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-78,201,521.34</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207,581,012.51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285,782,533.85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240,014,309.99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207,581,012.51</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7"/>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3"/>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139,939,910.50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228,138,606.12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4,423,729.68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3,028,646.04</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17,761,925.04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15,472,279.00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162,125,565.22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246,639,531.16</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95,020,036.76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135,930,374.22</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37,963,615.12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34,152,281.53</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11,111,312.21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15,159,365.88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34,536,346.73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18,418,591.87</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178,631,310.82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203,660,613.50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-16,505,745.60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42,978,917.66</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11,798.61</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26,070,986.79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25,082,696.75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25,125,696.75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26,082,785.40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22,145,666.27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44,256,772.87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55,197,489.72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31,595,666.27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103,504,262.59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-6,469,969.52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-77,421,477.19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2,007,499.92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2,007,500.00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16,913,246.17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17,776,183.18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18,920,746.09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19,783,683.18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-18,920,746.09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-19,783,683.18</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-41,896,461.21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-54,226,242.71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102,214,747.77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156,440,990.48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60,318,286.56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102,214,747.77</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50"/>
        <w:gridCol w:w="550"/>
        <w:gridCol w:w="533"/>
        <w:gridCol w:w="530"/>
        <w:gridCol w:w="530"/>
        <w:gridCol w:w="665"/>
        <w:gridCol w:w="665"/>
        <w:gridCol w:w="665"/>
        <w:gridCol w:w="665"/>
        <w:gridCol w:w="665"/>
        <w:gridCol w:w="665"/>
        <w:gridCol w:w="665"/>
        <w:gridCol w:w="665"/>
        <w:gridCol w:w="660"/>
      </w:tblGrid>
      <w:tr>
        <w:trPr>
          <w:trHeight w:val="404"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50"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8" w:right="56"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8" w:hRule="exact"/>
        </w:trPr>
        <w:tc>
          <w:tcPr>
            <w:tcW w:w="1450" w:type="dxa"/>
            <w:vMerge/>
            <w:tcBorders>
              <w:left w:val="single" w:sz="4" w:space="0" w:color="000000"/>
              <w:right w:val="single" w:sz="4" w:space="0" w:color="000000"/>
            </w:tcBorders>
            <w:shd w:val="clear" w:color="auto" w:fill="D2D2D2"/>
          </w:tcPr>
          <w:p>
            <w:pPr/>
          </w:p>
        </w:tc>
        <w:tc>
          <w:tcPr>
            <w:tcW w:w="550"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0"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0"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,667.26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15,642,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479.75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173,882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,730.66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10,692,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132.80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664,414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,010.47</w:t>
            </w:r>
          </w:p>
        </w:tc>
      </w:tr>
      <w:tr>
        <w:trPr>
          <w:trHeight w:val="394"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0"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0"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15,642,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479.75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173,882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,730.66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10,692,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132.80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664,414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,010.47</w:t>
            </w: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258,00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-259,78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4,149.8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84.02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27,656,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586.63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-5,416,2</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72.41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22,503,</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648.37</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46,904,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070.65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-2,750,4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22.28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44,153,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648.37</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-1,784,1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-19,247,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484.02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-4,465,8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50.13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-23,450,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84.02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-1,784,1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49.87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-4,465,8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50.13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-6,250,0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258,00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258,00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-258,00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32,412,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517.39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17,689,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963.77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201,539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,317.29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5,275,8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60.39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686,917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,658.84</w:t>
            </w:r>
          </w:p>
        </w:tc>
      </w:tr>
    </w:tbl>
    <w:p>
      <w:pPr>
        <w:pStyle w:val="BodyText"/>
        <w:spacing w:line="240" w:lineRule="auto" w:before="49"/>
        <w:ind w:right="0"/>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1"/>
        <w:gridCol w:w="530"/>
        <w:gridCol w:w="533"/>
        <w:gridCol w:w="663"/>
        <w:gridCol w:w="665"/>
        <w:gridCol w:w="667"/>
        <w:gridCol w:w="665"/>
        <w:gridCol w:w="663"/>
        <w:gridCol w:w="665"/>
        <w:gridCol w:w="679"/>
        <w:gridCol w:w="653"/>
        <w:gridCol w:w="658"/>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38" w:right="53"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,667.26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13,543,</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123.68</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152,777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,062.58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10,304,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393.39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640,821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,246.91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2"/>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,667.26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13,543,</w:t>
            </w:r>
          </w:p>
          <w:p>
            <w:pPr>
              <w:pStyle w:val="TableParagraph"/>
              <w:spacing w:line="240" w:lineRule="auto" w:before="102"/>
              <w:ind w:left="137" w:right="0"/>
              <w:jc w:val="left"/>
              <w:rPr>
                <w:rFonts w:ascii="Times New Roman" w:hAnsi="Times New Roman" w:cs="Times New Roman" w:eastAsia="Times New Roman" w:hint="default"/>
                <w:sz w:val="18"/>
                <w:szCs w:val="18"/>
              </w:rPr>
            </w:pPr>
            <w:r>
              <w:rPr>
                <w:rFonts w:ascii="Times New Roman"/>
                <w:sz w:val="18"/>
              </w:rPr>
              <w:t>123.68</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152,777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,062.58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10,304,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393.39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640,821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,246.91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2,099,3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21,105,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668.08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387,739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23,592,</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763.56</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1"/>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40,405,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0" w:right="0"/>
              <w:jc w:val="left"/>
              <w:rPr>
                <w:rFonts w:ascii="Times New Roman" w:hAnsi="Times New Roman" w:cs="Times New Roman" w:eastAsia="Times New Roman" w:hint="default"/>
                <w:sz w:val="18"/>
                <w:szCs w:val="18"/>
              </w:rPr>
            </w:pPr>
            <w:r>
              <w:rPr>
                <w:rFonts w:ascii="Times New Roman"/>
                <w:sz w:val="18"/>
              </w:rPr>
              <w:t>-2,062,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38,342,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3"/>
        <w:gridCol w:w="665"/>
        <w:gridCol w:w="667"/>
        <w:gridCol w:w="665"/>
        <w:gridCol w:w="663"/>
        <w:gridCol w:w="665"/>
        <w:gridCol w:w="679"/>
        <w:gridCol w:w="653"/>
        <w:gridCol w:w="658"/>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024.15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4" w:right="0"/>
              <w:jc w:val="left"/>
              <w:rPr>
                <w:rFonts w:ascii="Times New Roman" w:hAnsi="Times New Roman" w:cs="Times New Roman" w:eastAsia="Times New Roman" w:hint="default"/>
                <w:sz w:val="18"/>
                <w:szCs w:val="18"/>
              </w:rPr>
            </w:pPr>
            <w:r>
              <w:rPr>
                <w:rFonts w:ascii="Times New Roman"/>
                <w:sz w:val="18"/>
              </w:rPr>
              <w:t>260.59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2" w:right="0"/>
              <w:jc w:val="left"/>
              <w:rPr>
                <w:rFonts w:ascii="Times New Roman" w:hAnsi="Times New Roman" w:cs="Times New Roman" w:eastAsia="Times New Roman" w:hint="default"/>
                <w:sz w:val="18"/>
                <w:szCs w:val="18"/>
              </w:rPr>
            </w:pPr>
            <w:r>
              <w:rPr>
                <w:rFonts w:ascii="Times New Roman"/>
                <w:sz w:val="18"/>
              </w:rPr>
              <w:t>763.56</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2,099,3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-19,299,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356.07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2,099,3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-2,099,3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56.07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000.00</w:t>
            </w: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,667.26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15,642,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479.75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173,882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,730.66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10,692,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132.80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664,414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,010.47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Times New Roman" w:hAnsi="Times New Roman" w:cs="Times New Roman" w:eastAsia="Times New Roman" w:hint="default"/>
          <w:sz w:val="28"/>
          <w:szCs w:val="28"/>
        </w:rPr>
      </w:pPr>
    </w:p>
    <w:p>
      <w:pPr>
        <w:pStyle w:val="Heading3"/>
        <w:spacing w:line="240" w:lineRule="auto" w:before="37"/>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2"/>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295,368,9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95.89</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15,642,47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9.75</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sz w:val="18"/>
              </w:rPr>
              <w:t>85,882,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317.63</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18"/>
                <w:szCs w:val="18"/>
              </w:rPr>
            </w:pPr>
            <w:r>
              <w:rPr>
                <w:rFonts w:ascii="Times New Roman"/>
                <w:sz w:val="18"/>
              </w:rPr>
              <w:t>568,893,7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93.27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295,368,9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95.89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15,642,47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9.75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85,882,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317.63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568,893,7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93.27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2,047,484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1,227,3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56.20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3,274,840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840.22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20,474,84</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0.22</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2,047,484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-19,247,</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484.02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2,047,484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-2,047,4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84.02</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430,000,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37,368,99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17,689,96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3.77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87,109,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673.83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572,168,6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33.49</w:t>
            </w:r>
          </w:p>
        </w:tc>
      </w:tr>
    </w:tbl>
    <w:p>
      <w:pPr>
        <w:pStyle w:val="BodyText"/>
        <w:spacing w:line="240" w:lineRule="auto" w:before="49"/>
        <w:ind w:right="0"/>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2"/>
        <w:gridCol w:w="665"/>
        <w:gridCol w:w="667"/>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295,368,9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95.89</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13,543,12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3.68</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84,188,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113.01</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565,100,2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32.58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3"/>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295,368,9</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95.89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13,543,12</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3.68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84,188,</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113.01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565,100,2</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32.58</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2,099,356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1,694,2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04.62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3,793,560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20,993,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560.69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20,993,56</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0.69</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2,099,356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-19,299,</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356.07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2,099,356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-2,099,3</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56.07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295,368,9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15,642,47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85,882,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317.63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568,893,7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93.27</w:t>
            </w:r>
          </w:p>
        </w:tc>
      </w:tr>
    </w:tbl>
    <w:p>
      <w:pPr>
        <w:spacing w:line="240" w:lineRule="auto" w:before="1"/>
        <w:rPr>
          <w:rFonts w:ascii="宋体" w:hAnsi="宋体" w:cs="宋体" w:eastAsia="宋体" w:hint="default"/>
          <w:sz w:val="18"/>
          <w:szCs w:val="18"/>
        </w:rPr>
      </w:pPr>
    </w:p>
    <w:p>
      <w:pPr>
        <w:pStyle w:val="Heading2"/>
        <w:spacing w:line="240" w:lineRule="auto" w:before="26"/>
        <w:ind w:right="171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 w:firstLine="360"/>
        <w:jc w:val="left"/>
      </w:pPr>
      <w:r>
        <w:rPr/>
        <w:t>易联众信息技术股份有限公司（以下简称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）系由实达科技（福建）软件系统集团有限公司依法整体变更设立， 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日取得厦门市工商行政管理局核发的</w:t>
      </w:r>
      <w:r>
        <w:rPr>
          <w:rFonts w:ascii="Times New Roman" w:hAnsi="Times New Roman" w:cs="Times New Roman" w:eastAsia="Times New Roman" w:hint="default"/>
        </w:rPr>
        <w:t>350298200002795</w:t>
      </w:r>
      <w:r>
        <w:rPr/>
        <w:t>号《企业法人营业执照》。设立时本公司股本总额为</w:t>
      </w:r>
      <w:r>
        <w:rPr>
          <w:spacing w:val="-12"/>
        </w:rPr>
        <w:t> </w:t>
      </w:r>
      <w:r>
        <w:rPr>
          <w:spacing w:val="-12"/>
        </w:rPr>
      </w:r>
      <w:r>
        <w:rPr>
          <w:rFonts w:ascii="Times New Roman" w:hAnsi="Times New Roman" w:cs="Times New Roman" w:eastAsia="Times New Roman" w:hint="default"/>
        </w:rPr>
        <w:t>6,400</w:t>
      </w:r>
      <w:r>
        <w:rPr/>
        <w:t>万股，每股面值</w:t>
      </w:r>
      <w:r>
        <w:rPr>
          <w:rFonts w:ascii="Times New Roman" w:hAnsi="Times New Roman" w:cs="Times New Roman" w:eastAsia="Times New Roman" w:hint="default"/>
        </w:rPr>
        <w:t>1</w:t>
      </w:r>
      <w:r>
        <w:rPr/>
        <w:t>元，注册资本为人民币</w:t>
      </w:r>
      <w:r>
        <w:rPr>
          <w:rFonts w:ascii="Times New Roman" w:hAnsi="Times New Roman" w:cs="Times New Roman" w:eastAsia="Times New Roman" w:hint="default"/>
        </w:rPr>
        <w:t>6,400</w:t>
      </w:r>
      <w:r>
        <w:rPr/>
        <w:t>万元。</w:t>
      </w:r>
    </w:p>
    <w:p>
      <w:pPr>
        <w:spacing w:line="240" w:lineRule="auto" w:before="7"/>
        <w:rPr>
          <w:rFonts w:ascii="宋体" w:hAnsi="宋体" w:cs="宋体" w:eastAsia="宋体" w:hint="default"/>
          <w:sz w:val="17"/>
          <w:szCs w:val="17"/>
        </w:rPr>
      </w:pPr>
    </w:p>
    <w:p>
      <w:pPr>
        <w:pStyle w:val="BodyText"/>
        <w:spacing w:line="300" w:lineRule="auto"/>
        <w:ind w:right="88" w:firstLine="36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[2010]890</w:t>
      </w:r>
      <w:r>
        <w:rPr/>
        <w:t>号</w:t>
      </w:r>
      <w:r>
        <w:rPr>
          <w:rFonts w:ascii="Times New Roman" w:hAnsi="Times New Roman" w:cs="Times New Roman" w:eastAsia="Times New Roman" w:hint="default"/>
        </w:rPr>
        <w:t>”</w:t>
      </w:r>
      <w:r>
        <w:rPr/>
        <w:t>文《关于核准易联众信息技术股份有限公司首次公 开发行股票并在创业板上市的批复》核准，本公司向社会公开发行人民币普通股（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2,200</w:t>
      </w:r>
      <w:r>
        <w:rPr/>
        <w:t>万股，并于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日在</w:t>
      </w:r>
      <w:r>
        <w:rPr>
          <w:spacing w:val="-88"/>
        </w:rPr>
        <w:t> </w:t>
      </w:r>
      <w:r>
        <w:rPr/>
        <w:t>深圳证券交易所创业板上市交易（股票简称为</w:t>
      </w:r>
      <w:r>
        <w:rPr>
          <w:rFonts w:ascii="Times New Roman" w:hAnsi="Times New Roman" w:cs="Times New Roman" w:eastAsia="Times New Roman" w:hint="default"/>
        </w:rPr>
        <w:t>“</w:t>
      </w:r>
      <w:r>
        <w:rPr/>
        <w:t>易联众</w:t>
      </w:r>
      <w:r>
        <w:rPr>
          <w:rFonts w:ascii="Times New Roman" w:hAnsi="Times New Roman" w:cs="Times New Roman" w:eastAsia="Times New Roman" w:hint="default"/>
        </w:rPr>
        <w:t>”</w:t>
      </w:r>
      <w:r>
        <w:rPr/>
        <w:t>，股票代码为</w:t>
      </w:r>
      <w:r>
        <w:rPr>
          <w:rFonts w:ascii="Times New Roman" w:hAnsi="Times New Roman" w:cs="Times New Roman" w:eastAsia="Times New Roman" w:hint="default"/>
        </w:rPr>
        <w:t>“300096”</w:t>
      </w:r>
      <w:r>
        <w:rPr/>
        <w:t>），发行后注册资本变更为人民币</w:t>
      </w:r>
      <w:r>
        <w:rPr>
          <w:rFonts w:ascii="Times New Roman" w:hAnsi="Times New Roman" w:cs="Times New Roman" w:eastAsia="Times New Roman" w:hint="default"/>
        </w:rPr>
        <w:t>8,600</w:t>
      </w:r>
      <w:r>
        <w:rPr/>
        <w:t>万元。 根据本公司于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2009</w:t>
      </w:r>
      <w:r>
        <w:rPr/>
        <w:t>年第二次临时股东大会决议，本公司办理了变更注册资本的工商变更登记手续，注</w:t>
      </w:r>
    </w:p>
    <w:p>
      <w:pPr>
        <w:spacing w:after="0" w:line="30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63"/>
        <w:jc w:val="left"/>
      </w:pPr>
      <w:r>
        <w:rPr/>
        <w:t>册资本由人民币</w:t>
      </w:r>
      <w:r>
        <w:rPr>
          <w:rFonts w:ascii="Times New Roman" w:hAnsi="Times New Roman" w:cs="Times New Roman" w:eastAsia="Times New Roman" w:hint="default"/>
        </w:rPr>
        <w:t>6,400</w:t>
      </w:r>
      <w:r>
        <w:rPr/>
        <w:t>万元变更为人民币</w:t>
      </w:r>
      <w:r>
        <w:rPr>
          <w:rFonts w:ascii="Times New Roman" w:hAnsi="Times New Roman" w:cs="Times New Roman" w:eastAsia="Times New Roman" w:hint="default"/>
        </w:rPr>
        <w:t>8,600</w:t>
      </w:r>
      <w:r>
        <w:rPr/>
        <w:t>万元。</w:t>
      </w:r>
    </w:p>
    <w:p>
      <w:pPr>
        <w:spacing w:line="240" w:lineRule="auto" w:before="4"/>
        <w:rPr>
          <w:rFonts w:ascii="宋体" w:hAnsi="宋体" w:cs="宋体" w:eastAsia="宋体" w:hint="default"/>
          <w:sz w:val="21"/>
          <w:szCs w:val="21"/>
        </w:rPr>
      </w:pPr>
    </w:p>
    <w:p>
      <w:pPr>
        <w:pStyle w:val="BodyText"/>
        <w:spacing w:line="300" w:lineRule="auto"/>
        <w:ind w:right="169" w:firstLine="360"/>
        <w:jc w:val="both"/>
      </w:pPr>
      <w:r>
        <w:rPr/>
        <w:t>根据本公司</w:t>
      </w:r>
      <w:r>
        <w:rPr>
          <w:rFonts w:ascii="Times New Roman" w:hAnsi="Times New Roman" w:cs="Times New Roman" w:eastAsia="Times New Roman" w:hint="default"/>
        </w:rPr>
        <w:t>2010</w:t>
      </w:r>
      <w:r>
        <w:rPr/>
        <w:t>年度股东大会决议通过的《公司</w:t>
      </w:r>
      <w:r>
        <w:rPr>
          <w:rFonts w:ascii="Times New Roman" w:hAnsi="Times New Roman" w:cs="Times New Roman" w:eastAsia="Times New Roman" w:hint="default"/>
        </w:rPr>
        <w:t>2010</w:t>
      </w:r>
      <w:r>
        <w:rPr/>
        <w:t>年度利润分配及资本公积金转增股本的议案》，本公司于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 </w:t>
      </w:r>
      <w:r>
        <w:rPr>
          <w:spacing w:val="2"/>
        </w:rPr>
        <w:t>月</w:t>
      </w:r>
      <w:r>
        <w:rPr>
          <w:rFonts w:ascii="Times New Roman" w:hAnsi="Times New Roman" w:cs="Times New Roman" w:eastAsia="Times New Roman" w:hint="default"/>
          <w:spacing w:val="2"/>
        </w:rPr>
        <w:t>7</w:t>
      </w:r>
      <w:r>
        <w:rPr>
          <w:spacing w:val="2"/>
        </w:rPr>
        <w:t>日以本公司总股本</w:t>
      </w:r>
      <w:r>
        <w:rPr>
          <w:rFonts w:ascii="Times New Roman" w:hAnsi="Times New Roman" w:cs="Times New Roman" w:eastAsia="Times New Roman" w:hint="default"/>
          <w:spacing w:val="2"/>
        </w:rPr>
        <w:t>8,600</w:t>
      </w:r>
      <w:r>
        <w:rPr>
          <w:spacing w:val="2"/>
        </w:rPr>
        <w:t>万股为基数，以资本公积向全体股东每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股。资本公积转增股本后，本公司总股本为</w:t>
      </w:r>
      <w:r>
        <w:rPr>
          <w:spacing w:val="-85"/>
        </w:rPr>
        <w:t> </w:t>
      </w:r>
      <w:r>
        <w:rPr>
          <w:spacing w:val="-85"/>
        </w:rPr>
      </w:r>
      <w:r>
        <w:rPr>
          <w:rFonts w:ascii="Times New Roman" w:hAnsi="Times New Roman" w:cs="Times New Roman" w:eastAsia="Times New Roman" w:hint="default"/>
        </w:rPr>
        <w:t>17,200</w:t>
      </w:r>
      <w:r>
        <w:rPr>
          <w:rFonts w:ascii="Times New Roman" w:hAnsi="Times New Roman" w:cs="Times New Roman" w:eastAsia="Times New Roman" w:hint="default"/>
          <w:spacing w:val="-18"/>
        </w:rPr>
        <w:t> </w:t>
      </w:r>
      <w:r>
        <w:rPr>
          <w:spacing w:val="14"/>
        </w:rPr>
        <w:t>万股。</w:t>
      </w:r>
      <w:r>
        <w:rPr>
          <w:spacing w:val="-6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8"/>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22"/>
        </w:rPr>
        <w:t> </w:t>
      </w:r>
      <w:r>
        <w:rPr>
          <w:spacing w:val="19"/>
        </w:rPr>
        <w:t>月本公司完成了变更注册资本的工商变更登记手续，</w:t>
      </w:r>
      <w:r>
        <w:rPr>
          <w:spacing w:val="-68"/>
        </w:rPr>
        <w:t> </w:t>
      </w:r>
      <w:r>
        <w:rPr>
          <w:spacing w:val="19"/>
        </w:rPr>
        <w:t>取得了厦门市工商行政管理局换发的</w:t>
      </w:r>
    </w:p>
    <w:p>
      <w:pPr>
        <w:pStyle w:val="BodyText"/>
        <w:spacing w:line="240" w:lineRule="auto" w:before="13"/>
        <w:ind w:right="163"/>
        <w:jc w:val="left"/>
      </w:pPr>
      <w:r>
        <w:rPr>
          <w:rFonts w:ascii="Times New Roman" w:hAnsi="Times New Roman" w:cs="Times New Roman" w:eastAsia="Times New Roman" w:hint="default"/>
        </w:rPr>
        <w:t>350298200002795</w:t>
      </w:r>
      <w:r>
        <w:rPr/>
        <w:t>号《企业法人营业执照》，本公司的注册资本由人民币</w:t>
      </w:r>
      <w:r>
        <w:rPr>
          <w:rFonts w:ascii="Times New Roman" w:hAnsi="Times New Roman" w:cs="Times New Roman" w:eastAsia="Times New Roman" w:hint="default"/>
        </w:rPr>
        <w:t>8,600</w:t>
      </w:r>
      <w:r>
        <w:rPr/>
        <w:t>万元变更为人民币</w:t>
      </w:r>
      <w:r>
        <w:rPr>
          <w:rFonts w:ascii="Times New Roman" w:hAnsi="Times New Roman" w:cs="Times New Roman" w:eastAsia="Times New Roman" w:hint="default"/>
        </w:rPr>
        <w:t>17,200</w:t>
      </w:r>
      <w:r>
        <w:rPr/>
        <w:t>万元。</w:t>
      </w:r>
    </w:p>
    <w:p>
      <w:pPr>
        <w:spacing w:line="240" w:lineRule="auto" w:before="4"/>
        <w:rPr>
          <w:rFonts w:ascii="宋体" w:hAnsi="宋体" w:cs="宋体" w:eastAsia="宋体" w:hint="default"/>
          <w:sz w:val="21"/>
          <w:szCs w:val="21"/>
        </w:rPr>
      </w:pPr>
    </w:p>
    <w:p>
      <w:pPr>
        <w:pStyle w:val="BodyText"/>
        <w:spacing w:line="300" w:lineRule="auto"/>
        <w:ind w:right="16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日，本公司</w:t>
      </w:r>
      <w:r>
        <w:rPr>
          <w:rFonts w:ascii="Times New Roman" w:hAnsi="Times New Roman" w:cs="Times New Roman" w:eastAsia="Times New Roman" w:hint="default"/>
        </w:rPr>
        <w:t>2014</w:t>
      </w:r>
      <w:r>
        <w:rPr/>
        <w:t>年第一次临时股东大会审议通过了</w:t>
      </w:r>
      <w:r>
        <w:rPr>
          <w:rFonts w:ascii="Times New Roman" w:hAnsi="Times New Roman" w:cs="Times New Roman" w:eastAsia="Times New Roman" w:hint="default"/>
        </w:rPr>
        <w:t>2014</w:t>
      </w:r>
      <w:r>
        <w:rPr/>
        <w:t>年半年度资本公积转增股本方案：以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2"/>
        </w:rPr>
        <w:t>日总股本</w:t>
      </w:r>
      <w:r>
        <w:rPr>
          <w:rFonts w:ascii="Times New Roman" w:hAnsi="Times New Roman" w:cs="Times New Roman" w:eastAsia="Times New Roman" w:hint="default"/>
          <w:spacing w:val="-2"/>
        </w:rPr>
        <w:t>17,200</w:t>
      </w:r>
      <w:r>
        <w:rPr>
          <w:spacing w:val="-2"/>
        </w:rPr>
        <w:t>万股为基数向全体股东每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15</w:t>
      </w:r>
      <w:r>
        <w:rPr>
          <w:spacing w:val="-2"/>
        </w:rPr>
        <w:t>股，共计转增</w:t>
      </w:r>
      <w:r>
        <w:rPr>
          <w:rFonts w:ascii="Times New Roman" w:hAnsi="Times New Roman" w:cs="Times New Roman" w:eastAsia="Times New Roman" w:hint="default"/>
          <w:spacing w:val="-2"/>
        </w:rPr>
        <w:t>25,800</w:t>
      </w:r>
      <w:r>
        <w:rPr>
          <w:spacing w:val="-2"/>
        </w:rPr>
        <w:t>万股，转增后公司总股本将增加至</w:t>
      </w:r>
      <w:r>
        <w:rPr>
          <w:rFonts w:ascii="Times New Roman" w:hAnsi="Times New Roman" w:cs="Times New Roman" w:eastAsia="Times New Roman" w:hint="default"/>
          <w:spacing w:val="-2"/>
        </w:rPr>
        <w:t>43,000</w:t>
      </w:r>
      <w:r>
        <w:rPr>
          <w:spacing w:val="-2"/>
        </w:rPr>
        <w:t>万股。</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9</w:t>
      </w:r>
      <w:r>
        <w:rPr>
          <w:spacing w:val="-2"/>
        </w:rPr>
        <w:t>月本公司完成了变更注册资本的工商变更登记手续，取得了厦门市工商行政管理局换发的</w:t>
      </w:r>
      <w:r>
        <w:rPr>
          <w:rFonts w:ascii="Times New Roman" w:hAnsi="Times New Roman" w:cs="Times New Roman" w:eastAsia="Times New Roman" w:hint="default"/>
          <w:spacing w:val="-2"/>
        </w:rPr>
        <w:t>350298200002795</w:t>
      </w:r>
      <w:r>
        <w:rPr>
          <w:spacing w:val="-2"/>
        </w:rPr>
        <w:t>号《企业法人</w:t>
      </w:r>
      <w:r>
        <w:rPr>
          <w:spacing w:val="-54"/>
        </w:rPr>
        <w:t> </w:t>
      </w:r>
      <w:r>
        <w:rPr>
          <w:spacing w:val="-54"/>
        </w:rPr>
      </w:r>
      <w:r>
        <w:rPr/>
        <w:t>营业执照》，本公司的注册资本由人民币</w:t>
      </w:r>
      <w:r>
        <w:rPr>
          <w:rFonts w:ascii="Times New Roman" w:hAnsi="Times New Roman" w:cs="Times New Roman" w:eastAsia="Times New Roman" w:hint="default"/>
        </w:rPr>
        <w:t>17,200</w:t>
      </w:r>
      <w:r>
        <w:rPr/>
        <w:t>万元变更为人民币</w:t>
      </w:r>
      <w:r>
        <w:rPr>
          <w:rFonts w:ascii="Times New Roman" w:hAnsi="Times New Roman" w:cs="Times New Roman" w:eastAsia="Times New Roman" w:hint="default"/>
        </w:rPr>
        <w:t>43,000</w:t>
      </w:r>
      <w:r>
        <w:rPr/>
        <w:t>万元。</w:t>
      </w:r>
    </w:p>
    <w:p>
      <w:pPr>
        <w:spacing w:line="240" w:lineRule="auto" w:before="7"/>
        <w:rPr>
          <w:rFonts w:ascii="宋体" w:hAnsi="宋体" w:cs="宋体" w:eastAsia="宋体" w:hint="default"/>
          <w:sz w:val="17"/>
          <w:szCs w:val="17"/>
        </w:rPr>
      </w:pPr>
    </w:p>
    <w:p>
      <w:pPr>
        <w:pStyle w:val="BodyText"/>
        <w:spacing w:line="319" w:lineRule="auto"/>
        <w:ind w:right="174" w:firstLine="360"/>
        <w:jc w:val="both"/>
      </w:pPr>
      <w:r>
        <w:rPr>
          <w:spacing w:val="-2"/>
        </w:rPr>
        <w:t>本公司建立了股东大会、董事会、监事会的法人治理结构，目前设软件研发中心、软件技术支持部、民生信息服务中心</w:t>
      </w:r>
      <w:r>
        <w:rPr/>
        <w:t> 等部门，拥有</w:t>
      </w:r>
      <w:r>
        <w:rPr>
          <w:rFonts w:ascii="Times New Roman" w:hAnsi="Times New Roman" w:cs="Times New Roman" w:eastAsia="Times New Roman" w:hint="default"/>
        </w:rPr>
        <w:t>11</w:t>
      </w:r>
      <w:r>
        <w:rPr/>
        <w:t>家子公司。</w:t>
      </w:r>
    </w:p>
    <w:p>
      <w:pPr>
        <w:spacing w:line="240" w:lineRule="auto" w:before="4"/>
        <w:rPr>
          <w:rFonts w:ascii="宋体" w:hAnsi="宋体" w:cs="宋体" w:eastAsia="宋体" w:hint="default"/>
          <w:sz w:val="16"/>
          <w:szCs w:val="16"/>
        </w:rPr>
      </w:pPr>
    </w:p>
    <w:p>
      <w:pPr>
        <w:pStyle w:val="BodyText"/>
        <w:spacing w:line="309" w:lineRule="auto"/>
        <w:ind w:right="93" w:firstLine="360"/>
        <w:jc w:val="left"/>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）业务性质和主要经营活动（经营范围）：研发、设计、生产智能卡、银行卡； </w:t>
      </w:r>
      <w:r>
        <w:rPr>
          <w:spacing w:val="-2"/>
        </w:rPr>
        <w:t>销售智能卡；开发、生产计算机软件、硬件、应用系统集成网络通信产品，提供相关的技术咨询、技术培训及技术服务；网</w:t>
      </w:r>
      <w:r>
        <w:rPr>
          <w:spacing w:val="-73"/>
        </w:rPr>
        <w:t> </w:t>
      </w:r>
      <w:r>
        <w:rPr>
          <w:spacing w:val="-73"/>
        </w:rPr>
      </w:r>
      <w:r>
        <w:rPr/>
        <w:t>络工程、综合布线；从事技术、货物进出口，但国家限定公司经营或禁止进口的商品和技术除外（不含境内分销）。</w:t>
      </w:r>
    </w:p>
    <w:p>
      <w:pPr>
        <w:spacing w:line="240" w:lineRule="auto" w:before="5"/>
        <w:rPr>
          <w:rFonts w:ascii="宋体" w:hAnsi="宋体" w:cs="宋体" w:eastAsia="宋体" w:hint="default"/>
          <w:sz w:val="18"/>
          <w:szCs w:val="18"/>
        </w:rPr>
      </w:pPr>
    </w:p>
    <w:p>
      <w:pPr>
        <w:pStyle w:val="BodyText"/>
        <w:spacing w:line="508" w:lineRule="auto"/>
        <w:ind w:left="513" w:right="1873"/>
        <w:jc w:val="left"/>
      </w:pPr>
      <w:r>
        <w:rPr/>
        <w:t>本财务报表及财务报表附注业经本公司第二届董事会第二十二次会议于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日批准。 本期合并财务报表范围无变化，包括本公司及如下</w:t>
      </w:r>
      <w:r>
        <w:rPr>
          <w:rFonts w:ascii="Times New Roman" w:hAnsi="Times New Roman" w:cs="Times New Roman" w:eastAsia="Times New Roman" w:hint="default"/>
        </w:rPr>
        <w:t>11</w:t>
      </w:r>
      <w:r>
        <w:rPr/>
        <w:t>家子公司，具体情况详见附注八、附注九。</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9640"/>
      </w:tblGrid>
      <w:tr>
        <w:trPr>
          <w:trHeight w:val="341"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3"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r>
      <w:tr>
        <w:trPr>
          <w:trHeight w:val="341"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r>
      <w:tr>
        <w:trPr>
          <w:trHeight w:val="343"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r>
      <w:tr>
        <w:trPr>
          <w:trHeight w:val="341"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r>
      <w:tr>
        <w:trPr>
          <w:trHeight w:val="343"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r>
      <w:tr>
        <w:trPr>
          <w:trHeight w:val="341"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r>
      <w:tr>
        <w:trPr>
          <w:trHeight w:val="343"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r>
      <w:tr>
        <w:trPr>
          <w:trHeight w:val="341"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r>
      <w:tr>
        <w:trPr>
          <w:trHeight w:val="343"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r>
      <w:tr>
        <w:trPr>
          <w:trHeight w:val="341"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r>
      <w:tr>
        <w:trPr>
          <w:trHeight w:val="343"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163"/>
        <w:jc w:val="left"/>
        <w:rPr>
          <w:b w:val="0"/>
          <w:bCs w:val="0"/>
        </w:rPr>
      </w:pPr>
      <w:r>
        <w:rPr/>
        <w:t>四、财务报表的编制基础</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6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11" w:firstLine="360"/>
        <w:jc w:val="both"/>
      </w:pPr>
      <w:r>
        <w:rPr/>
        <w:t>本财务报表按照财政部颁布的企业会计准则及其应用指南、解释及其他有关规定（统称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）编制。此外， </w:t>
      </w:r>
      <w:r>
        <w:rPr>
          <w:spacing w:val="-2"/>
        </w:rPr>
        <w:t>本集团还按照中国证监会《公开发行证券的公司信息披露编报规则第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w:t>
      </w:r>
      <w:r>
        <w:rPr>
          <w:spacing w:val="-61"/>
        </w:rPr>
        <w:t> </w:t>
      </w:r>
      <w:r>
        <w:rPr>
          <w:spacing w:val="-61"/>
        </w:rPr>
      </w:r>
      <w:r>
        <w:rPr/>
        <w:t>财务信息。</w:t>
      </w:r>
    </w:p>
    <w:p>
      <w:pPr>
        <w:spacing w:line="240" w:lineRule="auto" w:before="12"/>
        <w:rPr>
          <w:rFonts w:ascii="宋体" w:hAnsi="宋体" w:cs="宋体" w:eastAsia="宋体" w:hint="default"/>
          <w:sz w:val="18"/>
          <w:szCs w:val="18"/>
        </w:rPr>
      </w:pPr>
    </w:p>
    <w:p>
      <w:pPr>
        <w:pStyle w:val="BodyText"/>
        <w:spacing w:line="240" w:lineRule="auto"/>
        <w:ind w:left="513" w:right="163"/>
        <w:jc w:val="left"/>
      </w:pPr>
      <w:r>
        <w:rPr/>
        <w:t>本财务报表以持续经营为基础列报。</w:t>
      </w:r>
    </w:p>
    <w:p>
      <w:pPr>
        <w:spacing w:after="0" w:line="240" w:lineRule="auto"/>
        <w:jc w:val="left"/>
        <w:sectPr>
          <w:pgSz w:w="11910" w:h="16840"/>
          <w:pgMar w:header="745" w:footer="979" w:top="1060" w:bottom="1160" w:left="980" w:right="96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本集团会计核算以权责发生制为基础。本财务报表均以历史成本为计量基础。资产如果发生减值，则按照相关规定计提</w:t>
      </w:r>
      <w:r>
        <w:rPr/>
        <w:t> 相应的减值准备。</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本集团自报告期末起</w:t>
      </w:r>
      <w:r>
        <w:rPr>
          <w:rFonts w:ascii="Times New Roman" w:hAnsi="Times New Roman" w:cs="Times New Roman" w:eastAsia="Times New Roman" w:hint="default"/>
        </w:rPr>
        <w:t>12</w:t>
      </w:r>
      <w:r>
        <w:rPr/>
        <w:t>个月具备持续经营能力，不存在对本集团持续经营能力产生重大怀疑的因素。</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0" w:hanging="360"/>
        <w:jc w:val="left"/>
      </w:pPr>
      <w:r>
        <w:rPr/>
        <w:t>具体会计政策和会计估计提示： </w:t>
      </w:r>
      <w:r>
        <w:rPr>
          <w:spacing w:val="-2"/>
        </w:rPr>
        <w:t>本公司根据实际生产经营特点，依据相关企业会计准则的规定，对收入确认等交易和事项制定了若干项具体会计政策和</w:t>
      </w:r>
    </w:p>
    <w:p>
      <w:pPr>
        <w:pStyle w:val="BodyText"/>
        <w:spacing w:line="222" w:lineRule="exact"/>
        <w:ind w:right="0"/>
        <w:jc w:val="both"/>
      </w:pPr>
      <w:r>
        <w:rPr/>
        <w:t>会计估计，详见本节、</w:t>
      </w:r>
      <w:r>
        <w:rPr>
          <w:rFonts w:ascii="宋体" w:hAnsi="宋体" w:cs="宋体" w:eastAsia="宋体" w:hint="default"/>
        </w:rPr>
        <w:t>28</w:t>
      </w:r>
      <w:r>
        <w:rPr/>
        <w:t>“收入”的各项描述。关于管理层所作出的重大会计判断和估计的说明，请参阅本节、</w:t>
      </w:r>
      <w:r>
        <w:rPr>
          <w:rFonts w:ascii="宋体" w:hAnsi="宋体" w:cs="宋体" w:eastAsia="宋体" w:hint="default"/>
        </w:rPr>
        <w:t>11</w:t>
      </w:r>
      <w:r>
        <w:rPr/>
        <w:t>“应收款</w:t>
      </w:r>
    </w:p>
    <w:p>
      <w:pPr>
        <w:pStyle w:val="BodyText"/>
        <w:spacing w:line="240" w:lineRule="auto" w:before="77"/>
        <w:ind w:right="0"/>
        <w:jc w:val="both"/>
      </w:pPr>
      <w:r>
        <w:rPr/>
        <w:t>项”的描述。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0" w:firstLine="360"/>
        <w:jc w:val="left"/>
      </w:pPr>
      <w:r>
        <w:rPr>
          <w:spacing w:val="-2"/>
        </w:rPr>
        <w:t>本财务报表符合企业会计准则的要求，真实、完整地反映了本公司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2014</w:t>
      </w:r>
      <w:r>
        <w:rPr>
          <w:spacing w:val="-2"/>
        </w:rPr>
        <w:t>年度</w:t>
      </w:r>
      <w:r>
        <w:rPr/>
        <w:t> 的合并及公司经营成果和合并及公司现金流量等有关信息。</w:t>
      </w:r>
    </w:p>
    <w:p>
      <w:pPr>
        <w:spacing w:line="240" w:lineRule="auto" w:before="4"/>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本集团的营业周期为</w:t>
      </w:r>
      <w:r>
        <w:rPr>
          <w:rFonts w:ascii="Times New Roman" w:hAnsi="Times New Roman" w:cs="Times New Roman" w:eastAsia="Times New Roman" w:hint="default"/>
        </w:rPr>
        <w:t>12</w:t>
      </w:r>
      <w:r>
        <w:rPr/>
        <w:t>个月。</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本公司及子公司以人民币为记账本位币。本集团编制本财务报表时所采用的货币为人民币。</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510" w:lineRule="atLeast" w:before="88"/>
        <w:ind w:left="513" w:right="0"/>
        <w:jc w:val="left"/>
      </w:pPr>
      <w:r>
        <w:rPr/>
        <w:t>（</w:t>
      </w:r>
      <w:r>
        <w:rPr>
          <w:rFonts w:ascii="Times New Roman" w:hAnsi="Times New Roman" w:cs="Times New Roman" w:eastAsia="Times New Roman" w:hint="default"/>
        </w:rPr>
        <w:t>1</w:t>
      </w:r>
      <w:r>
        <w:rPr/>
        <w:t>）同一控制下的企业合并 </w:t>
      </w:r>
      <w:r>
        <w:rPr>
          <w:spacing w:val="-2"/>
        </w:rPr>
        <w:t>对于同一控制下的企业合并，合并方在合并中取得的被合并方的资产、负债，除因会计政策不同而进行的调整以外，按</w:t>
      </w:r>
    </w:p>
    <w:p>
      <w:pPr>
        <w:pStyle w:val="BodyText"/>
        <w:spacing w:line="309" w:lineRule="auto" w:before="76"/>
        <w:ind w:right="151"/>
        <w:jc w:val="both"/>
      </w:pPr>
      <w:r>
        <w:rPr>
          <w:spacing w:val="-2"/>
        </w:rPr>
        <w:t>合并日被合并方在最终控制方合并财务报表中的账面价值计量。合并对价的账面价值（或发行股份面值总额）与合并中取得</w:t>
      </w:r>
      <w:r>
        <w:rPr>
          <w:spacing w:val="-66"/>
        </w:rPr>
        <w:t> </w:t>
      </w:r>
      <w:r>
        <w:rPr>
          <w:spacing w:val="-66"/>
        </w:rPr>
      </w:r>
      <w:r>
        <w:rPr/>
        <w:t>的净资产账面价值的差额调整资本公积（股本溢价</w:t>
      </w:r>
      <w:r>
        <w:rPr>
          <w:rFonts w:ascii="Times New Roman" w:hAnsi="Times New Roman" w:cs="Times New Roman" w:eastAsia="Times New Roman" w:hint="default"/>
        </w:rPr>
        <w:t>/</w:t>
      </w:r>
      <w:r>
        <w:rPr/>
        <w:t>资本溢价），资本公积（股本溢价</w:t>
      </w:r>
      <w:r>
        <w:rPr>
          <w:rFonts w:ascii="Times New Roman" w:hAnsi="Times New Roman" w:cs="Times New Roman" w:eastAsia="Times New Roman" w:hint="default"/>
        </w:rPr>
        <w:t>/</w:t>
      </w:r>
      <w:r>
        <w:rPr/>
        <w:t>资本溢价）不足冲减的，调整留存收 益。</w:t>
      </w:r>
    </w:p>
    <w:p>
      <w:pPr>
        <w:pStyle w:val="BodyText"/>
        <w:spacing w:line="528" w:lineRule="exact" w:before="28"/>
        <w:ind w:left="513" w:right="0"/>
        <w:jc w:val="left"/>
      </w:pPr>
      <w:r>
        <w:rPr/>
        <w:t>通过多次交易分步实现同一控制下的企业合并 </w:t>
      </w:r>
      <w:r>
        <w:rPr>
          <w:spacing w:val="-2"/>
        </w:rPr>
        <w:t>在个别财务报表中，以合并日持股比例计算的合并日应享有被合并方净资产在最终控制方合并财务报表中的账面价值的</w:t>
      </w:r>
    </w:p>
    <w:p>
      <w:pPr>
        <w:pStyle w:val="BodyText"/>
        <w:spacing w:line="316" w:lineRule="auto"/>
        <w:ind w:right="0"/>
        <w:jc w:val="left"/>
      </w:pPr>
      <w:r>
        <w:rPr>
          <w:spacing w:val="-2"/>
        </w:rPr>
        <w:t>份额作为该项投资的初始投资成本；初始投资成本与原持有投资的账面价值加上合并日新增投资成本之和的差额，调整资本</w:t>
      </w:r>
      <w:r>
        <w:rPr>
          <w:spacing w:val="-64"/>
        </w:rPr>
        <w:t> </w:t>
      </w:r>
      <w:r>
        <w:rPr>
          <w:spacing w:val="-64"/>
        </w:rPr>
      </w:r>
      <w:r>
        <w:rPr/>
        <w:t>公积（股本溢价</w:t>
      </w:r>
      <w:r>
        <w:rPr>
          <w:rFonts w:ascii="Times New Roman" w:hAnsi="Times New Roman" w:cs="Times New Roman" w:eastAsia="Times New Roman" w:hint="default"/>
        </w:rPr>
        <w:t>/</w:t>
      </w:r>
      <w:r>
        <w:rPr/>
        <w:t>资本溢价），资本公积不足冲减的，调整留存收益。</w:t>
      </w:r>
    </w:p>
    <w:p>
      <w:pPr>
        <w:spacing w:after="0" w:line="316"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14" w:lineRule="auto" w:before="44"/>
        <w:ind w:right="192" w:firstLine="360"/>
        <w:jc w:val="both"/>
      </w:pPr>
      <w:r>
        <w:rPr>
          <w:spacing w:val="-2"/>
        </w:rPr>
        <w:t>在合并财务报表中，合并方在合并中取得的被合并方的资产、负债，除因会计政策不同而进行的调整以外，按合并日在</w:t>
      </w:r>
      <w:r>
        <w:rPr/>
        <w:t> </w:t>
      </w:r>
      <w:r>
        <w:rPr>
          <w:spacing w:val="-2"/>
        </w:rPr>
        <w:t>最终控制方合并财务报表中的账面价值计量；原持有投资的账面价值加上合并日新增投资成本之和，与合并中取得的净资产</w:t>
      </w:r>
      <w:r>
        <w:rPr>
          <w:spacing w:val="-65"/>
        </w:rPr>
        <w:t> </w:t>
      </w:r>
      <w:r>
        <w:rPr>
          <w:spacing w:val="-65"/>
        </w:rPr>
      </w:r>
      <w:r>
        <w:rPr/>
        <w:t>账面价值的差额，调整资本公积（股本溢价</w:t>
      </w:r>
      <w:r>
        <w:rPr>
          <w:rFonts w:ascii="Times New Roman" w:hAnsi="Times New Roman" w:cs="Times New Roman" w:eastAsia="Times New Roman" w:hint="default"/>
        </w:rPr>
        <w:t>/</w:t>
      </w:r>
      <w:r>
        <w:rPr/>
        <w:t>资本溢价），资本公积不足冲减的，调整留存收益。合并方在达到合并之前持</w:t>
      </w:r>
      <w:r>
        <w:rPr>
          <w:spacing w:val="-49"/>
        </w:rPr>
        <w:t> </w:t>
      </w:r>
      <w:r>
        <w:rPr>
          <w:spacing w:val="-49"/>
        </w:rPr>
      </w:r>
      <w:r>
        <w:rPr>
          <w:spacing w:val="-2"/>
        </w:rPr>
        <w:t>有的长期股权投资，在取得日与合并方与被合并方同处于同一方最终控制之日孰晚日与合并日之间已确认有关损益、其他综</w:t>
      </w:r>
      <w:r>
        <w:rPr>
          <w:spacing w:val="-64"/>
        </w:rPr>
        <w:t> </w:t>
      </w:r>
      <w:r>
        <w:rPr>
          <w:spacing w:val="-64"/>
        </w:rPr>
      </w:r>
      <w:r>
        <w:rPr/>
        <w:t>合收益和其他所有者权益变动，应分别冲减比较报表期间的期初留存收益或当期损益。</w:t>
      </w:r>
    </w:p>
    <w:p>
      <w:pPr>
        <w:pStyle w:val="BodyText"/>
        <w:spacing w:line="528" w:lineRule="exact" w:before="24"/>
        <w:ind w:left="513" w:right="93"/>
        <w:jc w:val="left"/>
      </w:pPr>
      <w:r>
        <w:rPr/>
        <w:t>（</w:t>
      </w:r>
      <w:r>
        <w:rPr>
          <w:rFonts w:ascii="Times New Roman" w:hAnsi="Times New Roman" w:cs="Times New Roman" w:eastAsia="Times New Roman" w:hint="default"/>
        </w:rPr>
        <w:t>2</w:t>
      </w:r>
      <w:r>
        <w:rPr/>
        <w:t>）非同一控制下的企业合并 </w:t>
      </w:r>
      <w:r>
        <w:rPr>
          <w:spacing w:val="-2"/>
        </w:rPr>
        <w:t>对于非同一控制下的企业合并，合并成本为购买日为取得对被购买方的控制权而付出的资产、发生或承担的负债以及发</w:t>
      </w:r>
    </w:p>
    <w:p>
      <w:pPr>
        <w:pStyle w:val="BodyText"/>
        <w:spacing w:line="232" w:lineRule="exact"/>
        <w:ind w:right="0"/>
        <w:jc w:val="both"/>
      </w:pPr>
      <w:r>
        <w:rPr/>
        <w:t>行的权益性证券的公允价值。在购买日，取得的被购买方的资产、负债及或有负债按公允价值确认。</w:t>
      </w:r>
    </w:p>
    <w:p>
      <w:pPr>
        <w:spacing w:line="240" w:lineRule="auto" w:before="5"/>
        <w:rPr>
          <w:rFonts w:ascii="宋体" w:hAnsi="宋体" w:cs="宋体" w:eastAsia="宋体" w:hint="default"/>
          <w:sz w:val="22"/>
          <w:szCs w:val="22"/>
        </w:rPr>
      </w:pPr>
    </w:p>
    <w:p>
      <w:pPr>
        <w:pStyle w:val="BodyText"/>
        <w:spacing w:line="316" w:lineRule="auto"/>
        <w:ind w:right="93" w:firstLine="360"/>
        <w:jc w:val="left"/>
      </w:pPr>
      <w:r>
        <w:rPr>
          <w:spacing w:val="-2"/>
        </w:rPr>
        <w:t>对合并成本大于合并中取得的被购买方可辨认净资产公允价值份额的差额，确认为商誉，按成本扣除累计减值准备进行</w:t>
      </w:r>
      <w:r>
        <w:rPr/>
        <w:t> 后续计量；对合并成本小于合并中取得的被购买方可辨认净资产公允价值份额的差额，经复核后计入当期损益。</w:t>
      </w:r>
    </w:p>
    <w:p>
      <w:pPr>
        <w:pStyle w:val="BodyText"/>
        <w:spacing w:line="528" w:lineRule="exact" w:before="23"/>
        <w:ind w:left="513" w:right="93"/>
        <w:jc w:val="left"/>
      </w:pPr>
      <w:r>
        <w:rPr/>
        <w:t>通过多次交易分步实现非同一控制下的企业合并 </w:t>
      </w:r>
      <w:r>
        <w:rPr>
          <w:spacing w:val="-2"/>
        </w:rPr>
        <w:t>在个别财务报表中，以购买日之前所持被购买方的股权投资的账面价值与购买日新增投资成本之和，作为该项投资的初</w:t>
      </w:r>
    </w:p>
    <w:p>
      <w:pPr>
        <w:pStyle w:val="BodyText"/>
        <w:spacing w:line="314" w:lineRule="auto"/>
        <w:ind w:right="190"/>
        <w:jc w:val="both"/>
      </w:pPr>
      <w:r>
        <w:rPr>
          <w:spacing w:val="-2"/>
        </w:rPr>
        <w:t>始投资成本。购买日之前持有的股权投资因采用权益法核算而确认的其他综合收益，应当在处置该项投资时采用与被投资单</w:t>
      </w:r>
      <w:r>
        <w:rPr>
          <w:spacing w:val="-64"/>
        </w:rPr>
        <w:t> </w:t>
      </w:r>
      <w:r>
        <w:rPr>
          <w:spacing w:val="-64"/>
        </w:rPr>
      </w:r>
      <w:r>
        <w:rPr>
          <w:spacing w:val="-2"/>
        </w:rPr>
        <w:t>位直接处置相关资产或负债相同的基础进行会计处理；因被投资方除净损益、其他综合收益和利润分配以外的其他所有者权</w:t>
      </w:r>
      <w:r>
        <w:rPr>
          <w:spacing w:val="-64"/>
        </w:rPr>
        <w:t> </w:t>
      </w:r>
      <w:r>
        <w:rPr>
          <w:spacing w:val="-64"/>
        </w:rPr>
      </w:r>
      <w:r>
        <w:rPr>
          <w:spacing w:val="-2"/>
        </w:rPr>
        <w:t>益变动而确认的所有者权益，应当在处置该项投资时转入处置期间的当期损益。购买日之前持有的股权投资按照《企业会计</w:t>
      </w:r>
      <w:r>
        <w:rPr>
          <w:spacing w:val="-63"/>
        </w:rPr>
        <w:t> </w:t>
      </w:r>
      <w:r>
        <w:rPr>
          <w:spacing w:val="-63"/>
        </w:rPr>
      </w:r>
      <w:r>
        <w:rPr>
          <w:spacing w:val="-2"/>
        </w:rPr>
        <w:t>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金融工具确认和计量》的有关规定进行会计处理的，原计入其他综合收益的累计公允价值变动应当在改按成</w:t>
      </w:r>
      <w:r>
        <w:rPr>
          <w:spacing w:val="-64"/>
        </w:rPr>
        <w:t> </w:t>
      </w:r>
      <w:r>
        <w:rPr>
          <w:spacing w:val="-64"/>
        </w:rPr>
      </w:r>
      <w:r>
        <w:rPr/>
        <w:t>本法核算时转入当期损益。</w:t>
      </w:r>
    </w:p>
    <w:p>
      <w:pPr>
        <w:spacing w:line="240" w:lineRule="auto" w:before="1"/>
        <w:rPr>
          <w:rFonts w:ascii="宋体" w:hAnsi="宋体" w:cs="宋体" w:eastAsia="宋体" w:hint="default"/>
          <w:sz w:val="18"/>
          <w:szCs w:val="18"/>
        </w:rPr>
      </w:pPr>
    </w:p>
    <w:p>
      <w:pPr>
        <w:pStyle w:val="BodyText"/>
        <w:spacing w:line="319" w:lineRule="auto"/>
        <w:ind w:right="93" w:firstLine="360"/>
        <w:jc w:val="left"/>
      </w:pPr>
      <w:r>
        <w:rPr/>
        <w:t>在合并财务报表中，合并成本为购买日支付的对价与购买日之前已经持有的被购买方的股权在购买日的公允价值之和； </w:t>
      </w:r>
      <w:r>
        <w:rPr>
          <w:spacing w:val="-2"/>
        </w:rPr>
        <w:t>对于购买日之前已经持有的被购买方的股权，按照购买日的公允价值进行重新计量，公允价值与其账面价值之间的差额计入</w:t>
      </w:r>
      <w:r>
        <w:rPr>
          <w:spacing w:val="-65"/>
        </w:rPr>
        <w:t> </w:t>
      </w:r>
      <w:r>
        <w:rPr>
          <w:spacing w:val="-65"/>
        </w:rPr>
      </w:r>
      <w:r>
        <w:rPr>
          <w:spacing w:val="-2"/>
        </w:rPr>
        <w:t>当期收益；购买日之前已经持有的被购买方的股权涉及其他综合收益、其他所有者权益变动应当转为购买日当期收益，由于</w:t>
      </w:r>
      <w:r>
        <w:rPr>
          <w:spacing w:val="-63"/>
        </w:rPr>
        <w:t> </w:t>
      </w:r>
      <w:r>
        <w:rPr>
          <w:spacing w:val="-63"/>
        </w:rPr>
      </w:r>
      <w:r>
        <w:rPr/>
        <w:t>被投资方重新计量设定收益计划净负债或净资产变动而产生的其他综合收益除外。</w:t>
      </w:r>
    </w:p>
    <w:p>
      <w:pPr>
        <w:pStyle w:val="BodyText"/>
        <w:spacing w:line="528" w:lineRule="exact" w:before="21"/>
        <w:ind w:left="513" w:right="93"/>
        <w:jc w:val="left"/>
      </w:pPr>
      <w:r>
        <w:rPr/>
        <w:t>（</w:t>
      </w:r>
      <w:r>
        <w:rPr>
          <w:rFonts w:ascii="Times New Roman" w:hAnsi="Times New Roman" w:cs="Times New Roman" w:eastAsia="Times New Roman" w:hint="default"/>
        </w:rPr>
        <w:t>3</w:t>
      </w:r>
      <w:r>
        <w:rPr/>
        <w:t>）企业合并中有关交易费用的处理 </w:t>
      </w:r>
      <w:r>
        <w:rPr>
          <w:spacing w:val="-2"/>
        </w:rPr>
        <w:t>为进行企业合并发生的审计、法律服务、评估咨询等中介费用以及其他相关管理费用，于发生时计入当期损益。作为合</w:t>
      </w:r>
    </w:p>
    <w:p>
      <w:pPr>
        <w:pStyle w:val="BodyText"/>
        <w:spacing w:line="232" w:lineRule="exact"/>
        <w:ind w:right="0"/>
        <w:jc w:val="both"/>
      </w:pPr>
      <w:r>
        <w:rPr/>
        <w:t>并对价发行的权益性证券或债务性证券的交易费用，计入权益性证券或债务性证券的初始确认金额。</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510" w:lineRule="atLeast" w:before="90"/>
        <w:ind w:left="513" w:right="93"/>
        <w:jc w:val="left"/>
      </w:pPr>
      <w:r>
        <w:rPr/>
        <w:t>（</w:t>
      </w:r>
      <w:r>
        <w:rPr>
          <w:rFonts w:ascii="Times New Roman" w:hAnsi="Times New Roman" w:cs="Times New Roman" w:eastAsia="Times New Roman" w:hint="default"/>
        </w:rPr>
        <w:t>1</w:t>
      </w:r>
      <w:r>
        <w:rPr/>
        <w:t>）合并范围 </w:t>
      </w:r>
      <w:r>
        <w:rPr>
          <w:spacing w:val="-2"/>
        </w:rPr>
        <w:t>合并财务报表的合并范围以控制为基础予以确定。控制是指本集团拥有对被投资单位的权力，通过参与被投资单位的相</w:t>
      </w:r>
    </w:p>
    <w:p>
      <w:pPr>
        <w:pStyle w:val="BodyText"/>
        <w:spacing w:line="316" w:lineRule="auto" w:before="76"/>
        <w:ind w:right="103"/>
        <w:jc w:val="both"/>
      </w:pPr>
      <w:r>
        <w:rPr>
          <w:spacing w:val="-4"/>
        </w:rPr>
        <w:t>关活动而享有可变回报，并且有能力运用对被投资单位的权力影响其回报金额。子公司，是指被本公司控制的主体（含企业、</w:t>
      </w:r>
      <w:r>
        <w:rPr>
          <w:spacing w:val="-46"/>
        </w:rPr>
        <w:t> </w:t>
      </w:r>
      <w:r>
        <w:rPr>
          <w:spacing w:val="-46"/>
        </w:rPr>
      </w:r>
      <w:r>
        <w:rPr/>
        <w:t>被投资单位中可分割的部分，以及企业所控制的结构化主体等）。</w:t>
      </w:r>
    </w:p>
    <w:p>
      <w:pPr>
        <w:pStyle w:val="BodyText"/>
        <w:spacing w:line="528" w:lineRule="exact" w:before="22"/>
        <w:ind w:left="513" w:right="93"/>
        <w:jc w:val="left"/>
      </w:pPr>
      <w:r>
        <w:rPr/>
        <w:t>（</w:t>
      </w:r>
      <w:r>
        <w:rPr>
          <w:rFonts w:ascii="Times New Roman" w:hAnsi="Times New Roman" w:cs="Times New Roman" w:eastAsia="Times New Roman" w:hint="default"/>
        </w:rPr>
        <w:t>2</w:t>
      </w:r>
      <w:r>
        <w:rPr/>
        <w:t>）合并财务报表的编制方法 </w:t>
      </w:r>
      <w:r>
        <w:rPr>
          <w:spacing w:val="-2"/>
        </w:rPr>
        <w:t>合并财务报表以本公司和子公司的财务报表为基础，根据其他有关资料，由本公司编制。在编制合并财务报表时，本公</w:t>
      </w:r>
    </w:p>
    <w:p>
      <w:pPr>
        <w:pStyle w:val="BodyText"/>
        <w:spacing w:line="232" w:lineRule="exact"/>
        <w:ind w:right="0"/>
        <w:jc w:val="both"/>
      </w:pPr>
      <w:r>
        <w:rPr/>
        <w:t>司和子公司的会计政策和会计期间要求保持一致，公司间的重大交易和往来余额予以抵销。</w:t>
      </w:r>
    </w:p>
    <w:p>
      <w:pPr>
        <w:spacing w:line="240" w:lineRule="auto" w:before="4"/>
        <w:rPr>
          <w:rFonts w:ascii="宋体" w:hAnsi="宋体" w:cs="宋体" w:eastAsia="宋体" w:hint="default"/>
          <w:sz w:val="22"/>
          <w:szCs w:val="22"/>
        </w:rPr>
      </w:pPr>
    </w:p>
    <w:p>
      <w:pPr>
        <w:pStyle w:val="BodyText"/>
        <w:spacing w:line="316" w:lineRule="auto"/>
        <w:ind w:right="93" w:firstLine="360"/>
        <w:jc w:val="left"/>
      </w:pPr>
      <w:r>
        <w:rPr>
          <w:spacing w:val="-2"/>
        </w:rPr>
        <w:t>在报告期内因同一控制下企业合并增加的子公司以及业务，视同该子公司以及业务自同受最终控制方控制之日起纳入本</w:t>
      </w:r>
      <w:r>
        <w:rPr/>
        <w:t> 集团的合并范围，将其自同受最终控制方控制之日起的经营成果和现金流量纳入合并利润表和合并现金流量表中。</w:t>
      </w:r>
    </w:p>
    <w:p>
      <w:pPr>
        <w:spacing w:after="0" w:line="316" w:lineRule="auto"/>
        <w:jc w:val="left"/>
        <w:sectPr>
          <w:footerReference w:type="default" r:id="rId20"/>
          <w:pgSz w:w="11910" w:h="16840"/>
          <w:pgMar w:footer="979" w:header="745" w:top="1060" w:bottom="1160" w:left="980" w:right="940"/>
          <w:pgNumType w:start="96"/>
        </w:sectPr>
      </w:pPr>
    </w:p>
    <w:p>
      <w:pPr>
        <w:spacing w:line="240" w:lineRule="auto" w:before="9"/>
        <w:rPr>
          <w:rFonts w:ascii="宋体" w:hAnsi="宋体" w:cs="宋体" w:eastAsia="宋体" w:hint="default"/>
          <w:sz w:val="25"/>
          <w:szCs w:val="25"/>
        </w:rPr>
      </w:pPr>
    </w:p>
    <w:p>
      <w:pPr>
        <w:pStyle w:val="BodyText"/>
        <w:spacing w:line="319" w:lineRule="auto" w:before="44"/>
        <w:ind w:right="150" w:firstLine="360"/>
        <w:jc w:val="both"/>
      </w:pPr>
      <w:r>
        <w:rPr>
          <w:spacing w:val="-2"/>
        </w:rPr>
        <w:t>因非同一控制下企业合并增加的子公司以及业务，将该子公司以及业务自购买日至报告期末的收入、费用、利润纳入合</w:t>
      </w:r>
      <w:r>
        <w:rPr/>
        <w:t> 并利润表，将其现金流量纳入合并现金流量表。</w:t>
      </w:r>
    </w:p>
    <w:p>
      <w:pPr>
        <w:spacing w:line="240" w:lineRule="auto" w:before="11"/>
        <w:rPr>
          <w:rFonts w:ascii="宋体" w:hAnsi="宋体" w:cs="宋体" w:eastAsia="宋体" w:hint="default"/>
          <w:sz w:val="17"/>
          <w:szCs w:val="17"/>
        </w:rPr>
      </w:pPr>
    </w:p>
    <w:p>
      <w:pPr>
        <w:pStyle w:val="BodyText"/>
        <w:spacing w:line="309" w:lineRule="auto"/>
        <w:ind w:right="151" w:firstLine="360"/>
        <w:jc w:val="both"/>
      </w:pPr>
      <w:r>
        <w:rPr>
          <w:spacing w:val="-2"/>
        </w:rPr>
        <w:t>子公司的股东权益中不属于本公司所拥有的部分作为少数股东权益在合并资产负债表中股东权益项下单独列示。子公司</w:t>
      </w:r>
      <w:r>
        <w:rPr/>
        <w:t> </w:t>
      </w:r>
      <w:r>
        <w:rPr>
          <w:spacing w:val="-2"/>
        </w:rPr>
        <w:t>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w:t>
      </w:r>
      <w:r>
        <w:rPr>
          <w:spacing w:val="-43"/>
        </w:rPr>
        <w:t> </w:t>
      </w:r>
      <w:r>
        <w:rPr>
          <w:spacing w:val="-43"/>
        </w:rPr>
      </w:r>
      <w:r>
        <w:rPr/>
        <w:t>的亏损超过了少数股东在该子公司期初所有者权益中所享有的份额，其余额仍冲减少数股东权益。</w:t>
      </w:r>
    </w:p>
    <w:p>
      <w:pPr>
        <w:spacing w:line="240" w:lineRule="auto" w:before="5"/>
        <w:rPr>
          <w:rFonts w:ascii="宋体" w:hAnsi="宋体" w:cs="宋体" w:eastAsia="宋体" w:hint="default"/>
          <w:sz w:val="18"/>
          <w:szCs w:val="18"/>
        </w:rPr>
      </w:pPr>
    </w:p>
    <w:p>
      <w:pPr>
        <w:pStyle w:val="BodyText"/>
        <w:spacing w:line="309" w:lineRule="auto"/>
        <w:ind w:right="148"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于母公司所有者权益和少数股东权益的账面价值以反映其在子公司中相关权益的变化。少数股东权益的调整额与支付</w:t>
      </w:r>
      <w:r>
        <w:rPr>
          <w:rFonts w:ascii="Times New Roman" w:hAnsi="Times New Roman" w:cs="Times New Roman" w:eastAsia="Times New Roman" w:hint="default"/>
        </w:rPr>
        <w:t>/</w:t>
      </w:r>
      <w:r>
        <w:rPr/>
        <w:t>收到</w:t>
      </w:r>
      <w:r>
        <w:rPr>
          <w:spacing w:val="-43"/>
        </w:rPr>
        <w:t> </w:t>
      </w:r>
      <w:r>
        <w:rPr/>
        <w:t>对价的公允价值之间的差额调整资本公积，资本公积不足冲减的，调整留存收益。</w:t>
      </w:r>
    </w:p>
    <w:p>
      <w:pPr>
        <w:pStyle w:val="BodyText"/>
        <w:spacing w:line="528" w:lineRule="exact" w:before="28"/>
        <w:ind w:left="513" w:right="0"/>
        <w:jc w:val="left"/>
      </w:pPr>
      <w:r>
        <w:rPr/>
        <w:t>（</w:t>
      </w:r>
      <w:r>
        <w:rPr>
          <w:rFonts w:ascii="Times New Roman" w:hAnsi="Times New Roman" w:cs="Times New Roman" w:eastAsia="Times New Roman" w:hint="default"/>
        </w:rPr>
        <w:t>3</w:t>
      </w:r>
      <w:r>
        <w:rPr/>
        <w:t>）丧失子公司控制权的处理 </w:t>
      </w:r>
      <w:r>
        <w:rPr>
          <w:spacing w:val="-2"/>
        </w:rPr>
        <w:t>因处置部分股权投资或其他原因丧失了对原有子公司控制权的，剩余股权按照其在丧失控制权日的公允价值进行重新计</w:t>
      </w:r>
    </w:p>
    <w:p>
      <w:pPr>
        <w:pStyle w:val="BodyText"/>
        <w:spacing w:line="316" w:lineRule="auto"/>
        <w:ind w:right="0"/>
        <w:jc w:val="left"/>
      </w:pPr>
      <w:r>
        <w:rPr>
          <w:spacing w:val="-2"/>
        </w:rPr>
        <w:t>量；处置股权取得的对价与剩余股权公允价值之和，减去按原持股比例计算应享有原子公司自购买日开始持续计算的净资产</w:t>
      </w:r>
      <w:r>
        <w:rPr>
          <w:spacing w:val="-64"/>
        </w:rPr>
        <w:t> </w:t>
      </w:r>
      <w:r>
        <w:rPr>
          <w:spacing w:val="-64"/>
        </w:rPr>
      </w:r>
      <w:r>
        <w:rPr/>
        <w:t>的份额之间的差额，计入丧失控制权当期的投资收益，同时冲减商誉。</w:t>
      </w:r>
    </w:p>
    <w:p>
      <w:pPr>
        <w:spacing w:line="240" w:lineRule="auto" w:before="12"/>
        <w:rPr>
          <w:rFonts w:ascii="宋体" w:hAnsi="宋体" w:cs="宋体" w:eastAsia="宋体" w:hint="default"/>
          <w:sz w:val="17"/>
          <w:szCs w:val="17"/>
        </w:rPr>
      </w:pPr>
    </w:p>
    <w:p>
      <w:pPr>
        <w:pStyle w:val="BodyText"/>
        <w:spacing w:line="316" w:lineRule="auto"/>
        <w:ind w:right="150" w:firstLine="360"/>
        <w:jc w:val="both"/>
      </w:pPr>
      <w:r>
        <w:rPr>
          <w:spacing w:val="-2"/>
        </w:rPr>
        <w:t>与原有子公司的股权投资相关的其他综合收益、其他所有者权益变动，应当在丧失控制权时转入当期损益，由于被投资</w:t>
      </w:r>
      <w:r>
        <w:rPr/>
        <w:t> 方重新计量设定收益计划净负债或净资产变动而产生的其他综合收益除外。</w:t>
      </w:r>
    </w:p>
    <w:p>
      <w:pPr>
        <w:pStyle w:val="BodyText"/>
        <w:spacing w:line="528" w:lineRule="exact" w:before="22"/>
        <w:ind w:left="513" w:right="0"/>
        <w:jc w:val="left"/>
      </w:pPr>
      <w:r>
        <w:rPr/>
        <w:t>（</w:t>
      </w:r>
      <w:r>
        <w:rPr>
          <w:rFonts w:ascii="Times New Roman" w:hAnsi="Times New Roman" w:cs="Times New Roman" w:eastAsia="Times New Roman" w:hint="default"/>
        </w:rPr>
        <w:t>4</w:t>
      </w:r>
      <w:r>
        <w:rPr/>
        <w:t>）分步处置股权至丧失控制权的特殊处理 </w:t>
      </w:r>
      <w:r>
        <w:rPr>
          <w:spacing w:val="-2"/>
        </w:rPr>
        <w:t>分步处置股权至丧失控制权的各项交易的条款、条件以及经济影响符合以下一种或多种情况，本集团将多次交易事项作</w:t>
      </w:r>
    </w:p>
    <w:p>
      <w:pPr>
        <w:pStyle w:val="BodyText"/>
        <w:spacing w:line="232" w:lineRule="exact"/>
        <w:ind w:right="0"/>
        <w:jc w:val="left"/>
      </w:pPr>
      <w:r>
        <w:rPr/>
        <w:t>为一揽子交易进行会计处理：</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①这些交易是同时或者在考虑了彼此影响的情况下订立的；</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②这些交易整体才能达成一项完整的商业结果；</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③一项交易的发生取决于其他至少一项交易的发生；</w:t>
      </w:r>
    </w:p>
    <w:p>
      <w:pPr>
        <w:pStyle w:val="BodyText"/>
        <w:spacing w:line="520" w:lineRule="atLeast" w:before="8"/>
        <w:ind w:left="513" w:right="0"/>
        <w:jc w:val="left"/>
      </w:pPr>
      <w:r>
        <w:rPr/>
        <w:t>④一项交易单独看是不经济的，但是和其他交易一并考虑时是经济的。 </w:t>
      </w:r>
      <w:r>
        <w:rPr>
          <w:spacing w:val="-2"/>
        </w:rPr>
        <w:t>分步处置股权至丧失控制权的各项交易，在个别财务报表中，相应结转每一次处置股权相对应的长期股权投资的账面价</w:t>
      </w:r>
    </w:p>
    <w:p>
      <w:pPr>
        <w:pStyle w:val="BodyText"/>
        <w:spacing w:line="240" w:lineRule="auto" w:before="76"/>
        <w:ind w:right="0"/>
        <w:jc w:val="left"/>
      </w:pPr>
      <w:r>
        <w:rPr/>
        <w:t>值，所得价款与处置长期股权投资账面价值之间的差额计入当期投资收益。</w:t>
      </w:r>
    </w:p>
    <w:p>
      <w:pPr>
        <w:spacing w:line="240" w:lineRule="auto" w:before="5"/>
        <w:rPr>
          <w:rFonts w:ascii="宋体" w:hAnsi="宋体" w:cs="宋体" w:eastAsia="宋体" w:hint="default"/>
          <w:sz w:val="22"/>
          <w:szCs w:val="22"/>
        </w:rPr>
      </w:pPr>
    </w:p>
    <w:p>
      <w:pPr>
        <w:pStyle w:val="BodyText"/>
        <w:spacing w:line="300" w:lineRule="auto"/>
        <w:ind w:right="153" w:firstLine="360"/>
        <w:jc w:val="both"/>
      </w:pPr>
      <w:r>
        <w:rPr/>
        <w:t>在合并财务报表中，分步处置股权至丧失控制权时，剩余股权的计量以及有关处置股权损益的核算比照上述</w:t>
      </w:r>
      <w:r>
        <w:rPr>
          <w:rFonts w:ascii="Times New Roman" w:hAnsi="Times New Roman" w:cs="Times New Roman" w:eastAsia="Times New Roman" w:hint="default"/>
        </w:rPr>
        <w:t>“</w:t>
      </w:r>
      <w:r>
        <w:rPr/>
        <w:t>丧失子公 司控制权的处理</w:t>
      </w:r>
      <w:r>
        <w:rPr>
          <w:rFonts w:ascii="Times New Roman" w:hAnsi="Times New Roman" w:cs="Times New Roman" w:eastAsia="Times New Roman" w:hint="default"/>
        </w:rPr>
        <w:t>”</w:t>
      </w:r>
      <w:r>
        <w:rPr/>
        <w:t>。在丧失控制权之前每一次处置价款与处置投资对应的享有该子公司净资产份额的差额：</w:t>
      </w:r>
    </w:p>
    <w:p>
      <w:pPr>
        <w:spacing w:line="240" w:lineRule="auto" w:before="7"/>
        <w:rPr>
          <w:rFonts w:ascii="宋体" w:hAnsi="宋体" w:cs="宋体" w:eastAsia="宋体" w:hint="default"/>
          <w:sz w:val="17"/>
          <w:szCs w:val="17"/>
        </w:rPr>
      </w:pPr>
    </w:p>
    <w:p>
      <w:pPr>
        <w:pStyle w:val="BodyText"/>
        <w:spacing w:line="240" w:lineRule="auto"/>
        <w:ind w:left="513" w:right="0"/>
        <w:jc w:val="left"/>
      </w:pPr>
      <w:r>
        <w:rPr/>
        <w:t>①属于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的，确认为其他综合收益。在丧失控制权时一并转入丧失控制权当期的损益。</w:t>
      </w:r>
    </w:p>
    <w:p>
      <w:pPr>
        <w:spacing w:line="240" w:lineRule="auto" w:before="4"/>
        <w:rPr>
          <w:rFonts w:ascii="宋体" w:hAnsi="宋体" w:cs="宋体" w:eastAsia="宋体" w:hint="default"/>
          <w:sz w:val="21"/>
          <w:szCs w:val="21"/>
        </w:rPr>
      </w:pPr>
    </w:p>
    <w:p>
      <w:pPr>
        <w:pStyle w:val="BodyText"/>
        <w:spacing w:line="300" w:lineRule="auto"/>
        <w:ind w:right="152" w:firstLine="360"/>
        <w:jc w:val="both"/>
      </w:pPr>
      <w:r>
        <w:rPr/>
        <w:t>②不属于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的，作为权益性交易计入资本公积（股本溢价</w:t>
      </w:r>
      <w:r>
        <w:rPr>
          <w:rFonts w:ascii="Times New Roman" w:hAnsi="Times New Roman" w:cs="Times New Roman" w:eastAsia="Times New Roman" w:hint="default"/>
        </w:rPr>
        <w:t>/</w:t>
      </w:r>
      <w:r>
        <w:rPr/>
        <w:t>资本溢价）。在丧失控制权时不得转入丧失控制 权当期的损益。</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93" w:firstLine="360"/>
        <w:jc w:val="left"/>
      </w:pPr>
      <w:r>
        <w:rPr>
          <w:spacing w:val="-2"/>
        </w:rPr>
        <w:t>现金是指库存现金以及可以随时用于支付的存款。现金等价物，是指本集团持有的期限短、流动性强、易于转换为已知</w:t>
      </w:r>
      <w:r>
        <w:rPr/>
        <w:t> 金额现金、价值变动风险很小的投资。</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pStyle w:val="BodyText"/>
        <w:spacing w:line="530" w:lineRule="atLeast" w:before="54"/>
        <w:ind w:left="513" w:right="93"/>
        <w:jc w:val="left"/>
      </w:pPr>
      <w:r>
        <w:rPr/>
        <w:t>本集团发生外币业务，按交易发生日的即期汇率折算为记账本位币金额。 </w:t>
      </w:r>
      <w:r>
        <w:rPr>
          <w:spacing w:val="-2"/>
        </w:rPr>
        <w:t>资产负债表日，对外币货币性项目，采用资产负债表日即期汇率折算。因资产负债表日即期汇率与初始确认时或者前一</w:t>
      </w:r>
    </w:p>
    <w:p>
      <w:pPr>
        <w:pStyle w:val="BodyText"/>
        <w:spacing w:line="319" w:lineRule="auto" w:before="76"/>
        <w:ind w:right="190"/>
        <w:jc w:val="both"/>
      </w:pPr>
      <w:r>
        <w:rPr>
          <w:spacing w:val="-2"/>
        </w:rPr>
        <w:t>资产负债表日即期汇率不同而产生的汇兑差额，计入当期损益；对以历史成本计量的外币非货币性项目，仍采用交易发生日</w:t>
      </w:r>
      <w:r>
        <w:rPr>
          <w:spacing w:val="-63"/>
        </w:rPr>
        <w:t> </w:t>
      </w:r>
      <w:r>
        <w:rPr>
          <w:spacing w:val="-63"/>
        </w:rPr>
      </w: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金融工具是指形成一个企业的金融资产，并形成其他单位的金融负债或权益工具的合同。</w:t>
      </w:r>
    </w:p>
    <w:p>
      <w:pPr>
        <w:spacing w:line="240" w:lineRule="auto" w:before="5"/>
        <w:rPr>
          <w:rFonts w:ascii="宋体" w:hAnsi="宋体" w:cs="宋体" w:eastAsia="宋体" w:hint="default"/>
          <w:sz w:val="22"/>
          <w:szCs w:val="22"/>
        </w:rPr>
      </w:pPr>
    </w:p>
    <w:p>
      <w:pPr>
        <w:pStyle w:val="BodyText"/>
        <w:spacing w:line="523" w:lineRule="auto"/>
        <w:ind w:left="513" w:right="4053"/>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80"/>
        <w:ind w:left="513" w:right="1713"/>
        <w:jc w:val="left"/>
      </w:pPr>
      <w:r>
        <w:rPr/>
        <w:t>①</w:t>
      </w:r>
      <w:r>
        <w:rPr>
          <w:spacing w:val="-18"/>
        </w:rPr>
        <w:t> </w:t>
      </w:r>
      <w:r>
        <w:rPr/>
        <w:t>收取该金融资产现金流量的合同权利终止；</w:t>
      </w:r>
    </w:p>
    <w:p>
      <w:pPr>
        <w:pStyle w:val="BodyText"/>
        <w:spacing w:line="530" w:lineRule="atLeast"/>
        <w:ind w:left="513" w:right="93"/>
        <w:jc w:val="left"/>
      </w:pPr>
      <w:r>
        <w:rPr/>
        <w:t>②</w:t>
      </w:r>
      <w:r>
        <w:rPr>
          <w:spacing w:val="-18"/>
        </w:rPr>
        <w:t> </w:t>
      </w:r>
      <w:r>
        <w:rPr/>
        <w:t>该金融资产已转移，且符合下述金融资产转移的终止确认条件。</w:t>
      </w:r>
      <w:r>
        <w:rPr/>
        <w:t> </w:t>
      </w:r>
      <w:r>
        <w:rPr>
          <w:spacing w:val="-2"/>
        </w:rPr>
        <w:t>金融负债的现时义务全部或部分已经解除的，终止确认该金融负债或其一部分。本集团（债务人）与债权人之间签订协</w:t>
      </w:r>
    </w:p>
    <w:p>
      <w:pPr>
        <w:pStyle w:val="BodyText"/>
        <w:spacing w:line="316" w:lineRule="auto" w:before="76"/>
        <w:ind w:right="189"/>
        <w:jc w:val="both"/>
      </w:pPr>
      <w:r>
        <w:rPr>
          <w:spacing w:val="-2"/>
        </w:rPr>
        <w:t>议，以承担新金融负债方式替换现存金融负债，且新金融负债与现存金融负债的合同条款实质上不同的，终止确认现存金融</w:t>
      </w:r>
      <w:r>
        <w:rPr>
          <w:spacing w:val="-62"/>
        </w:rPr>
        <w:t> </w:t>
      </w:r>
      <w:r>
        <w:rPr>
          <w:spacing w:val="-62"/>
        </w:rPr>
      </w:r>
      <w:r>
        <w:rPr/>
        <w:t>负债，并同时确认新金融负债。</w:t>
      </w:r>
    </w:p>
    <w:p>
      <w:pPr>
        <w:spacing w:line="240" w:lineRule="auto" w:before="12"/>
        <w:rPr>
          <w:rFonts w:ascii="宋体" w:hAnsi="宋体" w:cs="宋体" w:eastAsia="宋体" w:hint="default"/>
          <w:sz w:val="17"/>
          <w:szCs w:val="17"/>
        </w:rPr>
      </w:pPr>
    </w:p>
    <w:p>
      <w:pPr>
        <w:pStyle w:val="BodyText"/>
        <w:spacing w:line="240" w:lineRule="auto"/>
        <w:ind w:left="513" w:right="1713"/>
        <w:jc w:val="left"/>
      </w:pPr>
      <w:r>
        <w:rPr/>
        <w:t>以常规方式买卖金融资产，按交易日进行会计确认和终止确认。</w:t>
      </w:r>
    </w:p>
    <w:p>
      <w:pPr>
        <w:pStyle w:val="BodyText"/>
        <w:spacing w:line="510" w:lineRule="atLeast" w:before="31"/>
        <w:ind w:left="513" w:right="93"/>
        <w:jc w:val="left"/>
      </w:pPr>
      <w:r>
        <w:rPr/>
        <w:t>（</w:t>
      </w:r>
      <w:r>
        <w:rPr>
          <w:rFonts w:ascii="Times New Roman" w:hAnsi="Times New Roman" w:cs="Times New Roman" w:eastAsia="Times New Roman" w:hint="default"/>
        </w:rPr>
        <w:t>2</w:t>
      </w:r>
      <w:r>
        <w:rPr/>
        <w:t>）金融资产分类和计量 本集团的金融资产于初始确认时分为以下四类：以公允价值计量且其变动计入当期损益的金融资产、持有至到期投资、</w:t>
      </w:r>
    </w:p>
    <w:p>
      <w:pPr>
        <w:pStyle w:val="BodyText"/>
        <w:spacing w:line="316" w:lineRule="auto" w:before="77"/>
        <w:ind w:right="190"/>
        <w:jc w:val="both"/>
      </w:pPr>
      <w:r>
        <w:rPr>
          <w:spacing w:val="-2"/>
        </w:rPr>
        <w:t>贷款和应收款项、可供出售金融资产。金融资产在初始确认时以公允价值计量。对于以公允价值计量且其变动计入当期损益</w:t>
      </w:r>
      <w:r>
        <w:rPr>
          <w:spacing w:val="-63"/>
        </w:rPr>
        <w:t> </w:t>
      </w:r>
      <w:r>
        <w:rPr>
          <w:spacing w:val="-63"/>
        </w:rPr>
      </w:r>
      <w:r>
        <w:rPr/>
        <w:t>的金融资产，相关交易费用直接计入当期损益，其他类别的金融资产相关交易费用计入其初始确认金额。</w:t>
      </w:r>
    </w:p>
    <w:p>
      <w:pPr>
        <w:pStyle w:val="BodyText"/>
        <w:spacing w:line="528" w:lineRule="exact" w:before="22"/>
        <w:ind w:left="513" w:right="93"/>
        <w:jc w:val="left"/>
      </w:pPr>
      <w:r>
        <w:rPr/>
        <w:t>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16" w:lineRule="auto"/>
        <w:ind w:right="190"/>
        <w:jc w:val="both"/>
      </w:pPr>
      <w:r>
        <w:rPr>
          <w:spacing w:val="-2"/>
        </w:rPr>
        <w:t>计入当期损益的金融资产。对于此类金融资产，采用公允价值进行后续计量，公允价值变动形成的利得或损失以及与该等金</w:t>
      </w:r>
      <w:r>
        <w:rPr>
          <w:spacing w:val="-63"/>
        </w:rPr>
        <w:t> </w:t>
      </w:r>
      <w:r>
        <w:rPr>
          <w:spacing w:val="-63"/>
        </w:rPr>
      </w:r>
      <w:r>
        <w:rPr/>
        <w:t>融资产相关的股利和利息收入计入当期损益。</w:t>
      </w:r>
    </w:p>
    <w:p>
      <w:pPr>
        <w:spacing w:line="240" w:lineRule="auto" w:before="12"/>
        <w:rPr>
          <w:rFonts w:ascii="宋体" w:hAnsi="宋体" w:cs="宋体" w:eastAsia="宋体" w:hint="default"/>
          <w:sz w:val="17"/>
          <w:szCs w:val="17"/>
        </w:rPr>
      </w:pPr>
    </w:p>
    <w:p>
      <w:pPr>
        <w:pStyle w:val="BodyText"/>
        <w:spacing w:line="537" w:lineRule="auto"/>
        <w:ind w:left="513" w:right="93"/>
        <w:jc w:val="left"/>
      </w:pPr>
      <w:r>
        <w:rPr/>
        <w:t>持有至到期投资 </w:t>
      </w:r>
      <w:r>
        <w:rPr>
          <w:spacing w:val="-4"/>
        </w:rPr>
        <w:t>持有至到期投资，是指到期日固定、回收金额固定或可确定，且本集团有明确意图和能力持有至到期的非衍生金融资产。</w:t>
      </w:r>
    </w:p>
    <w:p>
      <w:pPr>
        <w:spacing w:after="0" w:line="537"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1"/>
        <w:jc w:val="both"/>
      </w:pPr>
      <w:r>
        <w:rPr>
          <w:spacing w:val="-2"/>
        </w:rPr>
        <w:t>持有至到期投资采用实际利率法，按照摊余成本进行后续计量，其终止确认、发生减值或摊销产生的利得或损失，均计入当</w:t>
      </w:r>
      <w:r>
        <w:rPr>
          <w:spacing w:val="-64"/>
        </w:rPr>
        <w:t> </w:t>
      </w:r>
      <w:r>
        <w:rPr>
          <w:spacing w:val="-64"/>
        </w:rPr>
      </w:r>
      <w:r>
        <w:rPr/>
        <w:t>期损益。</w:t>
      </w:r>
    </w:p>
    <w:p>
      <w:pPr>
        <w:pStyle w:val="BodyText"/>
        <w:spacing w:line="528" w:lineRule="exact" w:before="21"/>
        <w:ind w:left="513" w:right="93"/>
        <w:jc w:val="left"/>
      </w:pPr>
      <w:r>
        <w:rPr/>
        <w:t>应收款项 </w:t>
      </w:r>
      <w:r>
        <w:rPr>
          <w:spacing w:val="-2"/>
        </w:rPr>
        <w:t>应收款项，是指在活跃市场中没有报价、回收金额固定或可确定的非衍生金融资产，包括应收账款和其他应收款等</w:t>
      </w:r>
      <w:r>
        <w:rPr>
          <w:color w:val="FF0000"/>
          <w:spacing w:val="-2"/>
        </w:rPr>
        <w:t>（附</w:t>
      </w:r>
      <w:r>
        <w:rPr/>
      </w:r>
    </w:p>
    <w:p>
      <w:pPr>
        <w:pStyle w:val="BodyText"/>
        <w:spacing w:line="300" w:lineRule="auto"/>
        <w:ind w:right="195"/>
        <w:jc w:val="both"/>
      </w:pPr>
      <w:r>
        <w:rPr>
          <w:color w:val="FF0000"/>
          <w:spacing w:val="-2"/>
        </w:rPr>
        <w:t>注五、</w:t>
      </w:r>
      <w:r>
        <w:rPr>
          <w:rFonts w:ascii="Times New Roman" w:hAnsi="Times New Roman" w:cs="Times New Roman" w:eastAsia="Times New Roman" w:hint="default"/>
          <w:color w:val="FF0000"/>
          <w:spacing w:val="-2"/>
        </w:rPr>
        <w:t>11</w:t>
      </w:r>
      <w:r>
        <w:rPr>
          <w:color w:val="FF0000"/>
          <w:spacing w:val="-2"/>
        </w:rPr>
        <w:t>）</w:t>
      </w:r>
      <w:r>
        <w:rPr>
          <w:spacing w:val="-2"/>
        </w:rPr>
        <w:t>。应收款项采用实际利率法，按摊余成本进行后续计量，在终止确认、发生减值或摊销时产生的利得或损失，计</w:t>
      </w:r>
      <w:r>
        <w:rPr>
          <w:spacing w:val="-71"/>
        </w:rPr>
        <w:t> </w:t>
      </w:r>
      <w:r>
        <w:rPr>
          <w:spacing w:val="-71"/>
        </w:rPr>
      </w:r>
      <w:r>
        <w:rPr/>
        <w:t>入当期损益。</w:t>
      </w:r>
    </w:p>
    <w:p>
      <w:pPr>
        <w:pStyle w:val="BodyText"/>
        <w:spacing w:line="528" w:lineRule="exact" w:before="35"/>
        <w:ind w:left="513" w:right="93"/>
        <w:jc w:val="left"/>
      </w:pPr>
      <w:r>
        <w:rPr/>
        <w:t>可供出售金融资产 可供出售金融资产，是指初始确认时即指定为可供出售的非衍生金融资产，以及除上述金融资产类别以外的金融资产。</w:t>
      </w:r>
    </w:p>
    <w:p>
      <w:pPr>
        <w:pStyle w:val="BodyText"/>
        <w:spacing w:line="319" w:lineRule="auto"/>
        <w:ind w:right="191"/>
        <w:jc w:val="both"/>
      </w:pPr>
      <w:r>
        <w:rPr>
          <w:spacing w:val="-2"/>
        </w:rPr>
        <w:t>可供出售金融资产采用公允价值进行后续计量，其折溢价采用实际利率法摊销并确认为利息收入。除减值损失及外币货币性</w:t>
      </w:r>
      <w:r>
        <w:rPr>
          <w:spacing w:val="-64"/>
        </w:rPr>
        <w:t> </w:t>
      </w:r>
      <w:r>
        <w:rPr>
          <w:spacing w:val="-64"/>
        </w:rPr>
      </w:r>
      <w:r>
        <w:rPr>
          <w:spacing w:val="-2"/>
        </w:rPr>
        <w:t>金融资产的汇兑差额确认为当期损益外，可供出售金融资产的公允价值变动确认为其他综合收益，在该金融资产终止确认时</w:t>
      </w:r>
      <w:r>
        <w:rPr>
          <w:spacing w:val="-64"/>
        </w:rPr>
        <w:t> </w:t>
      </w:r>
      <w:r>
        <w:rPr>
          <w:spacing w:val="-64"/>
        </w:rPr>
      </w:r>
      <w:r>
        <w:rPr/>
        <w:t>转出，计入当期损益。与可供出售金融资产相关的股利或利息收入，计入当期损益。</w:t>
      </w:r>
    </w:p>
    <w:p>
      <w:pPr>
        <w:spacing w:line="240" w:lineRule="auto" w:before="11"/>
        <w:rPr>
          <w:rFonts w:ascii="宋体" w:hAnsi="宋体" w:cs="宋体" w:eastAsia="宋体" w:hint="default"/>
          <w:sz w:val="17"/>
          <w:szCs w:val="17"/>
        </w:rPr>
      </w:pPr>
    </w:p>
    <w:p>
      <w:pPr>
        <w:pStyle w:val="BodyText"/>
        <w:spacing w:line="316" w:lineRule="auto"/>
        <w:ind w:right="192" w:firstLine="360"/>
        <w:jc w:val="both"/>
      </w:pPr>
      <w:r>
        <w:rPr>
          <w:spacing w:val="-2"/>
        </w:rPr>
        <w:t>对于在活跃市场中没有报价且其公允价值不能可靠计量的权益工具投资，以及与该权益工具挂钩并须通过交付该权益工</w:t>
      </w:r>
      <w:r>
        <w:rPr/>
        <w:t> 具结算的衍生金融资产，按成本计量。</w:t>
      </w:r>
    </w:p>
    <w:p>
      <w:pPr>
        <w:pStyle w:val="BodyText"/>
        <w:spacing w:line="528" w:lineRule="exact" w:before="22"/>
        <w:ind w:left="513" w:right="93"/>
        <w:jc w:val="left"/>
      </w:pPr>
      <w:r>
        <w:rPr/>
        <w:t>（</w:t>
      </w:r>
      <w:r>
        <w:rPr>
          <w:rFonts w:ascii="Times New Roman" w:hAnsi="Times New Roman" w:cs="Times New Roman" w:eastAsia="Times New Roman" w:hint="default"/>
        </w:rPr>
        <w:t>3</w:t>
      </w:r>
      <w:r>
        <w:rPr/>
        <w:t>）金融负债分类和计量 </w:t>
      </w:r>
      <w:r>
        <w:rPr>
          <w:spacing w:val="-2"/>
        </w:rPr>
        <w:t>本集团的金融负债于初始确认时分类为：以公允价值计量且其变动计入当期损益的金融负债、其他金融负债。对于未划</w:t>
      </w:r>
    </w:p>
    <w:p>
      <w:pPr>
        <w:pStyle w:val="BodyText"/>
        <w:spacing w:line="537" w:lineRule="auto"/>
        <w:ind w:left="513" w:right="1713" w:hanging="360"/>
        <w:jc w:val="left"/>
      </w:pPr>
      <w:r>
        <w:rPr/>
        <w:t>分为以公允价值计量且其变动计入当期损益的金融负债的，相关交易费用计入其初始确认金额。 以公允价值计量且其变动计入当期损益的金融负债</w:t>
      </w:r>
    </w:p>
    <w:p>
      <w:pPr>
        <w:pStyle w:val="BodyText"/>
        <w:spacing w:line="316" w:lineRule="auto" w:before="69"/>
        <w:ind w:right="190" w:firstLine="360"/>
        <w:jc w:val="both"/>
      </w:pPr>
      <w:r>
        <w:rPr>
          <w:spacing w:val="-2"/>
        </w:rPr>
        <w:t>以公允价值计量且其变动计入当期损益的金融负债，包括交易性金融负债和初始确认时指定为以公允价值计量且其变动</w:t>
      </w:r>
      <w:r>
        <w:rPr/>
        <w:t> </w:t>
      </w:r>
      <w:r>
        <w:rPr>
          <w:spacing w:val="-2"/>
        </w:rPr>
        <w:t>计入当期损益的金融负债。对于此类金融负债，按照公允价值进行后续计量，公允价值变动形成的利得或损失以及与该等金</w:t>
      </w:r>
      <w:r>
        <w:rPr>
          <w:spacing w:val="-63"/>
        </w:rPr>
        <w:t> </w:t>
      </w:r>
      <w:r>
        <w:rPr>
          <w:spacing w:val="-63"/>
        </w:rPr>
      </w:r>
      <w:r>
        <w:rPr/>
        <w:t>融负债相关的股利和利息支出计入当期损益。</w:t>
      </w:r>
    </w:p>
    <w:p>
      <w:pPr>
        <w:pStyle w:val="BodyText"/>
        <w:spacing w:line="528" w:lineRule="exact" w:before="22"/>
        <w:ind w:left="513" w:right="93"/>
        <w:jc w:val="left"/>
      </w:pPr>
      <w:r>
        <w:rPr/>
        <w:t>其他金融负债 </w:t>
      </w:r>
      <w:r>
        <w:rPr>
          <w:spacing w:val="-2"/>
        </w:rPr>
        <w:t>与在活跃市场中没有报价、公允价值不能可靠计量的权益工具挂钩并须通过交付该权益工具结算的衍生金融负债，按照</w:t>
      </w:r>
    </w:p>
    <w:p>
      <w:pPr>
        <w:pStyle w:val="BodyText"/>
        <w:spacing w:line="316" w:lineRule="auto"/>
        <w:ind w:right="190"/>
        <w:jc w:val="both"/>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528" w:lineRule="exact" w:before="22"/>
        <w:ind w:left="513" w:right="93"/>
        <w:jc w:val="left"/>
      </w:pPr>
      <w:r>
        <w:rPr/>
        <w:t>（</w:t>
      </w:r>
      <w:r>
        <w:rPr>
          <w:rFonts w:ascii="Times New Roman" w:hAnsi="Times New Roman" w:cs="Times New Roman" w:eastAsia="Times New Roman" w:hint="default"/>
        </w:rPr>
        <w:t>4</w:t>
      </w:r>
      <w:r>
        <w:rPr/>
        <w:t>）金融工具的公允价值 </w:t>
      </w:r>
      <w:r>
        <w:rPr>
          <w:spacing w:val="-2"/>
        </w:rPr>
        <w:t>存在活跃市场的金融资产或金融负债，本集团采用活跃市场中的报价确定其公允价值。金融工具不存在活跃市场的，本</w:t>
      </w:r>
    </w:p>
    <w:p>
      <w:pPr>
        <w:pStyle w:val="BodyText"/>
        <w:spacing w:line="232" w:lineRule="exact"/>
        <w:ind w:right="0"/>
        <w:jc w:val="both"/>
      </w:pPr>
      <w:r>
        <w:rPr/>
        <w:t>集团采用估值技术确定其公允价值。</w:t>
      </w:r>
    </w:p>
    <w:p>
      <w:pPr>
        <w:spacing w:line="240" w:lineRule="auto" w:before="5"/>
        <w:rPr>
          <w:rFonts w:ascii="宋体" w:hAnsi="宋体" w:cs="宋体" w:eastAsia="宋体" w:hint="default"/>
          <w:sz w:val="22"/>
          <w:szCs w:val="22"/>
        </w:rPr>
      </w:pPr>
    </w:p>
    <w:p>
      <w:pPr>
        <w:pStyle w:val="BodyText"/>
        <w:spacing w:line="316" w:lineRule="auto"/>
        <w:ind w:right="192" w:firstLine="360"/>
        <w:jc w:val="both"/>
      </w:pPr>
      <w:r>
        <w:rPr>
          <w:spacing w:val="-2"/>
        </w:rPr>
        <w:t>本集团采用在当前情况下适用并且有足够可利用数据和其他信息支持的估值技术，优先使用相关可观察输入值，只有在</w:t>
      </w:r>
      <w:r>
        <w:rPr/>
        <w:t> 可观察输入值无法取得或取得不切实可行的情况下，才使用不可观察输入值。</w:t>
      </w:r>
    </w:p>
    <w:p>
      <w:pPr>
        <w:spacing w:line="240" w:lineRule="auto" w:before="12"/>
        <w:rPr>
          <w:rFonts w:ascii="宋体" w:hAnsi="宋体" w:cs="宋体" w:eastAsia="宋体" w:hint="default"/>
          <w:sz w:val="17"/>
          <w:szCs w:val="17"/>
        </w:rPr>
      </w:pPr>
    </w:p>
    <w:p>
      <w:pPr>
        <w:pStyle w:val="BodyText"/>
        <w:spacing w:line="240" w:lineRule="auto"/>
        <w:ind w:left="513" w:right="1713"/>
        <w:jc w:val="left"/>
      </w:pPr>
      <w:r>
        <w:rPr/>
        <w:t>（</w:t>
      </w:r>
      <w:r>
        <w:rPr>
          <w:rFonts w:ascii="Times New Roman" w:hAnsi="Times New Roman" w:cs="Times New Roman" w:eastAsia="Times New Roman" w:hint="default"/>
        </w:rPr>
        <w:t>5</w:t>
      </w:r>
      <w:r>
        <w:rPr/>
        <w:t>）金融资产减值</w:t>
      </w:r>
    </w:p>
    <w:p>
      <w:pPr>
        <w:spacing w:line="240" w:lineRule="auto" w:before="4"/>
        <w:rPr>
          <w:rFonts w:ascii="宋体" w:hAnsi="宋体" w:cs="宋体" w:eastAsia="宋体" w:hint="default"/>
          <w:sz w:val="21"/>
          <w:szCs w:val="21"/>
        </w:rPr>
      </w:pPr>
    </w:p>
    <w:p>
      <w:pPr>
        <w:pStyle w:val="BodyText"/>
        <w:spacing w:line="316" w:lineRule="auto"/>
        <w:ind w:right="185" w:firstLine="360"/>
        <w:jc w:val="both"/>
      </w:pPr>
      <w:r>
        <w:rPr/>
        <w:t>除了以公允价值计量且其变动计入当期损益的金融资产外，本集团于资产负债表日对其他金融资产的账面价值进行检</w:t>
      </w:r>
      <w:r>
        <w:rPr>
          <w:spacing w:val="2"/>
        </w:rPr>
        <w:t> </w:t>
      </w:r>
      <w:r>
        <w:rPr>
          <w:spacing w:val="-2"/>
        </w:rPr>
        <w:t>查，有客观证据表明该金融资产发生减值的，计提减值准备。表明金融资产发生减值的客观证据，是指金融资产初始确认后</w:t>
      </w:r>
      <w:r>
        <w:rPr>
          <w:spacing w:val="-64"/>
        </w:rPr>
        <w:t> </w:t>
      </w:r>
      <w:r>
        <w:rPr>
          <w:spacing w:val="-64"/>
        </w:rPr>
      </w:r>
      <w:r>
        <w:rPr/>
        <w:t>实际发生的、对该金融资产的预计未来现金流量有影响，且企业能够对该影响进行可靠计量的事项。</w:t>
      </w:r>
    </w:p>
    <w:p>
      <w:pPr>
        <w:spacing w:after="0" w:line="316"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金融资产发生减值的客观证据，包括下列可观察到的情形：</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①发行方或债务人发生严重财务困难；</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②债务人违反了合同条款，如偿付利息或本金发生违约或逾期等；</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③本集团出于经济或法律等方面因素的考虑，对发生财务困难的债务人作出让步；</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④债务人很可能倒闭或者进行其他财务重组；</w:t>
      </w:r>
    </w:p>
    <w:p>
      <w:pPr>
        <w:spacing w:line="240" w:lineRule="auto" w:before="5"/>
        <w:rPr>
          <w:rFonts w:ascii="宋体" w:hAnsi="宋体" w:cs="宋体" w:eastAsia="宋体" w:hint="default"/>
          <w:sz w:val="22"/>
          <w:szCs w:val="22"/>
        </w:rPr>
      </w:pPr>
    </w:p>
    <w:p>
      <w:pPr>
        <w:pStyle w:val="BodyText"/>
        <w:spacing w:line="240" w:lineRule="auto"/>
        <w:ind w:left="513" w:right="0"/>
        <w:jc w:val="left"/>
      </w:pPr>
      <w:r>
        <w:rPr/>
        <w:t>⑤因发行方发生重大财务困难，导致金融资产无法在活跃市场继续交易；</w:t>
      </w:r>
    </w:p>
    <w:p>
      <w:pPr>
        <w:spacing w:line="240" w:lineRule="auto" w:before="5"/>
        <w:rPr>
          <w:rFonts w:ascii="宋体" w:hAnsi="宋体" w:cs="宋体" w:eastAsia="宋体" w:hint="default"/>
          <w:sz w:val="22"/>
          <w:szCs w:val="22"/>
        </w:rPr>
      </w:pPr>
    </w:p>
    <w:p>
      <w:pPr>
        <w:pStyle w:val="BodyText"/>
        <w:spacing w:line="316" w:lineRule="auto"/>
        <w:ind w:right="0"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spacing w:line="240" w:lineRule="auto" w:before="13"/>
        <w:rPr>
          <w:rFonts w:ascii="宋体" w:hAnsi="宋体" w:cs="宋体" w:eastAsia="宋体" w:hint="default"/>
          <w:sz w:val="17"/>
          <w:szCs w:val="17"/>
        </w:rPr>
      </w:pPr>
    </w:p>
    <w:p>
      <w:pPr>
        <w:pStyle w:val="BodyText"/>
        <w:spacing w:line="240" w:lineRule="auto"/>
        <w:ind w:left="57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该组金融资产的债务人支付能力逐步恶化；</w:t>
      </w:r>
    </w:p>
    <w:p>
      <w:pPr>
        <w:spacing w:line="240" w:lineRule="auto" w:before="4"/>
        <w:rPr>
          <w:rFonts w:ascii="宋体" w:hAnsi="宋体" w:cs="宋体" w:eastAsia="宋体" w:hint="default"/>
          <w:sz w:val="21"/>
          <w:szCs w:val="21"/>
        </w:rPr>
      </w:pPr>
    </w:p>
    <w:p>
      <w:pPr>
        <w:pStyle w:val="BodyText"/>
        <w:spacing w:line="240" w:lineRule="auto"/>
        <w:ind w:left="57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债务人所在国家或地区经济出现了可能导致该组金融资产无法支付的状况；</w:t>
      </w:r>
    </w:p>
    <w:p>
      <w:pPr>
        <w:spacing w:line="240" w:lineRule="auto" w:before="4"/>
        <w:rPr>
          <w:rFonts w:ascii="宋体" w:hAnsi="宋体" w:cs="宋体" w:eastAsia="宋体" w:hint="default"/>
          <w:sz w:val="21"/>
          <w:szCs w:val="21"/>
        </w:rPr>
      </w:pPr>
    </w:p>
    <w:p>
      <w:pPr>
        <w:pStyle w:val="BodyText"/>
        <w:spacing w:line="240" w:lineRule="auto"/>
        <w:ind w:left="513" w:right="0"/>
        <w:jc w:val="left"/>
      </w:pPr>
      <w:r>
        <w:rPr/>
        <w:t>⑦债务人经营所处的技术、市场、经济或法律环境等发生重大不利变化，使权益工具投资人可能无法收回投资成本；</w:t>
      </w:r>
    </w:p>
    <w:p>
      <w:pPr>
        <w:spacing w:line="240" w:lineRule="auto" w:before="5"/>
        <w:rPr>
          <w:rFonts w:ascii="宋体" w:hAnsi="宋体" w:cs="宋体" w:eastAsia="宋体" w:hint="default"/>
          <w:sz w:val="22"/>
          <w:szCs w:val="22"/>
        </w:rPr>
      </w:pPr>
    </w:p>
    <w:p>
      <w:pPr>
        <w:pStyle w:val="BodyText"/>
        <w:spacing w:line="316" w:lineRule="auto"/>
        <w:ind w:right="0" w:firstLine="360"/>
        <w:jc w:val="left"/>
      </w:pPr>
      <w:r>
        <w:rPr>
          <w:spacing w:val="-2"/>
        </w:rPr>
        <w:t>⑧权益工具投资的公允价值发生严重或非暂时性下跌，如权益工具投资于资产负债表日的公允价值低于其初始投资成本</w:t>
      </w:r>
      <w:r>
        <w:rPr/>
        <w:t> 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w:t>
      </w:r>
    </w:p>
    <w:p>
      <w:pPr>
        <w:spacing w:line="240" w:lineRule="auto" w:before="6"/>
        <w:rPr>
          <w:rFonts w:ascii="宋体" w:hAnsi="宋体" w:cs="宋体" w:eastAsia="宋体" w:hint="default"/>
          <w:sz w:val="16"/>
          <w:szCs w:val="16"/>
        </w:rPr>
      </w:pPr>
    </w:p>
    <w:p>
      <w:pPr>
        <w:pStyle w:val="BodyText"/>
        <w:spacing w:line="300" w:lineRule="auto"/>
        <w:ind w:right="0" w:firstLine="360"/>
        <w:jc w:val="left"/>
      </w:pPr>
      <w:r>
        <w:rPr>
          <w:spacing w:val="-2"/>
        </w:rPr>
        <w:t>低于其初始投资成本持续时间超过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个月）是指，权益工具投资公允价值月度均值连续</w:t>
      </w:r>
      <w:r>
        <w:rPr>
          <w:rFonts w:ascii="Times New Roman" w:hAnsi="Times New Roman" w:cs="Times New Roman" w:eastAsia="Times New Roman" w:hint="default"/>
          <w:spacing w:val="-2"/>
        </w:rPr>
        <w:t>12</w:t>
      </w:r>
      <w:r>
        <w:rPr>
          <w:spacing w:val="-2"/>
        </w:rPr>
        <w:t>个月均低于其初始</w:t>
      </w:r>
      <w:r>
        <w:rPr/>
        <w:t> 投资成本。</w:t>
      </w:r>
    </w:p>
    <w:p>
      <w:pPr>
        <w:spacing w:line="240" w:lineRule="auto" w:before="12"/>
        <w:rPr>
          <w:rFonts w:ascii="宋体" w:hAnsi="宋体" w:cs="宋体" w:eastAsia="宋体" w:hint="default"/>
          <w:sz w:val="18"/>
          <w:szCs w:val="18"/>
        </w:rPr>
      </w:pPr>
    </w:p>
    <w:p>
      <w:pPr>
        <w:pStyle w:val="BodyText"/>
        <w:spacing w:line="537" w:lineRule="auto"/>
        <w:ind w:left="513" w:right="5993"/>
        <w:jc w:val="left"/>
      </w:pPr>
      <w:r>
        <w:rPr/>
        <w:t>⑨其他表明金融资产发生减值的客观证据。 以摊余成本计量的金融资产</w:t>
      </w:r>
    </w:p>
    <w:p>
      <w:pPr>
        <w:pStyle w:val="BodyText"/>
        <w:spacing w:line="316" w:lineRule="auto" w:before="69"/>
        <w:ind w:right="152" w:firstLine="360"/>
        <w:jc w:val="both"/>
      </w:pPr>
      <w:r>
        <w:rPr>
          <w:spacing w:val="-2"/>
        </w:rPr>
        <w:t>如果有客观证据表明该金融资产发生减值，则将该金融资产的账面价值减记至预计未来现金流量（不包括尚未发生的未</w:t>
      </w:r>
      <w:r>
        <w:rPr/>
        <w:t> </w:t>
      </w:r>
      <w:r>
        <w:rPr>
          <w:spacing w:val="-2"/>
        </w:rPr>
        <w:t>来信用损失）现值，减记金额计入当期损益。预计未来现金流量现值，按照该金融资产原实际利率折现确定，并考虑相关担</w:t>
      </w:r>
      <w:r>
        <w:rPr>
          <w:spacing w:val="-67"/>
        </w:rPr>
        <w:t> </w:t>
      </w:r>
      <w:r>
        <w:rPr>
          <w:spacing w:val="-67"/>
        </w:rPr>
      </w:r>
      <w:r>
        <w:rPr/>
        <w:t>保物的价值。</w:t>
      </w:r>
    </w:p>
    <w:p>
      <w:pPr>
        <w:spacing w:line="240" w:lineRule="auto" w:before="12"/>
        <w:rPr>
          <w:rFonts w:ascii="宋体" w:hAnsi="宋体" w:cs="宋体" w:eastAsia="宋体" w:hint="default"/>
          <w:sz w:val="17"/>
          <w:szCs w:val="17"/>
        </w:rPr>
      </w:pPr>
    </w:p>
    <w:p>
      <w:pPr>
        <w:pStyle w:val="BodyText"/>
        <w:spacing w:line="316" w:lineRule="auto"/>
        <w:ind w:right="0" w:firstLine="360"/>
        <w:jc w:val="left"/>
      </w:pP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p>
    <w:p>
      <w:pPr>
        <w:pStyle w:val="BodyText"/>
        <w:spacing w:line="316" w:lineRule="auto" w:before="19"/>
        <w:ind w:right="0"/>
        <w:jc w:val="left"/>
      </w:pPr>
      <w:r>
        <w:rPr>
          <w:spacing w:val="-2"/>
        </w:rPr>
        <w:t>（包括单项金额重大和不重大的金融资产），包括在具有类似信用风险特征的金融资产组合中再进行减值测试。已单项确认</w:t>
      </w:r>
      <w:r>
        <w:rPr>
          <w:spacing w:val="-66"/>
        </w:rPr>
        <w:t> </w:t>
      </w:r>
      <w:r>
        <w:rPr>
          <w:spacing w:val="-66"/>
        </w:rPr>
      </w:r>
      <w:r>
        <w:rPr/>
        <w:t>减值损失的金融资产，不包括在具有类似信用风险特征的金融资产组合中进行减值测试。</w:t>
      </w:r>
    </w:p>
    <w:p>
      <w:pPr>
        <w:spacing w:line="240" w:lineRule="auto" w:before="13"/>
        <w:rPr>
          <w:rFonts w:ascii="宋体" w:hAnsi="宋体" w:cs="宋体" w:eastAsia="宋体" w:hint="default"/>
          <w:sz w:val="17"/>
          <w:szCs w:val="17"/>
        </w:rPr>
      </w:pPr>
    </w:p>
    <w:p>
      <w:pPr>
        <w:pStyle w:val="BodyText"/>
        <w:spacing w:line="316" w:lineRule="auto"/>
        <w:ind w:right="148" w:firstLine="360"/>
        <w:jc w:val="both"/>
      </w:pPr>
      <w:r>
        <w:rPr>
          <w:spacing w:val="-2"/>
        </w:rPr>
        <w:t>本集团对以摊余成本计量的金融资产确认减值损失后，如有客观证据表明该金融资产价值已恢复，且客观上与确认该损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2"/>
        </w:rPr>
        <w:t> </w:t>
      </w:r>
      <w:r>
        <w:rPr>
          <w:spacing w:val="-62"/>
        </w:rPr>
      </w:r>
      <w:r>
        <w:rPr/>
        <w:t>情况下该金融资产在转回日的摊余成本。</w:t>
      </w:r>
    </w:p>
    <w:p>
      <w:pPr>
        <w:pStyle w:val="BodyText"/>
        <w:spacing w:line="528" w:lineRule="exact" w:before="22"/>
        <w:ind w:left="513" w:right="0"/>
        <w:jc w:val="left"/>
      </w:pPr>
      <w:r>
        <w:rPr/>
        <w:t>可供出售金融资产 </w:t>
      </w:r>
      <w:r>
        <w:rPr>
          <w:spacing w:val="-2"/>
        </w:rPr>
        <w:t>如果有客观证据表明该金融资产发生减值，原直接计入其他综合收益的因公允价值下降形成的累计损失，予以转出，计</w:t>
      </w:r>
    </w:p>
    <w:p>
      <w:pPr>
        <w:pStyle w:val="BodyText"/>
        <w:spacing w:line="316" w:lineRule="auto"/>
        <w:ind w:right="0"/>
        <w:jc w:val="left"/>
      </w:pPr>
      <w:r>
        <w:rPr>
          <w:spacing w:val="-2"/>
        </w:rPr>
        <w:t>入当期损益。该转出的累计损失，为可供出售金融资产的初始取得成本扣除已收回本金和已摊销金额、当前公允价值和原已</w:t>
      </w:r>
      <w:r>
        <w:rPr>
          <w:spacing w:val="-63"/>
        </w:rPr>
        <w:t> </w:t>
      </w:r>
      <w:r>
        <w:rPr>
          <w:spacing w:val="-63"/>
        </w:rPr>
      </w:r>
      <w:r>
        <w:rPr/>
        <w:t>计入损益的减值损失后的余额。</w:t>
      </w:r>
    </w:p>
    <w:p>
      <w:pPr>
        <w:spacing w:after="0" w:line="316" w:lineRule="auto"/>
        <w:jc w:val="left"/>
        <w:sectPr>
          <w:footerReference w:type="default" r:id="rId21"/>
          <w:pgSz w:w="11910" w:h="16840"/>
          <w:pgMar w:footer="979" w:header="745"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52"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事项有关的，原确认的减值损失予以转回，计入当期损益。可供出售权益工具投资发生的减值损失，不通过损益转回。</w:t>
      </w:r>
    </w:p>
    <w:p>
      <w:pPr>
        <w:pStyle w:val="BodyText"/>
        <w:spacing w:line="528" w:lineRule="exact" w:before="21"/>
        <w:ind w:left="513" w:right="0"/>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316" w:lineRule="auto"/>
        <w:ind w:right="0"/>
        <w:jc w:val="left"/>
      </w:pPr>
      <w:r>
        <w:rPr>
          <w:spacing w:val="-2"/>
        </w:rPr>
        <w:t>的衍生金融资产发生减值时，将该金融资产的账面价值，与按照类似金融资产当时市场收益率对未来现金流量折现确定的现</w:t>
      </w:r>
      <w:r>
        <w:rPr>
          <w:spacing w:val="-64"/>
        </w:rPr>
        <w:t> </w:t>
      </w:r>
      <w:r>
        <w:rPr>
          <w:spacing w:val="-64"/>
        </w:rPr>
      </w:r>
      <w:r>
        <w:rPr/>
        <w:t>值之间的差额，确认为减值损失，计入当期损益。发生的减值损失一经确认，不得转回。</w:t>
      </w:r>
    </w:p>
    <w:p>
      <w:pPr>
        <w:spacing w:line="240" w:lineRule="auto" w:before="12"/>
        <w:rPr>
          <w:rFonts w:ascii="宋体" w:hAnsi="宋体" w:cs="宋体" w:eastAsia="宋体" w:hint="default"/>
          <w:sz w:val="17"/>
          <w:szCs w:val="17"/>
        </w:rPr>
      </w:pPr>
    </w:p>
    <w:p>
      <w:pPr>
        <w:pStyle w:val="BodyText"/>
        <w:spacing w:line="508" w:lineRule="auto"/>
        <w:ind w:left="513" w:right="2213"/>
        <w:jc w:val="left"/>
      </w:pPr>
      <w:r>
        <w:rPr/>
        <w:t>（</w:t>
      </w:r>
      <w:r>
        <w:rPr>
          <w:rFonts w:ascii="Times New Roman" w:hAnsi="Times New Roman" w:cs="Times New Roman" w:eastAsia="Times New Roman" w:hint="default"/>
        </w:rPr>
        <w:t>6</w:t>
      </w:r>
      <w:r>
        <w:rPr/>
        <w:t>）金融资产转移 金融资产转移，是指将金融资产让与或交付给该金融资产发行方以外的另一方（转入方）。</w:t>
      </w:r>
    </w:p>
    <w:p>
      <w:pPr>
        <w:pStyle w:val="BodyText"/>
        <w:spacing w:line="316" w:lineRule="auto" w:before="91"/>
        <w:ind w:right="151" w:firstLine="360"/>
        <w:jc w:val="both"/>
      </w:pPr>
      <w:r>
        <w:rPr>
          <w:spacing w:val="-2"/>
        </w:rPr>
        <w:t>本集团已将金融资产所有权上几乎所有的风险和报酬转移给转入方的，终止确认该金融资产；保留了金融资产所有权上</w:t>
      </w:r>
      <w:r>
        <w:rPr/>
        <w:t> 几乎所有的风险和报酬的，不终止确认该金融资产。</w:t>
      </w:r>
    </w:p>
    <w:p>
      <w:pPr>
        <w:spacing w:line="240" w:lineRule="auto" w:before="12"/>
        <w:rPr>
          <w:rFonts w:ascii="宋体" w:hAnsi="宋体" w:cs="宋体" w:eastAsia="宋体" w:hint="default"/>
          <w:sz w:val="17"/>
          <w:szCs w:val="17"/>
        </w:rPr>
      </w:pPr>
    </w:p>
    <w:p>
      <w:pPr>
        <w:pStyle w:val="BodyText"/>
        <w:spacing w:line="316" w:lineRule="auto"/>
        <w:ind w:right="150" w:firstLine="360"/>
        <w:jc w:val="both"/>
      </w:pPr>
      <w:r>
        <w:rPr>
          <w:spacing w:val="-2"/>
        </w:rPr>
        <w:t>本集团既没有转移也没有保留金融资产所有权上几乎所有的风险和报酬的，分别下列情况处理：放弃了对该金融资产控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pStyle w:val="BodyText"/>
        <w:spacing w:line="528" w:lineRule="exact" w:before="22"/>
        <w:ind w:left="513" w:right="0"/>
        <w:jc w:val="left"/>
      </w:pPr>
      <w:r>
        <w:rPr/>
        <w:t>（</w:t>
      </w:r>
      <w:r>
        <w:rPr>
          <w:rFonts w:ascii="Times New Roman" w:hAnsi="Times New Roman" w:cs="Times New Roman" w:eastAsia="Times New Roman" w:hint="default"/>
        </w:rPr>
        <w:t>7</w:t>
      </w:r>
      <w:r>
        <w:rPr/>
        <w:t>）金融资产和金融负债的抵销 </w:t>
      </w:r>
      <w:r>
        <w:rPr>
          <w:spacing w:val="-2"/>
        </w:rPr>
        <w:t>当本集团具有抵销已确认金融资产和金融负债的法定权利，且目前可执行该种法定权利，同时本集团计划以净额结算或</w:t>
      </w:r>
    </w:p>
    <w:p>
      <w:pPr>
        <w:pStyle w:val="BodyText"/>
        <w:spacing w:line="316" w:lineRule="auto"/>
        <w:ind w:right="0"/>
        <w:jc w:val="left"/>
      </w:pPr>
      <w:r>
        <w:rPr>
          <w:spacing w:val="-2"/>
        </w:rPr>
        <w:t>同时变现该金融资产和清偿该金融负债时，金融资产和金融负债以相互抵销后的金额在资产负债表内列示。除此以外，金融</w:t>
      </w:r>
      <w:r>
        <w:rPr>
          <w:spacing w:val="-65"/>
        </w:rPr>
        <w:t> </w:t>
      </w:r>
      <w:r>
        <w:rPr>
          <w:spacing w:val="-65"/>
        </w:rPr>
      </w:r>
      <w:r>
        <w:rPr/>
        <w:t>资产和金融负债在资产负债表内分别列示，不予相互抵销。</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年末余额达到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万元）以上的应收款项为单 项金额重大的应收款项。</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9"/>
        <w:rPr>
          <w:rFonts w:ascii="宋体" w:hAnsi="宋体" w:cs="宋体" w:eastAsia="宋体" w:hint="default"/>
          <w:b/>
          <w:bCs/>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footerReference w:type="default" r:id="rId22"/>
          <w:pgSz w:w="11910" w:h="16840"/>
          <w:pgMar w:footer="979" w:header="745" w:top="1060" w:bottom="1160" w:left="980" w:right="98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0"/>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713"/>
        <w:jc w:val="left"/>
      </w:pPr>
      <w:r>
        <w:rPr/>
        <w:t>组合中，采用余额百分比法计提坏账准备的：</w:t>
      </w:r>
    </w:p>
    <w:p>
      <w:pPr>
        <w:pStyle w:val="BodyText"/>
        <w:spacing w:line="340" w:lineRule="auto" w:before="115"/>
        <w:ind w:right="6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6"/>
          <w:szCs w:val="26"/>
        </w:rPr>
      </w:pPr>
    </w:p>
    <w:p>
      <w:pPr>
        <w:pStyle w:val="Heading3"/>
        <w:spacing w:line="240" w:lineRule="auto"/>
        <w:ind w:right="171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 的应收款项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8"/>
        <w:rPr>
          <w:rFonts w:ascii="宋体" w:hAnsi="宋体" w:cs="宋体" w:eastAsia="宋体" w:hint="default"/>
          <w:b/>
          <w:bCs/>
          <w:sz w:val="19"/>
          <w:szCs w:val="19"/>
        </w:rPr>
      </w:pPr>
    </w:p>
    <w:p>
      <w:pPr>
        <w:pStyle w:val="Heading3"/>
        <w:spacing w:line="240" w:lineRule="auto" w:before="37"/>
        <w:ind w:right="171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508" w:lineRule="auto"/>
        <w:ind w:left="513" w:right="4773"/>
        <w:jc w:val="left"/>
      </w:pPr>
      <w:r>
        <w:rPr/>
        <w:t>（</w:t>
      </w:r>
      <w:r>
        <w:rPr>
          <w:rFonts w:ascii="Times New Roman" w:hAnsi="Times New Roman" w:cs="Times New Roman" w:eastAsia="Times New Roman" w:hint="default"/>
        </w:rPr>
        <w:t>1</w:t>
      </w:r>
      <w:r>
        <w:rPr/>
        <w:t>）存货的分类 本集团存货分为原材料、在产品、周转材料和库存商品等。</w:t>
      </w:r>
    </w:p>
    <w:p>
      <w:pPr>
        <w:pStyle w:val="BodyText"/>
        <w:spacing w:line="508" w:lineRule="auto" w:before="91"/>
        <w:ind w:left="513" w:right="1173"/>
        <w:jc w:val="left"/>
      </w:pPr>
      <w:r>
        <w:rPr/>
        <w:t>（</w:t>
      </w:r>
      <w:r>
        <w:rPr>
          <w:rFonts w:ascii="Times New Roman" w:hAnsi="Times New Roman" w:cs="Times New Roman" w:eastAsia="Times New Roman" w:hint="default"/>
        </w:rPr>
        <w:t>2</w:t>
      </w:r>
      <w:r>
        <w:rPr/>
        <w:t>）发出存货的计价方法 本集团存货取得时按实际成本计价。原材料、在产品和库存商品等发出时采用月末一次加权平均法计价。</w:t>
      </w:r>
    </w:p>
    <w:p>
      <w:pPr>
        <w:pStyle w:val="BodyText"/>
        <w:spacing w:line="240" w:lineRule="auto" w:before="91"/>
        <w:ind w:left="513" w:right="1713"/>
        <w:jc w:val="left"/>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4"/>
        <w:rPr>
          <w:rFonts w:ascii="宋体" w:hAnsi="宋体" w:cs="宋体" w:eastAsia="宋体" w:hint="default"/>
          <w:sz w:val="21"/>
          <w:szCs w:val="21"/>
        </w:rPr>
      </w:pPr>
    </w:p>
    <w:p>
      <w:pPr>
        <w:pStyle w:val="BodyText"/>
        <w:spacing w:line="316" w:lineRule="auto"/>
        <w:ind w:right="93" w:firstLine="360"/>
        <w:jc w:val="left"/>
      </w:pPr>
      <w:r>
        <w:rPr>
          <w:spacing w:val="-2"/>
        </w:rPr>
        <w:t>存货可变现净值是按存货的估计售价减去至完工时估计将要发生的成本、估计的销售费用以及相关税费后的金额。在确</w:t>
      </w:r>
      <w:r>
        <w:rPr/>
        <w:t> 定存货的可变现净值时，以取得的确凿证据为基础，同时考虑持有存货的目的以及资产负债表日后事项的影响。</w:t>
      </w:r>
    </w:p>
    <w:p>
      <w:pPr>
        <w:spacing w:line="240" w:lineRule="auto" w:before="13"/>
        <w:rPr>
          <w:rFonts w:ascii="宋体" w:hAnsi="宋体" w:cs="宋体" w:eastAsia="宋体" w:hint="default"/>
          <w:sz w:val="17"/>
          <w:szCs w:val="17"/>
        </w:rPr>
      </w:pPr>
    </w:p>
    <w:p>
      <w:pPr>
        <w:pStyle w:val="BodyText"/>
        <w:spacing w:line="316" w:lineRule="auto"/>
        <w:ind w:right="93" w:firstLine="360"/>
        <w:jc w:val="left"/>
      </w:pPr>
      <w:r>
        <w:rPr/>
        <w:t>资产负债表日，存货成本高于其可变现净值的，计提存货跌价准备。本集团通常按照单个存货项目计提存货跌价准备， 资产负债表日，以前减记存货价值的影响因素已经消失的，存货跌价准备在原已计提的金额内转回。</w:t>
      </w:r>
    </w:p>
    <w:p>
      <w:pPr>
        <w:spacing w:line="240" w:lineRule="auto" w:before="12"/>
        <w:rPr>
          <w:rFonts w:ascii="宋体" w:hAnsi="宋体" w:cs="宋体" w:eastAsia="宋体" w:hint="default"/>
          <w:sz w:val="17"/>
          <w:szCs w:val="17"/>
        </w:rPr>
      </w:pPr>
    </w:p>
    <w:p>
      <w:pPr>
        <w:pStyle w:val="BodyText"/>
        <w:spacing w:line="508" w:lineRule="auto"/>
        <w:ind w:left="513" w:right="6393"/>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508" w:lineRule="auto" w:before="91"/>
        <w:ind w:left="513" w:right="5853"/>
        <w:jc w:val="left"/>
      </w:pPr>
      <w:r>
        <w:rPr/>
        <w:t>（</w:t>
      </w:r>
      <w:r>
        <w:rPr>
          <w:rFonts w:ascii="Times New Roman" w:hAnsi="Times New Roman" w:cs="Times New Roman" w:eastAsia="Times New Roman" w:hint="default"/>
        </w:rPr>
        <w:t>5</w:t>
      </w:r>
      <w:r>
        <w:rPr/>
        <w:t>）周转材料的摊销方法 本集团周转材料领用时采用一次转销法摊销。</w:t>
      </w:r>
    </w:p>
    <w:p>
      <w:pPr>
        <w:spacing w:after="0" w:line="508" w:lineRule="auto"/>
        <w:jc w:val="left"/>
        <w:sectPr>
          <w:pgSz w:w="11910" w:h="16840"/>
          <w:pgMar w:header="745" w:footer="979"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50" w:firstLine="360"/>
        <w:jc w:val="both"/>
      </w:pPr>
      <w:r>
        <w:rPr>
          <w:spacing w:val="-2"/>
        </w:rPr>
        <w:t>本集团长期股权投资包括对被投资单位实施控制、重大影响的权益性投资，以及对合营企业的权益性投资。本集团能够</w:t>
      </w:r>
      <w:r>
        <w:rPr/>
        <w:t> 对被投资单位施加重大影响的，为本集团的联营企业。</w:t>
      </w:r>
    </w:p>
    <w:p>
      <w:pPr>
        <w:pStyle w:val="BodyText"/>
        <w:spacing w:line="528" w:lineRule="exact" w:before="22"/>
        <w:ind w:left="513" w:right="0"/>
        <w:jc w:val="left"/>
      </w:pPr>
      <w:r>
        <w:rPr/>
        <w:t>（</w:t>
      </w:r>
      <w:r>
        <w:rPr>
          <w:rFonts w:ascii="Times New Roman" w:hAnsi="Times New Roman" w:cs="Times New Roman" w:eastAsia="Times New Roman" w:hint="default"/>
        </w:rPr>
        <w:t>1</w:t>
      </w:r>
      <w:r>
        <w:rPr/>
        <w:t>）投资成本确定 </w:t>
      </w:r>
      <w:r>
        <w:rPr>
          <w:spacing w:val="-2"/>
        </w:rPr>
        <w:t>对于企业合并形成的长期股权投资：同一控制下企业合并取得的长期股权投资，在合并日按照取得被合并方所有者权益</w:t>
      </w:r>
    </w:p>
    <w:p>
      <w:pPr>
        <w:pStyle w:val="BodyText"/>
        <w:spacing w:line="319" w:lineRule="auto"/>
        <w:ind w:right="0"/>
        <w:jc w:val="left"/>
      </w:pPr>
      <w:r>
        <w:rPr>
          <w:spacing w:val="-2"/>
        </w:rPr>
        <w:t>在最终控制方合并财务报表中的账面价值份额作为投资成本；非同一控制下企业合并取得的长期股权投资，按照合并成本作</w:t>
      </w:r>
      <w:r>
        <w:rPr>
          <w:spacing w:val="-64"/>
        </w:rPr>
        <w:t> </w:t>
      </w:r>
      <w:r>
        <w:rPr>
          <w:spacing w:val="-64"/>
        </w:rPr>
      </w:r>
      <w:r>
        <w:rPr/>
        <w:t>为长期股权投资的投资成本。</w:t>
      </w:r>
    </w:p>
    <w:p>
      <w:pPr>
        <w:spacing w:line="240" w:lineRule="auto" w:before="11"/>
        <w:rPr>
          <w:rFonts w:ascii="宋体" w:hAnsi="宋体" w:cs="宋体" w:eastAsia="宋体" w:hint="default"/>
          <w:sz w:val="17"/>
          <w:szCs w:val="17"/>
        </w:rPr>
      </w:pPr>
    </w:p>
    <w:p>
      <w:pPr>
        <w:pStyle w:val="BodyText"/>
        <w:spacing w:line="316" w:lineRule="auto"/>
        <w:ind w:right="152" w:firstLine="360"/>
        <w:jc w:val="both"/>
      </w:pPr>
      <w:r>
        <w:rPr>
          <w:spacing w:val="-2"/>
        </w:rPr>
        <w:t>对于以企业合并以外的其他方式取得的长期股权投资：支付现金取得的长期股权投资，按照实际支付的购买价款作为初</w:t>
      </w:r>
      <w:r>
        <w:rPr/>
        <w:t> 始投资成本；发行权益性证券取得的长期股权投资，以发行权益性证券的公允价值作为初始投资成本。</w:t>
      </w:r>
    </w:p>
    <w:p>
      <w:pPr>
        <w:spacing w:line="240" w:lineRule="auto" w:before="12"/>
        <w:rPr>
          <w:rFonts w:ascii="宋体" w:hAnsi="宋体" w:cs="宋体" w:eastAsia="宋体" w:hint="default"/>
          <w:sz w:val="17"/>
          <w:szCs w:val="17"/>
        </w:rPr>
      </w:pPr>
    </w:p>
    <w:p>
      <w:pPr>
        <w:pStyle w:val="BodyText"/>
        <w:spacing w:line="508" w:lineRule="auto"/>
        <w:ind w:left="513" w:right="233"/>
        <w:jc w:val="left"/>
      </w:pPr>
      <w:r>
        <w:rPr/>
        <w:t>（</w:t>
      </w:r>
      <w:r>
        <w:rPr>
          <w:rFonts w:ascii="Times New Roman" w:hAnsi="Times New Roman" w:cs="Times New Roman" w:eastAsia="Times New Roman" w:hint="default"/>
        </w:rPr>
        <w:t>2</w:t>
      </w:r>
      <w:r>
        <w:rPr/>
        <w:t>）后续计量及损益确认方法 本集团能够对被投资单位实施控制的长期股权投资采用成本法核算；对联营企业和合营企业的投资采用权益法核算。</w:t>
      </w:r>
    </w:p>
    <w:p>
      <w:pPr>
        <w:pStyle w:val="BodyText"/>
        <w:spacing w:line="316" w:lineRule="auto" w:before="91"/>
        <w:ind w:right="145" w:firstLine="360"/>
        <w:jc w:val="both"/>
      </w:pPr>
      <w:r>
        <w:rPr/>
        <w:t>采用成本法核算的长期股权投资，除取得投资时实际支付的价款或对价中包含的已宣告但尚未发放的现金股利或利润</w:t>
      </w:r>
      <w:r>
        <w:rPr>
          <w:spacing w:val="2"/>
        </w:rPr>
        <w:t> </w:t>
      </w:r>
      <w:r>
        <w:rPr/>
        <w:t>外，被投资单位宣告分派的现金股利或利润，确认为投资收益计入当期损益。</w:t>
      </w:r>
    </w:p>
    <w:p>
      <w:pPr>
        <w:spacing w:line="240" w:lineRule="auto" w:before="13"/>
        <w:rPr>
          <w:rFonts w:ascii="宋体" w:hAnsi="宋体" w:cs="宋体" w:eastAsia="宋体" w:hint="default"/>
          <w:sz w:val="17"/>
          <w:szCs w:val="17"/>
        </w:rPr>
      </w:pPr>
    </w:p>
    <w:p>
      <w:pPr>
        <w:pStyle w:val="BodyText"/>
        <w:spacing w:line="316" w:lineRule="auto"/>
        <w:ind w:right="152" w:firstLine="360"/>
        <w:jc w:val="both"/>
      </w:pPr>
      <w:r>
        <w:rPr>
          <w:spacing w:val="-2"/>
        </w:rPr>
        <w:t>采用权益法核算的长期股权投资，初始投资成本大于投资时应享有被投资单位可辨认净资产公允价值份额的，不调整长</w:t>
      </w:r>
      <w:r>
        <w:rPr/>
        <w:t> </w:t>
      </w:r>
      <w:r>
        <w:rPr>
          <w:spacing w:val="-2"/>
        </w:rPr>
        <w:t>期股权投资的投资成本；初始投资成本小于投资时应享有被投资单位可辨认净资产公允价值份额的，对长期股权投资的账面</w:t>
      </w:r>
      <w:r>
        <w:rPr>
          <w:spacing w:val="-64"/>
        </w:rPr>
        <w:t> </w:t>
      </w:r>
      <w:r>
        <w:rPr>
          <w:spacing w:val="-64"/>
        </w:rPr>
      </w:r>
      <w:r>
        <w:rPr/>
        <w:t>价值进行调整，差额计入投资当期的损益。</w:t>
      </w:r>
    </w:p>
    <w:p>
      <w:pPr>
        <w:spacing w:line="240" w:lineRule="auto" w:before="12"/>
        <w:rPr>
          <w:rFonts w:ascii="宋体" w:hAnsi="宋体" w:cs="宋体" w:eastAsia="宋体" w:hint="default"/>
          <w:sz w:val="17"/>
          <w:szCs w:val="17"/>
        </w:rPr>
      </w:pPr>
    </w:p>
    <w:p>
      <w:pPr>
        <w:pStyle w:val="BodyText"/>
        <w:spacing w:line="316" w:lineRule="auto"/>
        <w:ind w:right="148"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2"/>
        </w:rPr>
        <w:t> </w:t>
      </w:r>
      <w:r>
        <w:rPr>
          <w:spacing w:val="-62"/>
        </w:rPr>
      </w:r>
      <w:r>
        <w:rPr>
          <w:spacing w:val="-2"/>
        </w:rPr>
        <w:t>期股权投资的账面价值；被投资单位除净损益、其他综合收益和利润分配以外所有者权益的其他变动，调整长期股权投资的</w:t>
      </w:r>
      <w:r>
        <w:rPr>
          <w:spacing w:val="-63"/>
        </w:rPr>
        <w:t> </w:t>
      </w:r>
      <w:r>
        <w:rPr>
          <w:spacing w:val="-63"/>
        </w:rPr>
      </w:r>
      <w:r>
        <w:rPr>
          <w:spacing w:val="-2"/>
        </w:rPr>
        <w:t>账面价值并计入所有者权益。在确认应享有被投资单位净损益的份额时，以取得投资时被投资单位各项可辨认资产等的公允</w:t>
      </w:r>
      <w:r>
        <w:rPr>
          <w:spacing w:val="-64"/>
        </w:rPr>
        <w:t> </w:t>
      </w:r>
      <w:r>
        <w:rPr>
          <w:spacing w:val="-64"/>
        </w:rPr>
      </w:r>
      <w:r>
        <w:rPr/>
        <w:t>价值为基础，并按照本集团的会计政策及会计期间，对被投资单位的净利润进行调整后确认。</w:t>
      </w:r>
    </w:p>
    <w:p>
      <w:pPr>
        <w:spacing w:line="240" w:lineRule="auto" w:before="12"/>
        <w:rPr>
          <w:rFonts w:ascii="宋体" w:hAnsi="宋体" w:cs="宋体" w:eastAsia="宋体" w:hint="default"/>
          <w:sz w:val="17"/>
          <w:szCs w:val="17"/>
        </w:rPr>
      </w:pPr>
    </w:p>
    <w:p>
      <w:pPr>
        <w:pStyle w:val="BodyText"/>
        <w:spacing w:line="319" w:lineRule="auto"/>
        <w:ind w:right="148" w:firstLine="360"/>
        <w:jc w:val="both"/>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2"/>
        </w:rPr>
        <w:t> </w:t>
      </w:r>
      <w:r>
        <w:rPr>
          <w:spacing w:val="-62"/>
        </w:rPr>
      </w:r>
      <w:r>
        <w:rPr/>
        <w:t>与账面价值之间的差额，以及原计入其他综合收益的累计公允价值变动应当转入改按权益法核算的当期损益。</w:t>
      </w:r>
    </w:p>
    <w:p>
      <w:pPr>
        <w:spacing w:line="240" w:lineRule="auto" w:before="11"/>
        <w:rPr>
          <w:rFonts w:ascii="宋体" w:hAnsi="宋体" w:cs="宋体" w:eastAsia="宋体" w:hint="default"/>
          <w:sz w:val="17"/>
          <w:szCs w:val="17"/>
        </w:rPr>
      </w:pPr>
    </w:p>
    <w:p>
      <w:pPr>
        <w:pStyle w:val="BodyText"/>
        <w:spacing w:line="312" w:lineRule="auto"/>
        <w:ind w:right="152" w:firstLine="360"/>
        <w:jc w:val="both"/>
      </w:pPr>
      <w:r>
        <w:rPr>
          <w:spacing w:val="-2"/>
        </w:rPr>
        <w:t>因处置部分股权投资等原因丧失了对被投资单位的共同控制或重大影响的，处置后的剩余股权应当改按《企业会计准则</w:t>
      </w:r>
      <w:r>
        <w:rPr/>
        <w:t> </w:t>
      </w:r>
      <w:r>
        <w:rPr>
          <w:spacing w:val="-2"/>
        </w:rPr>
        <w:t>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金融工具确认和计量》进行会计处理，在丧失共同控制或重大影响之日的公允价值与账面价值之间的差额计入当期</w:t>
      </w:r>
      <w:r>
        <w:rPr>
          <w:spacing w:val="-63"/>
        </w:rPr>
        <w:t> </w:t>
      </w:r>
      <w:r>
        <w:rPr>
          <w:spacing w:val="-63"/>
        </w:rPr>
      </w:r>
      <w:r>
        <w:rPr>
          <w:spacing w:val="-2"/>
        </w:rPr>
        <w:t>损益。原股权投资因采用权益法核算而确认的其他综合收益，应当在终止采用权益法核算时采用与被投资单位直接处置相关</w:t>
      </w:r>
      <w:r>
        <w:rPr>
          <w:spacing w:val="-64"/>
        </w:rPr>
        <w:t> </w:t>
      </w:r>
      <w:r>
        <w:rPr>
          <w:spacing w:val="-64"/>
        </w:rPr>
      </w:r>
      <w:r>
        <w:rPr/>
        <w:t>资产或负债相同的基础进行会计处理；原股权投资相关的其他所有者权益变动转入当期损益。</w:t>
      </w:r>
    </w:p>
    <w:p>
      <w:pPr>
        <w:spacing w:line="240" w:lineRule="auto" w:before="3"/>
        <w:rPr>
          <w:rFonts w:ascii="宋体" w:hAnsi="宋体" w:cs="宋体" w:eastAsia="宋体" w:hint="default"/>
          <w:sz w:val="18"/>
          <w:szCs w:val="18"/>
        </w:rPr>
      </w:pPr>
    </w:p>
    <w:p>
      <w:pPr>
        <w:pStyle w:val="BodyText"/>
        <w:spacing w:line="312" w:lineRule="auto"/>
        <w:ind w:right="152" w:firstLine="360"/>
        <w:jc w:val="both"/>
      </w:pPr>
      <w:r>
        <w:rPr>
          <w:spacing w:val="-2"/>
        </w:rPr>
        <w:t>因处置部分股权投资等原因丧失了对被投资单位的控制的，处置后的剩余股权能够对被投资单位实施共同控制或施加重</w:t>
      </w:r>
      <w:r>
        <w:rPr/>
        <w:t> </w:t>
      </w:r>
      <w:r>
        <w:rPr>
          <w:spacing w:val="-2"/>
        </w:rPr>
        <w:t>大影响的，改按权益法核算，并对该剩余股权视同自取得时即采用权益法核算进行调整；处置后的剩余股权不能对被投资单</w:t>
      </w:r>
      <w:r>
        <w:rPr>
          <w:spacing w:val="-65"/>
        </w:rPr>
        <w:t> </w:t>
      </w:r>
      <w:r>
        <w:rPr>
          <w:spacing w:val="-65"/>
        </w:rPr>
      </w:r>
      <w:r>
        <w:rPr>
          <w:spacing w:val="-2"/>
        </w:rPr>
        <w:t>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w:t>
      </w:r>
      <w:r>
        <w:rPr>
          <w:spacing w:val="-64"/>
        </w:rPr>
        <w:t> </w:t>
      </w:r>
      <w:r>
        <w:rPr>
          <w:spacing w:val="-64"/>
        </w:rPr>
      </w:r>
      <w:r>
        <w:rPr/>
        <w:t>失控制之日的公允价值与账面价值间的差额计入当期损益。</w:t>
      </w:r>
    </w:p>
    <w:p>
      <w:pPr>
        <w:spacing w:after="0" w:line="312" w:lineRule="auto"/>
        <w:jc w:val="both"/>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52" w:firstLine="360"/>
        <w:jc w:val="both"/>
      </w:pPr>
      <w:r>
        <w:rPr>
          <w:spacing w:val="-2"/>
        </w:rPr>
        <w:t>本集团与联营企业及合营企业之间发生的未实现内部交易损益按照持股比例计算归属于本集团的部分，在抵销基础上确</w:t>
      </w:r>
      <w:r>
        <w:rPr/>
        <w:t> 认投资损益。但本集团与被投资单位发生的未实现内部交易损失，属于所转让资产减值损失的，不予以抵销。</w:t>
      </w:r>
    </w:p>
    <w:p>
      <w:pPr>
        <w:pStyle w:val="BodyText"/>
        <w:spacing w:line="528" w:lineRule="exact" w:before="21"/>
        <w:ind w:left="513" w:right="0"/>
        <w:jc w:val="left"/>
      </w:pPr>
      <w:r>
        <w:rPr/>
        <w:t>（</w:t>
      </w:r>
      <w:r>
        <w:rPr>
          <w:rFonts w:ascii="Times New Roman" w:hAnsi="Times New Roman" w:cs="Times New Roman" w:eastAsia="Times New Roman"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ind w:right="150"/>
        <w:jc w:val="both"/>
      </w:pPr>
      <w:r>
        <w:rPr>
          <w:spacing w:val="-2"/>
        </w:rPr>
        <w:t>后才能决策。在判断是否存在共同控制时，首先判断所有参与方或参与方组合是否集体控制该安排，如果所有参与方或一组</w:t>
      </w:r>
      <w:r>
        <w:rPr>
          <w:spacing w:val="-63"/>
        </w:rPr>
        <w:t> </w:t>
      </w:r>
      <w:r>
        <w:rPr>
          <w:spacing w:val="-63"/>
        </w:rPr>
      </w:r>
      <w:r>
        <w:rPr>
          <w:spacing w:val="-2"/>
        </w:rPr>
        <w:t>参与方必须一致行动才能决定某项安排的相关活动，则认为所有参与方或一组参与方集体控制该安排。其次再判断该安排相</w:t>
      </w:r>
      <w:r>
        <w:rPr>
          <w:spacing w:val="-64"/>
        </w:rPr>
        <w:t> </w:t>
      </w:r>
      <w:r>
        <w:rPr>
          <w:spacing w:val="-64"/>
        </w:rPr>
      </w:r>
      <w:r>
        <w:rPr>
          <w:spacing w:val="-2"/>
        </w:rPr>
        <w:t>关活动的决策是否必须经过这些集体控制该安排的参与方一致同意。如果存在两个或两个以上的参与方组合能够集体控制某</w:t>
      </w:r>
      <w:r>
        <w:rPr>
          <w:spacing w:val="-64"/>
        </w:rPr>
        <w:t> </w:t>
      </w:r>
      <w:r>
        <w:rPr>
          <w:spacing w:val="-64"/>
        </w:rPr>
      </w:r>
      <w:r>
        <w:rPr/>
        <w:t>项安排的，不构成共同控制。判断是否存在共同控制时，不考虑享有的保护性权利。</w:t>
      </w:r>
    </w:p>
    <w:p>
      <w:pPr>
        <w:spacing w:line="240" w:lineRule="auto" w:before="12"/>
        <w:rPr>
          <w:rFonts w:ascii="宋体" w:hAnsi="宋体" w:cs="宋体" w:eastAsia="宋体" w:hint="default"/>
          <w:sz w:val="17"/>
          <w:szCs w:val="17"/>
        </w:rPr>
      </w:pPr>
    </w:p>
    <w:p>
      <w:pPr>
        <w:pStyle w:val="BodyText"/>
        <w:spacing w:line="319" w:lineRule="auto"/>
        <w:ind w:right="152"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spacing w:line="240" w:lineRule="auto" w:before="11"/>
        <w:rPr>
          <w:rFonts w:ascii="宋体" w:hAnsi="宋体" w:cs="宋体" w:eastAsia="宋体" w:hint="default"/>
          <w:sz w:val="17"/>
          <w:szCs w:val="17"/>
        </w:rPr>
      </w:pPr>
    </w:p>
    <w:p>
      <w:pPr>
        <w:pStyle w:val="BodyText"/>
        <w:spacing w:line="307" w:lineRule="auto"/>
        <w:ind w:right="150" w:firstLine="36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的表决权股份时，除非有明确证据表明 </w:t>
      </w:r>
      <w:r>
        <w:rPr>
          <w:spacing w:val="-2"/>
        </w:rPr>
        <w:t>该种情况下不能参与被投资单位的生产经营决策，不形成重大影响外，均确定对被投资单位具有重大影响；本集团拥有被投</w:t>
      </w:r>
      <w:r>
        <w:rPr>
          <w:spacing w:val="-63"/>
        </w:rPr>
        <w:t> </w:t>
      </w:r>
      <w:r>
        <w:rPr>
          <w:spacing w:val="-63"/>
        </w:rPr>
      </w:r>
      <w:r>
        <w:rPr>
          <w:spacing w:val="-1"/>
        </w:rPr>
        <w:t>资单位</w:t>
      </w:r>
      <w:r>
        <w:rPr>
          <w:rFonts w:ascii="Times New Roman" w:hAnsi="Times New Roman" w:cs="Times New Roman" w:eastAsia="Times New Roman" w:hint="default"/>
          <w:spacing w:val="-1"/>
        </w:rPr>
        <w:t>20%</w:t>
      </w:r>
      <w:r>
        <w:rPr>
          <w:spacing w:val="-1"/>
        </w:rPr>
        <w:t>（不含）以下的表决权股份，一般不认为对被投资单位具有重大影响，除非有明确证据表明该种情况下能够参与</w:t>
      </w:r>
      <w:r>
        <w:rPr/>
        <w:t> 被投资单位的生产经营决策，形成重大影响。</w:t>
      </w:r>
    </w:p>
    <w:p>
      <w:pPr>
        <w:spacing w:line="240" w:lineRule="auto" w:before="7"/>
        <w:rPr>
          <w:rFonts w:ascii="宋体" w:hAnsi="宋体" w:cs="宋体" w:eastAsia="宋体" w:hint="default"/>
          <w:sz w:val="18"/>
          <w:szCs w:val="18"/>
        </w:rPr>
      </w:pPr>
    </w:p>
    <w:p>
      <w:pPr>
        <w:pStyle w:val="BodyText"/>
        <w:spacing w:line="508" w:lineRule="auto"/>
        <w:ind w:left="513" w:right="2753"/>
        <w:jc w:val="left"/>
      </w:pPr>
      <w:r>
        <w:rPr/>
        <w:t>（</w:t>
      </w:r>
      <w:r>
        <w:rPr>
          <w:rFonts w:ascii="Times New Roman" w:hAnsi="Times New Roman" w:cs="Times New Roman" w:eastAsia="Times New Roman" w:hint="default"/>
        </w:rPr>
        <w:t>4</w:t>
      </w:r>
      <w:r>
        <w:rPr/>
        <w:t>）减值测试方法及减值准备计提方法 对子公司、联营企业及合营企业的投资，本集团计提资产减值的方法见</w:t>
      </w:r>
      <w:r>
        <w:rPr>
          <w:color w:val="FF0000"/>
        </w:rPr>
        <w:t>附注五、</w:t>
      </w:r>
      <w:r>
        <w:rPr>
          <w:rFonts w:ascii="Times New Roman" w:hAnsi="Times New Roman" w:cs="Times New Roman" w:eastAsia="Times New Roman" w:hint="default"/>
          <w:color w:val="FF0000"/>
        </w:rPr>
        <w:t>22</w:t>
      </w:r>
      <w:r>
        <w:rPr/>
        <w:t>。</w:t>
      </w:r>
    </w:p>
    <w:p>
      <w:pPr>
        <w:pStyle w:val="Heading3"/>
        <w:spacing w:line="240" w:lineRule="auto" w:before="126"/>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right="7973"/>
        <w:jc w:val="left"/>
      </w:pPr>
      <w:r>
        <w:rPr/>
        <w:t>投资性房地产计量模式 不适用</w:t>
      </w: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50" w:firstLine="360"/>
        <w:jc w:val="both"/>
      </w:pPr>
      <w:r>
        <w:rPr>
          <w:spacing w:val="-2"/>
        </w:rPr>
        <w:t>本集团固定资产是指为生产商品、提供劳务、出租或经营管理而持有的，使用寿命超过一个会计年度的有形资产。与该</w:t>
      </w:r>
      <w:r>
        <w:rPr/>
        <w:t> </w:t>
      </w:r>
      <w:r>
        <w:rPr>
          <w:spacing w:val="-2"/>
        </w:rPr>
        <w:t>固定资产有关的经济利益很可能流入企业，并且该固定资产的成本能够可靠地计量时，固定资产才能予以确认。本集团固定</w:t>
      </w:r>
      <w:r>
        <w:rPr>
          <w:spacing w:val="-63"/>
        </w:rPr>
        <w:t> </w:t>
      </w:r>
      <w:r>
        <w:rPr>
          <w:spacing w:val="-63"/>
        </w:rPr>
      </w:r>
      <w:r>
        <w:rPr/>
        <w:t>资产按照取得时的实际成本进行初始计量。</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2.375%-9.5%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15.83%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918"/>
        <w:gridCol w:w="1913"/>
        <w:gridCol w:w="1916"/>
        <w:gridCol w:w="1913"/>
        <w:gridCol w:w="1916"/>
      </w:tblGrid>
      <w:tr>
        <w:trPr>
          <w:trHeight w:val="40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11.875%</w:t>
            </w:r>
          </w:p>
        </w:tc>
      </w:tr>
    </w:tbl>
    <w:p>
      <w:pPr>
        <w:spacing w:line="240" w:lineRule="auto" w:before="8"/>
        <w:rPr>
          <w:rFonts w:ascii="宋体" w:hAnsi="宋体" w:cs="宋体" w:eastAsia="宋体" w:hint="default"/>
          <w:b/>
          <w:bCs/>
          <w:sz w:val="19"/>
          <w:szCs w:val="19"/>
        </w:rPr>
      </w:pPr>
    </w:p>
    <w:p>
      <w:pPr>
        <w:pStyle w:val="Heading3"/>
        <w:spacing w:line="240" w:lineRule="auto" w:before="37"/>
        <w:ind w:right="171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93" w:firstLine="360"/>
        <w:jc w:val="left"/>
      </w:pPr>
      <w:r>
        <w:rPr>
          <w:spacing w:val="-2"/>
        </w:rPr>
        <w:t>本集团在建工程成本按实际工程支出确定，包括在建期间发生的各项必要工程支出、工程达到预定可使用状态前的应予</w:t>
      </w:r>
      <w:r>
        <w:rPr/>
        <w:t> 资本化的借款费用以及其他相关费用等。</w:t>
      </w:r>
    </w:p>
    <w:p>
      <w:pPr>
        <w:spacing w:line="240" w:lineRule="auto" w:before="12"/>
        <w:rPr>
          <w:rFonts w:ascii="宋体" w:hAnsi="宋体" w:cs="宋体" w:eastAsia="宋体" w:hint="default"/>
          <w:sz w:val="17"/>
          <w:szCs w:val="17"/>
        </w:rPr>
      </w:pPr>
    </w:p>
    <w:p>
      <w:pPr>
        <w:pStyle w:val="BodyText"/>
        <w:spacing w:line="537" w:lineRule="auto"/>
        <w:ind w:left="513" w:right="5493"/>
        <w:jc w:val="left"/>
      </w:pPr>
      <w:r>
        <w:rPr/>
        <w:t>在建工程在达到预定可使用状态时转入固定资产。 在建工程计提资产减值方法见</w:t>
      </w:r>
      <w:r>
        <w:rPr>
          <w:color w:val="FF0000"/>
        </w:rPr>
        <w:t>附注五、</w:t>
      </w:r>
      <w:r>
        <w:rPr>
          <w:rFonts w:ascii="Times New Roman" w:hAnsi="Times New Roman" w:cs="Times New Roman" w:eastAsia="Times New Roman" w:hint="default"/>
          <w:color w:val="FF0000"/>
        </w:rPr>
        <w:t>22</w:t>
      </w:r>
      <w:r>
        <w:rPr/>
        <w:t>。</w:t>
      </w:r>
    </w:p>
    <w:p>
      <w:pPr>
        <w:pStyle w:val="Heading3"/>
        <w:spacing w:line="240" w:lineRule="auto" w:before="99"/>
        <w:ind w:right="1713"/>
        <w:jc w:val="left"/>
        <w:rPr>
          <w:b w:val="0"/>
          <w:bCs w:val="0"/>
        </w:rPr>
      </w:pPr>
      <w:r>
        <w:rPr>
          <w:rFonts w:ascii="Times New Roman" w:hAnsi="Times New Roman" w:cs="Times New Roman" w:eastAsia="Times New Roman" w:hint="default"/>
        </w:rPr>
        <w:t>18</w:t>
      </w:r>
      <w:r>
        <w:rPr/>
        <w:t>、借款费用</w:t>
      </w:r>
      <w:r>
        <w:rPr>
          <w:b w:val="0"/>
          <w:bCs w:val="0"/>
        </w:rPr>
      </w:r>
    </w:p>
    <w:p>
      <w:pPr>
        <w:pStyle w:val="BodyText"/>
        <w:spacing w:line="520" w:lineRule="atLeast" w:before="67"/>
        <w:ind w:left="513" w:right="93"/>
        <w:jc w:val="left"/>
      </w:pPr>
      <w:r>
        <w:rPr/>
        <w:t>（</w:t>
      </w:r>
      <w:r>
        <w:rPr>
          <w:rFonts w:ascii="宋体" w:hAnsi="宋体" w:cs="宋体" w:eastAsia="宋体" w:hint="default"/>
        </w:rPr>
        <w:t>1</w:t>
      </w:r>
      <w:r>
        <w:rPr/>
        <w:t>）借款费用资本化的确认原则 </w:t>
      </w:r>
      <w:r>
        <w:rPr>
          <w:spacing w:val="-2"/>
        </w:rPr>
        <w:t>本集团发生的借款费用，可直接归属于符合资本化条件的资产的购建或者生产的，予以资本化，计入相关资产成本；其</w:t>
      </w:r>
    </w:p>
    <w:p>
      <w:pPr>
        <w:pStyle w:val="BodyText"/>
        <w:spacing w:line="240" w:lineRule="auto" w:before="76"/>
        <w:ind w:right="93"/>
        <w:jc w:val="left"/>
      </w:pPr>
      <w:r>
        <w:rPr/>
        <w:t>他借款费用，在发生时根据其发生额确认为费用，计入当期损益。借款费用同时满足下列条件的，开始资本化：</w:t>
      </w:r>
    </w:p>
    <w:p>
      <w:pPr>
        <w:spacing w:line="240" w:lineRule="auto" w:before="5"/>
        <w:rPr>
          <w:rFonts w:ascii="宋体" w:hAnsi="宋体" w:cs="宋体" w:eastAsia="宋体" w:hint="default"/>
          <w:sz w:val="22"/>
          <w:szCs w:val="22"/>
        </w:rPr>
      </w:pPr>
    </w:p>
    <w:p>
      <w:pPr>
        <w:pStyle w:val="BodyText"/>
        <w:spacing w:line="316" w:lineRule="auto"/>
        <w:ind w:right="177" w:firstLine="360"/>
        <w:jc w:val="left"/>
      </w:pPr>
      <w:r>
        <w:rPr/>
        <w:t>①</w:t>
      </w:r>
      <w:r>
        <w:rPr>
          <w:spacing w:val="6"/>
        </w:rPr>
        <w:t> </w:t>
      </w:r>
      <w:r>
        <w:rPr/>
        <w:t>资产支出已经发生，资产支出包括为购建或者生产符合资本化条件的资产而以支付现金、转移非现金资产或者承担</w:t>
      </w:r>
      <w:r>
        <w:rPr/>
        <w:t> 带息债务形式发生的支出；</w:t>
      </w:r>
    </w:p>
    <w:p>
      <w:pPr>
        <w:spacing w:line="240" w:lineRule="auto" w:before="13"/>
        <w:rPr>
          <w:rFonts w:ascii="宋体" w:hAnsi="宋体" w:cs="宋体" w:eastAsia="宋体" w:hint="default"/>
          <w:sz w:val="17"/>
          <w:szCs w:val="17"/>
        </w:rPr>
      </w:pPr>
    </w:p>
    <w:p>
      <w:pPr>
        <w:pStyle w:val="BodyText"/>
        <w:spacing w:line="240" w:lineRule="auto"/>
        <w:ind w:left="513" w:right="1713"/>
        <w:jc w:val="left"/>
      </w:pPr>
      <w:r>
        <w:rPr/>
        <w:t>②</w:t>
      </w:r>
      <w:r>
        <w:rPr>
          <w:spacing w:val="1"/>
        </w:rPr>
        <w:t> </w:t>
      </w:r>
      <w:r>
        <w:rPr/>
        <w:t>借款费用已经发生；</w:t>
      </w:r>
    </w:p>
    <w:p>
      <w:pPr>
        <w:spacing w:line="240" w:lineRule="auto" w:before="5"/>
        <w:rPr>
          <w:rFonts w:ascii="宋体" w:hAnsi="宋体" w:cs="宋体" w:eastAsia="宋体" w:hint="default"/>
          <w:sz w:val="22"/>
          <w:szCs w:val="22"/>
        </w:rPr>
      </w:pPr>
    </w:p>
    <w:p>
      <w:pPr>
        <w:pStyle w:val="BodyText"/>
        <w:spacing w:line="240" w:lineRule="auto"/>
        <w:ind w:left="513" w:right="1713"/>
        <w:jc w:val="left"/>
      </w:pPr>
      <w:r>
        <w:rPr/>
        <w:t>③</w:t>
      </w:r>
      <w:r>
        <w:rPr>
          <w:spacing w:val="1"/>
        </w:rPr>
        <w:t> </w:t>
      </w:r>
      <w:r>
        <w:rPr/>
        <w:t>为使资产达到预定可使用或者可销售状态所必要的购建或者生产活动已经开始。</w:t>
      </w:r>
    </w:p>
    <w:p>
      <w:pPr>
        <w:pStyle w:val="BodyText"/>
        <w:spacing w:line="520" w:lineRule="atLeast" w:before="8"/>
        <w:ind w:left="513" w:right="93"/>
        <w:jc w:val="left"/>
      </w:pPr>
      <w:r>
        <w:rPr/>
        <w:t>（</w:t>
      </w:r>
      <w:r>
        <w:rPr>
          <w:rFonts w:ascii="宋体" w:hAnsi="宋体" w:cs="宋体" w:eastAsia="宋体" w:hint="default"/>
        </w:rPr>
        <w:t>2</w:t>
      </w:r>
      <w:r>
        <w:rPr/>
        <w:t>）借款费用资本化期间 </w:t>
      </w:r>
      <w:r>
        <w:rPr>
          <w:spacing w:val="-2"/>
        </w:rPr>
        <w:t>本集团购建或者生产符合资本化条件的资产达到预定可使用或者可销售状态时，借款费用停止资本化。在符合资本化条</w:t>
      </w:r>
    </w:p>
    <w:p>
      <w:pPr>
        <w:pStyle w:val="BodyText"/>
        <w:spacing w:line="240" w:lineRule="auto" w:before="76"/>
        <w:ind w:right="93"/>
        <w:jc w:val="left"/>
      </w:pPr>
      <w:r>
        <w:rPr/>
        <w:t>件的资产达到预定可使用或者可销售状态之后所发生的借款费用，在发生时根据其发生额确认为费用，计入当期损益。</w:t>
      </w:r>
    </w:p>
    <w:p>
      <w:pPr>
        <w:spacing w:line="240" w:lineRule="auto" w:before="5"/>
        <w:rPr>
          <w:rFonts w:ascii="宋体" w:hAnsi="宋体" w:cs="宋体" w:eastAsia="宋体" w:hint="default"/>
          <w:sz w:val="22"/>
          <w:szCs w:val="22"/>
        </w:rPr>
      </w:pPr>
    </w:p>
    <w:p>
      <w:pPr>
        <w:pStyle w:val="BodyText"/>
        <w:spacing w:line="316" w:lineRule="auto"/>
        <w:ind w:right="93" w:firstLine="360"/>
        <w:jc w:val="left"/>
      </w:pPr>
      <w:r>
        <w:rPr>
          <w:spacing w:val="-2"/>
        </w:rPr>
        <w:t>符合资本化条件的资产在购建或者生产过程中发生非正常中断、且中断时间连续超过</w:t>
      </w:r>
      <w:r>
        <w:rPr>
          <w:rFonts w:ascii="宋体" w:hAnsi="宋体" w:cs="宋体" w:eastAsia="宋体" w:hint="default"/>
          <w:spacing w:val="-2"/>
        </w:rPr>
        <w:t>3</w:t>
      </w:r>
      <w:r>
        <w:rPr>
          <w:spacing w:val="-2"/>
        </w:rPr>
        <w:t>个月的，暂停借款费用的资本化；</w:t>
      </w:r>
      <w:r>
        <w:rPr/>
        <w:t> 正常中断期间的借款费用继续资本化。</w:t>
      </w:r>
    </w:p>
    <w:p>
      <w:pPr>
        <w:pStyle w:val="BodyText"/>
        <w:spacing w:line="528" w:lineRule="exact" w:before="23"/>
        <w:ind w:left="513" w:right="93"/>
        <w:jc w:val="left"/>
      </w:pPr>
      <w:r>
        <w:rPr/>
        <w:t>（</w:t>
      </w:r>
      <w:r>
        <w:rPr>
          <w:rFonts w:ascii="宋体" w:hAnsi="宋体" w:cs="宋体" w:eastAsia="宋体" w:hint="default"/>
        </w:rPr>
        <w:t>3</w:t>
      </w:r>
      <w:r>
        <w:rPr/>
        <w:t>）借款费用资本化率以及资本化金额的计算方法 </w:t>
      </w:r>
      <w:r>
        <w:rPr>
          <w:spacing w:val="-2"/>
        </w:rPr>
        <w:t>专门借款当期实际发生的利息费用，减去尚未动用的借款资金存入银行取得的利息收入或进行暂时性投资取得的投资收</w:t>
      </w:r>
    </w:p>
    <w:p>
      <w:pPr>
        <w:pStyle w:val="BodyText"/>
        <w:spacing w:line="316" w:lineRule="auto"/>
        <w:ind w:right="93"/>
        <w:jc w:val="left"/>
      </w:pP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spacing w:line="240" w:lineRule="auto" w:before="12"/>
        <w:rPr>
          <w:rFonts w:ascii="宋体" w:hAnsi="宋体" w:cs="宋体" w:eastAsia="宋体" w:hint="default"/>
          <w:sz w:val="17"/>
          <w:szCs w:val="17"/>
        </w:rPr>
      </w:pPr>
    </w:p>
    <w:p>
      <w:pPr>
        <w:pStyle w:val="BodyText"/>
        <w:spacing w:line="240" w:lineRule="auto"/>
        <w:ind w:left="513" w:right="93"/>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无。</w:t>
      </w:r>
    </w:p>
    <w:p>
      <w:pPr>
        <w:spacing w:after="0" w:line="240" w:lineRule="auto"/>
        <w:jc w:val="left"/>
        <w:sectPr>
          <w:pgSz w:w="11910" w:h="16840"/>
          <w:pgMar w:header="745" w:footer="979"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1713"/>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71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530" w:lineRule="atLeast" w:before="57"/>
        <w:ind w:left="513" w:right="93"/>
        <w:jc w:val="left"/>
      </w:pPr>
      <w:r>
        <w:rPr/>
        <w:t>本集团无形资产为计算机软件。 </w:t>
      </w:r>
      <w:r>
        <w:rPr>
          <w:spacing w:val="-2"/>
        </w:rPr>
        <w:t>无形资产按照成本进行初始计量，并于取得无形资产时分析判断其使用寿命。使用寿命为有限的，自无形资产可供使用</w:t>
      </w:r>
    </w:p>
    <w:p>
      <w:pPr>
        <w:pStyle w:val="BodyText"/>
        <w:spacing w:line="319" w:lineRule="auto" w:before="76"/>
        <w:ind w:right="93"/>
        <w:jc w:val="left"/>
      </w:pPr>
      <w:r>
        <w:rPr>
          <w:spacing w:val="-2"/>
        </w:rPr>
        <w:t>时起，采用能反映与该资产有关的经济利益的预期实现方式的摊销方法，在预计使用年限内摊销；无法可靠确定预期实现方</w:t>
      </w:r>
      <w:r>
        <w:rPr>
          <w:spacing w:val="-62"/>
        </w:rPr>
        <w:t> </w:t>
      </w:r>
      <w:r>
        <w:rPr>
          <w:spacing w:val="-62"/>
        </w:rPr>
      </w:r>
      <w:r>
        <w:rPr/>
        <w:t>式的，采用直线法摊销；使用寿命不确定的无形资产，不作摊销。</w:t>
      </w:r>
    </w:p>
    <w:p>
      <w:pPr>
        <w:spacing w:line="240" w:lineRule="auto" w:before="11"/>
        <w:rPr>
          <w:rFonts w:ascii="宋体" w:hAnsi="宋体" w:cs="宋体" w:eastAsia="宋体" w:hint="default"/>
          <w:sz w:val="17"/>
          <w:szCs w:val="17"/>
        </w:rPr>
      </w:pPr>
    </w:p>
    <w:p>
      <w:pPr>
        <w:pStyle w:val="BodyText"/>
        <w:spacing w:line="240" w:lineRule="auto"/>
        <w:ind w:left="513" w:right="1713"/>
        <w:jc w:val="left"/>
      </w:pPr>
      <w:r>
        <w:rPr/>
        <w:t>使用寿命有限的无形资产摊销方法如下：</w:t>
      </w:r>
    </w:p>
    <w:p>
      <w:pPr>
        <w:spacing w:line="240" w:lineRule="auto" w:before="9"/>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3802"/>
        <w:gridCol w:w="2523"/>
        <w:gridCol w:w="2958"/>
      </w:tblGrid>
      <w:tr>
        <w:trPr>
          <w:trHeight w:val="341"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b/>
                <w:bCs/>
                <w:w w:val="95"/>
                <w:sz w:val="18"/>
                <w:szCs w:val="18"/>
              </w:rPr>
              <w:t>使用寿命</w:t>
            </w:r>
            <w:r>
              <w:rPr>
                <w:rFonts w:ascii="宋体" w:hAnsi="宋体" w:cs="宋体" w:eastAsia="宋体" w:hint="default"/>
                <w:sz w:val="18"/>
                <w:szCs w:val="18"/>
              </w:rPr>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b/>
                <w:bCs/>
                <w:w w:val="95"/>
                <w:sz w:val="18"/>
                <w:szCs w:val="18"/>
              </w:rPr>
              <w:t>摊销方法</w:t>
            </w:r>
            <w:r>
              <w:rPr>
                <w:rFonts w:ascii="宋体" w:hAnsi="宋体" w:cs="宋体" w:eastAsia="宋体" w:hint="default"/>
                <w:sz w:val="18"/>
                <w:szCs w:val="18"/>
              </w:rPr>
            </w:r>
          </w:p>
        </w:tc>
      </w:tr>
      <w:tr>
        <w:trPr>
          <w:trHeight w:val="343" w:hRule="exact"/>
        </w:trPr>
        <w:tc>
          <w:tcPr>
            <w:tcW w:w="3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5"/>
        <w:rPr>
          <w:rFonts w:ascii="宋体" w:hAnsi="宋体" w:cs="宋体" w:eastAsia="宋体" w:hint="default"/>
          <w:sz w:val="6"/>
          <w:szCs w:val="6"/>
        </w:rPr>
      </w:pPr>
    </w:p>
    <w:p>
      <w:pPr>
        <w:pStyle w:val="BodyText"/>
        <w:spacing w:line="316" w:lineRule="auto" w:before="44"/>
        <w:ind w:right="190" w:firstLine="360"/>
        <w:jc w:val="both"/>
      </w:pPr>
      <w:r>
        <w:rPr>
          <w:spacing w:val="-2"/>
        </w:rPr>
        <w:t>本集团于每年年度终了，对使用寿命有限的无形资产的使用寿命及摊销方法进行复核，与以前估计不同的，调整原先估</w:t>
      </w:r>
      <w:r>
        <w:rPr/>
        <w:t> 计数，并按会计估计变更处理。</w:t>
      </w:r>
    </w:p>
    <w:p>
      <w:pPr>
        <w:spacing w:line="240" w:lineRule="auto" w:before="12"/>
        <w:rPr>
          <w:rFonts w:ascii="宋体" w:hAnsi="宋体" w:cs="宋体" w:eastAsia="宋体" w:hint="default"/>
          <w:sz w:val="17"/>
          <w:szCs w:val="17"/>
        </w:rPr>
      </w:pPr>
    </w:p>
    <w:p>
      <w:pPr>
        <w:pStyle w:val="BodyText"/>
        <w:spacing w:line="537" w:lineRule="auto"/>
        <w:ind w:left="513" w:right="93"/>
        <w:jc w:val="left"/>
      </w:pPr>
      <w:r>
        <w:rPr/>
        <w:t>资产负债表日预计某项无形资产已经不能给企业带来未来经济利益的，将该项无形资产的账面价值全部转入当期损益。 无形资产计提资产减值方法见</w:t>
      </w:r>
      <w:r>
        <w:rPr>
          <w:color w:val="FF0000"/>
        </w:rPr>
        <w:t>附注五、</w:t>
      </w:r>
      <w:r>
        <w:rPr>
          <w:rFonts w:ascii="Times New Roman" w:hAnsi="Times New Roman" w:cs="Times New Roman" w:eastAsia="Times New Roman" w:hint="default"/>
          <w:color w:val="FF0000"/>
        </w:rPr>
        <w:t>22</w:t>
      </w:r>
      <w:r>
        <w:rPr/>
        <w:t>。</w:t>
      </w:r>
    </w:p>
    <w:p>
      <w:pPr>
        <w:spacing w:line="540" w:lineRule="auto" w:before="102"/>
        <w:ind w:left="513" w:right="3513" w:hanging="360"/>
        <w:jc w:val="left"/>
        <w:rPr>
          <w:rFonts w:ascii="宋体" w:hAnsi="宋体" w:cs="宋体" w:eastAsia="宋体" w:hint="default"/>
          <w:sz w:val="18"/>
          <w:szCs w:val="18"/>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）内部研究开发支出会计政策</w:t>
      </w:r>
      <w:r>
        <w:rPr>
          <w:rFonts w:ascii="宋体" w:hAnsi="宋体" w:cs="宋体" w:eastAsia="宋体" w:hint="default"/>
          <w:b/>
          <w:bCs/>
          <w:w w:val="99"/>
          <w:sz w:val="20"/>
          <w:szCs w:val="20"/>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316" w:lineRule="auto" w:before="67"/>
        <w:ind w:right="188" w:firstLine="360"/>
        <w:jc w:val="both"/>
      </w:pPr>
      <w:r>
        <w:rPr>
          <w:spacing w:val="-2"/>
        </w:rPr>
        <w:t>开发阶段的支出，同时满足下列条件的，才能予以资本化，即：完成该无形资产以使其能够使用或出售在技术上具有可</w:t>
      </w:r>
      <w:r>
        <w:rPr/>
        <w:t> </w:t>
      </w:r>
      <w:r>
        <w:rPr>
          <w:spacing w:val="-2"/>
        </w:rPr>
        <w:t>行性；具有完成该无形资产并使用或出售的意图；无形资产产生经济利益的方式，包括能够证明运用该无形资产生产的产品</w:t>
      </w:r>
      <w:r>
        <w:rPr>
          <w:spacing w:val="-63"/>
        </w:rPr>
        <w:t> </w:t>
      </w:r>
      <w:r>
        <w:rPr>
          <w:spacing w:val="-63"/>
        </w:rPr>
      </w:r>
      <w:r>
        <w:rPr>
          <w:spacing w:val="-2"/>
        </w:rPr>
        <w:t>存在市场或无形资产自身存在市场，无形资产将在内部使用的，能够证明其有用性；有足够的技术、财务资源和其他资源支</w:t>
      </w:r>
      <w:r>
        <w:rPr>
          <w:spacing w:val="-64"/>
        </w:rPr>
        <w:t> </w:t>
      </w:r>
      <w:r>
        <w:rPr>
          <w:spacing w:val="-64"/>
        </w:rPr>
      </w:r>
      <w:r>
        <w:rPr>
          <w:spacing w:val="-2"/>
        </w:rPr>
        <w:t>持，以完成该无形资产的开发，并有能力使用或出售该无形资产；归属于该无形资产开发阶段的支出能够可靠地计量。不满</w:t>
      </w:r>
      <w:r>
        <w:rPr>
          <w:spacing w:val="-63"/>
        </w:rPr>
        <w:t> </w:t>
      </w:r>
      <w:r>
        <w:rPr>
          <w:spacing w:val="-63"/>
        </w:rPr>
      </w:r>
      <w:r>
        <w:rPr/>
        <w:t>足上述条件的开发支出计入当期损益。</w:t>
      </w:r>
    </w:p>
    <w:p>
      <w:pPr>
        <w:spacing w:line="240" w:lineRule="auto" w:before="13"/>
        <w:rPr>
          <w:rFonts w:ascii="宋体" w:hAnsi="宋体" w:cs="宋体" w:eastAsia="宋体" w:hint="default"/>
          <w:sz w:val="17"/>
          <w:szCs w:val="17"/>
        </w:rPr>
      </w:pPr>
    </w:p>
    <w:p>
      <w:pPr>
        <w:pStyle w:val="BodyText"/>
        <w:spacing w:line="537" w:lineRule="auto"/>
        <w:ind w:left="513" w:right="633"/>
        <w:jc w:val="left"/>
      </w:pPr>
      <w:r>
        <w:rPr/>
        <w:t>本集团研究开发项目在满足上述条件，通过技术可行性及经济可行性研究，形成项目立项后，进入开发阶段。 已资本化的开发阶段的支出在资产负债表上列示为开发支出，自该项目达到预定可使用状态之日转为无形资产。</w:t>
      </w:r>
    </w:p>
    <w:p>
      <w:pPr>
        <w:pStyle w:val="Heading3"/>
        <w:spacing w:line="240" w:lineRule="auto" w:before="139"/>
        <w:ind w:right="1713"/>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95" w:firstLine="360"/>
        <w:jc w:val="both"/>
      </w:pPr>
      <w:r>
        <w:rPr>
          <w:spacing w:val="-2"/>
        </w:rPr>
        <w:t>对子公司、联营企业和合营企业的长期股权投资、固定资产、在建工程、无形资产（存货、递延所得税资产、金融资产</w:t>
      </w:r>
      <w:r>
        <w:rPr/>
        <w:t> 除外）的资产减值，按以下方法确定：</w:t>
      </w:r>
    </w:p>
    <w:p>
      <w:pPr>
        <w:spacing w:line="240" w:lineRule="auto" w:before="12"/>
        <w:rPr>
          <w:rFonts w:ascii="宋体" w:hAnsi="宋体" w:cs="宋体" w:eastAsia="宋体" w:hint="default"/>
          <w:sz w:val="17"/>
          <w:szCs w:val="17"/>
        </w:rPr>
      </w:pPr>
    </w:p>
    <w:p>
      <w:pPr>
        <w:pStyle w:val="BodyText"/>
        <w:spacing w:line="240" w:lineRule="auto"/>
        <w:ind w:left="513" w:right="93"/>
        <w:jc w:val="left"/>
      </w:pPr>
      <w:r>
        <w:rPr>
          <w:spacing w:val="-4"/>
        </w:rPr>
        <w:t>于资产负债表日判断资产是否存在可能发生减值的迹象，存在减值迹象的，本集团将估计其可收回金额，进行减值测试。</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spacing w:val="-2"/>
        </w:rPr>
        <w:t>对因企业合并所形成的商誉、使用寿命不确定的无形资产和尚未达到可使用状态的无形资产无论是否存在减值迹象，每年都</w:t>
      </w:r>
      <w:r>
        <w:rPr>
          <w:spacing w:val="-64"/>
        </w:rPr>
        <w:t> </w:t>
      </w:r>
      <w:r>
        <w:rPr>
          <w:spacing w:val="-64"/>
        </w:rPr>
      </w:r>
      <w:r>
        <w:rPr/>
        <w:t>进行减值测试。</w:t>
      </w:r>
    </w:p>
    <w:p>
      <w:pPr>
        <w:spacing w:line="240" w:lineRule="auto" w:before="11"/>
        <w:rPr>
          <w:rFonts w:ascii="宋体" w:hAnsi="宋体" w:cs="宋体" w:eastAsia="宋体" w:hint="default"/>
          <w:sz w:val="17"/>
          <w:szCs w:val="17"/>
        </w:rPr>
      </w:pPr>
    </w:p>
    <w:p>
      <w:pPr>
        <w:pStyle w:val="BodyText"/>
        <w:spacing w:line="316" w:lineRule="auto"/>
        <w:ind w:right="192" w:firstLine="360"/>
        <w:jc w:val="both"/>
      </w:pPr>
      <w:r>
        <w:rPr>
          <w:spacing w:val="-2"/>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right="110" w:firstLine="360"/>
        <w:jc w:val="both"/>
      </w:pPr>
      <w:r>
        <w:rPr/>
        <w:t>当资产或资产组的可收回金额低于其账面价值时，本集团将其账面价值减记至可收回金额，减记的金额计入当期损益， 同时计提相应的资产减值准备。</w:t>
      </w:r>
    </w:p>
    <w:p>
      <w:pPr>
        <w:spacing w:line="240" w:lineRule="auto" w:before="12"/>
        <w:rPr>
          <w:rFonts w:ascii="宋体" w:hAnsi="宋体" w:cs="宋体" w:eastAsia="宋体" w:hint="default"/>
          <w:sz w:val="17"/>
          <w:szCs w:val="17"/>
        </w:rPr>
      </w:pPr>
    </w:p>
    <w:p>
      <w:pPr>
        <w:pStyle w:val="BodyText"/>
        <w:spacing w:line="316" w:lineRule="auto"/>
        <w:ind w:right="190" w:firstLine="360"/>
        <w:jc w:val="both"/>
      </w:pPr>
      <w:r>
        <w:rPr>
          <w:spacing w:val="-2"/>
        </w:rPr>
        <w:t>就商誉的减值测试而言，对于因企业合并形成的商誉的账面价值，自购买日起按照合理的方法分摊至相关的资产组；难</w:t>
      </w:r>
      <w:r>
        <w:rPr/>
        <w:t> </w:t>
      </w:r>
      <w:r>
        <w:rPr>
          <w:spacing w:val="-2"/>
        </w:rPr>
        <w:t>以分摊至相关的资产组的，将其分摊至相关的资产组组合。相关的资产组或资产组组合，是能够从企业合并的协同效应中受</w:t>
      </w:r>
      <w:r>
        <w:rPr>
          <w:spacing w:val="-63"/>
        </w:rPr>
        <w:t> </w:t>
      </w:r>
      <w:r>
        <w:rPr>
          <w:spacing w:val="-63"/>
        </w:rPr>
      </w:r>
      <w:r>
        <w:rPr/>
        <w:t>益的资产组或者资产组组合，且不大于本集团确定的报告分部。</w:t>
      </w:r>
    </w:p>
    <w:p>
      <w:pPr>
        <w:spacing w:line="240" w:lineRule="auto" w:before="13"/>
        <w:rPr>
          <w:rFonts w:ascii="宋体" w:hAnsi="宋体" w:cs="宋体" w:eastAsia="宋体" w:hint="default"/>
          <w:sz w:val="17"/>
          <w:szCs w:val="17"/>
        </w:rPr>
      </w:pPr>
    </w:p>
    <w:p>
      <w:pPr>
        <w:pStyle w:val="BodyText"/>
        <w:spacing w:line="316" w:lineRule="auto"/>
        <w:ind w:right="190"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4"/>
        </w:rPr>
        <w:t> </w:t>
      </w:r>
      <w:r>
        <w:rPr>
          <w:spacing w:val="-64"/>
        </w:rPr>
      </w:r>
      <w:r>
        <w:rPr/>
        <w:t>值与可收回金额，如可收回金额低于账面价值的，确认商誉的减值损失。</w:t>
      </w:r>
    </w:p>
    <w:p>
      <w:pPr>
        <w:spacing w:line="240" w:lineRule="auto" w:before="12"/>
        <w:rPr>
          <w:rFonts w:ascii="宋体" w:hAnsi="宋体" w:cs="宋体" w:eastAsia="宋体" w:hint="default"/>
          <w:sz w:val="17"/>
          <w:szCs w:val="17"/>
        </w:rPr>
      </w:pPr>
    </w:p>
    <w:p>
      <w:pPr>
        <w:pStyle w:val="BodyText"/>
        <w:spacing w:line="240" w:lineRule="auto"/>
        <w:ind w:left="513" w:right="1713"/>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92" w:firstLine="360"/>
        <w:jc w:val="both"/>
      </w:pPr>
      <w:r>
        <w:rPr>
          <w:spacing w:val="-2"/>
        </w:rPr>
        <w:t>本集团发生的长期待摊费用按实际成本计价，并按预计受益期限平均摊销。对不能使以后会计期间受益的长期待摊费用</w:t>
      </w:r>
      <w:r>
        <w:rPr/>
        <w:t> 项目，其摊余价值全部计入当期损益。</w:t>
      </w:r>
    </w:p>
    <w:p>
      <w:pPr>
        <w:spacing w:line="240" w:lineRule="auto" w:before="5"/>
        <w:rPr>
          <w:rFonts w:ascii="宋体" w:hAnsi="宋体" w:cs="宋体" w:eastAsia="宋体" w:hint="default"/>
          <w:sz w:val="23"/>
          <w:szCs w:val="23"/>
        </w:rPr>
      </w:pPr>
    </w:p>
    <w:p>
      <w:pPr>
        <w:pStyle w:val="Heading3"/>
        <w:spacing w:line="240" w:lineRule="auto"/>
        <w:ind w:right="1713"/>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71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90" w:firstLine="360"/>
        <w:jc w:val="both"/>
      </w:pPr>
      <w:r>
        <w:rPr>
          <w:spacing w:val="-2"/>
        </w:rPr>
        <w:t>本集团在职工提供服务的会计期间，将实际发生的职工工资、奖金、按规定的基准和比例为职工缴纳的医疗保险费、工</w:t>
      </w:r>
      <w:r>
        <w:rPr/>
        <w:t> </w:t>
      </w:r>
      <w:r>
        <w:rPr>
          <w:spacing w:val="-2"/>
        </w:rPr>
        <w:t>伤保险费和生育保险费等社会保险费和住房公积金，确认为负债，并计入当期损益或相关资产成本。如果该负债预期在职工</w:t>
      </w:r>
      <w:r>
        <w:rPr>
          <w:spacing w:val="-64"/>
        </w:rPr>
        <w:t> </w:t>
      </w:r>
      <w:r>
        <w:rPr>
          <w:spacing w:val="-64"/>
        </w:rPr>
      </w:r>
      <w:r>
        <w:rPr/>
        <w:t>提供相关服务的年度报告期结束后十二个月内不能完全支付，且财务影响重大的，则该负债将以折现后的金额计量。</w:t>
      </w:r>
    </w:p>
    <w:p>
      <w:pPr>
        <w:spacing w:line="240" w:lineRule="auto" w:before="4"/>
        <w:rPr>
          <w:rFonts w:ascii="宋体" w:hAnsi="宋体" w:cs="宋体" w:eastAsia="宋体" w:hint="default"/>
          <w:sz w:val="23"/>
          <w:szCs w:val="23"/>
        </w:rPr>
      </w:pPr>
    </w:p>
    <w:p>
      <w:pPr>
        <w:pStyle w:val="Heading3"/>
        <w:spacing w:line="240" w:lineRule="auto"/>
        <w:ind w:right="171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92" w:firstLine="360"/>
        <w:jc w:val="both"/>
      </w:pPr>
      <w:r>
        <w:rPr>
          <w:spacing w:val="-2"/>
        </w:rPr>
        <w:t>离职后福利计划为设定提存计划。设定提存计划，是指向独立的基金缴存固定费用后，企业不再承担进一步支付义务的</w:t>
      </w:r>
      <w:r>
        <w:rPr/>
        <w:t> 离职后福利计划。</w:t>
      </w:r>
    </w:p>
    <w:p>
      <w:pPr>
        <w:spacing w:line="240" w:lineRule="auto" w:before="11"/>
        <w:rPr>
          <w:rFonts w:ascii="宋体" w:hAnsi="宋体" w:cs="宋体" w:eastAsia="宋体" w:hint="default"/>
          <w:sz w:val="17"/>
          <w:szCs w:val="17"/>
        </w:rPr>
      </w:pPr>
    </w:p>
    <w:p>
      <w:pPr>
        <w:pStyle w:val="BodyText"/>
        <w:spacing w:line="537" w:lineRule="auto"/>
        <w:ind w:left="513" w:right="453"/>
        <w:jc w:val="left"/>
      </w:pPr>
      <w:r>
        <w:rPr/>
        <w:t>设定提存计划包括基本养老保险、失业保险等。 在职工提供服务的会计期间，根据设定提存计划计算的应缴存金额确认为负债，并计入当期损益或相关资产成本。</w:t>
      </w:r>
    </w:p>
    <w:p>
      <w:pPr>
        <w:pStyle w:val="Heading3"/>
        <w:spacing w:line="240" w:lineRule="auto" w:before="139"/>
        <w:ind w:right="171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90" w:firstLine="360"/>
        <w:jc w:val="both"/>
      </w:pPr>
      <w:r>
        <w:rPr>
          <w:spacing w:val="-2"/>
        </w:rPr>
        <w:t>本集团向职工提供辞退福利的，在下列两者孰早日确认辞退福利产生的职工薪酬负债，并计入当期损益：本集团不能单</w:t>
      </w:r>
      <w:r>
        <w:rPr/>
        <w:t> 方面撤回因解除劳动关系计划或裁减建议所提供的辞退福利时；本集团确认与涉及支付辞退福利的重组相关的成本或费用</w:t>
      </w:r>
      <w:r>
        <w:rPr>
          <w:spacing w:val="-11"/>
        </w:rPr>
        <w:t> </w:t>
      </w:r>
      <w:r>
        <w:rPr>
          <w:spacing w:val="-11"/>
        </w:rPr>
      </w:r>
      <w:r>
        <w:rPr/>
        <w:t>时。</w:t>
      </w:r>
    </w:p>
    <w:p>
      <w:pPr>
        <w:spacing w:after="0" w:line="316"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11" w:firstLine="360"/>
        <w:jc w:val="both"/>
      </w:pPr>
      <w:r>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spacing w:line="240" w:lineRule="auto" w:before="2"/>
        <w:rPr>
          <w:rFonts w:ascii="宋体" w:hAnsi="宋体" w:cs="宋体" w:eastAsia="宋体" w:hint="default"/>
          <w:sz w:val="23"/>
          <w:szCs w:val="23"/>
        </w:rPr>
      </w:pPr>
    </w:p>
    <w:p>
      <w:pPr>
        <w:pStyle w:val="Heading3"/>
        <w:spacing w:line="240" w:lineRule="auto"/>
        <w:ind w:right="171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right="93" w:firstLine="360"/>
        <w:jc w:val="left"/>
      </w:pPr>
      <w:r>
        <w:rPr/>
        <w:t>本集团向职工提供的其他长期职工福利，符合设定提存计划条件的，按照上述关于设定提存计划的有关规定进行处理。 符合设定受益计划的，按照上述关于设定受益计划的有关规定进行处理，但相关职工薪酬成本中</w:t>
      </w:r>
      <w:r>
        <w:rPr>
          <w:rFonts w:ascii="Times New Roman" w:hAnsi="Times New Roman" w:cs="Times New Roman" w:eastAsia="Times New Roman" w:hint="default"/>
        </w:rPr>
        <w:t>“</w:t>
      </w:r>
      <w:r>
        <w:rPr/>
        <w:t>重新计量设定受益计划净</w:t>
      </w:r>
      <w:r>
        <w:rPr>
          <w:spacing w:val="-74"/>
        </w:rPr>
        <w:t> </w:t>
      </w:r>
      <w:r>
        <w:rPr>
          <w:spacing w:val="-74"/>
        </w:rPr>
      </w:r>
      <w:r>
        <w:rPr/>
        <w:t>负债或净资产所产生的变动</w:t>
      </w:r>
      <w:r>
        <w:rPr>
          <w:rFonts w:ascii="Times New Roman" w:hAnsi="Times New Roman" w:cs="Times New Roman" w:eastAsia="Times New Roman" w:hint="default"/>
        </w:rPr>
        <w:t>”</w:t>
      </w:r>
      <w:r>
        <w:rPr/>
        <w:t>部分计入当期损益或相关资产成本。</w:t>
      </w:r>
    </w:p>
    <w:p>
      <w:pPr>
        <w:spacing w:line="240" w:lineRule="auto" w:before="3"/>
        <w:rPr>
          <w:rFonts w:ascii="宋体" w:hAnsi="宋体" w:cs="宋体" w:eastAsia="宋体" w:hint="default"/>
          <w:sz w:val="22"/>
          <w:szCs w:val="22"/>
        </w:rPr>
      </w:pPr>
    </w:p>
    <w:p>
      <w:pPr>
        <w:pStyle w:val="Heading3"/>
        <w:spacing w:line="240" w:lineRule="auto"/>
        <w:ind w:right="171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713"/>
        <w:jc w:val="left"/>
      </w:pPr>
      <w:r>
        <w:rPr/>
        <w:t>如果与或有事项相关的义务同时符合以下条件，本集团将其确认为预计负债：</w:t>
      </w:r>
    </w:p>
    <w:p>
      <w:pPr>
        <w:spacing w:line="240" w:lineRule="auto" w:before="5"/>
        <w:rPr>
          <w:rFonts w:ascii="宋体" w:hAnsi="宋体" w:cs="宋体" w:eastAsia="宋体" w:hint="default"/>
          <w:sz w:val="22"/>
          <w:szCs w:val="22"/>
        </w:rPr>
      </w:pPr>
    </w:p>
    <w:p>
      <w:pPr>
        <w:pStyle w:val="BodyText"/>
        <w:spacing w:line="240" w:lineRule="auto"/>
        <w:ind w:left="513" w:right="1713"/>
        <w:jc w:val="left"/>
      </w:pPr>
      <w:r>
        <w:rPr/>
        <w:t>（</w:t>
      </w:r>
      <w:r>
        <w:rPr>
          <w:rFonts w:ascii="宋体" w:hAnsi="宋体" w:cs="宋体" w:eastAsia="宋体" w:hint="default"/>
        </w:rPr>
        <w:t>1</w:t>
      </w:r>
      <w:r>
        <w:rPr/>
        <w:t>）该义务是本集团承担的现时义务；</w:t>
      </w:r>
    </w:p>
    <w:p>
      <w:pPr>
        <w:spacing w:line="240" w:lineRule="auto" w:before="5"/>
        <w:rPr>
          <w:rFonts w:ascii="宋体" w:hAnsi="宋体" w:cs="宋体" w:eastAsia="宋体" w:hint="default"/>
          <w:sz w:val="22"/>
          <w:szCs w:val="22"/>
        </w:rPr>
      </w:pPr>
    </w:p>
    <w:p>
      <w:pPr>
        <w:pStyle w:val="BodyText"/>
        <w:spacing w:line="240" w:lineRule="auto"/>
        <w:ind w:left="513" w:right="1713"/>
        <w:jc w:val="left"/>
      </w:pPr>
      <w:r>
        <w:rPr/>
        <w:t>（</w:t>
      </w:r>
      <w:r>
        <w:rPr>
          <w:rFonts w:ascii="宋体" w:hAnsi="宋体" w:cs="宋体" w:eastAsia="宋体" w:hint="default"/>
        </w:rPr>
        <w:t>2</w:t>
      </w:r>
      <w:r>
        <w:rPr/>
        <w:t>）该义务的履行很可能导致经济利益流出本集团；</w:t>
      </w:r>
    </w:p>
    <w:p>
      <w:pPr>
        <w:pStyle w:val="BodyText"/>
        <w:spacing w:line="520" w:lineRule="atLeast" w:before="8"/>
        <w:ind w:left="513" w:right="93"/>
        <w:jc w:val="left"/>
      </w:pPr>
      <w:r>
        <w:rPr/>
        <w:t>（</w:t>
      </w:r>
      <w:r>
        <w:rPr>
          <w:rFonts w:ascii="宋体" w:hAnsi="宋体" w:cs="宋体" w:eastAsia="宋体" w:hint="default"/>
        </w:rPr>
        <w:t>3</w:t>
      </w:r>
      <w:r>
        <w:rPr/>
        <w:t>）该义务的金额能够可靠地计量。 </w:t>
      </w:r>
      <w:r>
        <w:rPr>
          <w:spacing w:val="-2"/>
        </w:rPr>
        <w:t>预计负债按照履行相关现时义务所需支出的最佳估计数进行初始计量，并综合考虑与或有事项有关的风险、不确定性和</w:t>
      </w:r>
    </w:p>
    <w:p>
      <w:pPr>
        <w:pStyle w:val="BodyText"/>
        <w:spacing w:line="316" w:lineRule="auto" w:before="76"/>
        <w:ind w:right="93"/>
        <w:jc w:val="left"/>
      </w:pPr>
      <w:r>
        <w:rPr>
          <w:spacing w:val="-2"/>
        </w:rPr>
        <w:t>货币时间价值等因素。货币时间价值影响重大的，通过对相关未来现金流出进行折现后确定最佳估计数。本集团于资产负债</w:t>
      </w:r>
      <w:r>
        <w:rPr>
          <w:spacing w:val="-63"/>
        </w:rPr>
        <w:t> </w:t>
      </w:r>
      <w:r>
        <w:rPr>
          <w:spacing w:val="-63"/>
        </w:rPr>
      </w:r>
      <w:r>
        <w:rPr/>
        <w:t>表日对预计负债的账面价值进行复核，并对账面价值进行调整以反映当前最佳估计数。</w:t>
      </w:r>
    </w:p>
    <w:p>
      <w:pPr>
        <w:spacing w:line="240" w:lineRule="auto" w:before="12"/>
        <w:rPr>
          <w:rFonts w:ascii="宋体" w:hAnsi="宋体" w:cs="宋体" w:eastAsia="宋体" w:hint="default"/>
          <w:sz w:val="17"/>
          <w:szCs w:val="17"/>
        </w:rPr>
      </w:pPr>
    </w:p>
    <w:p>
      <w:pPr>
        <w:pStyle w:val="BodyText"/>
        <w:spacing w:line="319" w:lineRule="auto"/>
        <w:ind w:right="93" w:firstLine="360"/>
        <w:jc w:val="left"/>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2"/>
        <w:rPr>
          <w:rFonts w:ascii="宋体" w:hAnsi="宋体" w:cs="宋体" w:eastAsia="宋体" w:hint="default"/>
          <w:sz w:val="23"/>
          <w:szCs w:val="23"/>
        </w:rPr>
      </w:pPr>
    </w:p>
    <w:p>
      <w:pPr>
        <w:pStyle w:val="Heading3"/>
        <w:spacing w:line="240" w:lineRule="auto"/>
        <w:ind w:right="171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12"/>
        <w:rPr>
          <w:rFonts w:ascii="宋体" w:hAnsi="宋体" w:cs="宋体" w:eastAsia="宋体" w:hint="default"/>
          <w:b/>
          <w:bCs/>
          <w:sz w:val="26"/>
          <w:szCs w:val="26"/>
        </w:rPr>
      </w:pPr>
    </w:p>
    <w:p>
      <w:pPr>
        <w:pStyle w:val="BodyText"/>
        <w:spacing w:line="300" w:lineRule="auto"/>
        <w:ind w:right="93" w:firstLine="360"/>
        <w:jc w:val="left"/>
      </w:pPr>
      <w:r>
        <w:rPr>
          <w:spacing w:val="-2"/>
        </w:rPr>
        <w:t>本公司收入包括：客户定制软件设计开发收入、</w:t>
      </w:r>
      <w:r>
        <w:rPr>
          <w:rFonts w:ascii="Times New Roman" w:hAnsi="Times New Roman" w:cs="Times New Roman" w:eastAsia="Times New Roman" w:hint="default"/>
          <w:spacing w:val="-2"/>
        </w:rPr>
        <w:t>IC</w:t>
      </w:r>
      <w:r>
        <w:rPr>
          <w:spacing w:val="-2"/>
        </w:rPr>
        <w:t>卡销售收入、系统维护服务收入、系统集成及外购硬件销售收入、自</w:t>
      </w:r>
      <w:r>
        <w:rPr/>
        <w:t> 制硬件销售收入和让渡资产使用权收入。</w:t>
      </w:r>
    </w:p>
    <w:p>
      <w:pPr>
        <w:spacing w:line="240" w:lineRule="auto" w:before="12"/>
        <w:rPr>
          <w:rFonts w:ascii="宋体" w:hAnsi="宋体" w:cs="宋体" w:eastAsia="宋体" w:hint="default"/>
          <w:sz w:val="18"/>
          <w:szCs w:val="18"/>
        </w:rPr>
      </w:pPr>
    </w:p>
    <w:p>
      <w:pPr>
        <w:pStyle w:val="BodyText"/>
        <w:spacing w:line="240" w:lineRule="auto"/>
        <w:ind w:left="513" w:right="1713"/>
        <w:jc w:val="left"/>
      </w:pPr>
      <w:r>
        <w:rPr/>
        <w:t>（</w:t>
      </w:r>
      <w:r>
        <w:rPr>
          <w:rFonts w:ascii="Times New Roman" w:hAnsi="Times New Roman" w:cs="Times New Roman" w:eastAsia="Times New Roman" w:hint="default"/>
        </w:rPr>
        <w:t>1</w:t>
      </w:r>
      <w:r>
        <w:rPr/>
        <w:t>）客户定制软件设计开发收入</w:t>
      </w:r>
    </w:p>
    <w:p>
      <w:pPr>
        <w:spacing w:line="240" w:lineRule="auto" w:before="4"/>
        <w:rPr>
          <w:rFonts w:ascii="宋体" w:hAnsi="宋体" w:cs="宋体" w:eastAsia="宋体" w:hint="default"/>
          <w:sz w:val="21"/>
          <w:szCs w:val="21"/>
        </w:rPr>
      </w:pPr>
    </w:p>
    <w:p>
      <w:pPr>
        <w:pStyle w:val="BodyText"/>
        <w:spacing w:line="316" w:lineRule="auto"/>
        <w:ind w:right="93" w:firstLine="360"/>
        <w:jc w:val="left"/>
      </w:pPr>
      <w:r>
        <w:rPr/>
        <w:t>本公司客户定制软件设计开发项目指本公司依据客户特定要求在本公司原有软件平台基础上进行开发实施或根据客户</w:t>
      </w:r>
      <w:r>
        <w:rPr>
          <w:spacing w:val="2"/>
        </w:rPr>
        <w:t> </w:t>
      </w:r>
      <w:r>
        <w:rPr/>
        <w:t>要求定制的软件设计和开发项目。</w:t>
      </w:r>
    </w:p>
    <w:p>
      <w:pPr>
        <w:spacing w:line="240" w:lineRule="auto" w:before="12"/>
        <w:rPr>
          <w:rFonts w:ascii="宋体" w:hAnsi="宋体" w:cs="宋体" w:eastAsia="宋体" w:hint="default"/>
          <w:sz w:val="17"/>
          <w:szCs w:val="17"/>
        </w:rPr>
      </w:pPr>
    </w:p>
    <w:p>
      <w:pPr>
        <w:pStyle w:val="BodyText"/>
        <w:spacing w:line="316" w:lineRule="auto"/>
        <w:ind w:right="93" w:firstLine="360"/>
        <w:jc w:val="left"/>
      </w:pPr>
      <w:r>
        <w:rPr/>
        <w:t>本公司客户定制软件设计开发项目实质为提供劳务，本公司在资产负债表日，对于提供劳务交易结果能够可靠估计的， 采用完工百分比法确认提供的劳务收入。</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1713"/>
        <w:jc w:val="left"/>
      </w:pPr>
      <w:r>
        <w:rPr/>
        <w:t>提供劳务交易的结果能够可靠估计，是指同时满足下列条件：</w:t>
      </w:r>
    </w:p>
    <w:p>
      <w:pPr>
        <w:spacing w:line="240" w:lineRule="auto" w:before="5"/>
        <w:rPr>
          <w:rFonts w:ascii="宋体" w:hAnsi="宋体" w:cs="宋体" w:eastAsia="宋体" w:hint="default"/>
          <w:sz w:val="22"/>
          <w:szCs w:val="22"/>
        </w:rPr>
      </w:pPr>
    </w:p>
    <w:p>
      <w:pPr>
        <w:pStyle w:val="BodyText"/>
        <w:spacing w:line="240" w:lineRule="auto"/>
        <w:ind w:left="513" w:right="1713"/>
        <w:jc w:val="left"/>
      </w:pPr>
      <w:r>
        <w:rPr/>
        <w:t>①收入的金额能够可靠地计量；</w:t>
      </w:r>
    </w:p>
    <w:p>
      <w:pPr>
        <w:spacing w:line="240" w:lineRule="auto" w:before="5"/>
        <w:rPr>
          <w:rFonts w:ascii="宋体" w:hAnsi="宋体" w:cs="宋体" w:eastAsia="宋体" w:hint="default"/>
          <w:sz w:val="22"/>
          <w:szCs w:val="22"/>
        </w:rPr>
      </w:pPr>
    </w:p>
    <w:p>
      <w:pPr>
        <w:pStyle w:val="BodyText"/>
        <w:spacing w:line="240" w:lineRule="auto"/>
        <w:ind w:left="513" w:right="1713"/>
        <w:jc w:val="left"/>
      </w:pPr>
      <w:r>
        <w:rPr/>
        <w:t>②相关的经济利益很可能流入企业；</w:t>
      </w:r>
    </w:p>
    <w:p>
      <w:pPr>
        <w:spacing w:line="240" w:lineRule="auto" w:before="5"/>
        <w:rPr>
          <w:rFonts w:ascii="宋体" w:hAnsi="宋体" w:cs="宋体" w:eastAsia="宋体" w:hint="default"/>
          <w:sz w:val="22"/>
          <w:szCs w:val="22"/>
        </w:rPr>
      </w:pPr>
    </w:p>
    <w:p>
      <w:pPr>
        <w:pStyle w:val="BodyText"/>
        <w:spacing w:line="240" w:lineRule="auto"/>
        <w:ind w:left="513" w:right="1713"/>
        <w:jc w:val="left"/>
      </w:pPr>
      <w:r>
        <w:rPr/>
        <w:t>③交易的完工进度能够可靠地确定；</w:t>
      </w:r>
    </w:p>
    <w:p>
      <w:pPr>
        <w:spacing w:line="240" w:lineRule="auto" w:before="5"/>
        <w:rPr>
          <w:rFonts w:ascii="宋体" w:hAnsi="宋体" w:cs="宋体" w:eastAsia="宋体" w:hint="default"/>
          <w:sz w:val="22"/>
          <w:szCs w:val="22"/>
        </w:rPr>
      </w:pPr>
    </w:p>
    <w:p>
      <w:pPr>
        <w:pStyle w:val="BodyText"/>
        <w:spacing w:line="537" w:lineRule="auto"/>
        <w:ind w:left="513" w:right="3513"/>
        <w:jc w:val="left"/>
      </w:pPr>
      <w:r>
        <w:rPr/>
        <w:t>④交易中已发生和将发生的成本能够可靠地计量。 在资产负债表日提供劳务交易结果不能够可靠估计的，分别下列情况处理：</w:t>
      </w:r>
    </w:p>
    <w:p>
      <w:pPr>
        <w:pStyle w:val="BodyText"/>
        <w:spacing w:line="316" w:lineRule="auto" w:before="69"/>
        <w:ind w:right="93" w:firstLine="360"/>
        <w:jc w:val="left"/>
      </w:pPr>
      <w:r>
        <w:rPr>
          <w:spacing w:val="-2"/>
        </w:rPr>
        <w:t>①已经发生的劳务成本预计能够得到补偿的，按照已经发生的劳务成本金额确认提供劳务收入，并按相同金额结转劳务</w:t>
      </w:r>
      <w:r>
        <w:rPr/>
        <w:t> 成本。</w:t>
      </w:r>
    </w:p>
    <w:p>
      <w:pPr>
        <w:spacing w:line="240" w:lineRule="auto" w:before="13"/>
        <w:rPr>
          <w:rFonts w:ascii="宋体" w:hAnsi="宋体" w:cs="宋体" w:eastAsia="宋体" w:hint="default"/>
          <w:sz w:val="17"/>
          <w:szCs w:val="17"/>
        </w:rPr>
      </w:pPr>
    </w:p>
    <w:p>
      <w:pPr>
        <w:pStyle w:val="BodyText"/>
        <w:spacing w:line="537" w:lineRule="auto"/>
        <w:ind w:left="513" w:right="813"/>
        <w:jc w:val="left"/>
      </w:pPr>
      <w:r>
        <w:rPr/>
        <w:t>②已经发生的劳务成本预计不能够得到补偿的，将已经发生的劳务成本计入当期损益，不确认提供劳务收入。 本公司采用已经完成的合同工作量占合同预计总工作量的比例确定合同完工进度。</w:t>
      </w:r>
    </w:p>
    <w:p>
      <w:pPr>
        <w:pStyle w:val="BodyText"/>
        <w:spacing w:line="240" w:lineRule="auto" w:before="69"/>
        <w:ind w:left="513" w:right="171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IC</w:t>
      </w:r>
      <w:r>
        <w:rPr>
          <w:rFonts w:ascii="Times New Roman" w:hAnsi="Times New Roman" w:cs="Times New Roman" w:eastAsia="Times New Roman" w:hint="default"/>
          <w:spacing w:val="27"/>
        </w:rPr>
        <w:t> </w:t>
      </w:r>
      <w:r>
        <w:rPr/>
        <w:t>卡销售收入</w:t>
      </w:r>
    </w:p>
    <w:p>
      <w:pPr>
        <w:spacing w:line="240" w:lineRule="auto" w:before="4"/>
        <w:rPr>
          <w:rFonts w:ascii="宋体" w:hAnsi="宋体" w:cs="宋体" w:eastAsia="宋体" w:hint="default"/>
          <w:sz w:val="21"/>
          <w:szCs w:val="21"/>
        </w:rPr>
      </w:pPr>
    </w:p>
    <w:p>
      <w:pPr>
        <w:pStyle w:val="BodyText"/>
        <w:spacing w:line="300" w:lineRule="auto"/>
        <w:ind w:right="93" w:firstLine="360"/>
        <w:jc w:val="left"/>
      </w:pPr>
      <w:r>
        <w:rPr/>
        <w:t>本公司</w:t>
      </w:r>
      <w:r>
        <w:rPr>
          <w:rFonts w:ascii="Times New Roman" w:hAnsi="Times New Roman" w:cs="Times New Roman" w:eastAsia="Times New Roman" w:hint="default"/>
        </w:rPr>
        <w:t>IC</w:t>
      </w:r>
      <w:r>
        <w:rPr/>
        <w:t>卡销售业务包括</w:t>
      </w:r>
      <w:r>
        <w:rPr>
          <w:rFonts w:ascii="Times New Roman" w:hAnsi="Times New Roman" w:cs="Times New Roman" w:eastAsia="Times New Roman" w:hint="default"/>
        </w:rPr>
        <w:t>IC</w:t>
      </w:r>
      <w:r>
        <w:rPr/>
        <w:t>卡介质的销售及</w:t>
      </w:r>
      <w:r>
        <w:rPr>
          <w:rFonts w:ascii="Times New Roman" w:hAnsi="Times New Roman" w:cs="Times New Roman" w:eastAsia="Times New Roman" w:hint="default"/>
        </w:rPr>
        <w:t>IC</w:t>
      </w:r>
      <w:r>
        <w:rPr/>
        <w:t>卡嵌入式软件销售收入，由于</w:t>
      </w:r>
      <w:r>
        <w:rPr>
          <w:rFonts w:ascii="Times New Roman" w:hAnsi="Times New Roman" w:cs="Times New Roman" w:eastAsia="Times New Roman" w:hint="default"/>
        </w:rPr>
        <w:t>IC</w:t>
      </w:r>
      <w:r>
        <w:rPr/>
        <w:t>卡嵌入式软件是随同</w:t>
      </w:r>
      <w:r>
        <w:rPr>
          <w:rFonts w:ascii="Times New Roman" w:hAnsi="Times New Roman" w:cs="Times New Roman" w:eastAsia="Times New Roman" w:hint="default"/>
        </w:rPr>
        <w:t>IC</w:t>
      </w:r>
      <w:r>
        <w:rPr/>
        <w:t>卡介质一并交付， 故该嵌入式软件收入确认原则与</w:t>
      </w:r>
      <w:r>
        <w:rPr>
          <w:rFonts w:ascii="Times New Roman" w:hAnsi="Times New Roman" w:cs="Times New Roman" w:eastAsia="Times New Roman" w:hint="default"/>
        </w:rPr>
        <w:t>IC</w:t>
      </w:r>
      <w:r>
        <w:rPr/>
        <w:t>卡介质收入确认原则相同。</w:t>
      </w:r>
    </w:p>
    <w:p>
      <w:pPr>
        <w:spacing w:line="240" w:lineRule="auto" w:before="7"/>
        <w:rPr>
          <w:rFonts w:ascii="宋体" w:hAnsi="宋体" w:cs="宋体" w:eastAsia="宋体" w:hint="default"/>
          <w:sz w:val="17"/>
          <w:szCs w:val="17"/>
        </w:rPr>
      </w:pPr>
    </w:p>
    <w:p>
      <w:pPr>
        <w:pStyle w:val="BodyText"/>
        <w:spacing w:line="300" w:lineRule="auto"/>
        <w:ind w:right="93" w:firstLine="360"/>
        <w:jc w:val="left"/>
      </w:pPr>
      <w:r>
        <w:rPr/>
        <w:t>本公司</w:t>
      </w:r>
      <w:r>
        <w:rPr>
          <w:rFonts w:ascii="Times New Roman" w:hAnsi="Times New Roman" w:cs="Times New Roman" w:eastAsia="Times New Roman" w:hint="default"/>
        </w:rPr>
        <w:t>IC</w:t>
      </w:r>
      <w:r>
        <w:rPr/>
        <w:t>卡根据《企业会计准则第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收入》中销售商品确认原则，在</w:t>
      </w:r>
      <w:r>
        <w:rPr>
          <w:rFonts w:ascii="Times New Roman" w:hAnsi="Times New Roman" w:cs="Times New Roman" w:eastAsia="Times New Roman" w:hint="default"/>
        </w:rPr>
        <w:t>IC</w:t>
      </w:r>
      <w:r>
        <w:rPr/>
        <w:t>卡交付并取得客户验收确认后，相关的收入 已经实现或取得收款的证据，本公司确认</w:t>
      </w:r>
      <w:r>
        <w:rPr>
          <w:rFonts w:ascii="Times New Roman" w:hAnsi="Times New Roman" w:cs="Times New Roman" w:eastAsia="Times New Roman" w:hint="default"/>
        </w:rPr>
        <w:t>IC</w:t>
      </w:r>
      <w:r>
        <w:rPr/>
        <w:t>卡销售收入实现。</w:t>
      </w:r>
    </w:p>
    <w:p>
      <w:pPr>
        <w:spacing w:line="240" w:lineRule="auto" w:before="7"/>
        <w:rPr>
          <w:rFonts w:ascii="宋体" w:hAnsi="宋体" w:cs="宋体" w:eastAsia="宋体" w:hint="default"/>
          <w:sz w:val="17"/>
          <w:szCs w:val="17"/>
        </w:rPr>
      </w:pPr>
    </w:p>
    <w:p>
      <w:pPr>
        <w:pStyle w:val="BodyText"/>
        <w:spacing w:line="508" w:lineRule="auto"/>
        <w:ind w:left="513" w:right="2613"/>
        <w:jc w:val="left"/>
      </w:pPr>
      <w:r>
        <w:rPr/>
        <w:t>（</w:t>
      </w:r>
      <w:r>
        <w:rPr>
          <w:rFonts w:ascii="Times New Roman" w:hAnsi="Times New Roman" w:cs="Times New Roman" w:eastAsia="Times New Roman" w:hint="default"/>
        </w:rPr>
        <w:t>3</w:t>
      </w:r>
      <w:r>
        <w:rPr/>
        <w:t>）技术服务收入 本公司在提供技术服务期间内，在劳务提供后，根据合同约定服务期间分期确认收入。</w:t>
      </w:r>
    </w:p>
    <w:p>
      <w:pPr>
        <w:pStyle w:val="BodyText"/>
        <w:spacing w:line="508" w:lineRule="auto" w:before="91"/>
        <w:ind w:left="513" w:right="3333"/>
        <w:jc w:val="left"/>
      </w:pPr>
      <w:r>
        <w:rPr/>
        <w:t>（</w:t>
      </w:r>
      <w:r>
        <w:rPr>
          <w:rFonts w:ascii="Times New Roman" w:hAnsi="Times New Roman" w:cs="Times New Roman" w:eastAsia="Times New Roman" w:hint="default"/>
        </w:rPr>
        <w:t>4</w:t>
      </w:r>
      <w:r>
        <w:rPr/>
        <w:t>）系统集成及外购硬件销售收入 本公司系统集成及外购硬件销售收入包括系统集成收入及外购硬件销售收入。</w:t>
      </w:r>
    </w:p>
    <w:p>
      <w:pPr>
        <w:pStyle w:val="BodyText"/>
        <w:spacing w:line="240" w:lineRule="auto" w:before="91"/>
        <w:ind w:left="513" w:right="1713"/>
        <w:jc w:val="left"/>
      </w:pPr>
      <w:r>
        <w:rPr/>
        <w:t>①本公司系统集成项目指本公司依客户要求提供采购硬件、软件并进行集成安装及调试的项目。</w:t>
      </w:r>
    </w:p>
    <w:p>
      <w:pPr>
        <w:spacing w:line="240" w:lineRule="auto" w:before="5"/>
        <w:rPr>
          <w:rFonts w:ascii="宋体" w:hAnsi="宋体" w:cs="宋体" w:eastAsia="宋体" w:hint="default"/>
          <w:sz w:val="22"/>
          <w:szCs w:val="22"/>
        </w:rPr>
      </w:pPr>
    </w:p>
    <w:p>
      <w:pPr>
        <w:pStyle w:val="BodyText"/>
        <w:spacing w:line="316" w:lineRule="auto"/>
        <w:ind w:right="93" w:firstLine="360"/>
        <w:jc w:val="left"/>
      </w:pPr>
      <w:r>
        <w:rPr>
          <w:spacing w:val="-2"/>
        </w:rPr>
        <w:t>本公司系统集成项目在系统安装调试完毕且项目经过客户初步验收后，相关的收入已经实现或取得收款的证据，本公司</w:t>
      </w:r>
      <w:r>
        <w:rPr/>
        <w:t> 确认系统集成收入实现。</w:t>
      </w:r>
    </w:p>
    <w:p>
      <w:pPr>
        <w:spacing w:line="240" w:lineRule="auto" w:before="13"/>
        <w:rPr>
          <w:rFonts w:ascii="宋体" w:hAnsi="宋体" w:cs="宋体" w:eastAsia="宋体" w:hint="default"/>
          <w:sz w:val="17"/>
          <w:szCs w:val="17"/>
        </w:rPr>
      </w:pPr>
    </w:p>
    <w:p>
      <w:pPr>
        <w:pStyle w:val="BodyText"/>
        <w:spacing w:line="309" w:lineRule="auto"/>
        <w:ind w:right="192" w:firstLine="360"/>
        <w:jc w:val="both"/>
      </w:pPr>
      <w:r>
        <w:rPr>
          <w:spacing w:val="-2"/>
        </w:rPr>
        <w:t>②本公司外购硬件销售业务指本公司为客户提供系统集成所需硬件及配套办公设备，该等硬件均为本公司外购硬件。本</w:t>
      </w:r>
      <w:r>
        <w:rPr/>
        <w:t> 公司外购硬件业务根据《企业会计准则第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收入》中销售商品收入确认原则，在商品交付并经客户验收后，相关的收入</w:t>
      </w:r>
      <w:r>
        <w:rPr>
          <w:spacing w:val="-58"/>
        </w:rPr>
        <w:t> </w:t>
      </w:r>
      <w:r>
        <w:rPr>
          <w:spacing w:val="-58"/>
        </w:rPr>
      </w:r>
      <w:r>
        <w:rPr/>
        <w:t>已经实现或取得收款的证据，本公司确认外购硬件销售收入实现。</w:t>
      </w:r>
    </w:p>
    <w:p>
      <w:pPr>
        <w:pStyle w:val="BodyText"/>
        <w:spacing w:line="528" w:lineRule="exact" w:before="28"/>
        <w:ind w:left="513" w:right="93"/>
        <w:jc w:val="left"/>
      </w:pPr>
      <w:r>
        <w:rPr/>
        <w:t>（</w:t>
      </w:r>
      <w:r>
        <w:rPr>
          <w:rFonts w:ascii="Times New Roman" w:hAnsi="Times New Roman" w:cs="Times New Roman" w:eastAsia="Times New Roman" w:hint="default"/>
        </w:rPr>
        <w:t>5</w:t>
      </w:r>
      <w:r>
        <w:rPr/>
        <w:t>）自制硬件销售收入 本公司自制硬件指本公司自主研发的硬件设备，采用</w:t>
      </w:r>
      <w:r>
        <w:rPr>
          <w:rFonts w:ascii="Times New Roman" w:hAnsi="Times New Roman" w:cs="Times New Roman" w:eastAsia="Times New Roman" w:hint="default"/>
        </w:rPr>
        <w:t>OEM</w:t>
      </w:r>
      <w:r>
        <w:rPr/>
        <w:t>方式生产，主要包括</w:t>
      </w:r>
      <w:r>
        <w:rPr>
          <w:rFonts w:ascii="Times New Roman" w:hAnsi="Times New Roman" w:cs="Times New Roman" w:eastAsia="Times New Roman" w:hint="default"/>
        </w:rPr>
        <w:t>IC</w:t>
      </w:r>
      <w:r>
        <w:rPr/>
        <w:t>卡读取设备、民生自助服务终端等。</w:t>
      </w:r>
    </w:p>
    <w:p>
      <w:pPr>
        <w:pStyle w:val="BodyText"/>
        <w:spacing w:line="300" w:lineRule="auto"/>
        <w:ind w:right="93"/>
        <w:jc w:val="left"/>
      </w:pPr>
      <w:r>
        <w:rPr/>
        <w:t>本公司自制硬件销售业务收入根据《企业会计准则第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收入》中销售商品收入确认原则，在商品交付并经客户验收后，</w:t>
      </w:r>
      <w:r>
        <w:rPr>
          <w:spacing w:val="-58"/>
        </w:rPr>
        <w:t> </w:t>
      </w:r>
      <w:r>
        <w:rPr>
          <w:spacing w:val="-58"/>
        </w:rPr>
      </w:r>
      <w:r>
        <w:rPr/>
        <w:t>相关的收入已经实现或取得收款的证据，本公司确认自制硬件销售收入实现。</w:t>
      </w:r>
    </w:p>
    <w:p>
      <w:pPr>
        <w:spacing w:line="240" w:lineRule="auto" w:before="12"/>
        <w:rPr>
          <w:rFonts w:ascii="宋体" w:hAnsi="宋体" w:cs="宋体" w:eastAsia="宋体" w:hint="default"/>
          <w:sz w:val="18"/>
          <w:szCs w:val="18"/>
        </w:rPr>
      </w:pPr>
    </w:p>
    <w:p>
      <w:pPr>
        <w:pStyle w:val="BodyText"/>
        <w:spacing w:line="240" w:lineRule="auto"/>
        <w:ind w:left="513" w:right="1713"/>
        <w:jc w:val="left"/>
      </w:pPr>
      <w:r>
        <w:rPr/>
        <w:t>（</w:t>
      </w:r>
      <w:r>
        <w:rPr>
          <w:rFonts w:ascii="Times New Roman" w:hAnsi="Times New Roman" w:cs="Times New Roman" w:eastAsia="Times New Roman" w:hint="default"/>
        </w:rPr>
        <w:t>6</w:t>
      </w:r>
      <w:r>
        <w:rPr/>
        <w:t>）让渡资产使用权收入</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firstLine="360"/>
        <w:jc w:val="left"/>
      </w:pPr>
      <w:r>
        <w:rPr/>
        <w:t>本公司在与让渡资产使用权相关的经济利益能够流入和收入的金额能够可靠的计量时确认让渡资产使用权收入。</w:t>
      </w:r>
    </w:p>
    <w:p>
      <w:pPr>
        <w:spacing w:line="240" w:lineRule="auto" w:before="5"/>
        <w:rPr>
          <w:rFonts w:ascii="宋体" w:hAnsi="宋体" w:cs="宋体" w:eastAsia="宋体" w:hint="default"/>
          <w:sz w:val="22"/>
          <w:szCs w:val="22"/>
        </w:rPr>
      </w:pPr>
    </w:p>
    <w:p>
      <w:pPr>
        <w:pStyle w:val="BodyText"/>
        <w:spacing w:line="316" w:lineRule="auto"/>
        <w:ind w:right="93"/>
        <w:jc w:val="left"/>
      </w:pPr>
      <w:r>
        <w:rPr>
          <w:spacing w:val="-2"/>
        </w:rPr>
        <w:t>利息收入按使用货币资金的使用时间和适用利率计算确定。使用费收入金额，按照有关合同或协议约定的收费时间和方法计</w:t>
      </w:r>
      <w:r>
        <w:rPr>
          <w:spacing w:val="-64"/>
        </w:rPr>
        <w:t> </w:t>
      </w:r>
      <w:r>
        <w:rPr>
          <w:spacing w:val="-64"/>
        </w:rPr>
      </w:r>
      <w:r>
        <w:rPr/>
        <w:t>算确定。</w:t>
      </w:r>
    </w:p>
    <w:p>
      <w:pPr>
        <w:spacing w:line="240" w:lineRule="auto" w:before="4"/>
        <w:rPr>
          <w:rFonts w:ascii="宋体" w:hAnsi="宋体" w:cs="宋体" w:eastAsia="宋体" w:hint="default"/>
          <w:sz w:val="23"/>
          <w:szCs w:val="23"/>
        </w:rPr>
      </w:pPr>
    </w:p>
    <w:p>
      <w:pPr>
        <w:pStyle w:val="Heading3"/>
        <w:spacing w:line="240" w:lineRule="auto"/>
        <w:ind w:right="171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71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3" w:firstLine="360"/>
        <w:jc w:val="left"/>
      </w:pPr>
      <w:r>
        <w:rPr>
          <w:spacing w:val="-4"/>
        </w:rPr>
        <w:t>与资产相关的政府补助，是指本集团取得的、用于购建或以其他方式形成长期资产的政府补助。与资产相关的政府补助，</w:t>
      </w:r>
      <w:r>
        <w:rPr/>
        <w:t> 确认为递延收益，并在相关资产使用期限内平均分配，计入当期损益。</w:t>
      </w:r>
    </w:p>
    <w:p>
      <w:pPr>
        <w:spacing w:line="240" w:lineRule="auto" w:before="5"/>
        <w:rPr>
          <w:rFonts w:ascii="宋体" w:hAnsi="宋体" w:cs="宋体" w:eastAsia="宋体" w:hint="default"/>
          <w:sz w:val="23"/>
          <w:szCs w:val="23"/>
        </w:rPr>
      </w:pPr>
    </w:p>
    <w:p>
      <w:pPr>
        <w:pStyle w:val="Heading3"/>
        <w:spacing w:line="240" w:lineRule="auto"/>
        <w:ind w:right="171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89" w:firstLine="360"/>
        <w:jc w:val="both"/>
      </w:pPr>
      <w:r>
        <w:rPr>
          <w:spacing w:val="-2"/>
        </w:rPr>
        <w:t>与收益相关的政府补助，是指除与资产相关的政府补助之外的政府补助。与收益相关的政府补助，如果用于补偿已发生</w:t>
      </w:r>
      <w:r>
        <w:rPr/>
        <w:t> </w:t>
      </w:r>
      <w:r>
        <w:rPr>
          <w:spacing w:val="-2"/>
        </w:rPr>
        <w:t>的相关费用或损失，则计入当期损益；如果用于补偿以后期间的相关费用或损失，则计入递延收益，于费用确认期间计入当</w:t>
      </w:r>
      <w:r>
        <w:rPr>
          <w:spacing w:val="-64"/>
        </w:rPr>
        <w:t> </w:t>
      </w:r>
      <w:r>
        <w:rPr>
          <w:spacing w:val="-64"/>
        </w:rPr>
      </w:r>
      <w:r>
        <w:rPr/>
        <w:t>期损益。</w:t>
      </w:r>
    </w:p>
    <w:p>
      <w:pPr>
        <w:spacing w:line="240" w:lineRule="auto" w:before="4"/>
        <w:rPr>
          <w:rFonts w:ascii="宋体" w:hAnsi="宋体" w:cs="宋体" w:eastAsia="宋体" w:hint="default"/>
          <w:sz w:val="23"/>
          <w:szCs w:val="23"/>
        </w:rPr>
      </w:pPr>
    </w:p>
    <w:p>
      <w:pPr>
        <w:pStyle w:val="Heading3"/>
        <w:spacing w:line="240" w:lineRule="auto"/>
        <w:ind w:right="171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3" w:firstLine="360"/>
        <w:jc w:val="left"/>
      </w:pPr>
      <w:r>
        <w:rPr/>
        <w:t>所得税包括当期所得税和递延所得税。除与直接计入所有者权益的交易或者事项相关的递延所得税计入所有者权益外， 均作为所得税费用计入当期损益。</w:t>
      </w:r>
    </w:p>
    <w:p>
      <w:pPr>
        <w:spacing w:line="240" w:lineRule="auto" w:before="12"/>
        <w:rPr>
          <w:rFonts w:ascii="宋体" w:hAnsi="宋体" w:cs="宋体" w:eastAsia="宋体" w:hint="default"/>
          <w:sz w:val="17"/>
          <w:szCs w:val="17"/>
        </w:rPr>
      </w:pPr>
    </w:p>
    <w:p>
      <w:pPr>
        <w:pStyle w:val="BodyText"/>
        <w:spacing w:line="319" w:lineRule="auto"/>
        <w:ind w:right="93" w:firstLine="360"/>
        <w:jc w:val="left"/>
      </w:pPr>
      <w:r>
        <w:rPr>
          <w:spacing w:val="-2"/>
        </w:rPr>
        <w:t>本集团根据资产、负债于资产负债表日的账面价值与计税基础之间的暂时性差异，采用资产负债表债务法确认递延所得</w:t>
      </w:r>
      <w:r>
        <w:rPr/>
        <w:t> 税。</w:t>
      </w:r>
    </w:p>
    <w:p>
      <w:pPr>
        <w:spacing w:line="240" w:lineRule="auto" w:before="11"/>
        <w:rPr>
          <w:rFonts w:ascii="宋体" w:hAnsi="宋体" w:cs="宋体" w:eastAsia="宋体" w:hint="default"/>
          <w:sz w:val="17"/>
          <w:szCs w:val="17"/>
        </w:rPr>
      </w:pPr>
    </w:p>
    <w:p>
      <w:pPr>
        <w:pStyle w:val="BodyText"/>
        <w:spacing w:line="240" w:lineRule="auto"/>
        <w:ind w:left="513" w:right="93"/>
        <w:jc w:val="left"/>
      </w:pPr>
      <w:r>
        <w:rPr/>
        <w:t>各项应纳税暂时性差异均确认相关的递延所得税负债，除非该应纳税暂时性差异是在以下交易中产生的：</w:t>
      </w:r>
    </w:p>
    <w:p>
      <w:pPr>
        <w:spacing w:line="240" w:lineRule="auto" w:before="5"/>
        <w:rPr>
          <w:rFonts w:ascii="宋体" w:hAnsi="宋体" w:cs="宋体" w:eastAsia="宋体" w:hint="default"/>
          <w:sz w:val="22"/>
          <w:szCs w:val="22"/>
        </w:rPr>
      </w:pPr>
    </w:p>
    <w:p>
      <w:pPr>
        <w:pStyle w:val="BodyText"/>
        <w:spacing w:line="300" w:lineRule="auto"/>
        <w:ind w:right="183" w:firstLine="36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 生时既不影响会计利润也不影响应纳税所得额；</w:t>
      </w:r>
    </w:p>
    <w:p>
      <w:pPr>
        <w:spacing w:line="240" w:lineRule="auto" w:before="12"/>
        <w:rPr>
          <w:rFonts w:ascii="宋体" w:hAnsi="宋体" w:cs="宋体" w:eastAsia="宋体" w:hint="default"/>
          <w:sz w:val="18"/>
          <w:szCs w:val="18"/>
        </w:rPr>
      </w:pPr>
    </w:p>
    <w:p>
      <w:pPr>
        <w:pStyle w:val="BodyText"/>
        <w:spacing w:line="300" w:lineRule="auto"/>
        <w:ind w:right="183" w:firstLine="360"/>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 时性差异在可预见的未来很可能不会转回。</w:t>
      </w:r>
    </w:p>
    <w:p>
      <w:pPr>
        <w:spacing w:line="240" w:lineRule="auto" w:before="12"/>
        <w:rPr>
          <w:rFonts w:ascii="宋体" w:hAnsi="宋体" w:cs="宋体" w:eastAsia="宋体" w:hint="default"/>
          <w:sz w:val="18"/>
          <w:szCs w:val="18"/>
        </w:rPr>
      </w:pPr>
    </w:p>
    <w:p>
      <w:pPr>
        <w:pStyle w:val="BodyText"/>
        <w:spacing w:line="319" w:lineRule="auto"/>
        <w:ind w:right="93" w:firstLine="360"/>
        <w:jc w:val="left"/>
      </w:pPr>
      <w:r>
        <w:rPr>
          <w:spacing w:val="-4"/>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spacing w:line="240" w:lineRule="auto" w:before="11"/>
        <w:rPr>
          <w:rFonts w:ascii="宋体" w:hAnsi="宋体" w:cs="宋体" w:eastAsia="宋体" w:hint="default"/>
          <w:sz w:val="17"/>
          <w:szCs w:val="17"/>
        </w:rPr>
      </w:pPr>
    </w:p>
    <w:p>
      <w:pPr>
        <w:pStyle w:val="BodyText"/>
        <w:spacing w:line="240" w:lineRule="auto"/>
        <w:ind w:left="513" w:right="1713"/>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21"/>
          <w:szCs w:val="21"/>
        </w:rPr>
      </w:pPr>
    </w:p>
    <w:p>
      <w:pPr>
        <w:pStyle w:val="BodyText"/>
        <w:spacing w:line="300" w:lineRule="auto"/>
        <w:ind w:right="183" w:firstLine="360"/>
        <w:jc w:val="left"/>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spacing w:line="240" w:lineRule="auto" w:before="12"/>
        <w:rPr>
          <w:rFonts w:ascii="宋体" w:hAnsi="宋体" w:cs="宋体" w:eastAsia="宋体" w:hint="default"/>
          <w:sz w:val="18"/>
          <w:szCs w:val="18"/>
        </w:rPr>
      </w:pPr>
    </w:p>
    <w:p>
      <w:pPr>
        <w:pStyle w:val="BodyText"/>
        <w:spacing w:line="316" w:lineRule="auto"/>
        <w:ind w:right="93" w:firstLine="360"/>
        <w:jc w:val="left"/>
      </w:pPr>
      <w:r>
        <w:rPr>
          <w:spacing w:val="-4"/>
        </w:rPr>
        <w:t>于资产负债表日，本集团对递延所得税资产和递延所得税负债，按照预期收回该资产或清偿该负债期间的适用税率计量，</w:t>
      </w:r>
      <w:r>
        <w:rPr/>
        <w:t> 并反映资产负债表日预期收回资产或清偿负债方式的所得税影响。</w:t>
      </w:r>
    </w:p>
    <w:p>
      <w:pPr>
        <w:spacing w:line="240" w:lineRule="auto" w:before="12"/>
        <w:rPr>
          <w:rFonts w:ascii="宋体" w:hAnsi="宋体" w:cs="宋体" w:eastAsia="宋体" w:hint="default"/>
          <w:sz w:val="17"/>
          <w:szCs w:val="17"/>
        </w:rPr>
      </w:pPr>
    </w:p>
    <w:p>
      <w:pPr>
        <w:pStyle w:val="BodyText"/>
        <w:spacing w:line="316" w:lineRule="auto"/>
        <w:ind w:right="93" w:firstLine="360"/>
        <w:jc w:val="left"/>
      </w:pPr>
      <w:r>
        <w:rPr>
          <w:spacing w:val="-2"/>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713"/>
        <w:jc w:val="left"/>
      </w:pPr>
      <w:r>
        <w:rPr/>
        <w:t>回。</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71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3" w:firstLine="360"/>
        <w:jc w:val="left"/>
      </w:pPr>
      <w:r>
        <w:rPr>
          <w:spacing w:val="-2"/>
        </w:rPr>
        <w:t>本集团将实质上转移了与资产所有权有关的全部风险和报酬的租赁确认为融资租赁，除融资租赁之外的其他租赁确认为</w:t>
      </w:r>
      <w:r>
        <w:rPr/>
        <w:t> 经营租赁。本公司租赁业务均为经营租赁。</w:t>
      </w:r>
    </w:p>
    <w:p>
      <w:pPr>
        <w:spacing w:line="240" w:lineRule="auto" w:before="12"/>
        <w:rPr>
          <w:rFonts w:ascii="宋体" w:hAnsi="宋体" w:cs="宋体" w:eastAsia="宋体" w:hint="default"/>
          <w:sz w:val="17"/>
          <w:szCs w:val="17"/>
        </w:rPr>
      </w:pPr>
    </w:p>
    <w:p>
      <w:pPr>
        <w:pStyle w:val="BodyText"/>
        <w:spacing w:line="508" w:lineRule="auto"/>
        <w:ind w:left="513" w:right="453"/>
        <w:jc w:val="left"/>
      </w:pPr>
      <w:r>
        <w:rPr/>
        <w:t>（</w:t>
      </w:r>
      <w:r>
        <w:rPr>
          <w:rFonts w:ascii="Times New Roman" w:hAnsi="Times New Roman" w:cs="Times New Roman" w:eastAsia="Times New Roman" w:hint="default"/>
        </w:rPr>
        <w:t>1</w:t>
      </w:r>
      <w:r>
        <w:rPr/>
        <w:t>）本集团作为出租人 经营租赁中的租金，本集团在租赁期内各个期间按照直线法确认当期损益。发生的初始直接费用，计入当期损益。</w:t>
      </w:r>
    </w:p>
    <w:p>
      <w:pPr>
        <w:pStyle w:val="BodyText"/>
        <w:spacing w:line="240" w:lineRule="auto" w:before="91"/>
        <w:ind w:left="513" w:right="1713"/>
        <w:jc w:val="left"/>
      </w:pPr>
      <w:r>
        <w:rPr/>
        <w:t>（</w:t>
      </w:r>
      <w:r>
        <w:rPr>
          <w:rFonts w:ascii="Times New Roman" w:hAnsi="Times New Roman" w:cs="Times New Roman" w:eastAsia="Times New Roman" w:hint="default"/>
        </w:rPr>
        <w:t>2</w:t>
      </w:r>
      <w:r>
        <w:rPr/>
        <w:t>）本集团作为承租人</w:t>
      </w:r>
    </w:p>
    <w:p>
      <w:pPr>
        <w:spacing w:line="240" w:lineRule="auto" w:before="4"/>
        <w:rPr>
          <w:rFonts w:ascii="宋体" w:hAnsi="宋体" w:cs="宋体" w:eastAsia="宋体" w:hint="default"/>
          <w:sz w:val="21"/>
          <w:szCs w:val="21"/>
        </w:rPr>
      </w:pPr>
    </w:p>
    <w:p>
      <w:pPr>
        <w:pStyle w:val="BodyText"/>
        <w:spacing w:line="316" w:lineRule="auto"/>
        <w:ind w:right="93" w:firstLine="360"/>
        <w:jc w:val="left"/>
      </w:pPr>
      <w:r>
        <w:rPr>
          <w:spacing w:val="-2"/>
        </w:rPr>
        <w:t>经营租赁中的租金，本集团在租赁期内各个期间按照直线法计入相关资产成本或当期损益；发生的初始直接费用，计入</w:t>
      </w:r>
      <w:r>
        <w:rPr/>
        <w:t> 当期损益。</w:t>
      </w:r>
    </w:p>
    <w:p>
      <w:pPr>
        <w:spacing w:line="240" w:lineRule="auto" w:before="4"/>
        <w:rPr>
          <w:rFonts w:ascii="宋体" w:hAnsi="宋体" w:cs="宋体" w:eastAsia="宋体" w:hint="default"/>
          <w:sz w:val="23"/>
          <w:szCs w:val="23"/>
        </w:rPr>
      </w:pPr>
    </w:p>
    <w:p>
      <w:pPr>
        <w:pStyle w:val="Heading3"/>
        <w:spacing w:line="240" w:lineRule="auto"/>
        <w:ind w:right="171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本集团根据历史经验和其它因素，包括对未来事项的合理预期，对所采用的重要会计估计和关键假设进行持续的评价。</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71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10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年初，财政部分别以财会</w:t>
            </w:r>
            <w:r>
              <w:rPr>
                <w:rFonts w:ascii="Times New Roman" w:hAnsi="Times New Roman" w:cs="Times New Roman" w:eastAsia="Times New Roman" w:hint="default"/>
                <w:sz w:val="18"/>
                <w:szCs w:val="18"/>
              </w:rPr>
              <w:t>[2014]6 </w:t>
            </w:r>
            <w:r>
              <w:rPr>
                <w:rFonts w:ascii="宋体" w:hAnsi="宋体" w:cs="宋体" w:eastAsia="宋体" w:hint="default"/>
                <w:sz w:val="18"/>
                <w:szCs w:val="18"/>
              </w:rPr>
              <w:t>号、</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8 </w:t>
            </w:r>
            <w:r>
              <w:rPr>
                <w:rFonts w:ascii="宋体" w:hAnsi="宋体" w:cs="宋体" w:eastAsia="宋体" w:hint="default"/>
                <w:sz w:val="18"/>
                <w:szCs w:val="18"/>
              </w:rPr>
              <w:t>号、</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r>
              <w:rPr>
                <w:rFonts w:ascii="Times New Roman" w:hAnsi="Times New Roman" w:cs="Times New Roman" w:eastAsia="Times New Roman" w:hint="default"/>
                <w:sz w:val="18"/>
                <w:szCs w:val="18"/>
              </w:rPr>
              <w:t>11  </w:t>
            </w:r>
            <w:r>
              <w:rPr>
                <w:rFonts w:ascii="宋体" w:hAnsi="宋体" w:cs="宋体" w:eastAsia="宋体" w:hint="default"/>
                <w:sz w:val="18"/>
                <w:szCs w:val="18"/>
              </w:rPr>
              <w:t>号、</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 及 </w:t>
            </w:r>
            <w:r>
              <w:rPr>
                <w:rFonts w:ascii="Times New Roman" w:hAnsi="Times New Roman" w:cs="Times New Roman" w:eastAsia="Times New Roman" w:hint="default"/>
                <w:sz w:val="18"/>
                <w:szCs w:val="18"/>
              </w:rPr>
              <w:t>16 </w:t>
            </w:r>
            <w:r>
              <w:rPr>
                <w:rFonts w:ascii="宋体" w:hAnsi="宋体" w:cs="宋体" w:eastAsia="宋体" w:hint="default"/>
                <w:sz w:val="18"/>
                <w:szCs w:val="18"/>
              </w:rPr>
              <w:t>号发布了《企业会计准则第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p>
            <w:pPr>
              <w:pStyle w:val="TableParagraph"/>
              <w:spacing w:line="300" w:lineRule="auto" w:before="13"/>
              <w:ind w:left="24"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公允价值计量》、《企业会计准则 第 </w:t>
            </w:r>
            <w:r>
              <w:rPr>
                <w:rFonts w:ascii="Times New Roman" w:hAnsi="Times New Roman" w:cs="Times New Roman" w:eastAsia="Times New Roman" w:hint="default"/>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 订）》、《企业会计准则第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 工薪酬（</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年修订）》、《企业会计 准则第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w:t>
            </w:r>
            <w:r>
              <w:rPr>
                <w:rFonts w:ascii="Times New Roman" w:hAnsi="Times New Roman" w:cs="Times New Roman" w:eastAsia="Times New Roman" w:hint="default"/>
                <w:sz w:val="18"/>
                <w:szCs w:val="18"/>
              </w:rPr>
              <w:t>2014</w:t>
            </w:r>
          </w:p>
          <w:p>
            <w:pPr>
              <w:pStyle w:val="TableParagraph"/>
              <w:spacing w:line="240" w:lineRule="auto" w:before="1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年修订</w:t>
            </w:r>
            <w:r>
              <w:rPr>
                <w:rFonts w:ascii="宋体" w:hAnsi="宋体" w:cs="宋体" w:eastAsia="宋体" w:hint="default"/>
                <w:spacing w:val="-60"/>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pacing w:val="-11"/>
                <w:sz w:val="18"/>
                <w:szCs w:val="18"/>
              </w:rPr>
              <w:t>合营安排》、《企业会计准则第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年修订）》及《企</w:t>
            </w:r>
            <w:r>
              <w:rPr>
                <w:rFonts w:ascii="宋体" w:hAnsi="宋体" w:cs="宋体" w:eastAsia="宋体" w:hint="default"/>
                <w:sz w:val="18"/>
                <w:szCs w:val="18"/>
              </w:rPr>
              <w:t> 业会计准则第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权益的披露</w:t>
            </w:r>
            <w:r>
              <w:rPr>
                <w:rFonts w:ascii="宋体" w:hAnsi="宋体" w:cs="宋体" w:eastAsia="宋体" w:hint="default"/>
                <w:spacing w:val="-75"/>
                <w:sz w:val="18"/>
                <w:szCs w:val="18"/>
              </w:rPr>
              <w:t>》，</w:t>
            </w:r>
            <w:r>
              <w:rPr>
                <w:rFonts w:ascii="宋体" w:hAnsi="宋体" w:cs="宋体" w:eastAsia="宋体" w:hint="default"/>
                <w:sz w:val="18"/>
                <w:szCs w:val="18"/>
              </w:rPr>
              <w:t>要求自</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经本公司第二届董事会第二十二次会议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w:t>
            </w:r>
            <w:r>
              <w:rPr>
                <w:rFonts w:ascii="宋体" w:hAnsi="宋体" w:cs="宋体" w:eastAsia="宋体" w:hint="default"/>
                <w:spacing w:val="-2"/>
                <w:sz w:val="18"/>
                <w:szCs w:val="18"/>
              </w:rPr>
              <w:t> </w:t>
            </w:r>
            <w:r>
              <w:rPr>
                <w:rFonts w:ascii="宋体" w:hAnsi="宋体" w:cs="宋体" w:eastAsia="宋体" w:hint="default"/>
                <w:spacing w:val="-5"/>
                <w:sz w:val="18"/>
                <w:szCs w:val="18"/>
              </w:rPr>
              <w:t>，本公司</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日开始执行前述除金融</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工具列报准则以外的 </w:t>
            </w:r>
            <w:r>
              <w:rPr>
                <w:rFonts w:ascii="Times New Roman" w:hAnsi="Times New Roman" w:cs="Times New Roman" w:eastAsia="Times New Roman" w:hint="default"/>
                <w:sz w:val="18"/>
                <w:szCs w:val="18"/>
              </w:rPr>
              <w:t>7 </w:t>
            </w:r>
            <w:r>
              <w:rPr>
                <w:rFonts w:ascii="宋体" w:hAnsi="宋体" w:cs="宋体" w:eastAsia="宋体" w:hint="default"/>
                <w:sz w:val="18"/>
                <w:szCs w:val="18"/>
              </w:rPr>
              <w:t>项新颁布或修订</w:t>
            </w:r>
          </w:p>
          <w:p>
            <w:pPr>
              <w:pStyle w:val="TableParagraph"/>
              <w:spacing w:line="314" w:lineRule="auto" w:before="63"/>
              <w:ind w:left="23" w:right="20"/>
              <w:jc w:val="left"/>
              <w:rPr>
                <w:rFonts w:ascii="宋体" w:hAnsi="宋体" w:cs="宋体" w:eastAsia="宋体" w:hint="default"/>
                <w:sz w:val="18"/>
                <w:szCs w:val="18"/>
              </w:rPr>
            </w:pPr>
            <w:r>
              <w:rPr>
                <w:rFonts w:ascii="宋体" w:hAnsi="宋体" w:cs="宋体" w:eastAsia="宋体" w:hint="default"/>
                <w:spacing w:val="-6"/>
                <w:sz w:val="18"/>
                <w:szCs w:val="18"/>
              </w:rPr>
              <w:t>的企业会计准则，在编制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年年度财 务报告时开始执行金融工具列报准则， 并根据各准则衔接要求进行了调整，采 用上述企业会计准则后的主要会计政策 已在本节五各相关项目中列示。</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15"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起在所有执行企业会计准则的企业范围</w:t>
            </w:r>
          </w:p>
        </w:tc>
        <w:tc>
          <w:tcPr>
            <w:tcW w:w="3188" w:type="dxa"/>
            <w:vMerge w:val="restart"/>
            <w:tcBorders>
              <w:top w:val="single" w:sz="4" w:space="0" w:color="000000"/>
              <w:left w:val="single" w:sz="4" w:space="0" w:color="000000"/>
              <w:right w:val="single" w:sz="4" w:space="0" w:color="000000"/>
            </w:tcBorders>
          </w:tcPr>
          <w:p>
            <w:pPr/>
          </w:p>
        </w:tc>
        <w:tc>
          <w:tcPr>
            <w:tcW w:w="3190" w:type="dxa"/>
            <w:vMerge w:val="restart"/>
            <w:tcBorders>
              <w:top w:val="single" w:sz="4" w:space="0" w:color="000000"/>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内施行，鼓励在境外上市的企业提前执</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行。同时，财政部以财会</w:t>
            </w:r>
            <w:r>
              <w:rPr>
                <w:rFonts w:ascii="Times New Roman" w:hAnsi="Times New Roman" w:cs="Times New Roman" w:eastAsia="Times New Roman" w:hint="default"/>
                <w:sz w:val="18"/>
                <w:szCs w:val="18"/>
              </w:rPr>
              <w:t>[2014]23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号发</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6"/>
                <w:sz w:val="18"/>
                <w:szCs w:val="18"/>
              </w:rPr>
              <w:t>布了《企业会计准则第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具列报（</w:t>
            </w:r>
            <w:r>
              <w:rPr>
                <w:rFonts w:ascii="Times New Roman" w:hAnsi="Times New Roman" w:cs="Times New Roman" w:eastAsia="Times New Roman" w:hint="default"/>
                <w:spacing w:val="-4"/>
                <w:sz w:val="18"/>
                <w:szCs w:val="18"/>
              </w:rPr>
              <w:t>2014 </w:t>
            </w:r>
            <w:r>
              <w:rPr>
                <w:rFonts w:ascii="Times New Roman" w:hAnsi="Times New Roman" w:cs="Times New Roman" w:eastAsia="Times New Roman" w:hint="default"/>
                <w:spacing w:val="20"/>
                <w:sz w:val="18"/>
                <w:szCs w:val="18"/>
              </w:rPr>
              <w:t> </w:t>
            </w:r>
            <w:r>
              <w:rPr>
                <w:rFonts w:ascii="宋体" w:hAnsi="宋体" w:cs="宋体" w:eastAsia="宋体" w:hint="default"/>
                <w:spacing w:val="-7"/>
                <w:sz w:val="18"/>
                <w:szCs w:val="18"/>
              </w:rPr>
              <w:t>年修订）》（以下简称</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金</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融工具列报准则</w:t>
            </w:r>
            <w:r>
              <w:rPr>
                <w:rFonts w:ascii="Times New Roman" w:hAnsi="Times New Roman" w:cs="Times New Roman" w:eastAsia="Times New Roman" w:hint="default"/>
                <w:sz w:val="18"/>
                <w:szCs w:val="18"/>
              </w:rPr>
              <w:t>”</w:t>
            </w:r>
            <w:r>
              <w:rPr>
                <w:rFonts w:ascii="宋体" w:hAnsi="宋体" w:cs="宋体" w:eastAsia="宋体" w:hint="default"/>
                <w:sz w:val="18"/>
                <w:szCs w:val="18"/>
              </w:rPr>
              <w:t>），要求在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度及以后期间的财务报告中按照该准则</w:t>
            </w:r>
          </w:p>
        </w:tc>
        <w:tc>
          <w:tcPr>
            <w:tcW w:w="3188"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60"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的要求对金融工具进行列报。</w:t>
            </w:r>
          </w:p>
        </w:tc>
        <w:tc>
          <w:tcPr>
            <w:tcW w:w="3188"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1"/>
        <w:rPr>
          <w:rFonts w:ascii="宋体" w:hAnsi="宋体" w:cs="宋体" w:eastAsia="宋体" w:hint="default"/>
          <w:b/>
          <w:bCs/>
          <w:sz w:val="26"/>
          <w:szCs w:val="26"/>
        </w:rPr>
      </w:pPr>
    </w:p>
    <w:p>
      <w:pPr>
        <w:pStyle w:val="BodyText"/>
        <w:spacing w:line="304" w:lineRule="auto"/>
        <w:ind w:right="150" w:firstLine="360"/>
        <w:jc w:val="both"/>
      </w:pPr>
      <w:r>
        <w:rPr/>
        <w:t>说明</w:t>
      </w:r>
      <w:r>
        <w:rPr>
          <w:rFonts w:ascii="宋体" w:hAnsi="宋体" w:cs="宋体" w:eastAsia="宋体" w:hint="default"/>
        </w:rPr>
        <w:t>1</w:t>
      </w:r>
      <w:r>
        <w:rPr/>
        <w:t>：根据</w:t>
      </w:r>
      <w:r>
        <w:rPr>
          <w:rFonts w:ascii="Calibri" w:hAnsi="Calibri" w:cs="Calibri" w:eastAsia="Calibri" w:hint="default"/>
        </w:rPr>
        <w:t>“</w:t>
      </w:r>
      <w:r>
        <w:rPr/>
        <w:t>财税</w:t>
      </w:r>
      <w:r>
        <w:rPr>
          <w:rFonts w:ascii="宋体" w:hAnsi="宋体" w:cs="宋体" w:eastAsia="宋体" w:hint="default"/>
        </w:rPr>
        <w:t>[2011]100</w:t>
      </w:r>
      <w:r>
        <w:rPr/>
        <w:t>号</w:t>
      </w:r>
      <w:r>
        <w:rPr>
          <w:rFonts w:ascii="Calibri" w:hAnsi="Calibri" w:cs="Calibri" w:eastAsia="Calibri" w:hint="default"/>
        </w:rPr>
        <w:t>”</w:t>
      </w:r>
      <w:r>
        <w:rPr/>
        <w:t>文《财政部</w:t>
      </w:r>
      <w:r>
        <w:rPr>
          <w:spacing w:val="28"/>
        </w:rPr>
        <w:t> </w:t>
      </w:r>
      <w:r>
        <w:rPr/>
        <w:t>国家税务总局关于软件产品增值税政策的通知》的规定，自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 起，本公司及子公司销售自行开发生产的软件产品，按</w:t>
      </w:r>
      <w:r>
        <w:rPr>
          <w:rFonts w:ascii="宋体" w:hAnsi="宋体" w:cs="宋体" w:eastAsia="宋体" w:hint="default"/>
        </w:rPr>
        <w:t>17%</w:t>
      </w:r>
      <w:r>
        <w:rPr/>
        <w:t>的法定税率征收增值税后，对其增值税实际税负超过</w:t>
      </w:r>
      <w:r>
        <w:rPr>
          <w:rFonts w:ascii="宋体" w:hAnsi="宋体" w:cs="宋体" w:eastAsia="宋体" w:hint="default"/>
        </w:rPr>
        <w:t>3%</w:t>
      </w:r>
      <w:r>
        <w:rPr/>
        <w:t>的部分实</w:t>
      </w:r>
      <w:r>
        <w:rPr>
          <w:spacing w:val="-83"/>
        </w:rPr>
        <w:t> </w:t>
      </w:r>
      <w:r>
        <w:rPr/>
        <w:t>行即征即退政策。</w:t>
      </w:r>
    </w:p>
    <w:p>
      <w:pPr>
        <w:pStyle w:val="BodyText"/>
        <w:spacing w:line="304" w:lineRule="auto" w:before="148"/>
        <w:ind w:right="151" w:firstLine="360"/>
        <w:jc w:val="both"/>
      </w:pPr>
      <w:r>
        <w:rPr>
          <w:spacing w:val="-2"/>
        </w:rPr>
        <w:t>说明</w:t>
      </w:r>
      <w:r>
        <w:rPr>
          <w:rFonts w:ascii="宋体" w:hAnsi="宋体" w:cs="宋体" w:eastAsia="宋体" w:hint="default"/>
          <w:spacing w:val="-2"/>
        </w:rPr>
        <w:t>2</w:t>
      </w:r>
      <w:r>
        <w:rPr>
          <w:spacing w:val="-2"/>
        </w:rPr>
        <w:t>：根据财政部和国家税务总局</w:t>
      </w:r>
      <w:r>
        <w:rPr>
          <w:rFonts w:ascii="Calibri" w:hAnsi="Calibri" w:cs="Calibri" w:eastAsia="Calibri" w:hint="default"/>
          <w:spacing w:val="-2"/>
        </w:rPr>
        <w:t>“</w:t>
      </w:r>
      <w:r>
        <w:rPr>
          <w:spacing w:val="-2"/>
        </w:rPr>
        <w:t>财税字</w:t>
      </w:r>
      <w:r>
        <w:rPr>
          <w:rFonts w:ascii="宋体" w:hAnsi="宋体" w:cs="宋体" w:eastAsia="宋体" w:hint="default"/>
          <w:spacing w:val="-2"/>
        </w:rPr>
        <w:t>[1999]273</w:t>
      </w:r>
      <w:r>
        <w:rPr>
          <w:spacing w:val="-2"/>
        </w:rPr>
        <w:t>号</w:t>
      </w:r>
      <w:r>
        <w:rPr>
          <w:rFonts w:ascii="Calibri" w:hAnsi="Calibri" w:cs="Calibri" w:eastAsia="Calibri" w:hint="default"/>
          <w:spacing w:val="-2"/>
        </w:rPr>
        <w:t>”</w:t>
      </w:r>
      <w:r>
        <w:rPr>
          <w:spacing w:val="-2"/>
        </w:rPr>
        <w:t>文《关于贯彻落实〈中共中央国务院关于加强技术创新，发展</w:t>
      </w:r>
      <w:r>
        <w:rPr/>
        <w:t> </w:t>
      </w:r>
      <w:r>
        <w:rPr>
          <w:spacing w:val="-2"/>
        </w:rPr>
        <w:t>高科技，实现产业化的决定〉有关税收问题的通知》，从事技术转让、技术开发业务和与之相关的技术咨询、技术服务业务</w:t>
      </w:r>
      <w:r>
        <w:rPr>
          <w:spacing w:val="-68"/>
        </w:rPr>
        <w:t> </w:t>
      </w:r>
      <w:r>
        <w:rPr>
          <w:spacing w:val="-68"/>
        </w:rPr>
      </w:r>
      <w:r>
        <w:rPr/>
        <w:t>取得的收入，免征营业税。本公司及子公司的技术开发、技术转让收入免征营业税。</w:t>
      </w:r>
    </w:p>
    <w:p>
      <w:pPr>
        <w:pStyle w:val="BodyText"/>
        <w:spacing w:line="304" w:lineRule="auto" w:before="148"/>
        <w:ind w:right="149" w:firstLine="360"/>
        <w:jc w:val="both"/>
      </w:pPr>
      <w:r>
        <w:rPr>
          <w:spacing w:val="-1"/>
        </w:rPr>
        <w:t>说明</w:t>
      </w:r>
      <w:r>
        <w:rPr>
          <w:rFonts w:ascii="宋体" w:hAnsi="宋体" w:cs="宋体" w:eastAsia="宋体" w:hint="default"/>
          <w:spacing w:val="-1"/>
        </w:rPr>
        <w:t>3</w:t>
      </w:r>
      <w:r>
        <w:rPr>
          <w:spacing w:val="-1"/>
        </w:rPr>
        <w:t>：根据财政部和国家税务总局</w:t>
      </w:r>
      <w:r>
        <w:rPr>
          <w:rFonts w:ascii="Calibri" w:hAnsi="Calibri" w:cs="Calibri" w:eastAsia="Calibri" w:hint="default"/>
          <w:spacing w:val="-1"/>
        </w:rPr>
        <w:t>“</w:t>
      </w:r>
      <w:r>
        <w:rPr>
          <w:spacing w:val="-1"/>
        </w:rPr>
        <w:t>财税</w:t>
      </w:r>
      <w:r>
        <w:rPr>
          <w:rFonts w:ascii="宋体" w:hAnsi="宋体" w:cs="宋体" w:eastAsia="宋体" w:hint="default"/>
          <w:spacing w:val="-1"/>
        </w:rPr>
        <w:t>[2012]71</w:t>
      </w:r>
      <w:r>
        <w:rPr>
          <w:spacing w:val="-1"/>
        </w:rPr>
        <w:t>号</w:t>
      </w:r>
      <w:r>
        <w:rPr>
          <w:rFonts w:ascii="Calibri" w:hAnsi="Calibri" w:cs="Calibri" w:eastAsia="Calibri" w:hint="default"/>
          <w:spacing w:val="-1"/>
        </w:rPr>
        <w:t>”</w:t>
      </w:r>
      <w:r>
        <w:rPr>
          <w:spacing w:val="-1"/>
        </w:rPr>
        <w:t>文《关于在北京等</w:t>
      </w:r>
      <w:r>
        <w:rPr>
          <w:rFonts w:ascii="宋体" w:hAnsi="宋体" w:cs="宋体" w:eastAsia="宋体" w:hint="default"/>
          <w:spacing w:val="-1"/>
        </w:rPr>
        <w:t>8</w:t>
      </w:r>
      <w:r>
        <w:rPr>
          <w:spacing w:val="-1"/>
        </w:rPr>
        <w:t>省市开展交通运输业和部分现代服务业营业税</w:t>
      </w:r>
      <w:r>
        <w:rPr/>
        <w:t> 改征增值税试点的通知》，本公司以及在相关试点地区的子公司，自</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w:t>
      </w:r>
      <w:r>
        <w:rPr/>
        <w:t>日起，技术服务等劳务收入由缴纳营业税</w:t>
      </w:r>
      <w:r>
        <w:rPr>
          <w:spacing w:val="-85"/>
        </w:rPr>
        <w:t> </w:t>
      </w:r>
      <w:r>
        <w:rPr>
          <w:spacing w:val="-85"/>
        </w:rPr>
      </w:r>
      <w:r>
        <w:rPr/>
        <w:t>改为缴纳增值税，适用</w:t>
      </w:r>
      <w:r>
        <w:rPr>
          <w:rFonts w:ascii="宋体" w:hAnsi="宋体" w:cs="宋体" w:eastAsia="宋体" w:hint="default"/>
        </w:rPr>
        <w:t>6%</w:t>
      </w:r>
      <w:r>
        <w:rPr/>
        <w:t>的税率。</w:t>
      </w:r>
    </w:p>
    <w:p>
      <w:pPr>
        <w:pStyle w:val="BodyText"/>
        <w:spacing w:line="528" w:lineRule="exact" w:before="31"/>
        <w:ind w:left="515" w:right="0" w:hanging="3"/>
        <w:jc w:val="left"/>
      </w:pPr>
      <w:r>
        <w:rPr/>
        <w:t>说明</w:t>
      </w:r>
      <w:r>
        <w:rPr>
          <w:rFonts w:ascii="宋体" w:hAnsi="宋体" w:cs="宋体" w:eastAsia="宋体" w:hint="default"/>
        </w:rPr>
        <w:t>4</w:t>
      </w:r>
      <w:r>
        <w:rPr/>
        <w:t>：价格调控基金、河道管理费为本公司下属子公司根据其所在地的税收政策需要交纳的流转税附加。 </w:t>
      </w:r>
      <w:r>
        <w:rPr>
          <w:spacing w:val="-2"/>
        </w:rPr>
        <w:t>说明</w:t>
      </w:r>
      <w:r>
        <w:rPr>
          <w:rFonts w:ascii="宋体" w:hAnsi="宋体" w:cs="宋体" w:eastAsia="宋体" w:hint="default"/>
          <w:spacing w:val="-2"/>
        </w:rPr>
        <w:t>5</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30</w:t>
      </w:r>
      <w:r>
        <w:rPr>
          <w:spacing w:val="-2"/>
        </w:rPr>
        <w:t>日被厦门市科学技术局等相关部门认定为高新技术企业，根据《中华人民共和国企业所得</w:t>
      </w:r>
    </w:p>
    <w:p>
      <w:pPr>
        <w:pStyle w:val="BodyText"/>
        <w:spacing w:line="232" w:lineRule="exact"/>
        <w:ind w:right="0"/>
        <w:jc w:val="left"/>
      </w:pPr>
      <w:r>
        <w:rPr/>
        <w:t>税法》及相关法规规定，本公司</w:t>
      </w:r>
      <w:r>
        <w:rPr>
          <w:rFonts w:ascii="宋体" w:hAnsi="宋体" w:cs="宋体" w:eastAsia="宋体" w:hint="default"/>
        </w:rPr>
        <w:t>2014</w:t>
      </w:r>
      <w:r>
        <w:rPr/>
        <w:t>年至</w:t>
      </w:r>
      <w:r>
        <w:rPr>
          <w:rFonts w:ascii="宋体" w:hAnsi="宋体" w:cs="宋体" w:eastAsia="宋体" w:hint="default"/>
        </w:rPr>
        <w:t>2016</w:t>
      </w:r>
      <w:r>
        <w:rPr/>
        <w:t>年减按</w:t>
      </w:r>
      <w:r>
        <w:rPr>
          <w:rFonts w:ascii="宋体" w:hAnsi="宋体" w:cs="宋体" w:eastAsia="宋体" w:hint="default"/>
        </w:rPr>
        <w:t>15%</w:t>
      </w:r>
      <w:r>
        <w:rPr/>
        <w:t>税率缴纳企业所得税。</w:t>
      </w:r>
    </w:p>
    <w:p>
      <w:pPr>
        <w:spacing w:line="240" w:lineRule="auto" w:before="5"/>
        <w:rPr>
          <w:rFonts w:ascii="宋体" w:hAnsi="宋体" w:cs="宋体" w:eastAsia="宋体" w:hint="default"/>
          <w:sz w:val="22"/>
          <w:szCs w:val="22"/>
        </w:rPr>
      </w:pPr>
    </w:p>
    <w:p>
      <w:pPr>
        <w:pStyle w:val="BodyText"/>
        <w:spacing w:line="316" w:lineRule="auto"/>
        <w:ind w:right="150" w:firstLine="362"/>
        <w:jc w:val="both"/>
      </w:pPr>
      <w:r>
        <w:rPr/>
        <w:t>说明</w:t>
      </w:r>
      <w:r>
        <w:rPr>
          <w:rFonts w:ascii="宋体" w:hAnsi="宋体" w:cs="宋体" w:eastAsia="宋体" w:hint="default"/>
        </w:rPr>
        <w:t>6</w:t>
      </w:r>
      <w:r>
        <w:rPr/>
        <w:t>：本公司控股子公司安徽易联众信息技术有限公司于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w:t>
      </w:r>
      <w:r>
        <w:rPr/>
        <w:t>日被安徽省科学技术厅等相关部门认定为高新技 术企业。根据《中华人民共和国企业所得税法》及相关法规规定，安徽易联众信息技术有限公司</w:t>
      </w:r>
      <w:r>
        <w:rPr>
          <w:rFonts w:ascii="宋体" w:hAnsi="宋体" w:cs="宋体" w:eastAsia="宋体" w:hint="default"/>
        </w:rPr>
        <w:t>2014</w:t>
      </w:r>
      <w:r>
        <w:rPr/>
        <w:t>年至</w:t>
      </w:r>
      <w:r>
        <w:rPr>
          <w:rFonts w:ascii="宋体" w:hAnsi="宋体" w:cs="宋体" w:eastAsia="宋体" w:hint="default"/>
        </w:rPr>
        <w:t>2016</w:t>
      </w:r>
      <w:r>
        <w:rPr/>
        <w:t>年减按</w:t>
      </w:r>
      <w:r>
        <w:rPr>
          <w:rFonts w:ascii="宋体" w:hAnsi="宋体" w:cs="宋体" w:eastAsia="宋体" w:hint="default"/>
        </w:rPr>
        <w:t>15%</w:t>
      </w:r>
      <w:r>
        <w:rPr/>
        <w:t>税</w:t>
      </w:r>
      <w:r>
        <w:rPr>
          <w:spacing w:val="-86"/>
        </w:rPr>
        <w:t> </w:t>
      </w:r>
      <w:r>
        <w:rPr/>
        <w:t>率缴纳企业所得税。</w:t>
      </w:r>
    </w:p>
    <w:p>
      <w:pPr>
        <w:spacing w:line="240" w:lineRule="auto" w:before="12"/>
        <w:rPr>
          <w:rFonts w:ascii="宋体" w:hAnsi="宋体" w:cs="宋体" w:eastAsia="宋体" w:hint="default"/>
          <w:sz w:val="17"/>
          <w:szCs w:val="17"/>
        </w:rPr>
      </w:pPr>
    </w:p>
    <w:p>
      <w:pPr>
        <w:pStyle w:val="BodyText"/>
        <w:spacing w:line="316" w:lineRule="auto"/>
        <w:ind w:right="150" w:firstLine="362"/>
        <w:jc w:val="both"/>
      </w:pPr>
      <w:r>
        <w:rPr>
          <w:spacing w:val="-2"/>
        </w:rPr>
        <w:t>说明</w:t>
      </w:r>
      <w:r>
        <w:rPr>
          <w:rFonts w:ascii="宋体" w:hAnsi="宋体" w:cs="宋体" w:eastAsia="宋体" w:hint="default"/>
          <w:spacing w:val="-2"/>
        </w:rPr>
        <w:t>7</w:t>
      </w:r>
      <w:r>
        <w:rPr>
          <w:spacing w:val="-2"/>
        </w:rPr>
        <w:t>：本公司全资子公司山西易联众信息技术有限公司于</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20</w:t>
      </w:r>
      <w:r>
        <w:rPr>
          <w:spacing w:val="-2"/>
        </w:rPr>
        <w:t>日被山西省科学技术厅等相关部门认定为高新技</w:t>
      </w:r>
      <w:r>
        <w:rPr/>
        <w:t> 术企业。根据《中华人民共和国企业所得税法》及相关法规规定，山西易联众信息技术有限公司</w:t>
      </w:r>
      <w:r>
        <w:rPr>
          <w:rFonts w:ascii="宋体" w:hAnsi="宋体" w:cs="宋体" w:eastAsia="宋体" w:hint="default"/>
        </w:rPr>
        <w:t>2012</w:t>
      </w:r>
      <w:r>
        <w:rPr/>
        <w:t>年至</w:t>
      </w:r>
      <w:r>
        <w:rPr>
          <w:rFonts w:ascii="宋体" w:hAnsi="宋体" w:cs="宋体" w:eastAsia="宋体" w:hint="default"/>
        </w:rPr>
        <w:t>2014</w:t>
      </w:r>
      <w:r>
        <w:rPr/>
        <w:t>年减按</w:t>
      </w:r>
      <w:r>
        <w:rPr>
          <w:rFonts w:ascii="宋体" w:hAnsi="宋体" w:cs="宋体" w:eastAsia="宋体" w:hint="default"/>
        </w:rPr>
        <w:t>15%</w:t>
      </w:r>
      <w:r>
        <w:rPr/>
        <w:t>税</w:t>
      </w:r>
      <w:r>
        <w:rPr>
          <w:spacing w:val="-86"/>
        </w:rPr>
        <w:t> </w:t>
      </w:r>
      <w:r>
        <w:rPr/>
        <w:t>率缴纳企业所得税。</w:t>
      </w:r>
    </w:p>
    <w:p>
      <w:pPr>
        <w:spacing w:line="240" w:lineRule="auto" w:before="12"/>
        <w:rPr>
          <w:rFonts w:ascii="宋体" w:hAnsi="宋体" w:cs="宋体" w:eastAsia="宋体" w:hint="default"/>
          <w:sz w:val="17"/>
          <w:szCs w:val="17"/>
        </w:rPr>
      </w:pPr>
    </w:p>
    <w:p>
      <w:pPr>
        <w:pStyle w:val="BodyText"/>
        <w:spacing w:line="316" w:lineRule="auto"/>
        <w:ind w:right="148" w:firstLine="360"/>
        <w:jc w:val="both"/>
      </w:pPr>
      <w:r>
        <w:rPr>
          <w:spacing w:val="-2"/>
        </w:rPr>
        <w:t>说明</w:t>
      </w:r>
      <w:r>
        <w:rPr>
          <w:rFonts w:ascii="宋体" w:hAnsi="宋体" w:cs="宋体" w:eastAsia="宋体" w:hint="default"/>
          <w:spacing w:val="-2"/>
        </w:rPr>
        <w:t>8</w:t>
      </w:r>
      <w:r>
        <w:rPr>
          <w:spacing w:val="-2"/>
        </w:rPr>
        <w:t>：本公司全资子公司福建易联众软件系统开发有限公司于</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26</w:t>
      </w:r>
      <w:r>
        <w:rPr>
          <w:spacing w:val="-2"/>
        </w:rPr>
        <w:t>日被福建省科学技术厅等相关部门认定为高</w:t>
      </w:r>
      <w:r>
        <w:rPr/>
        <w:t> </w:t>
      </w:r>
      <w:r>
        <w:rPr>
          <w:spacing w:val="-2"/>
        </w:rPr>
        <w:t>新技术企业。根据《中华人民共和国企业所得税法》及相关法规规定，福建易联众软件系统开发有限公司</w:t>
      </w:r>
      <w:r>
        <w:rPr>
          <w:rFonts w:ascii="宋体" w:hAnsi="宋体" w:cs="宋体" w:eastAsia="宋体" w:hint="default"/>
          <w:spacing w:val="-2"/>
        </w:rPr>
        <w:t>2012</w:t>
      </w:r>
      <w:r>
        <w:rPr>
          <w:spacing w:val="-2"/>
        </w:rPr>
        <w:t>年至</w:t>
      </w:r>
      <w:r>
        <w:rPr>
          <w:rFonts w:ascii="宋体" w:hAnsi="宋体" w:cs="宋体" w:eastAsia="宋体" w:hint="default"/>
          <w:spacing w:val="-2"/>
        </w:rPr>
        <w:t>2014</w:t>
      </w:r>
      <w:r>
        <w:rPr>
          <w:spacing w:val="-2"/>
        </w:rPr>
        <w:t>年减</w:t>
      </w:r>
      <w:r>
        <w:rPr>
          <w:spacing w:val="-57"/>
        </w:rPr>
        <w:t> </w:t>
      </w:r>
      <w:r>
        <w:rPr/>
        <w:t>按</w:t>
      </w:r>
      <w:r>
        <w:rPr>
          <w:rFonts w:ascii="宋体" w:hAnsi="宋体" w:cs="宋体" w:eastAsia="宋体" w:hint="default"/>
        </w:rPr>
        <w:t>15%</w:t>
      </w:r>
      <w:r>
        <w:rPr/>
        <w:t>税率缴纳企业所得税。</w:t>
      </w:r>
    </w:p>
    <w:p>
      <w:pPr>
        <w:spacing w:line="240" w:lineRule="auto" w:before="13"/>
        <w:rPr>
          <w:rFonts w:ascii="宋体" w:hAnsi="宋体" w:cs="宋体" w:eastAsia="宋体" w:hint="default"/>
          <w:sz w:val="17"/>
          <w:szCs w:val="17"/>
        </w:rPr>
      </w:pPr>
    </w:p>
    <w:p>
      <w:pPr>
        <w:pStyle w:val="BodyText"/>
        <w:spacing w:line="290" w:lineRule="auto"/>
        <w:ind w:right="149" w:firstLine="362"/>
        <w:jc w:val="both"/>
      </w:pPr>
      <w:r>
        <w:rPr/>
        <w:t>说明</w:t>
      </w:r>
      <w:r>
        <w:rPr>
          <w:rFonts w:ascii="宋体" w:hAnsi="宋体" w:cs="宋体" w:eastAsia="宋体" w:hint="default"/>
        </w:rPr>
        <w:t>9</w:t>
      </w:r>
      <w:r>
        <w:rPr/>
        <w:t>：根据</w:t>
      </w:r>
      <w:r>
        <w:rPr>
          <w:rFonts w:ascii="Calibri" w:hAnsi="Calibri" w:cs="Calibri" w:eastAsia="Calibri" w:hint="default"/>
        </w:rPr>
        <w:t>“</w:t>
      </w:r>
      <w:r>
        <w:rPr/>
        <w:t>财税</w:t>
      </w:r>
      <w:r>
        <w:rPr>
          <w:rFonts w:ascii="宋体" w:hAnsi="宋体" w:cs="宋体" w:eastAsia="宋体" w:hint="default"/>
        </w:rPr>
        <w:t>[2008]1</w:t>
      </w:r>
      <w:r>
        <w:rPr/>
        <w:t>号</w:t>
      </w:r>
      <w:r>
        <w:rPr>
          <w:rFonts w:ascii="Calibri" w:hAnsi="Calibri" w:cs="Calibri" w:eastAsia="Calibri" w:hint="default"/>
        </w:rPr>
        <w:t>”</w:t>
      </w:r>
      <w:r>
        <w:rPr/>
        <w:t>文《财政部、国家税务总局关于企业所得税若干优惠政策的通知》的有关规定</w:t>
      </w:r>
      <w:r>
        <w:rPr>
          <w:rFonts w:ascii="Calibri" w:hAnsi="Calibri" w:cs="Calibri" w:eastAsia="Calibri" w:hint="default"/>
        </w:rPr>
        <w:t>“</w:t>
      </w:r>
      <w:r>
        <w:rPr/>
        <w:t>我国境内 新办软件生产企业经认定后，自获利年度起，第一年和第二年免缴企业所得税，第三年至第五年减半征收企业所得税</w:t>
      </w:r>
      <w:r>
        <w:rPr>
          <w:rFonts w:ascii="Calibri" w:hAnsi="Calibri" w:cs="Calibri" w:eastAsia="Calibri" w:hint="default"/>
        </w:rPr>
        <w:t>”</w:t>
      </w:r>
      <w:r>
        <w:rPr/>
        <w:t>，本</w:t>
      </w:r>
      <w:r>
        <w:rPr>
          <w:spacing w:val="-68"/>
        </w:rPr>
        <w:t> </w:t>
      </w:r>
      <w:r>
        <w:rPr/>
        <w:t>公司控股子公司福建易联众电子科技有限公司（以下简称</w:t>
      </w:r>
      <w:r>
        <w:rPr>
          <w:rFonts w:ascii="Calibri" w:hAnsi="Calibri" w:cs="Calibri" w:eastAsia="Calibri" w:hint="default"/>
        </w:rPr>
        <w:t>“</w:t>
      </w:r>
      <w:r>
        <w:rPr/>
        <w:t>福建电子科技</w:t>
      </w:r>
      <w:r>
        <w:rPr>
          <w:rFonts w:ascii="Calibri" w:hAnsi="Calibri" w:cs="Calibri" w:eastAsia="Calibri" w:hint="default"/>
        </w:rPr>
        <w:t>”</w:t>
      </w:r>
      <w:r>
        <w:rPr/>
        <w:t>）</w:t>
      </w:r>
      <w:r>
        <w:rPr>
          <w:rFonts w:ascii="宋体" w:hAnsi="宋体" w:cs="宋体" w:eastAsia="宋体" w:hint="default"/>
        </w:rPr>
        <w:t>2011</w:t>
      </w:r>
      <w:r>
        <w:rPr/>
        <w:t>年</w:t>
      </w:r>
      <w:r>
        <w:rPr>
          <w:rFonts w:ascii="宋体" w:hAnsi="宋体" w:cs="宋体" w:eastAsia="宋体" w:hint="default"/>
        </w:rPr>
        <w:t>9</w:t>
      </w:r>
      <w:r>
        <w:rPr/>
        <w:t>月经福建省信息化局认定为软件生产企</w:t>
      </w:r>
      <w:r>
        <w:rPr>
          <w:spacing w:val="-56"/>
        </w:rPr>
        <w:t> </w:t>
      </w:r>
      <w:r>
        <w:rPr>
          <w:spacing w:val="-56"/>
        </w:rPr>
      </w:r>
      <w:r>
        <w:rPr/>
        <w:t>业，</w:t>
      </w:r>
      <w:r>
        <w:rPr>
          <w:rFonts w:ascii="宋体" w:hAnsi="宋体" w:cs="宋体" w:eastAsia="宋体" w:hint="default"/>
        </w:rPr>
        <w:t>2014</w:t>
      </w:r>
      <w:r>
        <w:rPr/>
        <w:t>年为第三个获利年度，减按</w:t>
      </w:r>
      <w:r>
        <w:rPr>
          <w:rFonts w:ascii="宋体" w:hAnsi="宋体" w:cs="宋体" w:eastAsia="宋体" w:hint="default"/>
        </w:rPr>
        <w:t>12.5%</w:t>
      </w:r>
      <w:r>
        <w:rPr/>
        <w:t>税率缴纳企业所得税。</w:t>
      </w:r>
    </w:p>
    <w:p>
      <w:pPr>
        <w:spacing w:line="240" w:lineRule="auto" w:before="6"/>
        <w:rPr>
          <w:rFonts w:ascii="宋体" w:hAnsi="宋体" w:cs="宋体" w:eastAsia="宋体" w:hint="default"/>
          <w:sz w:val="19"/>
          <w:szCs w:val="19"/>
        </w:rPr>
      </w:pPr>
    </w:p>
    <w:p>
      <w:pPr>
        <w:pStyle w:val="BodyText"/>
        <w:spacing w:line="290" w:lineRule="auto"/>
        <w:ind w:right="152" w:firstLine="362"/>
        <w:jc w:val="both"/>
      </w:pPr>
      <w:r>
        <w:rPr>
          <w:spacing w:val="-2"/>
        </w:rPr>
        <w:t>说明</w:t>
      </w:r>
      <w:r>
        <w:rPr>
          <w:rFonts w:ascii="宋体" w:hAnsi="宋体" w:cs="宋体" w:eastAsia="宋体" w:hint="default"/>
          <w:spacing w:val="-2"/>
        </w:rPr>
        <w:t>10</w:t>
      </w:r>
      <w:r>
        <w:rPr>
          <w:spacing w:val="-2"/>
        </w:rPr>
        <w:t>：根据</w:t>
      </w:r>
      <w:r>
        <w:rPr>
          <w:rFonts w:ascii="Calibri" w:hAnsi="Calibri" w:cs="Calibri" w:eastAsia="Calibri" w:hint="default"/>
          <w:spacing w:val="-2"/>
        </w:rPr>
        <w:t>“</w:t>
      </w:r>
      <w:r>
        <w:rPr>
          <w:spacing w:val="-2"/>
        </w:rPr>
        <w:t>财税</w:t>
      </w:r>
      <w:r>
        <w:rPr>
          <w:rFonts w:ascii="宋体" w:hAnsi="宋体" w:cs="宋体" w:eastAsia="宋体" w:hint="default"/>
          <w:spacing w:val="-2"/>
        </w:rPr>
        <w:t>[2012]27</w:t>
      </w:r>
      <w:r>
        <w:rPr>
          <w:spacing w:val="-2"/>
        </w:rPr>
        <w:t>号</w:t>
      </w:r>
      <w:r>
        <w:rPr>
          <w:rFonts w:ascii="Calibri" w:hAnsi="Calibri" w:cs="Calibri" w:eastAsia="Calibri" w:hint="default"/>
          <w:spacing w:val="-2"/>
        </w:rPr>
        <w:t>”</w:t>
      </w:r>
      <w:r>
        <w:rPr>
          <w:spacing w:val="-2"/>
        </w:rPr>
        <w:t>文《财政部、国家税务总局关于进一步鼓励软件产业和集成电路产业发展企业所得税政</w:t>
      </w:r>
      <w:r>
        <w:rPr/>
        <w:t> 策的通知》的有关规定</w:t>
      </w:r>
      <w:r>
        <w:rPr>
          <w:rFonts w:ascii="Calibri" w:hAnsi="Calibri" w:cs="Calibri" w:eastAsia="Calibri" w:hint="default"/>
        </w:rPr>
        <w:t>“</w:t>
      </w:r>
      <w:r>
        <w:rPr/>
        <w:t>我国境内新办软件生产企业经认定后，自获利年度起，第一年和第二年免缴企业所得税，第三年至</w:t>
      </w:r>
      <w:r>
        <w:rPr>
          <w:spacing w:val="-74"/>
        </w:rPr>
        <w:t> </w:t>
      </w:r>
      <w:r>
        <w:rPr>
          <w:spacing w:val="-74"/>
        </w:rPr>
      </w:r>
      <w:r>
        <w:rPr/>
        <w:t>第五年减半征收企业所得税</w:t>
      </w:r>
      <w:r>
        <w:rPr>
          <w:rFonts w:ascii="Calibri" w:hAnsi="Calibri" w:cs="Calibri" w:eastAsia="Calibri" w:hint="default"/>
        </w:rPr>
        <w:t>”</w:t>
      </w:r>
      <w:r>
        <w:rPr/>
        <w:t>，本公司控股子公司湖南易联众信息技术有限公司</w:t>
      </w:r>
      <w:r>
        <w:rPr>
          <w:rFonts w:ascii="宋体" w:hAnsi="宋体" w:cs="宋体" w:eastAsia="宋体" w:hint="default"/>
        </w:rPr>
        <w:t>2013</w:t>
      </w:r>
      <w:r>
        <w:rPr/>
        <w:t>年</w:t>
      </w:r>
      <w:r>
        <w:rPr>
          <w:rFonts w:ascii="宋体" w:hAnsi="宋体" w:cs="宋体" w:eastAsia="宋体" w:hint="default"/>
        </w:rPr>
        <w:t>12</w:t>
      </w:r>
      <w:r>
        <w:rPr/>
        <w:t>月经湖南省经济和信息化委员会认</w:t>
      </w:r>
      <w:r>
        <w:rPr>
          <w:spacing w:val="-73"/>
        </w:rPr>
        <w:t> </w:t>
      </w:r>
      <w:r>
        <w:rPr>
          <w:spacing w:val="-73"/>
        </w:rPr>
      </w:r>
      <w:r>
        <w:rPr/>
        <w:t>定为软件生产企业，</w:t>
      </w:r>
      <w:r>
        <w:rPr>
          <w:rFonts w:ascii="宋体" w:hAnsi="宋体" w:cs="宋体" w:eastAsia="宋体" w:hint="default"/>
        </w:rPr>
        <w:t>2014</w:t>
      </w:r>
      <w:r>
        <w:rPr/>
        <w:t>年为第三个获利年度，减按</w:t>
      </w:r>
      <w:r>
        <w:rPr>
          <w:rFonts w:ascii="宋体" w:hAnsi="宋体" w:cs="宋体" w:eastAsia="宋体" w:hint="default"/>
        </w:rPr>
        <w:t>12.5%</w:t>
      </w:r>
      <w:r>
        <w:rPr/>
        <w:t>税率缴纳企业所得税。</w:t>
      </w:r>
    </w:p>
    <w:p>
      <w:pPr>
        <w:spacing w:line="240" w:lineRule="auto" w:before="6"/>
        <w:rPr>
          <w:rFonts w:ascii="宋体" w:hAnsi="宋体" w:cs="宋体" w:eastAsia="宋体" w:hint="default"/>
          <w:sz w:val="19"/>
          <w:szCs w:val="19"/>
        </w:rPr>
      </w:pPr>
    </w:p>
    <w:p>
      <w:pPr>
        <w:pStyle w:val="BodyText"/>
        <w:spacing w:line="240" w:lineRule="auto"/>
        <w:ind w:left="515" w:right="0"/>
        <w:jc w:val="left"/>
      </w:pPr>
      <w:r>
        <w:rPr/>
        <w:t>说明</w:t>
      </w:r>
      <w:r>
        <w:rPr>
          <w:rFonts w:ascii="宋体" w:hAnsi="宋体" w:cs="宋体" w:eastAsia="宋体" w:hint="default"/>
        </w:rPr>
        <w:t>11</w:t>
      </w:r>
      <w:r>
        <w:rPr/>
        <w:t>：根据</w:t>
      </w:r>
      <w:r>
        <w:rPr>
          <w:rFonts w:ascii="Calibri" w:hAnsi="Calibri" w:cs="Calibri" w:eastAsia="Calibri" w:hint="default"/>
        </w:rPr>
        <w:t>“</w:t>
      </w:r>
      <w:r>
        <w:rPr/>
        <w:t>财税</w:t>
      </w:r>
      <w:r>
        <w:rPr>
          <w:rFonts w:ascii="宋体" w:hAnsi="宋体" w:cs="宋体" w:eastAsia="宋体" w:hint="default"/>
        </w:rPr>
        <w:t>[2012]27</w:t>
      </w:r>
      <w:r>
        <w:rPr/>
        <w:t>号</w:t>
      </w:r>
      <w:r>
        <w:rPr>
          <w:rFonts w:ascii="Calibri" w:hAnsi="Calibri" w:cs="Calibri" w:eastAsia="Calibri" w:hint="default"/>
        </w:rPr>
        <w:t>”</w:t>
      </w:r>
      <w:r>
        <w:rPr/>
        <w:t>文《财政部、国家税务总局关于进一步鼓励软件产业和集成电路产业发展企业所得税政</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90" w:lineRule="auto" w:before="44"/>
        <w:ind w:right="151"/>
        <w:jc w:val="both"/>
      </w:pPr>
      <w:r>
        <w:rPr/>
        <w:t>策的通知》的有关规定</w:t>
      </w:r>
      <w:r>
        <w:rPr>
          <w:rFonts w:ascii="Calibri" w:hAnsi="Calibri" w:cs="Calibri" w:eastAsia="Calibri" w:hint="default"/>
        </w:rPr>
        <w:t>“</w:t>
      </w:r>
      <w:r>
        <w:rPr/>
        <w:t>我国境内新办软件生产企业经认定后，自获利年度起，第一年和第二年免缴企业所得税，第三年至</w:t>
      </w:r>
      <w:r>
        <w:rPr>
          <w:spacing w:val="-74"/>
        </w:rPr>
        <w:t> </w:t>
      </w:r>
      <w:r>
        <w:rPr>
          <w:spacing w:val="-74"/>
        </w:rPr>
      </w:r>
      <w:r>
        <w:rPr>
          <w:spacing w:val="-2"/>
        </w:rPr>
        <w:t>第五年减半征收企业所得税</w:t>
      </w:r>
      <w:r>
        <w:rPr>
          <w:rFonts w:ascii="Calibri" w:hAnsi="Calibri" w:cs="Calibri" w:eastAsia="Calibri" w:hint="default"/>
          <w:spacing w:val="-2"/>
        </w:rPr>
        <w:t>”</w:t>
      </w:r>
      <w:r>
        <w:rPr>
          <w:spacing w:val="-2"/>
        </w:rPr>
        <w:t>，本公司控股子公司广西易联众信息技术有限公司</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月经广西壮族自治区工业和信息化委</w:t>
      </w:r>
      <w:r>
        <w:rPr>
          <w:spacing w:val="-46"/>
        </w:rPr>
        <w:t> </w:t>
      </w:r>
      <w:r>
        <w:rPr>
          <w:spacing w:val="-46"/>
        </w:rPr>
      </w:r>
      <w:r>
        <w:rPr/>
        <w:t>员会认定为软件生产企业，</w:t>
      </w:r>
      <w:r>
        <w:rPr>
          <w:rFonts w:ascii="宋体" w:hAnsi="宋体" w:cs="宋体" w:eastAsia="宋体" w:hint="default"/>
        </w:rPr>
        <w:t>2014</w:t>
      </w:r>
      <w:r>
        <w:rPr/>
        <w:t>年为第一个获利年度，免征企业所得税。</w:t>
      </w:r>
    </w:p>
    <w:p>
      <w:pPr>
        <w:spacing w:line="240" w:lineRule="auto" w:before="11"/>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七、合并财务报表项目注释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0"/>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73,983.97</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396,019,228.74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391,817,347.56</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336,000.00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396,391,272.02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392,227,331.53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0" w:firstLine="360"/>
        <w:jc w:val="left"/>
      </w:pPr>
      <w:r>
        <w:rPr>
          <w:spacing w:val="-1"/>
        </w:rPr>
        <w:t>说明</w:t>
      </w:r>
      <w:r>
        <w:rPr>
          <w:rFonts w:ascii="Times New Roman" w:hAnsi="Times New Roman" w:cs="Times New Roman" w:eastAsia="Times New Roman" w:hint="default"/>
          <w:spacing w:val="-1"/>
        </w:rPr>
        <w:t>1</w:t>
      </w:r>
      <w:r>
        <w:rPr>
          <w:spacing w:val="-1"/>
        </w:rPr>
        <w:t>：银行存款年末余额中包括剩余存款期限在三个月以上的定期存款人民币</w:t>
      </w:r>
      <w:r>
        <w:rPr>
          <w:rFonts w:ascii="Times New Roman" w:hAnsi="Times New Roman" w:cs="Times New Roman" w:eastAsia="Times New Roman" w:hint="default"/>
          <w:spacing w:val="-1"/>
        </w:rPr>
        <w:t>151,100,122.61</w:t>
      </w:r>
      <w:r>
        <w:rPr>
          <w:spacing w:val="-1"/>
        </w:rPr>
        <w:t>元，此部分存款本公司拟</w:t>
      </w:r>
      <w:r>
        <w:rPr/>
        <w:t> 持有至到期，在编制现金流量表时不作为现金及现金等价物。</w:t>
      </w:r>
    </w:p>
    <w:p>
      <w:pPr>
        <w:spacing w:line="240" w:lineRule="auto" w:before="12"/>
        <w:rPr>
          <w:rFonts w:ascii="宋体" w:hAnsi="宋体" w:cs="宋体" w:eastAsia="宋体" w:hint="default"/>
          <w:sz w:val="18"/>
          <w:szCs w:val="18"/>
        </w:rPr>
      </w:pPr>
    </w:p>
    <w:p>
      <w:pPr>
        <w:pStyle w:val="BodyText"/>
        <w:spacing w:line="300" w:lineRule="auto"/>
        <w:ind w:right="143" w:firstLine="360"/>
        <w:jc w:val="left"/>
      </w:pPr>
      <w:r>
        <w:rPr/>
        <w:t>说明</w:t>
      </w:r>
      <w:r>
        <w:rPr>
          <w:rFonts w:ascii="Times New Roman" w:hAnsi="Times New Roman" w:cs="Times New Roman" w:eastAsia="Times New Roman" w:hint="default"/>
        </w:rPr>
        <w:t>2</w:t>
      </w:r>
      <w:r>
        <w:rPr/>
        <w:t>：银行存款年末余额中包括预收中国银行股份有限公司宁波、莆田分行货款</w:t>
      </w:r>
      <w:r>
        <w:rPr>
          <w:rFonts w:ascii="宋体" w:hAnsi="宋体" w:cs="宋体" w:eastAsia="宋体" w:hint="default"/>
        </w:rPr>
        <w:t>4,940,839.42</w:t>
      </w:r>
      <w:r>
        <w:rPr/>
        <w:t>元，根据双方约定，此 部分款项于项目结算前不能随时用于支付，在编制现金流量表时不作为现金及现金等价物。</w:t>
      </w:r>
    </w:p>
    <w:p>
      <w:pPr>
        <w:spacing w:line="240" w:lineRule="auto" w:before="12"/>
        <w:rPr>
          <w:rFonts w:ascii="宋体" w:hAnsi="宋体" w:cs="宋体" w:eastAsia="宋体" w:hint="default"/>
          <w:sz w:val="18"/>
          <w:szCs w:val="18"/>
        </w:rPr>
      </w:pPr>
    </w:p>
    <w:p>
      <w:pPr>
        <w:pStyle w:val="BodyText"/>
        <w:spacing w:line="300" w:lineRule="auto"/>
        <w:ind w:right="0" w:firstLine="360"/>
        <w:jc w:val="left"/>
      </w:pPr>
      <w:r>
        <w:rPr>
          <w:spacing w:val="-2"/>
        </w:rPr>
        <w:t>说明</w:t>
      </w:r>
      <w:r>
        <w:rPr>
          <w:rFonts w:ascii="Times New Roman" w:hAnsi="Times New Roman" w:cs="Times New Roman" w:eastAsia="Times New Roman" w:hint="default"/>
          <w:spacing w:val="-2"/>
        </w:rPr>
        <w:t>3</w:t>
      </w:r>
      <w:r>
        <w:rPr>
          <w:spacing w:val="-2"/>
        </w:rPr>
        <w:t>：其他货币资金年末余额为</w:t>
      </w:r>
      <w:r>
        <w:rPr>
          <w:rFonts w:ascii="Times New Roman" w:hAnsi="Times New Roman" w:cs="Times New Roman" w:eastAsia="Times New Roman" w:hint="default"/>
          <w:spacing w:val="-2"/>
        </w:rPr>
        <w:t>336,000.00</w:t>
      </w:r>
      <w:r>
        <w:rPr>
          <w:spacing w:val="-2"/>
        </w:rPr>
        <w:t>元，主要系银行承兑汇票保证金及保函保证金等，此部分款项不能随时用于</w:t>
      </w:r>
      <w:r>
        <w:rPr/>
        <w:t> 支付，在编制现金流量表时不作为现金及现金等价物。</w:t>
      </w:r>
    </w:p>
    <w:p>
      <w:pPr>
        <w:spacing w:line="240" w:lineRule="auto" w:before="12"/>
        <w:rPr>
          <w:rFonts w:ascii="宋体" w:hAnsi="宋体" w:cs="宋体" w:eastAsia="宋体" w:hint="default"/>
          <w:sz w:val="18"/>
          <w:szCs w:val="18"/>
        </w:rPr>
      </w:pPr>
    </w:p>
    <w:p>
      <w:pPr>
        <w:pStyle w:val="BodyText"/>
        <w:spacing w:line="240" w:lineRule="auto"/>
        <w:ind w:left="513" w:right="0"/>
        <w:jc w:val="left"/>
      </w:pPr>
      <w:r>
        <w:rPr/>
        <w:t>说明</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日止，本公司不存在质押、冻结，或有潜在收回风险的款项。</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5"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269,265,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584.41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36,625,0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13.60%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232,640,5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74.73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221,972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,962.09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30,652,19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191,320,76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9.62</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768,380.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768,380.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768,380</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768,380.0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270,033,</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964.41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37,393,3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89.68</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13.85%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232,640,5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74.73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222,741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,342.09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31,420,57</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2.47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14.11%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191,320,76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9.62</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3"/>
      </w:tblGrid>
      <w:tr>
        <w:trPr>
          <w:trHeight w:val="204"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200,866,492.35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10,043,324.62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33,341,194.89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3,334,119.49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10,241,299.91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2,048,259.99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7,234,583.38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3,617,291.70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5,855,698.67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5,855,698.67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11,726,315.21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11,726,315.21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269,265,584.41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36,625,009.68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13.60%</w:t>
            </w:r>
          </w:p>
        </w:tc>
      </w:tr>
    </w:tbl>
    <w:p>
      <w:pPr>
        <w:pStyle w:val="BodyText"/>
        <w:spacing w:line="357" w:lineRule="auto" w:before="49"/>
        <w:ind w:right="5453"/>
        <w:jc w:val="left"/>
      </w:pPr>
      <w:r>
        <w:rPr/>
        <w:t>确定该组合依据的说明： 组合中，采用余额百分比法计提坏账准备的应收账款：</w:t>
      </w:r>
    </w:p>
    <w:p>
      <w:pPr>
        <w:pStyle w:val="BodyText"/>
        <w:spacing w:line="340"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5,972,817.21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370"/>
        <w:gridCol w:w="1702"/>
        <w:gridCol w:w="2408"/>
        <w:gridCol w:w="1803"/>
      </w:tblGrid>
      <w:tr>
        <w:trPr>
          <w:trHeight w:val="65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67"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b/>
                <w:bCs/>
                <w:w w:val="95"/>
                <w:sz w:val="18"/>
                <w:szCs w:val="18"/>
              </w:rPr>
              <w:t>占应收账款年末余额合计数的</w:t>
            </w:r>
            <w:r>
              <w:rPr>
                <w:rFonts w:ascii="宋体" w:hAnsi="宋体" w:cs="宋体" w:eastAsia="宋体" w:hint="default"/>
                <w:sz w:val="18"/>
                <w:szCs w:val="18"/>
              </w:rPr>
            </w:r>
          </w:p>
          <w:p>
            <w:pPr>
              <w:pStyle w:val="TableParagraph"/>
              <w:spacing w:line="240" w:lineRule="auto" w:before="76"/>
              <w:ind w:right="-1"/>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06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三明市人力资源和社会保障局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16,835,000.00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6.23</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834,500.00</w:t>
            </w:r>
          </w:p>
        </w:tc>
      </w:tr>
      <w:tr>
        <w:trPr>
          <w:trHeight w:val="34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三明市卫生局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12,675,029.00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914,602.90</w:t>
            </w:r>
          </w:p>
        </w:tc>
      </w:tr>
      <w:tr>
        <w:trPr>
          <w:trHeight w:val="34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湖南省人力资源和社会保障厅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12,591,021.50</w:t>
            </w:r>
            <w:r>
              <w:rPr>
                <w:rFonts w:ascii="Times New Roman"/>
                <w:sz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4.66</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629,551.08</w:t>
            </w:r>
          </w:p>
        </w:tc>
      </w:tr>
      <w:tr>
        <w:trPr>
          <w:trHeight w:val="34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永州市人力资源和社会保障局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12,431,150.00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621,557.50</w:t>
            </w:r>
          </w:p>
        </w:tc>
      </w:tr>
      <w:tr>
        <w:trPr>
          <w:trHeight w:val="34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合肥医保管理中心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11,576,310.75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4.29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578,815.54</w:t>
            </w:r>
          </w:p>
        </w:tc>
      </w:tr>
      <w:tr>
        <w:trPr>
          <w:trHeight w:val="34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66,108,511.25</w:t>
            </w:r>
            <w:r>
              <w:rPr>
                <w:rFonts w:ascii="Times New Roman"/>
                <w:spacing w:val="-1"/>
                <w:sz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b/>
                <w:sz w:val="18"/>
              </w:rPr>
              <w:t>24.47</w:t>
            </w:r>
            <w:r>
              <w:rPr>
                <w:rFonts w:ascii="Times New Roman"/>
                <w:sz w:val="18"/>
              </w:rPr>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b/>
                <w:spacing w:val="-1"/>
                <w:sz w:val="18"/>
              </w:rPr>
              <w:t>3,579,027.02</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6,611,492.36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10,854,059.05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98.99%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375,337.63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62,153.50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40,557.59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40,557.59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7,030,387.58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10,964,426.14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240" w:lineRule="auto" w:before="101"/>
        <w:ind w:left="513" w:right="0"/>
        <w:jc w:val="left"/>
      </w:pPr>
      <w:r>
        <w:rPr/>
        <w:t>本年无账龄超过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220"/>
        <w:gridCol w:w="1970"/>
        <w:gridCol w:w="3092"/>
      </w:tblGrid>
      <w:tr>
        <w:trPr>
          <w:trHeight w:val="65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233" w:right="3"/>
              <w:jc w:val="left"/>
              <w:rPr>
                <w:rFonts w:ascii="宋体" w:hAnsi="宋体" w:cs="宋体" w:eastAsia="宋体" w:hint="default"/>
                <w:sz w:val="18"/>
                <w:szCs w:val="18"/>
              </w:rPr>
            </w:pPr>
            <w:r>
              <w:rPr>
                <w:rFonts w:ascii="宋体" w:hAnsi="宋体" w:cs="宋体" w:eastAsia="宋体" w:hint="default"/>
                <w:b/>
                <w:bCs/>
                <w:sz w:val="18"/>
                <w:szCs w:val="18"/>
              </w:rPr>
              <w:t>预付款项</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812" w:right="0" w:hanging="363"/>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w:t>
            </w:r>
            <w:r>
              <w:rPr>
                <w:rFonts w:ascii="宋体" w:hAnsi="宋体" w:cs="宋体" w:eastAsia="宋体" w:hint="default"/>
                <w:b/>
                <w:bCs/>
                <w:w w:val="99"/>
                <w:sz w:val="18"/>
                <w:szCs w:val="18"/>
              </w:rPr>
              <w:t> </w:t>
            </w:r>
            <w:r>
              <w:rPr>
                <w:rFonts w:ascii="宋体" w:hAnsi="宋体" w:cs="宋体" w:eastAsia="宋体" w:hint="default"/>
                <w:b/>
                <w:bCs/>
                <w:sz w:val="18"/>
                <w:szCs w:val="18"/>
              </w:rPr>
              <w:t>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厦门市信息投资有限公司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1,190,000.00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16.93</w:t>
            </w:r>
          </w:p>
        </w:tc>
      </w:tr>
      <w:tr>
        <w:trPr>
          <w:trHeight w:val="34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深圳市鸿嘉利科技有限公司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723,546.00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10.29</w:t>
            </w:r>
          </w:p>
        </w:tc>
      </w:tr>
      <w:tr>
        <w:trPr>
          <w:trHeight w:val="34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695,991.00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9.90</w:t>
            </w:r>
          </w:p>
        </w:tc>
      </w:tr>
      <w:tr>
        <w:trPr>
          <w:trHeight w:val="34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深圳市利恩信息技术有限公司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343,620.00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4.89</w:t>
            </w:r>
          </w:p>
        </w:tc>
      </w:tr>
      <w:tr>
        <w:trPr>
          <w:trHeight w:val="34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北京世奥森林公园开发经营有限公司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325,193.60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4.63</w:t>
            </w:r>
          </w:p>
        </w:tc>
      </w:tr>
      <w:tr>
        <w:trPr>
          <w:trHeight w:val="34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3,278,350.60</w:t>
            </w:r>
            <w:r>
              <w:rPr>
                <w:rFonts w:ascii="Times New Roman"/>
                <w:spacing w:val="-1"/>
                <w:sz w:val="18"/>
              </w:rPr>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b/>
                <w:sz w:val="18"/>
              </w:rPr>
              <w:t>46.63</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Heading3"/>
        <w:spacing w:line="240" w:lineRule="auto" w:before="37"/>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1"/>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3,061,586.78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2,500,856.47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3,061,586.78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2,500,856.47</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after="0" w:line="240" w:lineRule="auto"/>
        <w:jc w:val="center"/>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11,846,5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58.71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4,230,13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35.71%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7,616,421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9,126,5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56.73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3,250,173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35.61%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5,876,383.5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11,846,5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58.71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4,230,13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6.83</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35.71%</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7,616,421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9,126,5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56.73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3,250,173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35.61%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5,876,383.5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3"/>
        <w:gridCol w:w="2393"/>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6,232,133.09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311,606.67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966,637.84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96,663.78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508,884.92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101,776.98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837,626.93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418,813.46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1,033,808.83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1,033,808.83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2,267,467.10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2,267,467.10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11,846,558.71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4,230,136.82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40"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979,963.60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989,775.97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697,707.18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7,089,312.99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5,810,165.88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3,767,469.75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2,618,683.67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11,846,558.71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9,126,556.73</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中国建设银行股份 有限公司福建省分 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福建省机关事业社 会保险局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1,029,600.00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长沙公共资源交易 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tabs>
                <w:tab w:pos="623" w:val="left" w:leader="none"/>
              </w:tabs>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中国农业银行龙岩 分行</w:t>
              <w:tab/>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莆田市信辉招标代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179,750.00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2,849,100.00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1,662,350.00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）存货种类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12,785,189.05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12,785,189.05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9,813,904.62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9,813,904.62</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45,215,549.51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56,765.55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45,158,783.96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47,912,489.27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47,912,489.27</w:t>
            </w: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17,659,406.08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17,659,406.08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75,660,144.64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56,765.55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75,603,379.09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57,726,393.89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57,726,393.89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56,765.55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56,765.55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56,765.55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56,765.55</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0" w:firstLine="360"/>
        <w:jc w:val="left"/>
      </w:pPr>
      <w:r>
        <w:rPr/>
        <w:t>存货年末数较年初数增加</w:t>
      </w:r>
      <w:r>
        <w:rPr>
          <w:rFonts w:ascii="Times New Roman" w:hAnsi="Times New Roman" w:cs="Times New Roman" w:eastAsia="Times New Roman" w:hint="default"/>
        </w:rPr>
        <w:t>30.97%</w:t>
      </w:r>
      <w:r>
        <w:rPr/>
        <w:t>，主要原因系（</w:t>
      </w:r>
      <w:r>
        <w:rPr>
          <w:rFonts w:ascii="Times New Roman" w:hAnsi="Times New Roman" w:cs="Times New Roman" w:eastAsia="Times New Roman" w:hint="default"/>
        </w:rPr>
        <w:t>1</w:t>
      </w:r>
      <w:r>
        <w:rPr/>
        <w:t>）自助机存货常备库存量比上年大幅增加；（</w:t>
      </w:r>
      <w:r>
        <w:rPr>
          <w:rFonts w:ascii="Times New Roman" w:hAnsi="Times New Roman" w:cs="Times New Roman" w:eastAsia="Times New Roman" w:hint="default"/>
        </w:rPr>
        <w:t>2</w:t>
      </w:r>
      <w:r>
        <w:rPr/>
        <w:t>）硬件设备类项目业 务增长，相关设备采购入库尚未发货。</w:t>
      </w:r>
    </w:p>
    <w:p>
      <w:pPr>
        <w:spacing w:after="0" w:line="30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年内到期的长期待摊费用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296,830.37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218,250.50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296,830.37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218,250.50</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266,943.72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6,773,847.50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42,456.53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6,130.65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424,453.83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224,473.41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733,854.08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7,004,451.56</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800"/>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北京尚洋 易捷信息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3,449,160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1,755,069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5,204,229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福州南华 医保健康 研发有限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70,820.13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14.71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70,834.84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3,519,980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1,755,084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5,275,064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3,519,980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1,755,084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5,275,064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1"/>
        <w:gridCol w:w="1198"/>
        <w:gridCol w:w="1196"/>
        <w:gridCol w:w="1195"/>
        <w:gridCol w:w="1196"/>
        <w:gridCol w:w="1286"/>
        <w:gridCol w:w="1368"/>
      </w:tblGrid>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32"/>
        <w:gridCol w:w="1198"/>
        <w:gridCol w:w="1196"/>
        <w:gridCol w:w="1195"/>
        <w:gridCol w:w="1196"/>
        <w:gridCol w:w="1286"/>
        <w:gridCol w:w="1368"/>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66,750,999.34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11,798,580.50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25,220,135.87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15,340,980.75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4,867,013.00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123,977,709.46</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196,651.00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10,872,466.47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15,436,305.99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3,591,290.07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1,377,414.70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31,474,128.23</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196,651.00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10,872,466.47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15,436,305.99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3,591,290.07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1,377,414.70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31,474,128.23</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center"/>
              <w:rPr>
                <w:rFonts w:ascii="Times New Roman" w:hAnsi="Times New Roman" w:cs="Times New Roman" w:eastAsia="Times New Roman" w:hint="default"/>
                <w:sz w:val="18"/>
                <w:szCs w:val="18"/>
              </w:rPr>
            </w:pPr>
            <w:r>
              <w:rPr>
                <w:rFonts w:ascii="Times New Roman"/>
                <w:sz w:val="18"/>
              </w:rPr>
              <w:t>1,493,069.82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735,506.00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417,383.77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2,645,959.59</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1,493,069.82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735,506.00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417,383.77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2,645,959.59</w:t>
            </w: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66,947,650.34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22,671,046.97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39,163,372.04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18,196,764.82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5,827,043.93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152,805,878.10</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5,977,603.28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2,692,156.84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10,332,720.96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6,501,022.77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2,910,550.63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28,414,054.48</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2,532,328.20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center"/>
              <w:rPr>
                <w:rFonts w:ascii="Times New Roman" w:hAnsi="Times New Roman" w:cs="Times New Roman" w:eastAsia="Times New Roman" w:hint="default"/>
                <w:sz w:val="18"/>
                <w:szCs w:val="18"/>
              </w:rPr>
            </w:pPr>
            <w:r>
              <w:rPr>
                <w:rFonts w:ascii="Times New Roman"/>
                <w:sz w:val="18"/>
              </w:rPr>
              <w:t>2,041,567.37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center"/>
              <w:rPr>
                <w:rFonts w:ascii="Times New Roman" w:hAnsi="Times New Roman" w:cs="Times New Roman" w:eastAsia="Times New Roman" w:hint="default"/>
                <w:sz w:val="18"/>
                <w:szCs w:val="18"/>
              </w:rPr>
            </w:pPr>
            <w:r>
              <w:rPr>
                <w:rFonts w:ascii="Times New Roman"/>
                <w:sz w:val="18"/>
              </w:rPr>
              <w:t>5,121,183.44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2,363,494.42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931,546.61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12,990,120.04</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2,532,328.20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2,041,567.37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5,121,183.44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2,363,494.42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931,546.61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12,990,120.04</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1,383,956.58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695,036.45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389,797.09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2,468,790.12</w:t>
            </w: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center"/>
              <w:rPr>
                <w:rFonts w:ascii="Times New Roman" w:hAnsi="Times New Roman" w:cs="Times New Roman" w:eastAsia="Times New Roman" w:hint="default"/>
                <w:sz w:val="18"/>
                <w:szCs w:val="18"/>
              </w:rPr>
            </w:pPr>
            <w:r>
              <w:rPr>
                <w:rFonts w:ascii="Times New Roman"/>
                <w:sz w:val="18"/>
              </w:rPr>
              <w:t>1,383,956.58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695,036.45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389,797.09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2,468,790.12</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8,509,931.48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center"/>
              <w:rPr>
                <w:rFonts w:ascii="Times New Roman" w:hAnsi="Times New Roman" w:cs="Times New Roman" w:eastAsia="Times New Roman" w:hint="default"/>
                <w:sz w:val="18"/>
                <w:szCs w:val="18"/>
              </w:rPr>
            </w:pPr>
            <w:r>
              <w:rPr>
                <w:rFonts w:ascii="Times New Roman"/>
                <w:sz w:val="18"/>
              </w:rPr>
              <w:t>4,733,724.21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14,069,947.82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8,169,480.74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3,452,300.15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38,935,384.40</w:t>
            </w: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58,437,718.86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17,937,322.76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25,093,424.22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10,027,284.08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2,374,743.78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113,870,493.70</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60,773,396.06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center"/>
              <w:rPr>
                <w:rFonts w:ascii="Times New Roman" w:hAnsi="Times New Roman" w:cs="Times New Roman" w:eastAsia="Times New Roman" w:hint="default"/>
                <w:sz w:val="18"/>
                <w:szCs w:val="18"/>
              </w:rPr>
            </w:pPr>
            <w:r>
              <w:rPr>
                <w:rFonts w:ascii="Times New Roman"/>
                <w:sz w:val="18"/>
              </w:rPr>
              <w:t>9,106,423.66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14,887,414.91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8,839,957.98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1,956,462.37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95,563,654.98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Times New Roman" w:hAnsi="Times New Roman" w:cs="Times New Roman" w:eastAsia="Times New Roman" w:hint="default"/>
          <w:sz w:val="28"/>
          <w:szCs w:val="28"/>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福州软件园产业基地二期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A3 </w:t>
            </w:r>
            <w:r>
              <w:rPr>
                <w:rFonts w:ascii="宋体" w:hAnsi="宋体" w:cs="宋体" w:eastAsia="宋体" w:hint="default"/>
                <w:sz w:val="18"/>
                <w:szCs w:val="18"/>
              </w:rPr>
              <w:t>研发楼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27,418,438.06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福州软件园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区需要通过整体验收才能 办理产权</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left="134" w:right="8567"/>
        <w:jc w:val="center"/>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left="134" w:right="8567"/>
        <w:jc w:val="center"/>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4"/>
        <w:ind w:left="134" w:right="8567"/>
        <w:jc w:val="center"/>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3"/>
        <w:gridCol w:w="1380"/>
        <w:gridCol w:w="1580"/>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37,616,818.43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37,616,818.43</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15,781,186.42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15,781,186.42</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42,735.04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42,735.04</w:t>
            </w: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15,738,451.38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15,738,451.38</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53,388,004.85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53,388,004.85</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12,438,381.43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12,438,381.43</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6,523,560.58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6,523,560.58</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6,523,560.58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6,523,560.58</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18,951,942.01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18,951,942.01</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1"/>
        <w:gridCol w:w="1408"/>
        <w:gridCol w:w="1368"/>
        <w:gridCol w:w="1383"/>
        <w:gridCol w:w="1380"/>
        <w:gridCol w:w="1580"/>
      </w:tblGrid>
      <w:tr>
        <w:trPr>
          <w:trHeight w:val="401"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3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34,436,062.84</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34,436,062.84</w:t>
            </w:r>
          </w:p>
        </w:tc>
      </w:tr>
      <w:tr>
        <w:trPr>
          <w:trHeight w:val="403"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3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25,178,437.00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25,178,437.00</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91.82%</w:t>
      </w:r>
      <w:r>
        <w:rPr/>
        <w:t>。</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403" w:hRule="exact"/>
        </w:trPr>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社会保障卡管 理平台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179,842.59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8,837.00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188,679.59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电子病历管理 系统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2,595,414.90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1,081,482.36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3,676,897.26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社区化在线学 习云服务平台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1,707,635.07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406,142.20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2,113,777.27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社保公共服务 平台（一期）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7,513,022.92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7,513,022.92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健康云</w:t>
            </w:r>
            <w:r>
              <w:rPr>
                <w:rFonts w:ascii="Times New Roman" w:hAnsi="Times New Roman" w:cs="Times New Roman" w:eastAsia="Times New Roman" w:hint="default"/>
                <w:sz w:val="18"/>
                <w:szCs w:val="18"/>
              </w:rPr>
              <w:t>"</w:t>
            </w:r>
            <w:r>
              <w:rPr>
                <w:rFonts w:ascii="宋体" w:hAnsi="宋体" w:cs="宋体" w:eastAsia="宋体" w:hint="default"/>
                <w:sz w:val="18"/>
                <w:szCs w:val="18"/>
              </w:rPr>
              <w:t>平台 </w:t>
            </w:r>
            <w:r>
              <w:rPr>
                <w:rFonts w:ascii="Times New Roman" w:hAnsi="Times New Roman" w:cs="Times New Roman" w:eastAsia="Times New Roman" w:hint="default"/>
                <w:sz w:val="18"/>
                <w:szCs w:val="18"/>
              </w:rPr>
              <w:t>(</w:t>
            </w:r>
            <w:r>
              <w:rPr>
                <w:rFonts w:ascii="宋体" w:hAnsi="宋体" w:cs="宋体" w:eastAsia="宋体" w:hint="default"/>
                <w:sz w:val="18"/>
                <w:szCs w:val="18"/>
              </w:rPr>
              <w:t>一期）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2,434,753.93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2,434,753.93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陕西省交通安 全信息卡和交 通安全互联网 服务平台</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180,309.66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180,309.66</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4,482,892.56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11,624,548.07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15,738,451.38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188,679.59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180,309.66</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61"/>
        <w:gridCol w:w="1846"/>
        <w:gridCol w:w="2149"/>
        <w:gridCol w:w="2266"/>
      </w:tblGrid>
      <w:tr>
        <w:trPr>
          <w:trHeight w:val="34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截至期末的研发进度</w:t>
            </w:r>
            <w:r>
              <w:rPr>
                <w:rFonts w:ascii="宋体" w:hAnsi="宋体" w:cs="宋体" w:eastAsia="宋体" w:hint="default"/>
                <w:sz w:val="18"/>
                <w:szCs w:val="18"/>
              </w:rPr>
            </w:r>
          </w:p>
        </w:tc>
      </w:tr>
      <w:tr>
        <w:trPr>
          <w:trHeight w:val="34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社会保障卡管理平台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月份</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6"/>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电子病历管理系统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月份</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6"/>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社区化在线学习云服务平台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18"/>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月份</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6"/>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100%</w:t>
            </w:r>
          </w:p>
        </w:tc>
      </w:tr>
      <w:tr>
        <w:trPr>
          <w:trHeight w:val="343"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社保公共服务平台（一期）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1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月份</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6"/>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健康云</w:t>
            </w:r>
            <w:r>
              <w:rPr>
                <w:rFonts w:ascii="Times New Roman" w:hAnsi="Times New Roman" w:cs="Times New Roman" w:eastAsia="Times New Roman" w:hint="default"/>
                <w:sz w:val="18"/>
                <w:szCs w:val="18"/>
              </w:rPr>
              <w:t>"</w:t>
            </w:r>
            <w:r>
              <w:rPr>
                <w:rFonts w:ascii="宋体" w:hAnsi="宋体" w:cs="宋体" w:eastAsia="宋体" w:hint="default"/>
                <w:sz w:val="18"/>
                <w:szCs w:val="18"/>
              </w:rPr>
              <w:t>平台</w:t>
            </w:r>
            <w:r>
              <w:rPr>
                <w:rFonts w:ascii="Times New Roman" w:hAnsi="Times New Roman" w:cs="Times New Roman" w:eastAsia="Times New Roman" w:hint="default"/>
                <w:sz w:val="18"/>
                <w:szCs w:val="18"/>
              </w:rPr>
              <w:t>(</w:t>
            </w:r>
            <w:r>
              <w:rPr>
                <w:rFonts w:ascii="宋体" w:hAnsi="宋体" w:cs="宋体" w:eastAsia="宋体" w:hint="default"/>
                <w:sz w:val="18"/>
                <w:szCs w:val="18"/>
              </w:rPr>
              <w:t>一期）</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1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月份</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6"/>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100%</w:t>
            </w:r>
          </w:p>
        </w:tc>
      </w:tr>
      <w:tr>
        <w:trPr>
          <w:trHeight w:val="655"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6"/>
              <w:jc w:val="left"/>
              <w:rPr>
                <w:rFonts w:ascii="宋体" w:hAnsi="宋体" w:cs="宋体" w:eastAsia="宋体" w:hint="default"/>
                <w:sz w:val="18"/>
                <w:szCs w:val="18"/>
              </w:rPr>
            </w:pPr>
            <w:r>
              <w:rPr>
                <w:rFonts w:ascii="宋体" w:hAnsi="宋体" w:cs="宋体" w:eastAsia="宋体" w:hint="default"/>
                <w:spacing w:val="8"/>
                <w:sz w:val="18"/>
                <w:szCs w:val="18"/>
              </w:rPr>
              <w:t>陕西省交通安全信息卡和交通安全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互联网服务平台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1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月份</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26"/>
              <w:jc w:val="right"/>
              <w:rPr>
                <w:rFonts w:ascii="宋体" w:hAnsi="宋体" w:cs="宋体" w:eastAsia="宋体" w:hint="default"/>
                <w:sz w:val="18"/>
                <w:szCs w:val="18"/>
              </w:rPr>
            </w:pPr>
            <w:r>
              <w:rPr>
                <w:rFonts w:ascii="宋体" w:hAnsi="宋体" w:cs="宋体" w:eastAsia="宋体" w:hint="default"/>
                <w:sz w:val="18"/>
                <w:szCs w:val="18"/>
              </w:rPr>
              <w:t>项目立项报告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center"/>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7"/>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1,193,180.06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43,506.41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464,461.72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815,640.33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2,557,796.27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1,559,839.32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1,232,882.51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121,995.45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2,762,757.63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展厅装修费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2,319,396.84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38,656.61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2,280,740.23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21,447.26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5,644.05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15,803.21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3,772,423.59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3,922,742.57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1,741,644.89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78,579.87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5,874,941.40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rFonts w:ascii="Times New Roman" w:hAnsi="Times New Roman" w:cs="Times New Roman" w:eastAsia="Times New Roman" w:hint="default"/>
        </w:rPr>
        <w:t>1</w:t>
      </w:r>
      <w:r>
        <w:rPr/>
        <w:t>年内到期的长期待摊费用</w:t>
      </w:r>
      <w:r>
        <w:rPr>
          <w:rFonts w:ascii="Times New Roman" w:hAnsi="Times New Roman" w:cs="Times New Roman" w:eastAsia="Times New Roman" w:hint="default"/>
        </w:rPr>
        <w:t>296,830.37</w:t>
      </w:r>
      <w:r>
        <w:rPr/>
        <w:t>元，详见附注七、</w:t>
      </w:r>
      <w:r>
        <w:rPr>
          <w:rFonts w:ascii="Times New Roman" w:hAnsi="Times New Roman" w:cs="Times New Roman" w:eastAsia="Times New Roman" w:hint="default"/>
        </w:rPr>
        <w:t>12</w:t>
      </w:r>
      <w:r>
        <w:rPr/>
        <w:t>。</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41,680,292.06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6,407,560.49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34,670,745.70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5,360,786.39</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511,741.38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174,929.73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26,239.46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29,501,914.36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5,991,641.12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15,738,129.05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3,116,181.28</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333,333.33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83,333.33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71,693,947.80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12,475,962.82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50,917,137.81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8,586,540.46</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7"/>
        <w:gridCol w:w="1914"/>
        <w:gridCol w:w="1915"/>
        <w:gridCol w:w="1914"/>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3"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12,475,962.82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8,586,540.46</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873" w:firstLine="360"/>
        <w:jc w:val="left"/>
      </w:pPr>
      <w:r>
        <w:rPr/>
        <w:t>无。 其他说明：</w:t>
      </w:r>
    </w:p>
    <w:p>
      <w:pPr>
        <w:pStyle w:val="BodyText"/>
        <w:spacing w:line="240" w:lineRule="auto" w:before="109"/>
        <w:ind w:left="513" w:right="0"/>
        <w:jc w:val="left"/>
      </w:pPr>
      <w:r>
        <w:rPr/>
        <w:t>递延所得税资产年末数较年初数增加</w:t>
      </w:r>
      <w:r>
        <w:rPr>
          <w:rFonts w:ascii="Times New Roman" w:hAnsi="Times New Roman" w:cs="Times New Roman" w:eastAsia="Times New Roman" w:hint="default"/>
        </w:rPr>
        <w:t>45.30%</w:t>
      </w:r>
      <w:r>
        <w:rPr/>
        <w:t>，主要原因系本年提取的资产减值准备及子公司可抵扣的亏损增加所致。</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113,051,857.78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62,867,560.14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367,991.00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113,419,848.78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62,867,560.14</w:t>
            </w:r>
          </w:p>
        </w:tc>
      </w:tr>
    </w:tbl>
    <w:p>
      <w:pPr>
        <w:spacing w:line="240" w:lineRule="auto" w:before="8"/>
        <w:rPr>
          <w:rFonts w:ascii="宋体" w:hAnsi="宋体" w:cs="宋体" w:eastAsia="宋体" w:hint="default"/>
          <w:sz w:val="19"/>
          <w:szCs w:val="19"/>
        </w:rPr>
      </w:pPr>
    </w:p>
    <w:p>
      <w:pPr>
        <w:pStyle w:val="Heading3"/>
        <w:spacing w:line="240" w:lineRule="auto" w:before="37"/>
        <w:ind w:right="1713"/>
        <w:jc w:val="left"/>
        <w:rPr>
          <w:b w:val="0"/>
          <w:bCs w:val="0"/>
        </w:rPr>
      </w:pP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国际商业机器（中国）有限公司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分期付款未到期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深圳毅能达智能卡制造有限公司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2,321,610.08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项目尚未结束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7,321,610.08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713"/>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93"/>
        <w:jc w:val="left"/>
      </w:pPr>
      <w:r>
        <w:rPr/>
        <w:t>应付账款年末数较年初数增加</w:t>
      </w:r>
      <w:r>
        <w:rPr>
          <w:rFonts w:ascii="Times New Roman" w:hAnsi="Times New Roman" w:cs="Times New Roman" w:eastAsia="Times New Roman" w:hint="default"/>
        </w:rPr>
        <w:t>80.41%</w:t>
      </w:r>
      <w:r>
        <w:rPr/>
        <w:t>，主要原因系自助机和</w:t>
      </w:r>
      <w:r>
        <w:rPr>
          <w:rFonts w:ascii="Times New Roman" w:hAnsi="Times New Roman" w:cs="Times New Roman" w:eastAsia="Times New Roman" w:hint="default"/>
        </w:rPr>
        <w:t>IC</w:t>
      </w:r>
      <w:r>
        <w:rPr/>
        <w:t>卡芯片采购量增加导致应付货款增加。</w:t>
      </w:r>
    </w:p>
    <w:p>
      <w:pPr>
        <w:spacing w:line="240" w:lineRule="auto" w:before="9"/>
        <w:rPr>
          <w:rFonts w:ascii="宋体" w:hAnsi="宋体" w:cs="宋体" w:eastAsia="宋体" w:hint="default"/>
          <w:sz w:val="26"/>
          <w:szCs w:val="26"/>
        </w:rPr>
      </w:pPr>
    </w:p>
    <w:p>
      <w:pPr>
        <w:pStyle w:val="Heading3"/>
        <w:spacing w:line="240" w:lineRule="auto"/>
        <w:ind w:right="1713"/>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71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9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31,304,832.57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45,501,212.16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31,304,832.57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45,501,212.16</w:t>
            </w:r>
          </w:p>
        </w:tc>
      </w:tr>
    </w:tbl>
    <w:p>
      <w:pPr>
        <w:spacing w:line="240" w:lineRule="auto" w:before="8"/>
        <w:rPr>
          <w:rFonts w:ascii="宋体" w:hAnsi="宋体" w:cs="宋体" w:eastAsia="宋体" w:hint="default"/>
          <w:sz w:val="19"/>
          <w:szCs w:val="19"/>
        </w:rPr>
      </w:pPr>
    </w:p>
    <w:p>
      <w:pPr>
        <w:pStyle w:val="Heading3"/>
        <w:spacing w:line="240" w:lineRule="auto" w:before="37"/>
        <w:ind w:right="1713"/>
        <w:jc w:val="left"/>
        <w:rPr>
          <w:b w:val="0"/>
          <w:bCs w:val="0"/>
        </w:rPr>
      </w:pP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宁德市人力资源和社会保障局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5,262,737.90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劳务尚未提供</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5,262,737.90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9"/>
          <w:szCs w:val="19"/>
        </w:rPr>
      </w:pPr>
    </w:p>
    <w:p>
      <w:pPr>
        <w:pStyle w:val="Heading3"/>
        <w:spacing w:line="240" w:lineRule="auto" w:before="37"/>
        <w:ind w:right="171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1"/>
        <w:rPr>
          <w:rFonts w:ascii="宋体" w:hAnsi="宋体" w:cs="宋体" w:eastAsia="宋体" w:hint="default"/>
          <w:b/>
          <w:bCs/>
          <w:sz w:val="26"/>
          <w:szCs w:val="26"/>
        </w:rPr>
      </w:pPr>
    </w:p>
    <w:p>
      <w:pPr>
        <w:pStyle w:val="BodyText"/>
        <w:spacing w:line="360" w:lineRule="auto"/>
        <w:ind w:right="8913" w:firstLine="360"/>
        <w:jc w:val="left"/>
      </w:pPr>
      <w:r>
        <w:rPr/>
        <w:t>无。 其他说明：</w:t>
      </w:r>
    </w:p>
    <w:p>
      <w:pPr>
        <w:pStyle w:val="BodyText"/>
        <w:spacing w:line="240" w:lineRule="auto" w:before="106"/>
        <w:ind w:left="513" w:right="0"/>
        <w:jc w:val="left"/>
      </w:pPr>
      <w:r>
        <w:rPr/>
        <w:t>预收款项年末数较年初数减少</w:t>
      </w:r>
      <w:r>
        <w:rPr>
          <w:rFonts w:ascii="Times New Roman" w:hAnsi="Times New Roman" w:cs="Times New Roman" w:eastAsia="Times New Roman" w:hint="default"/>
        </w:rPr>
        <w:t>31.20%</w:t>
      </w:r>
      <w:r>
        <w:rPr/>
        <w:t>，主要原因系本公司根据会计政策对满足收入确认条件的预收款项结转收入所致。</w:t>
      </w:r>
    </w:p>
    <w:p>
      <w:pPr>
        <w:spacing w:after="0" w:line="240" w:lineRule="auto"/>
        <w:jc w:val="left"/>
        <w:sectPr>
          <w:pgSz w:w="11910" w:h="16840"/>
          <w:pgMar w:header="745" w:footer="979"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15,345,236.30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105,947,063.71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96,099,934.60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25,192,365.41</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20,120.17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7,984,991.67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7,928,211.98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76,899.86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52,667.98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15,365,356.47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113,984,723.36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104,080,814.56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25,269,265.27</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13,480,820.36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91,737,075.27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82,697,152.28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22,520,743.35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107,157.74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3,969,414.48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3,763,337.77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313,234.45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4,258,030.46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4,222,673.02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50,181.85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3,685,748.88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3,654,388.97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44,854.33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229,277.21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226,578.53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3,629.67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343,004.37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341,705.52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1,697.85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3,951,486.69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3,862,498.89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105,737.00</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1,725,684.59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2,031,056.81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1,554,272.64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2,202,468.76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15,345,236.30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105,947,063.71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96,099,934.60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25,192,365.41</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18,657.19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7,302,211.67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7,246,943.20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73,925.66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1,462.98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681,268.78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2,974.20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20,120.17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7,984,991.67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7,928,211.98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76,899.86</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应付职工薪酬年末数较年初数增加</w:t>
      </w:r>
      <w:r>
        <w:rPr>
          <w:rFonts w:ascii="Times New Roman" w:hAnsi="Times New Roman" w:cs="Times New Roman" w:eastAsia="Times New Roman" w:hint="default"/>
        </w:rPr>
        <w:t>64.46%</w:t>
      </w:r>
      <w:r>
        <w:rPr/>
        <w:t>，主要原因系薪资调增及员工增长所致。</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13,209,033.98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5,158,321.37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275,614.26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18,024.50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5,169,934.92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4,194,504.49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210,242.66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156,338.28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1,143,090.26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654,898.84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769,168.53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444,853.99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63,795.46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71,961.31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价调基金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43,643.15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江海堤防费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81,227.13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31,977.72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91,575.09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21,109,942.59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10,866,098.74</w:t>
            </w:r>
          </w:p>
        </w:tc>
      </w:tr>
    </w:tbl>
    <w:p>
      <w:pPr>
        <w:pStyle w:val="BodyText"/>
        <w:spacing w:line="240" w:lineRule="auto" w:before="49"/>
        <w:ind w:right="0"/>
        <w:jc w:val="left"/>
      </w:pPr>
      <w:r>
        <w:rPr/>
        <w:t>其他说明：</w:t>
      </w:r>
    </w:p>
    <w:p>
      <w:pPr>
        <w:pStyle w:val="BodyText"/>
        <w:spacing w:line="240" w:lineRule="auto" w:before="117"/>
        <w:ind w:left="513" w:right="0"/>
        <w:jc w:val="left"/>
      </w:pPr>
      <w:r>
        <w:rPr/>
        <w:t>应交税费年末数较年初数增加</w:t>
      </w:r>
      <w:r>
        <w:rPr>
          <w:rFonts w:ascii="Times New Roman" w:hAnsi="Times New Roman" w:cs="Times New Roman" w:eastAsia="Times New Roman" w:hint="default"/>
        </w:rPr>
        <w:t>94.25%</w:t>
      </w:r>
      <w:r>
        <w:rPr/>
        <w:t>，主要原因系营业收入及营业利润增长所导致相应税金增加。</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10,546.69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14,062.26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14,062.26</w:t>
            </w:r>
          </w:p>
        </w:tc>
      </w:tr>
    </w:tbl>
    <w:p>
      <w:pPr>
        <w:pStyle w:val="BodyText"/>
        <w:spacing w:line="357" w:lineRule="auto" w:before="49"/>
        <w:ind w:left="513" w:right="6893" w:hanging="360"/>
        <w:jc w:val="left"/>
      </w:pPr>
      <w:r>
        <w:rPr/>
        <w:t>重要的已逾期未支付的利息情况： 公司无逾期未支付的利息情况。</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12,750,794.77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2,711,492.37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177,999.39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12,770,879.93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2,889,491.76</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1"/>
        <w:rPr>
          <w:rFonts w:ascii="宋体" w:hAnsi="宋体" w:cs="宋体" w:eastAsia="宋体" w:hint="default"/>
          <w:b/>
          <w:bCs/>
          <w:sz w:val="26"/>
          <w:szCs w:val="26"/>
        </w:rPr>
      </w:pPr>
    </w:p>
    <w:p>
      <w:pPr>
        <w:pStyle w:val="BodyText"/>
        <w:spacing w:line="360" w:lineRule="auto"/>
        <w:ind w:right="9053" w:firstLine="360"/>
        <w:jc w:val="left"/>
      </w:pPr>
      <w:r>
        <w:rPr/>
        <w:t>无。 其他说明</w:t>
      </w:r>
    </w:p>
    <w:p>
      <w:pPr>
        <w:pStyle w:val="BodyText"/>
        <w:spacing w:line="300" w:lineRule="auto" w:before="25"/>
        <w:ind w:right="218" w:firstLine="360"/>
        <w:jc w:val="left"/>
      </w:pPr>
      <w:r>
        <w:rPr/>
        <w:t>其他应付款年末数较年初数增加</w:t>
      </w:r>
      <w:r>
        <w:rPr>
          <w:rFonts w:ascii="Times New Roman" w:hAnsi="Times New Roman" w:cs="Times New Roman" w:eastAsia="Times New Roman" w:hint="default"/>
        </w:rPr>
        <w:t>341.98%</w:t>
      </w:r>
      <w:r>
        <w:rPr/>
        <w:t>，主要原因系控股子公司中职动力（北京）科技有限公司向外单位借款</w:t>
      </w:r>
      <w:r>
        <w:rPr>
          <w:rFonts w:ascii="Times New Roman" w:hAnsi="Times New Roman" w:cs="Times New Roman" w:eastAsia="Times New Roman" w:hint="default"/>
        </w:rPr>
        <w:t>850</w:t>
      </w:r>
      <w:r>
        <w:rPr/>
        <w:t>万 元所致。</w:t>
      </w:r>
    </w:p>
    <w:p>
      <w:pPr>
        <w:spacing w:line="240" w:lineRule="auto" w:before="4"/>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333,333.33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333,333.33</w:t>
            </w:r>
          </w:p>
        </w:tc>
      </w:tr>
    </w:tbl>
    <w:p>
      <w:pPr>
        <w:pStyle w:val="BodyText"/>
        <w:spacing w:line="439" w:lineRule="auto" w:before="49"/>
        <w:ind w:left="155" w:right="7270" w:hanging="3"/>
        <w:jc w:val="left"/>
      </w:pPr>
      <w:r>
        <w:rPr/>
        <w:t>短期应付债券的增减变动：无。 其中：递延收益</w:t>
      </w:r>
      <w:r>
        <w:rPr>
          <w:rFonts w:ascii="Times New Roman" w:hAnsi="Times New Roman" w:cs="Times New Roman" w:eastAsia="Times New Roman" w:hint="default"/>
        </w:rPr>
        <w:t>-</w:t>
      </w:r>
      <w:r>
        <w:rPr/>
        <w:t>政府补助情况</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79"/>
        <w:gridCol w:w="1345"/>
        <w:gridCol w:w="1181"/>
        <w:gridCol w:w="1368"/>
        <w:gridCol w:w="1100"/>
        <w:gridCol w:w="1063"/>
        <w:gridCol w:w="1491"/>
      </w:tblGrid>
      <w:tr>
        <w:trPr>
          <w:trHeight w:val="653"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05" w:right="39" w:hanging="360"/>
              <w:jc w:val="left"/>
              <w:rPr>
                <w:rFonts w:ascii="宋体" w:hAnsi="宋体" w:cs="宋体" w:eastAsia="宋体" w:hint="default"/>
                <w:sz w:val="18"/>
                <w:szCs w:val="18"/>
              </w:rPr>
            </w:pPr>
            <w:r>
              <w:rPr>
                <w:rFonts w:ascii="宋体" w:hAnsi="宋体" w:cs="宋体" w:eastAsia="宋体" w:hint="default"/>
                <w:b/>
                <w:bCs/>
                <w:sz w:val="18"/>
                <w:szCs w:val="18"/>
              </w:rPr>
              <w:t>本年新增补助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19" w:right="43" w:hanging="272"/>
              <w:jc w:val="left"/>
              <w:rPr>
                <w:rFonts w:ascii="宋体" w:hAnsi="宋体" w:cs="宋体" w:eastAsia="宋体" w:hint="default"/>
                <w:sz w:val="18"/>
                <w:szCs w:val="18"/>
              </w:rPr>
            </w:pPr>
            <w:r>
              <w:rPr>
                <w:rFonts w:ascii="宋体" w:hAnsi="宋体" w:cs="宋体" w:eastAsia="宋体" w:hint="default"/>
                <w:b/>
                <w:bCs/>
                <w:sz w:val="18"/>
                <w:szCs w:val="18"/>
              </w:rPr>
              <w:t>本年计入营业外</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62" w:right="362"/>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8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45" w:right="341"/>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8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67" w:right="83" w:hanging="387"/>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与收</w:t>
            </w:r>
            <w:r>
              <w:rPr>
                <w:rFonts w:ascii="宋体" w:hAnsi="宋体" w:cs="宋体" w:eastAsia="宋体" w:hint="default"/>
                <w:b/>
                <w:bCs/>
                <w:w w:val="99"/>
                <w:sz w:val="18"/>
                <w:szCs w:val="18"/>
              </w:rPr>
              <w:t> </w:t>
            </w:r>
            <w:r>
              <w:rPr>
                <w:rFonts w:ascii="宋体" w:hAnsi="宋体" w:cs="宋体" w:eastAsia="宋体" w:hint="default"/>
                <w:b/>
                <w:bCs/>
                <w:sz w:val="18"/>
                <w:szCs w:val="18"/>
              </w:rPr>
              <w:t>益相关</w:t>
            </w:r>
            <w:r>
              <w:rPr>
                <w:rFonts w:ascii="宋体" w:hAnsi="宋体" w:cs="宋体" w:eastAsia="宋体" w:hint="default"/>
                <w:sz w:val="18"/>
                <w:szCs w:val="18"/>
              </w:rPr>
            </w:r>
          </w:p>
        </w:tc>
      </w:tr>
      <w:tr>
        <w:trPr>
          <w:trHeight w:val="655"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3"/>
              <w:jc w:val="left"/>
              <w:rPr>
                <w:rFonts w:ascii="宋体" w:hAnsi="宋体" w:cs="宋体" w:eastAsia="宋体" w:hint="default"/>
                <w:sz w:val="18"/>
                <w:szCs w:val="18"/>
              </w:rPr>
            </w:pPr>
            <w:r>
              <w:rPr>
                <w:rFonts w:ascii="宋体" w:hAnsi="宋体" w:cs="宋体" w:eastAsia="宋体" w:hint="default"/>
                <w:spacing w:val="14"/>
                <w:sz w:val="18"/>
                <w:szCs w:val="18"/>
              </w:rPr>
              <w:t>软件产业发展专项</w:t>
            </w:r>
            <w:r>
              <w:rPr>
                <w:rFonts w:ascii="宋体" w:hAnsi="宋体" w:cs="宋体" w:eastAsia="宋体" w:hint="default"/>
                <w:spacing w:val="-74"/>
                <w:sz w:val="18"/>
                <w:szCs w:val="18"/>
              </w:rPr>
              <w:t> </w:t>
            </w:r>
            <w:r>
              <w:rPr>
                <w:rFonts w:ascii="宋体" w:hAnsi="宋体" w:cs="宋体" w:eastAsia="宋体" w:hint="default"/>
                <w:sz w:val="18"/>
                <w:szCs w:val="18"/>
              </w:rPr>
              <w:t>补贴款</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333,333.33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333,333.33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1" w:hRule="exac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333,333.33</w:t>
            </w:r>
            <w:r>
              <w:rPr>
                <w:rFonts w:ascii="Times New Roman"/>
                <w:spacing w:val="-1"/>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333,333.33</w:t>
            </w:r>
            <w:r>
              <w:rPr>
                <w:rFonts w:ascii="Times New Roman"/>
                <w:spacing w:val="-1"/>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14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7"/>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4,684,166.88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6,691,666.80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6"/>
        <w:gridCol w:w="3204"/>
        <w:gridCol w:w="3190"/>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4,684,166.88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6,691,666.80</w:t>
            </w:r>
          </w:p>
        </w:tc>
      </w:tr>
    </w:tbl>
    <w:p>
      <w:pPr>
        <w:pStyle w:val="BodyText"/>
        <w:spacing w:line="439" w:lineRule="auto" w:before="49"/>
        <w:ind w:right="533"/>
        <w:jc w:val="left"/>
        <w:rPr>
          <w:rFonts w:ascii="Times New Roman" w:hAnsi="Times New Roman" w:cs="Times New Roman" w:eastAsia="Times New Roman" w:hint="default"/>
        </w:rPr>
      </w:pPr>
      <w:r>
        <w:rPr/>
        <w:t>其他说明，包括利率区间： 上述抵押借款系以本公司房屋建筑物为抵押物，由厦门市土地开发总公司提供担保。利率区间为基准利率水平上浮</w:t>
      </w:r>
      <w:r>
        <w:rPr>
          <w:rFonts w:ascii="Times New Roman" w:hAnsi="Times New Roman" w:cs="Times New Roman" w:eastAsia="Times New Roman" w:hint="default"/>
        </w:rPr>
        <w:t>5%</w:t>
      </w:r>
    </w:p>
    <w:p>
      <w:pPr>
        <w:spacing w:line="240" w:lineRule="auto" w:before="9"/>
        <w:rPr>
          <w:rFonts w:ascii="Times New Roman" w:hAnsi="Times New Roman" w:cs="Times New Roman" w:eastAsia="Times New Roman" w:hint="default"/>
          <w:sz w:val="15"/>
          <w:szCs w:val="15"/>
        </w:rPr>
      </w:pPr>
    </w:p>
    <w:p>
      <w:pPr>
        <w:pStyle w:val="Heading3"/>
        <w:spacing w:line="240" w:lineRule="auto"/>
        <w:ind w:left="134" w:right="8567"/>
        <w:jc w:val="center"/>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left="134" w:right="8567"/>
        <w:jc w:val="center"/>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left="134" w:right="8567"/>
        <w:jc w:val="center"/>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6"/>
        <w:gridCol w:w="1198"/>
        <w:gridCol w:w="1196"/>
        <w:gridCol w:w="1184"/>
        <w:gridCol w:w="1209"/>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172,000,000.00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258,000,000.00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430,000,000.00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55" w:firstLine="360"/>
        <w:jc w:val="both"/>
      </w:pPr>
      <w:r>
        <w:rPr/>
        <w:t>说明</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[2010]890</w:t>
      </w:r>
      <w:r>
        <w:rPr/>
        <w:t>号</w:t>
      </w:r>
      <w:r>
        <w:rPr>
          <w:rFonts w:ascii="Times New Roman" w:hAnsi="Times New Roman" w:cs="Times New Roman" w:eastAsia="Times New Roman" w:hint="default"/>
        </w:rPr>
        <w:t>”</w:t>
      </w:r>
      <w:r>
        <w:rPr/>
        <w:t>文《关于核准易联众信息技术股份有限公 </w:t>
      </w:r>
      <w:r>
        <w:rPr>
          <w:spacing w:val="-1"/>
        </w:rPr>
        <w:t>司首次公开发行股票并在创业板上市的批复》核准，本公司申请通过向社会公开发行人民币普通股（</w:t>
      </w:r>
      <w:r>
        <w:rPr>
          <w:rFonts w:ascii="Times New Roman" w:hAnsi="Times New Roman" w:cs="Times New Roman" w:eastAsia="Times New Roman" w:hint="default"/>
          <w:spacing w:val="-1"/>
        </w:rPr>
        <w:t>A</w:t>
      </w:r>
      <w:r>
        <w:rPr>
          <w:spacing w:val="-1"/>
        </w:rPr>
        <w:t>股）增加注册资本人</w:t>
      </w:r>
      <w:r>
        <w:rPr>
          <w:spacing w:val="-77"/>
        </w:rPr>
        <w:t> </w:t>
      </w:r>
      <w:r>
        <w:rPr>
          <w:spacing w:val="-77"/>
        </w:rPr>
      </w:r>
      <w:r>
        <w:rPr>
          <w:spacing w:val="-4"/>
        </w:rPr>
        <w:t>民币</w:t>
      </w:r>
      <w:r>
        <w:rPr>
          <w:rFonts w:ascii="Times New Roman" w:hAnsi="Times New Roman" w:cs="Times New Roman" w:eastAsia="Times New Roman" w:hint="default"/>
          <w:spacing w:val="-4"/>
        </w:rPr>
        <w:t>2,200</w:t>
      </w:r>
      <w:r>
        <w:rPr>
          <w:spacing w:val="-4"/>
        </w:rPr>
        <w:t>万元，变更后的股本为</w:t>
      </w:r>
      <w:r>
        <w:rPr>
          <w:rFonts w:ascii="Times New Roman" w:hAnsi="Times New Roman" w:cs="Times New Roman" w:eastAsia="Times New Roman" w:hint="default"/>
          <w:spacing w:val="-4"/>
        </w:rPr>
        <w:t>8,600</w:t>
      </w:r>
      <w:r>
        <w:rPr>
          <w:spacing w:val="-4"/>
        </w:rPr>
        <w:t>万股，注册资本为人民币</w:t>
      </w:r>
      <w:r>
        <w:rPr>
          <w:rFonts w:ascii="Times New Roman" w:hAnsi="Times New Roman" w:cs="Times New Roman" w:eastAsia="Times New Roman" w:hint="default"/>
          <w:spacing w:val="-4"/>
        </w:rPr>
        <w:t>8,600</w:t>
      </w:r>
      <w:r>
        <w:rPr>
          <w:spacing w:val="-4"/>
        </w:rPr>
        <w:t>万元。此次增资业经天健正信会计师事务所有限公司</w:t>
      </w:r>
      <w:r>
        <w:rPr>
          <w:spacing w:val="16"/>
        </w:rPr>
        <w:t> </w:t>
      </w:r>
      <w:r>
        <w:rPr>
          <w:rFonts w:ascii="Times New Roman" w:hAnsi="Times New Roman" w:cs="Times New Roman" w:eastAsia="Times New Roman" w:hint="default"/>
        </w:rPr>
        <w:t>“</w:t>
      </w:r>
      <w:r>
        <w:rPr/>
        <w:t>天</w:t>
      </w:r>
      <w:r>
        <w:rPr>
          <w:spacing w:val="-82"/>
        </w:rPr>
        <w:t> </w:t>
      </w:r>
      <w:r>
        <w:rPr/>
        <w:t>健正信验（</w:t>
      </w:r>
      <w:r>
        <w:rPr>
          <w:rFonts w:ascii="Times New Roman" w:hAnsi="Times New Roman" w:cs="Times New Roman" w:eastAsia="Times New Roman" w:hint="default"/>
        </w:rPr>
        <w:t>2010</w:t>
      </w:r>
      <w:r>
        <w:rPr/>
        <w:t>）综字第</w:t>
      </w:r>
      <w:r>
        <w:rPr>
          <w:rFonts w:ascii="Times New Roman" w:hAnsi="Times New Roman" w:cs="Times New Roman" w:eastAsia="Times New Roman" w:hint="default"/>
        </w:rPr>
        <w:t>020095</w:t>
      </w:r>
      <w:r>
        <w:rPr/>
        <w:t>号</w:t>
      </w:r>
      <w:r>
        <w:rPr>
          <w:rFonts w:ascii="Times New Roman" w:hAnsi="Times New Roman" w:cs="Times New Roman" w:eastAsia="Times New Roman" w:hint="default"/>
        </w:rPr>
        <w:t>”</w:t>
      </w:r>
      <w:r>
        <w:rPr/>
        <w:t>《验资报告》审验。</w:t>
      </w:r>
    </w:p>
    <w:p>
      <w:pPr>
        <w:spacing w:after="0" w:line="300" w:lineRule="auto"/>
        <w:jc w:val="both"/>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55" w:firstLine="360"/>
        <w:jc w:val="both"/>
      </w:pPr>
      <w:r>
        <w:rPr/>
        <w:t>说明</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日，本公司根据</w:t>
      </w:r>
      <w:r>
        <w:rPr>
          <w:rFonts w:ascii="Times New Roman" w:hAnsi="Times New Roman" w:cs="Times New Roman" w:eastAsia="Times New Roman" w:hint="default"/>
        </w:rPr>
        <w:t>2010</w:t>
      </w:r>
      <w:r>
        <w:rPr/>
        <w:t>年度股东大会决议通过的《关于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2010</w:t>
      </w:r>
      <w:r>
        <w:rPr/>
        <w:t>年度利润分配及资本公积金转增股 </w:t>
      </w:r>
      <w:r>
        <w:rPr>
          <w:spacing w:val="-2"/>
        </w:rPr>
        <w:t>本预案</w:t>
      </w:r>
      <w:r>
        <w:rPr>
          <w:rFonts w:ascii="Times New Roman" w:hAnsi="Times New Roman" w:cs="Times New Roman" w:eastAsia="Times New Roman" w:hint="default"/>
          <w:spacing w:val="-2"/>
        </w:rPr>
        <w:t>&gt;</w:t>
      </w:r>
      <w:r>
        <w:rPr>
          <w:spacing w:val="-2"/>
        </w:rPr>
        <w:t>的议案》，以本公司总股本</w:t>
      </w:r>
      <w:r>
        <w:rPr>
          <w:rFonts w:ascii="Times New Roman" w:hAnsi="Times New Roman" w:cs="Times New Roman" w:eastAsia="Times New Roman" w:hint="default"/>
          <w:spacing w:val="-2"/>
        </w:rPr>
        <w:t>8,600</w:t>
      </w:r>
      <w:r>
        <w:rPr>
          <w:spacing w:val="-2"/>
        </w:rPr>
        <w:t>万股为基数，以资本公积向全体股东每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股。资本公积转增股本后，本公</w:t>
      </w:r>
      <w:r>
        <w:rPr>
          <w:spacing w:val="-38"/>
        </w:rPr>
        <w:t> </w:t>
      </w:r>
      <w:r>
        <w:rPr>
          <w:spacing w:val="-38"/>
        </w:rPr>
      </w:r>
      <w:r>
        <w:rPr/>
        <w:t>司总股本为</w:t>
      </w:r>
      <w:r>
        <w:rPr>
          <w:rFonts w:ascii="Times New Roman" w:hAnsi="Times New Roman" w:cs="Times New Roman" w:eastAsia="Times New Roman" w:hint="default"/>
        </w:rPr>
        <w:t>17,200</w:t>
      </w:r>
      <w:r>
        <w:rPr/>
        <w:t>万股。</w:t>
      </w:r>
    </w:p>
    <w:p>
      <w:pPr>
        <w:spacing w:line="240" w:lineRule="auto" w:before="7"/>
        <w:rPr>
          <w:rFonts w:ascii="宋体" w:hAnsi="宋体" w:cs="宋体" w:eastAsia="宋体" w:hint="default"/>
          <w:sz w:val="17"/>
          <w:szCs w:val="17"/>
        </w:rPr>
      </w:pPr>
    </w:p>
    <w:p>
      <w:pPr>
        <w:pStyle w:val="BodyText"/>
        <w:spacing w:line="300" w:lineRule="auto"/>
        <w:ind w:right="154" w:firstLine="360"/>
        <w:jc w:val="both"/>
      </w:pPr>
      <w:r>
        <w:rPr/>
        <w:t>说明</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日，本公司</w:t>
      </w:r>
      <w:r>
        <w:rPr>
          <w:rFonts w:ascii="Times New Roman" w:hAnsi="Times New Roman" w:cs="Times New Roman" w:eastAsia="Times New Roman" w:hint="default"/>
        </w:rPr>
        <w:t>2014</w:t>
      </w:r>
      <w:r>
        <w:rPr/>
        <w:t>年第一次临时股东大会审议通过了</w:t>
      </w:r>
      <w:r>
        <w:rPr>
          <w:rFonts w:ascii="Times New Roman" w:hAnsi="Times New Roman" w:cs="Times New Roman" w:eastAsia="Times New Roman" w:hint="default"/>
        </w:rPr>
        <w:t>2014</w:t>
      </w:r>
      <w:r>
        <w:rPr/>
        <w:t>年半年度资本公积转增股本方案，以</w:t>
      </w:r>
      <w:r>
        <w:rPr>
          <w:rFonts w:ascii="Times New Roman" w:hAnsi="Times New Roman" w:cs="Times New Roman" w:eastAsia="Times New Roman" w:hint="default"/>
        </w:rPr>
        <w:t>2014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日总股本</w:t>
      </w:r>
      <w:r>
        <w:rPr>
          <w:rFonts w:ascii="Times New Roman" w:hAnsi="Times New Roman" w:cs="Times New Roman" w:eastAsia="Times New Roman" w:hint="default"/>
          <w:spacing w:val="-1"/>
        </w:rPr>
        <w:t>17,200</w:t>
      </w:r>
      <w:r>
        <w:rPr>
          <w:spacing w:val="-1"/>
        </w:rPr>
        <w:t>万股为基数向全体股东每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15</w:t>
      </w:r>
      <w:r>
        <w:rPr>
          <w:spacing w:val="-1"/>
        </w:rPr>
        <w:t>股，共计转增</w:t>
      </w:r>
      <w:r>
        <w:rPr>
          <w:rFonts w:ascii="Times New Roman" w:hAnsi="Times New Roman" w:cs="Times New Roman" w:eastAsia="Times New Roman" w:hint="default"/>
          <w:spacing w:val="-1"/>
        </w:rPr>
        <w:t>25,800</w:t>
      </w:r>
      <w:r>
        <w:rPr>
          <w:spacing w:val="-1"/>
        </w:rPr>
        <w:t>万股，转增后公司总股本将增加至</w:t>
      </w:r>
      <w:r>
        <w:rPr>
          <w:rFonts w:ascii="Times New Roman" w:hAnsi="Times New Roman" w:cs="Times New Roman" w:eastAsia="Times New Roman" w:hint="default"/>
          <w:spacing w:val="-1"/>
        </w:rPr>
        <w:t>43,000</w:t>
      </w:r>
      <w:r>
        <w:rPr>
          <w:spacing w:val="-1"/>
        </w:rPr>
        <w:t>万</w:t>
      </w:r>
      <w:r>
        <w:rPr>
          <w:spacing w:val="-78"/>
        </w:rPr>
        <w:t> </w:t>
      </w:r>
      <w:r>
        <w:rPr/>
        <w:t>股。此次增资业经致同会计师事务所（特殊普通合伙）</w:t>
      </w:r>
      <w:r>
        <w:rPr>
          <w:spacing w:val="-25"/>
        </w:rPr>
        <w:t> </w:t>
      </w:r>
      <w:r>
        <w:rPr>
          <w:rFonts w:ascii="Times New Roman" w:hAnsi="Times New Roman" w:cs="Times New Roman" w:eastAsia="Times New Roman" w:hint="default"/>
        </w:rPr>
        <w:t>“</w:t>
      </w:r>
      <w:r>
        <w:rPr/>
        <w:t>致同验字（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350FA0021</w:t>
      </w:r>
      <w:r>
        <w:rPr/>
        <w:t>号</w:t>
      </w:r>
      <w:r>
        <w:rPr>
          <w:rFonts w:ascii="Times New Roman" w:hAnsi="Times New Roman" w:cs="Times New Roman" w:eastAsia="Times New Roman" w:hint="default"/>
        </w:rPr>
        <w:t>”</w:t>
      </w:r>
      <w:r>
        <w:rPr/>
        <w:t>《验资报告》审验。</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292,196,667.26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259,784,149.87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32,412,517.39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292,196,667.26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259,784,149.87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32,412,517.39</w:t>
            </w:r>
          </w:p>
        </w:tc>
      </w:tr>
    </w:tbl>
    <w:p>
      <w:pPr>
        <w:pStyle w:val="BodyText"/>
        <w:spacing w:line="240" w:lineRule="auto" w:before="49"/>
        <w:ind w:right="0"/>
        <w:jc w:val="left"/>
      </w:pPr>
      <w:r>
        <w:rPr/>
        <w:t>其他说明，包括本期增减变动情况、变动原因说明：</w:t>
      </w:r>
    </w:p>
    <w:p>
      <w:pPr>
        <w:spacing w:line="240" w:lineRule="auto" w:before="3"/>
        <w:rPr>
          <w:rFonts w:ascii="宋体" w:hAnsi="宋体" w:cs="宋体" w:eastAsia="宋体" w:hint="default"/>
          <w:sz w:val="15"/>
          <w:szCs w:val="15"/>
        </w:rPr>
      </w:pPr>
    </w:p>
    <w:p>
      <w:pPr>
        <w:pStyle w:val="BodyText"/>
        <w:spacing w:line="316" w:lineRule="auto"/>
        <w:ind w:right="159" w:firstLine="360"/>
        <w:jc w:val="both"/>
      </w:pPr>
      <w:r>
        <w:rPr>
          <w:spacing w:val="-2"/>
        </w:rPr>
        <w:t>本年资本公积减少</w:t>
      </w:r>
      <w:r>
        <w:rPr>
          <w:rFonts w:ascii="宋体" w:hAnsi="宋体" w:cs="宋体" w:eastAsia="宋体" w:hint="default"/>
          <w:spacing w:val="-2"/>
        </w:rPr>
        <w:t>259,784,149.87</w:t>
      </w:r>
      <w:r>
        <w:rPr>
          <w:spacing w:val="-2"/>
        </w:rPr>
        <w:t>元，其中（</w:t>
      </w:r>
      <w:r>
        <w:rPr>
          <w:rFonts w:ascii="宋体" w:hAnsi="宋体" w:cs="宋体" w:eastAsia="宋体" w:hint="default"/>
          <w:spacing w:val="-2"/>
        </w:rPr>
        <w:t>1</w:t>
      </w:r>
      <w:r>
        <w:rPr>
          <w:spacing w:val="-2"/>
        </w:rPr>
        <w:t>）以资本公积转增股本</w:t>
      </w:r>
      <w:r>
        <w:rPr>
          <w:rFonts w:ascii="宋体" w:hAnsi="宋体" w:cs="宋体" w:eastAsia="宋体" w:hint="default"/>
          <w:spacing w:val="-2"/>
        </w:rPr>
        <w:t>258,000,000.00</w:t>
      </w:r>
      <w:r>
        <w:rPr>
          <w:spacing w:val="-2"/>
        </w:rPr>
        <w:t>元，详见本附注五、</w:t>
      </w:r>
      <w:r>
        <w:rPr>
          <w:rFonts w:ascii="宋体" w:hAnsi="宋体" w:cs="宋体" w:eastAsia="宋体" w:hint="default"/>
          <w:spacing w:val="-2"/>
        </w:rPr>
        <w:t>24</w:t>
      </w:r>
      <w:r>
        <w:rPr>
          <w:spacing w:val="-2"/>
        </w:rPr>
        <w:t>；（</w:t>
      </w:r>
      <w:r>
        <w:rPr>
          <w:rFonts w:ascii="宋体" w:hAnsi="宋体" w:cs="宋体" w:eastAsia="宋体" w:hint="default"/>
          <w:spacing w:val="-2"/>
        </w:rPr>
        <w:t>2</w:t>
      </w:r>
      <w:r>
        <w:rPr>
          <w:spacing w:val="-2"/>
        </w:rPr>
        <w:t>）本</w:t>
      </w:r>
      <w:r>
        <w:rPr>
          <w:spacing w:val="-12"/>
        </w:rPr>
        <w:t> </w:t>
      </w:r>
      <w:r>
        <w:rPr>
          <w:spacing w:val="-2"/>
        </w:rPr>
        <w:t>公司收购子公司安徽易联众信息技术有限公司少股股东股权，新取得的长期股权投资与按照新增持股比例计算应享有子公司</w:t>
      </w:r>
      <w:r>
        <w:rPr>
          <w:spacing w:val="-71"/>
        </w:rPr>
        <w:t> </w:t>
      </w:r>
      <w:r>
        <w:rPr>
          <w:spacing w:val="-71"/>
        </w:rPr>
      </w:r>
      <w:r>
        <w:rPr/>
        <w:t>自合并日开始持续计算的可辩认净资产份额之间的差额，冲减合并财务报表中的资本公积（股本溢价）</w:t>
      </w:r>
      <w:r>
        <w:rPr>
          <w:rFonts w:ascii="宋体" w:hAnsi="宋体" w:cs="宋体" w:eastAsia="宋体" w:hint="default"/>
        </w:rPr>
        <w:t>1,784,149.87</w:t>
      </w:r>
      <w:r>
        <w:rPr/>
        <w:t>元。</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15,642,479.75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2,047,484.02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17,689,963.77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15,642,479.75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2,047,484.02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17,689,963.77</w:t>
            </w:r>
          </w:p>
        </w:tc>
      </w:tr>
    </w:tbl>
    <w:p>
      <w:pPr>
        <w:pStyle w:val="BodyText"/>
        <w:spacing w:line="240" w:lineRule="auto" w:before="49"/>
        <w:ind w:right="0"/>
        <w:jc w:val="left"/>
      </w:pPr>
      <w:r>
        <w:rPr/>
        <w:t>盈余公积说明，包括本期增减变动情况、变动原因说明：</w:t>
      </w:r>
    </w:p>
    <w:p>
      <w:pPr>
        <w:spacing w:after="0" w:line="240" w:lineRule="auto"/>
        <w:jc w:val="left"/>
        <w:sectPr>
          <w:footerReference w:type="default" r:id="rId23"/>
          <w:pgSz w:w="11910" w:h="16840"/>
          <w:pgMar w:footer="979" w:header="745" w:top="1060" w:bottom="1160" w:left="980" w:right="980"/>
          <w:pgNumType w:start="134"/>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本年增加系根据公司章程规定，按母公司净利润的</w:t>
      </w:r>
      <w:r>
        <w:rPr>
          <w:rFonts w:ascii="Times New Roman" w:hAnsi="Times New Roman" w:cs="Times New Roman" w:eastAsia="Times New Roman" w:hint="default"/>
        </w:rPr>
        <w:t>10%</w:t>
      </w:r>
      <w:r>
        <w:rPr/>
        <w:t>计提法定盈余公积。</w:t>
      </w: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173,882,730.66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152,777,062.58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173,882,730.66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152,777,062.58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46,904,070.65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40,405,024.15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2,047,484.02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2,099,356.07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17,200,000.00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201,539,317.29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173,882,730.66</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402,179,494.09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216,115,915.85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300,929,840.66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149,192,461.19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402,179,494.09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216,115,915.85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300,929,840.66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149,192,461.19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142,168.44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149,573.31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1,692,076.28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1,496,988.87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1,162,488.54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1,164,638.86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江海堤防费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83,191.55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144,440.25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7,460.80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3,141,173.51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2,901,853.39</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各项营业税金及附加的计缴标准详见附注四、税项。</w:t>
      </w: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20,267,981.32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13,788,058.29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1,663,738.20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1,785,039.19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5,982,038.57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6,450,702.60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1,348,687.89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2,629,615.86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2,169,670.50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423,422.62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450,203.80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178,559.32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1,113,744.11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332,417.53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6,711.79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10,033.80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33,002,776.18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25,597,849.21</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49,044,975.75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40,935,469.85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28,923,324.12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22,368,672.23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14,570,459.09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9,582,228.38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2,051,351.84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1,833,257.90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管理营运费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8,106,956.73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7,153,407.28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3,888,434.34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3,869,625.26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2,066,425.75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2,001,425.25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2,028,916.30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1,177,157.79</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1,338,071.74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1,315,186.09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1,073,099.74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1,200,795.67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113,092,015.40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91,437,225.70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393,423.63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545,570.74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6,733,716.14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7,614,078.77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119,221.15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88,335.97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-6,221,071.70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-6,980,172.06</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6,952,780.81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6,291,084.54</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56,765.55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7,009,546.36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6,291,084.54</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9"/>
      </w:tblGrid>
      <w:tr>
        <w:trPr>
          <w:trHeight w:val="40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1,755,084.27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2,141,863.45</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1,755,084.27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2,141,863.45</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7"/>
        <w:gridCol w:w="2396"/>
        <w:gridCol w:w="2393"/>
        <w:gridCol w:w="2393"/>
      </w:tblGrid>
      <w:tr>
        <w:trPr>
          <w:trHeight w:val="161" w:hRule="exact"/>
        </w:trPr>
        <w:tc>
          <w:tcPr>
            <w:tcW w:w="237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116,783.49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116,783.49</w:t>
            </w:r>
          </w:p>
        </w:tc>
      </w:tr>
      <w:tr>
        <w:trPr>
          <w:trHeight w:val="404"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116,783.49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116,783.49</w:t>
            </w: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11,976,633.23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12,683,453.95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5,261,880.29</w:t>
            </w: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341,852.68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341,852.68</w:t>
            </w: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12,435,269.40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12,696,090.69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5,720,516.46</w:t>
            </w:r>
          </w:p>
        </w:tc>
      </w:tr>
    </w:tbl>
    <w:p>
      <w:pPr>
        <w:pStyle w:val="BodyText"/>
        <w:spacing w:line="240" w:lineRule="auto" w:before="49"/>
        <w:ind w:right="0"/>
        <w:jc w:val="left"/>
      </w:pPr>
      <w:r>
        <w:rPr/>
        <w:t>计入当期损益的政府补助：</w:t>
      </w:r>
    </w:p>
    <w:p>
      <w:pPr>
        <w:pStyle w:val="BodyText"/>
        <w:spacing w:line="240" w:lineRule="auto" w:before="117"/>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高新技术企业认定奖励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5" w:right="0"/>
              <w:jc w:val="lef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软件产业发展专项补贴款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333,333.33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1,666,666.67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6,714,752.94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7,842,913.70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著作权登记补助资金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1,440.00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年国家物联网专项发展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年信息产业专项资金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大学生实习补贴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5,952.80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大中专毕业生就业办公室三 支一扶补贴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4,800.00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市财政局高企奖励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劳动力转移的就业信息服务 应用示范支撑计划</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735,000.00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高新技术企业财政扶持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289,800.00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招用应届高校毕业生社会保 险补贴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198,154.16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科技政策定额扶持资金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纳税大户奖励金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厦门市优秀产品奖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福建省科技进步三等奖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劳务协作奖励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24,400.00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专项申请费用资助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5,000.00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专利补助费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4,000.00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通用嵌入式读卡器与软构件 平台产业化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软件和信息服务业发展专项 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劳动关系管理信息系统</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4"/>
              <w:jc w:val="left"/>
              <w:rPr>
                <w:rFonts w:ascii="宋体" w:hAnsi="宋体" w:cs="宋体" w:eastAsia="宋体" w:hint="default"/>
                <w:sz w:val="18"/>
                <w:szCs w:val="18"/>
              </w:rPr>
            </w:pPr>
            <w:r>
              <w:rPr>
                <w:rFonts w:ascii="宋体" w:hAnsi="宋体" w:cs="宋体" w:eastAsia="宋体" w:hint="default"/>
                <w:sz w:val="18"/>
                <w:szCs w:val="18"/>
              </w:rPr>
              <w:t>就业信息系统及应用示范项 目专项补贴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国家科技支撑计划课题补助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年品牌企业生产发展扶 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年省财政第二批软件产 业发展专项资金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科技局高新技术奖励金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福建省科技进步奖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个税返还手续费</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5,540.25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324" w:right="0"/>
              <w:jc w:val="left"/>
              <w:rPr>
                <w:rFonts w:ascii="Times New Roman" w:hAnsi="Times New Roman" w:cs="Times New Roman" w:eastAsia="Times New Roman" w:hint="default"/>
                <w:sz w:val="18"/>
                <w:szCs w:val="18"/>
              </w:rPr>
            </w:pPr>
            <w:r>
              <w:rPr>
                <w:rFonts w:ascii="Times New Roman"/>
                <w:sz w:val="18"/>
              </w:rPr>
              <w:t>11,976,633.23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12,683,453.95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103,532.08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91,788.07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103,532.08</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103,532.08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91,788.07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103,532.08</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35,510.04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5,958.58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35,510.04</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4,226.37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1,162.04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4,226.37</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143,268.49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98,908.69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143,268.49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4"/>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9,821,997.66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12,453,698.10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-3,889,422.36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-3,567,877.52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5,932,575.30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8,885,820.58</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50,086,223.67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7,512,933.55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-1,343,288.81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-966,637.84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508,884.92</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263,262.64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-11,846,558.71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5,932,575.30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收到财政及产品补助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5,261,880.29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5,120,540.25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收到员工归还借款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4,788,767.56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3,344,399.14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收到退还的押金、保证金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5,794,604.11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2,251,329.20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6,172,985.83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6,896,506.63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10,888,259.86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9,202,482.34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32,906,497.65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26,815,257.56</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支付管理费用及销售费用（不含薪酬税 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40,965,968.18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36,681,490.22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支付员工借款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9,142,248.12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9,038,079.80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7,798,704.25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1,969,005.50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2,762,885.34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5,466,392.55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60,669,805.89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53,154,968.07</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三个月以上的定期存款的减少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27,082,696.75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27,082,696.75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190.130005pt;margin-top:642.339966pt;width:184.5pt;height:19.6pt;mso-position-horizontal-relative:page;mso-position-vertical-relative:page;z-index:-83120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23.369995pt;margin-top:641.799988pt;width:151.25pt;height:20.65pt;mso-position-horizontal-relative:page;mso-position-vertical-relative:page;z-index:-831184" coordorigin="4467,12836" coordsize="3025,413">
            <v:group style="position:absolute;left:4478;top:12847;width:2;height:392" coordorigin="4478,12847" coordsize="2,392">
              <v:shape style="position:absolute;left:4478;top:12847;width:2;height:392" coordorigin="4478,12847" coordsize="0,392" path="m4478,12847l4478,13238e" filled="false" stroked="true" strokeweight="1.08pt" strokecolor="#ffffff">
                <v:path arrowok="t"/>
              </v:shape>
            </v:group>
            <v:group style="position:absolute;left:4489;top:12847;width:3004;height:392" coordorigin="4489,12847" coordsize="3004,392">
              <v:shape style="position:absolute;left:4489;top:12847;width:3004;height:392" coordorigin="4489,12847" coordsize="3004,392" path="m4489,13238l7492,13238,7492,12847,4489,12847,4489,1323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三个月以上的定期存款的增加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57,197,489.72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57,197,489.72</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支付购买子公司少数股权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5"/>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44,153,648.37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38,342,763.56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7,009,546.36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6,291,084.54</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12,990,120.04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9,691,654.55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6,523,560.58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3,912,871.39</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1,741,644.89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1,463,333.27</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-13,251.41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91,788.07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393,423.63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-3,974,115.25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-1,755,084.27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-2,141,863.45</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-3,838,900.61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-3,567,877.52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-17,876,985.20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-11,381,965.96</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-52,876,019.83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-26,326,707.37</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66,048,200.97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18,119,659.10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5"/>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62,499,903.52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30,520,624.93</w:t>
            </w:r>
          </w:p>
        </w:tc>
      </w:tr>
      <w:tr>
        <w:trPr>
          <w:trHeight w:val="162"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4"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240,014,309.99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207,581,012.51</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207,581,012.51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285,782,533.85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32,433,297.48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-78,201,521.34</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240,014,309.99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207,581,012.51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36,043.28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73,983.97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239,978,266.71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207,507,028.54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240,014,309.99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207,581,012.51</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left="513" w:right="4393" w:hanging="36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156,376,962.03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26,197,658.11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182,574,620.14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日止，本公司资产抵押情况如下：</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1"/>
        <w:gridCol w:w="1210"/>
        <w:gridCol w:w="1210"/>
        <w:gridCol w:w="1008"/>
        <w:gridCol w:w="970"/>
        <w:gridCol w:w="1114"/>
        <w:gridCol w:w="1042"/>
        <w:gridCol w:w="1887"/>
      </w:tblGrid>
      <w:tr>
        <w:trPr>
          <w:trHeight w:val="341" w:hRule="exact"/>
        </w:trPr>
        <w:tc>
          <w:tcPr>
            <w:tcW w:w="40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抵押资产情况</w:t>
            </w:r>
            <w:r>
              <w:rPr>
                <w:rFonts w:ascii="宋体" w:hAnsi="宋体" w:cs="宋体" w:eastAsia="宋体" w:hint="default"/>
                <w:sz w:val="18"/>
                <w:szCs w:val="18"/>
              </w:rPr>
            </w:r>
          </w:p>
        </w:tc>
        <w:tc>
          <w:tcPr>
            <w:tcW w:w="50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借款情况</w:t>
            </w:r>
            <w:r>
              <w:rPr>
                <w:rFonts w:ascii="宋体" w:hAnsi="宋体" w:cs="宋体" w:eastAsia="宋体" w:hint="default"/>
                <w:sz w:val="18"/>
                <w:szCs w:val="18"/>
              </w:rPr>
            </w:r>
          </w:p>
        </w:tc>
      </w:tr>
      <w:tr>
        <w:trPr>
          <w:trHeight w:val="343"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原值</w:t>
            </w:r>
            <w:r>
              <w:rPr>
                <w:rFonts w:ascii="宋体" w:hAnsi="宋体" w:cs="宋体" w:eastAsia="宋体" w:hint="default"/>
                <w:sz w:val="18"/>
                <w:szCs w:val="18"/>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净值</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借款银行</w:t>
            </w:r>
            <w:r>
              <w:rPr>
                <w:rFonts w:ascii="宋体" w:hAnsi="宋体" w:cs="宋体" w:eastAsia="宋体" w:hint="default"/>
                <w:sz w:val="18"/>
                <w:szCs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b/>
                <w:bCs/>
                <w:w w:val="95"/>
                <w:sz w:val="18"/>
                <w:szCs w:val="18"/>
              </w:rPr>
              <w:t>借款余额</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3" w:right="0"/>
              <w:jc w:val="left"/>
              <w:rPr>
                <w:rFonts w:ascii="宋体" w:hAnsi="宋体" w:cs="宋体" w:eastAsia="宋体" w:hint="default"/>
                <w:sz w:val="18"/>
                <w:szCs w:val="18"/>
              </w:rPr>
            </w:pPr>
            <w:r>
              <w:rPr>
                <w:rFonts w:ascii="宋体" w:hAnsi="宋体" w:cs="宋体" w:eastAsia="宋体" w:hint="default"/>
                <w:b/>
                <w:bCs/>
                <w:sz w:val="18"/>
                <w:szCs w:val="18"/>
              </w:rPr>
              <w:t>借款期限</w:t>
            </w:r>
            <w:r>
              <w:rPr>
                <w:rFonts w:ascii="宋体" w:hAnsi="宋体" w:cs="宋体" w:eastAsia="宋体" w:hint="default"/>
                <w:sz w:val="18"/>
                <w:szCs w:val="18"/>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年利率（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967" w:hRule="exact"/>
        </w:trPr>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2"/>
              <w:jc w:val="left"/>
              <w:rPr>
                <w:rFonts w:ascii="宋体" w:hAnsi="宋体" w:cs="宋体" w:eastAsia="宋体" w:hint="default"/>
                <w:sz w:val="18"/>
                <w:szCs w:val="18"/>
              </w:rPr>
            </w:pPr>
            <w:r>
              <w:rPr>
                <w:rFonts w:ascii="宋体" w:hAnsi="宋体" w:cs="宋体" w:eastAsia="宋体" w:hint="default"/>
                <w:sz w:val="18"/>
                <w:szCs w:val="18"/>
              </w:rPr>
              <w:t>固定资 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31,602,286.22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3" w:right="0"/>
              <w:jc w:val="left"/>
              <w:rPr>
                <w:rFonts w:ascii="Times New Roman" w:hAnsi="Times New Roman" w:cs="Times New Roman" w:eastAsia="Times New Roman" w:hint="default"/>
                <w:sz w:val="18"/>
                <w:szCs w:val="18"/>
              </w:rPr>
            </w:pPr>
            <w:r>
              <w:rPr>
                <w:rFonts w:ascii="Times New Roman"/>
                <w:sz w:val="18"/>
              </w:rPr>
              <w:t>26,197,658.11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53"/>
              <w:jc w:val="left"/>
              <w:rPr>
                <w:rFonts w:ascii="宋体" w:hAnsi="宋体" w:cs="宋体" w:eastAsia="宋体" w:hint="default"/>
                <w:sz w:val="18"/>
                <w:szCs w:val="18"/>
              </w:rPr>
            </w:pPr>
            <w:r>
              <w:rPr>
                <w:rFonts w:ascii="宋体" w:hAnsi="宋体" w:cs="宋体" w:eastAsia="宋体" w:hint="default"/>
                <w:sz w:val="18"/>
                <w:szCs w:val="18"/>
              </w:rPr>
              <w:t>中国建设银 行</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4,684,166.88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月至</w:t>
            </w:r>
          </w:p>
          <w:p>
            <w:pPr>
              <w:pStyle w:val="TableParagraph"/>
              <w:spacing w:line="240" w:lineRule="auto" w:before="6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1"/>
              <w:jc w:val="both"/>
              <w:rPr>
                <w:rFonts w:ascii="宋体" w:hAnsi="宋体" w:cs="宋体" w:eastAsia="宋体" w:hint="default"/>
                <w:sz w:val="18"/>
                <w:szCs w:val="18"/>
              </w:rPr>
            </w:pPr>
            <w:r>
              <w:rPr>
                <w:rFonts w:ascii="宋体" w:hAnsi="宋体" w:cs="宋体" w:eastAsia="宋体" w:hint="default"/>
                <w:sz w:val="18"/>
                <w:szCs w:val="18"/>
              </w:rPr>
              <w:t>基准利率水平上浮</w:t>
            </w:r>
            <w:r>
              <w:rPr>
                <w:rFonts w:ascii="Times New Roman" w:hAnsi="Times New Roman" w:cs="Times New Roman" w:eastAsia="Times New Roman" w:hint="default"/>
                <w:sz w:val="18"/>
                <w:szCs w:val="18"/>
              </w:rPr>
              <w:t>5%</w:t>
            </w:r>
            <w:r>
              <w:rPr>
                <w:rFonts w:ascii="宋体" w:hAnsi="宋体" w:cs="宋体" w:eastAsia="宋体" w:hint="default"/>
                <w:sz w:val="18"/>
                <w:szCs w:val="18"/>
              </w:rPr>
              <w:t>， 自起息日起每</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个月调 整一次</w:t>
            </w:r>
          </w:p>
        </w:tc>
      </w:tr>
    </w:tbl>
    <w:p>
      <w:pPr>
        <w:spacing w:line="240" w:lineRule="auto" w:before="5"/>
        <w:rPr>
          <w:rFonts w:ascii="宋体" w:hAnsi="宋体" w:cs="宋体" w:eastAsia="宋体" w:hint="default"/>
          <w:sz w:val="6"/>
          <w:szCs w:val="6"/>
        </w:rPr>
      </w:pPr>
    </w:p>
    <w:p>
      <w:pPr>
        <w:pStyle w:val="BodyText"/>
        <w:spacing w:line="240" w:lineRule="auto" w:before="44"/>
        <w:ind w:right="1713"/>
        <w:jc w:val="left"/>
      </w:pPr>
      <w:r>
        <w:rPr>
          <w:rFonts w:ascii="Times New Roman" w:hAnsi="Times New Roman" w:cs="Times New Roman" w:eastAsia="Times New Roman" w:hint="default"/>
        </w:rPr>
        <w:t>2</w:t>
      </w:r>
      <w:r>
        <w:rPr/>
        <w:t>：截到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日止，本公司所有权受到限制的货币资金情况如下：</w:t>
      </w:r>
    </w:p>
    <w:p>
      <w:pPr>
        <w:spacing w:line="240" w:lineRule="auto" w:before="9"/>
        <w:rPr>
          <w:rFonts w:ascii="宋体" w:hAnsi="宋体" w:cs="宋体" w:eastAsia="宋体" w:hint="default"/>
          <w:sz w:val="20"/>
          <w:szCs w:val="20"/>
        </w:rPr>
      </w:pPr>
    </w:p>
    <w:tbl>
      <w:tblPr>
        <w:tblW w:w="0" w:type="auto"/>
        <w:jc w:val="left"/>
        <w:tblInd w:w="148" w:type="dxa"/>
        <w:tblLayout w:type="fixed"/>
        <w:tblCellMar>
          <w:top w:w="0" w:type="dxa"/>
          <w:left w:w="0" w:type="dxa"/>
          <w:bottom w:w="0" w:type="dxa"/>
          <w:right w:w="0" w:type="dxa"/>
        </w:tblCellMar>
        <w:tblLook w:val="01E0"/>
      </w:tblPr>
      <w:tblGrid>
        <w:gridCol w:w="5811"/>
        <w:gridCol w:w="3260"/>
      </w:tblGrid>
      <w:tr>
        <w:trPr>
          <w:trHeight w:val="341"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款  项  内</w:t>
            </w:r>
            <w:r>
              <w:rPr>
                <w:rFonts w:ascii="宋体" w:hAnsi="宋体" w:cs="宋体" w:eastAsia="宋体" w:hint="default"/>
                <w:b/>
                <w:bCs/>
                <w:spacing w:val="5"/>
                <w:sz w:val="18"/>
                <w:szCs w:val="18"/>
              </w:rPr>
              <w:t> </w:t>
            </w:r>
            <w:r>
              <w:rPr>
                <w:rFonts w:ascii="宋体" w:hAnsi="宋体" w:cs="宋体" w:eastAsia="宋体" w:hint="default"/>
                <w:b/>
                <w:bCs/>
                <w:sz w:val="18"/>
                <w:szCs w:val="18"/>
              </w:rPr>
              <w:t>容</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43"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拟持有至到期剩余存款期限在三个月以上的定期存款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151,100,122.61</w:t>
            </w:r>
          </w:p>
        </w:tc>
      </w:tr>
      <w:tr>
        <w:trPr>
          <w:trHeight w:val="341"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银行承兑汇票保证金、保函保证金等其他货币资金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336,000.00</w:t>
            </w:r>
          </w:p>
        </w:tc>
      </w:tr>
      <w:tr>
        <w:trPr>
          <w:trHeight w:val="343"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预收中国银行股份有限公司宁波分行货款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1,406,068.35</w:t>
            </w:r>
          </w:p>
        </w:tc>
      </w:tr>
      <w:tr>
        <w:trPr>
          <w:trHeight w:val="341"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预收中国银行股份有限公司莆田分行货款</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3,534,771.07</w:t>
            </w:r>
          </w:p>
        </w:tc>
      </w:tr>
      <w:tr>
        <w:trPr>
          <w:trHeight w:val="343" w:hRule="exact"/>
        </w:trPr>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156,376,962.03</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7"/>
        <w:ind w:right="1713"/>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71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71" w:lineRule="auto" w:before="127"/>
        <w:ind w:right="93"/>
        <w:jc w:val="left"/>
        <w:rPr>
          <w:b w:val="0"/>
          <w:bCs w:val="0"/>
        </w:rPr>
      </w:pPr>
      <w:r>
        <w:rPr>
          <w:w w:val="95"/>
        </w:rPr>
        <w:t>（</w:t>
      </w:r>
      <w:r>
        <w:rPr>
          <w:rFonts w:ascii="Times New Roman" w:hAnsi="Times New Roman" w:cs="Times New Roman" w:eastAsia="Times New Roman" w:hint="default"/>
          <w:w w:val="95"/>
        </w:rPr>
        <w:t>2</w:t>
      </w:r>
      <w:r>
        <w:rPr>
          <w:w w:val="95"/>
        </w:rPr>
        <w:t>）境外经营实体说明，包括对于重要的境外经营实体，应披露其境外主要经营地、记账本位币及选择依据，</w:t>
      </w:r>
      <w:r>
        <w:rPr>
          <w:spacing w:val="90"/>
          <w:w w:val="95"/>
        </w:rPr>
        <w:t> </w:t>
      </w:r>
      <w:r>
        <w:rPr>
          <w:spacing w:val="90"/>
          <w:w w:val="95"/>
        </w:rPr>
      </w:r>
      <w:r>
        <w:rPr/>
        <w:t>记账本位币发生变化的还应披露原因。</w:t>
      </w:r>
      <w:r>
        <w:rPr>
          <w:b w:val="0"/>
          <w:bCs w:val="0"/>
        </w:rPr>
      </w:r>
    </w:p>
    <w:p>
      <w:pPr>
        <w:spacing w:line="240" w:lineRule="auto" w:before="0"/>
        <w:rPr>
          <w:rFonts w:ascii="宋体" w:hAnsi="宋体" w:cs="宋体" w:eastAsia="宋体" w:hint="default"/>
          <w:b/>
          <w:bCs/>
          <w:sz w:val="26"/>
          <w:szCs w:val="26"/>
        </w:rPr>
      </w:pPr>
    </w:p>
    <w:p>
      <w:pPr>
        <w:pStyle w:val="BodyText"/>
        <w:spacing w:line="240" w:lineRule="auto"/>
        <w:ind w:right="1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1713"/>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11"/>
        <w:rPr>
          <w:rFonts w:ascii="宋体" w:hAnsi="宋体" w:cs="宋体" w:eastAsia="宋体" w:hint="default"/>
          <w:b/>
          <w:bCs/>
          <w:sz w:val="26"/>
          <w:szCs w:val="26"/>
        </w:rPr>
      </w:pPr>
    </w:p>
    <w:p>
      <w:pPr>
        <w:pStyle w:val="BodyText"/>
        <w:spacing w:line="357" w:lineRule="auto"/>
        <w:ind w:left="513" w:right="3693" w:hanging="360"/>
        <w:jc w:val="left"/>
      </w:pPr>
      <w:r>
        <w:rPr/>
        <w:t>按照套期类别披露套期项目及相关套期工具、被套期风险的定性和定量信息： 无。</w:t>
      </w:r>
    </w:p>
    <w:p>
      <w:pPr>
        <w:spacing w:line="240" w:lineRule="auto" w:before="13"/>
        <w:rPr>
          <w:rFonts w:ascii="宋体" w:hAnsi="宋体" w:cs="宋体" w:eastAsia="宋体" w:hint="default"/>
          <w:sz w:val="20"/>
          <w:szCs w:val="20"/>
        </w:rPr>
      </w:pPr>
    </w:p>
    <w:p>
      <w:pPr>
        <w:pStyle w:val="Heading3"/>
        <w:spacing w:line="240" w:lineRule="auto"/>
        <w:ind w:right="1713"/>
        <w:jc w:val="left"/>
        <w:rPr>
          <w:b w:val="0"/>
          <w:bCs w:val="0"/>
        </w:rPr>
      </w:pPr>
      <w:r>
        <w:rPr>
          <w:rFonts w:ascii="Times New Roman" w:hAnsi="Times New Roman" w:cs="Times New Roman" w:eastAsia="Times New Roman" w:hint="default"/>
        </w:rPr>
        <w:t>79</w:t>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3"/>
        <w:rPr>
          <w:rFonts w:ascii="宋体" w:hAnsi="宋体" w:cs="宋体" w:eastAsia="宋体" w:hint="default"/>
          <w:sz w:val="25"/>
          <w:szCs w:val="25"/>
        </w:rPr>
      </w:pPr>
    </w:p>
    <w:p>
      <w:pPr>
        <w:pStyle w:val="Heading2"/>
        <w:spacing w:line="240" w:lineRule="auto"/>
        <w:ind w:right="1713"/>
        <w:jc w:val="left"/>
        <w:rPr>
          <w:b w:val="0"/>
          <w:bCs w:val="0"/>
        </w:rPr>
      </w:pPr>
      <w:r>
        <w:rPr/>
        <w:t>八、合并范围的变更</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1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713"/>
        <w:jc w:val="left"/>
      </w:pPr>
      <w:r>
        <w:rPr/>
        <w:t>无。</w:t>
      </w:r>
    </w:p>
    <w:p>
      <w:pPr>
        <w:spacing w:after="0" w:line="240" w:lineRule="auto"/>
        <w:jc w:val="left"/>
        <w:sectPr>
          <w:pgSz w:w="11910" w:h="16840"/>
          <w:pgMar w:header="745" w:footer="979" w:top="1060" w:bottom="1160" w:left="980" w:right="94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0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九、在其他主体中的权益</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安徽易联众信息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山西易联众信息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福建易联众软件 系统开发有限公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福州易联众信息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福建易联众电子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湖南易联众信息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广西易联众信息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70"/>
              <w:jc w:val="left"/>
              <w:rPr>
                <w:rFonts w:ascii="宋体" w:hAnsi="宋体" w:cs="宋体" w:eastAsia="宋体" w:hint="default"/>
                <w:sz w:val="18"/>
                <w:szCs w:val="18"/>
              </w:rPr>
            </w:pPr>
            <w:r>
              <w:rPr>
                <w:rFonts w:ascii="宋体" w:hAnsi="宋体" w:cs="宋体" w:eastAsia="宋体" w:hint="default"/>
                <w:sz w:val="18"/>
                <w:szCs w:val="18"/>
              </w:rPr>
              <w:t>智能卡、银行卡 研发生产、软件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70"/>
              <w:jc w:val="left"/>
              <w:rPr>
                <w:rFonts w:ascii="宋体" w:hAnsi="宋体" w:cs="宋体" w:eastAsia="宋体" w:hint="default"/>
                <w:sz w:val="18"/>
                <w:szCs w:val="18"/>
              </w:rPr>
            </w:pPr>
            <w:r>
              <w:rPr>
                <w:rFonts w:ascii="宋体" w:hAnsi="宋体" w:cs="宋体" w:eastAsia="宋体" w:hint="default"/>
                <w:sz w:val="18"/>
                <w:szCs w:val="18"/>
              </w:rPr>
              <w:t>开发及应用系统 集成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广东易联众计算 机技术有限公司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陕西易联众信息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4"/>
              <w:jc w:val="left"/>
              <w:rPr>
                <w:rFonts w:ascii="宋体" w:hAnsi="宋体" w:cs="宋体" w:eastAsia="宋体" w:hint="default"/>
                <w:sz w:val="18"/>
                <w:szCs w:val="18"/>
              </w:rPr>
            </w:pPr>
            <w:r>
              <w:rPr>
                <w:rFonts w:ascii="宋体" w:hAnsi="宋体" w:cs="宋体" w:eastAsia="宋体" w:hint="default"/>
                <w:sz w:val="18"/>
                <w:szCs w:val="18"/>
              </w:rPr>
              <w:t>中职动力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60"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67.850pt;height:28.05pt;mso-position-horizontal-relative:char;mso-position-vertical-relative:line" coordorigin="0,0" coordsize="1357,561">
                  <v:group style="position:absolute;left:0;top:0;width:1357;height:156" coordorigin="0,0" coordsize="1357,156">
                    <v:shape style="position:absolute;left:0;top:0;width:1357;height:156" coordorigin="0,0" coordsize="1357,156" path="m0,156l1356,156,1356,0,0,0,0,156xe" filled="true" fillcolor="#ffffff" stroked="false">
                      <v:path arrowok="t"/>
                      <v:fill type="solid"/>
                    </v:shape>
                  </v:group>
                  <v:group style="position:absolute;left:11;top:156;width:2;height:394" coordorigin="11,156" coordsize="2,394">
                    <v:shape style="position:absolute;left:11;top:156;width:2;height:394" coordorigin="11,156" coordsize="0,394" path="m11,156l11,550e" filled="false" stroked="true" strokeweight="1.08pt" strokecolor="#ffffff">
                      <v:path arrowok="t"/>
                    </v:shape>
                  </v:group>
                  <v:group style="position:absolute;left:22;top:156;width:1314;height:394" coordorigin="22,156" coordsize="1314,394">
                    <v:shape style="position:absolute;left:22;top:156;width:1314;height:394" coordorigin="22,156" coordsize="1314,394" path="m22,550l1335,550,1335,156,22,156,22,550xe" filled="true" fillcolor="#ffffff" stroked="false">
                      <v:path arrowok="t"/>
                      <v:fill type="solid"/>
                    </v:shape>
                  </v:group>
                </v:group>
              </w:pict>
            </w:r>
            <w:r>
              <w:rPr>
                <w:rFonts w:ascii="宋体" w:hAnsi="宋体" w:cs="宋体" w:eastAsia="宋体"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培训及咨询</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pStyle w:val="BodyText"/>
        <w:spacing w:line="357" w:lineRule="auto" w:before="49"/>
        <w:ind w:left="513" w:right="5993" w:hanging="360"/>
        <w:jc w:val="left"/>
      </w:pPr>
      <w:r>
        <w:rPr/>
        <w:pict>
          <v:shape style="position:absolute;margin-left:92.304001pt;margin-top:-30.562683pt;width:100pt;height:22.3pt;mso-position-horizontal-relative:page;mso-position-vertical-relative:paragraph;z-index:-831136" type="#_x0000_t202" filled="false" stroked="false">
            <v:textbox inset="0,0,0,0">
              <w:txbxContent>
                <w:p>
                  <w:pPr>
                    <w:pStyle w:val="BodyText"/>
                    <w:spacing w:line="180" w:lineRule="exact"/>
                    <w:ind w:left="0" w:right="0"/>
                    <w:jc w:val="left"/>
                  </w:pPr>
                  <w:r>
                    <w:rPr/>
                    <w:t>（北京）</w:t>
                  </w:r>
                </w:p>
              </w:txbxContent>
            </v:textbox>
            <w10:wrap type="none"/>
          </v:shape>
        </w:pict>
      </w:r>
      <w:r>
        <w:rPr/>
        <w:t>在子公司的持股比例不同于表决权比例的说明： 无。</w:t>
      </w:r>
    </w:p>
    <w:p>
      <w:pPr>
        <w:pStyle w:val="BodyText"/>
        <w:spacing w:line="360" w:lineRule="auto" w:before="29"/>
        <w:ind w:left="513" w:right="1853" w:hanging="360"/>
        <w:jc w:val="left"/>
      </w:pPr>
      <w:r>
        <w:rPr/>
        <w:t>持有半数或以下表决权但仍控制被投资单位、以及持有半数以上表决权但不控制被投资单位的依据： 无。</w:t>
      </w:r>
    </w:p>
    <w:p>
      <w:pPr>
        <w:pStyle w:val="BodyText"/>
        <w:spacing w:line="357" w:lineRule="auto" w:before="27"/>
        <w:ind w:right="5093"/>
        <w:jc w:val="left"/>
      </w:pPr>
      <w:r>
        <w:rPr/>
        <w:t>对于纳入合并范围的重要的结构化主体，控制的依据：无。 其他说明：</w:t>
      </w:r>
    </w:p>
    <w:p>
      <w:pPr>
        <w:pStyle w:val="BodyText"/>
        <w:spacing w:line="240" w:lineRule="auto" w:before="29"/>
        <w:ind w:left="513" w:right="0"/>
        <w:jc w:val="left"/>
      </w:pPr>
      <w:r>
        <w:rPr/>
        <w:t>中职动力（北京）科技有限公司系通过全资子公司福州易联众信息技术有限公司控制。</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6"/>
        <w:gridCol w:w="1913"/>
        <w:gridCol w:w="1913"/>
        <w:gridCol w:w="1916"/>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福建易联众电子科技有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-1,846,510.18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2,569,431.64</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广东易联众计算机技术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-19,417.38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2,425,171.11</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陕西易联众信息技术有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-332,610.46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471,921.18</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中职动力（北京）科技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-551,884.26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-190,663.54</w:t>
            </w:r>
          </w:p>
        </w:tc>
      </w:tr>
    </w:tbl>
    <w:p>
      <w:pPr>
        <w:pStyle w:val="BodyText"/>
        <w:spacing w:line="360" w:lineRule="auto" w:before="49"/>
        <w:ind w:left="513" w:right="5453" w:hanging="360"/>
        <w:jc w:val="left"/>
      </w:pPr>
      <w:r>
        <w:rPr/>
        <w:t>子公司少数股东的持股比例不同于表决权比例的说明： 无。</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5"/>
        <w:gridCol w:w="737"/>
        <w:gridCol w:w="737"/>
        <w:gridCol w:w="735"/>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5"/>
        <w:gridCol w:w="737"/>
        <w:gridCol w:w="737"/>
        <w:gridCol w:w="735"/>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福建易 联众电 子科技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4,728,54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1,827,28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6,555,82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1,312,08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1,312,08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9,256,29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1,320,25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10,576,5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1,564,41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8.37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1,564,41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8.37</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广东易 联众计 算机技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9,281,92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1,333,32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10,615,2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4,552,32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4,552,32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2,731,30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4.21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1,212,37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3,943,67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832,205.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832,205.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陕西易 联众信 息技术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7,743,25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8,577,60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7,004,53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7,004,53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1,893,59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334,158.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2,227,75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1,545,97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9.02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1,545,97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9.02</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中职动 力（北 </w:t>
            </w:r>
            <w:r>
              <w:rPr>
                <w:rFonts w:ascii="宋体" w:hAnsi="宋体" w:cs="宋体" w:eastAsia="宋体" w:hint="default"/>
                <w:spacing w:val="-11"/>
                <w:sz w:val="18"/>
                <w:szCs w:val="18"/>
              </w:rPr>
              <w:t>京）科技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4,942,62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2,794,83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7,737,46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9,644,10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9,644,10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3,456,98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627,599.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4,084,58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472,381.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472,381.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r>
    </w:tbl>
    <w:p>
      <w:pPr>
        <w:pStyle w:val="BodyText"/>
        <w:spacing w:line="240" w:lineRule="auto" w:before="49"/>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4"/>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福建易联众 电子科技有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4,438,182.14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-3,768,388.12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-3,768,388.12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-4,950,096.84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5,322,303.66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-2,602,272.22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-2,602,272.22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2,013,596.17</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广东易联众 计算机技术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14,488,972.9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-48,543.45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-48,543.45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-2,659,536.32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3,291,892.32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-3,756,687.83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-3,756,687.83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-5,503,474.83</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陕西易联众 信息技术有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11,823,564.0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-1,108,701.55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-1,108,701.55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-1,599,365.99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313,155.34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-818,227.87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-818,227.87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52,832.44</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13"/>
                <w:sz w:val="18"/>
                <w:szCs w:val="18"/>
              </w:rPr>
              <w:t>中职动力（北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京）科技有限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1,397,552.58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-5,518,842.61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-5,518,842.61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-1,410,476.89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1,994,611.64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-1,235,688.95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-1,235,688.95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-1,300,804.95</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right="152"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日，公司与实达医疗就本次交易签署了《福州实达医疗系统有限公司与易联众信息技术股份有限公司关 于安徽易联众信息技术有限公司之股权转让协议》。依据协议，公司以现金方式受让实达医疗持有的安徽易联众</w:t>
      </w:r>
      <w:r>
        <w:rPr>
          <w:spacing w:val="-17"/>
        </w:rPr>
        <w:t> </w:t>
      </w:r>
      <w:r>
        <w:rPr>
          <w:rFonts w:ascii="Times New Roman" w:hAnsi="Times New Roman" w:cs="Times New Roman" w:eastAsia="Times New Roman" w:hint="default"/>
        </w:rPr>
        <w:t>25%</w:t>
      </w:r>
      <w:r>
        <w:rPr/>
        <w:t>股权 的收购对价为人民币 </w:t>
      </w:r>
      <w:r>
        <w:rPr>
          <w:rFonts w:ascii="Times New Roman" w:hAnsi="Times New Roman" w:cs="Times New Roman" w:eastAsia="Times New Roman" w:hint="default"/>
        </w:rPr>
        <w:t>625  </w:t>
      </w:r>
      <w:r>
        <w:rPr/>
        <w:t>万元。公司受让安徽易联众</w:t>
      </w:r>
      <w:r>
        <w:rPr>
          <w:spacing w:val="-55"/>
        </w:rPr>
        <w:t> </w:t>
      </w:r>
      <w:r>
        <w:rPr>
          <w:rFonts w:ascii="Times New Roman" w:hAnsi="Times New Roman" w:cs="Times New Roman" w:eastAsia="Times New Roman" w:hint="default"/>
        </w:rPr>
        <w:t>25%</w:t>
      </w:r>
      <w:r>
        <w:rPr/>
        <w:t>股权的资金为自有资金。</w:t>
      </w:r>
    </w:p>
    <w:p>
      <w:pPr>
        <w:pStyle w:val="BodyText"/>
        <w:spacing w:line="240" w:lineRule="auto" w:before="13"/>
        <w:ind w:left="513" w:right="0"/>
        <w:jc w:val="left"/>
      </w:pPr>
      <w:r>
        <w:rPr/>
        <w:t>本次交易完成后，公司持有安徽易联众</w:t>
      </w:r>
      <w:r>
        <w:rPr>
          <w:spacing w:val="-17"/>
        </w:rPr>
        <w:t> </w:t>
      </w:r>
      <w:r>
        <w:rPr>
          <w:rFonts w:ascii="Times New Roman" w:hAnsi="Times New Roman" w:cs="Times New Roman" w:eastAsia="Times New Roman" w:hint="default"/>
        </w:rPr>
        <w:t>100%</w:t>
      </w:r>
      <w:r>
        <w:rPr/>
        <w:t>股权。</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本次交易导致少数股东享有的安徽易联众</w:t>
      </w:r>
      <w:r>
        <w:rPr>
          <w:rFonts w:ascii="宋体" w:hAnsi="宋体" w:cs="宋体" w:eastAsia="宋体" w:hint="default"/>
        </w:rPr>
        <w:t>25%</w:t>
      </w:r>
      <w:r>
        <w:rPr/>
        <w:t>股东权益归属于母公司所有者。</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北京尚洋易捷信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福州南华医保健 康研发有限公司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医疗咨询、服务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49"/>
        <w:ind w:left="513" w:right="4913" w:hanging="360"/>
        <w:jc w:val="left"/>
      </w:pPr>
      <w:r>
        <w:rPr/>
        <w:t>在合营企业或联营企业的持股比例不同于表决权比例的说明： 无。</w:t>
      </w:r>
    </w:p>
    <w:p>
      <w:pPr>
        <w:pStyle w:val="BodyText"/>
        <w:spacing w:line="340" w:lineRule="auto" w:before="29"/>
        <w:ind w:left="513" w:right="2213" w:hanging="360"/>
        <w:jc w:val="left"/>
      </w:pPr>
      <w:r>
        <w:rPr/>
        <w:t>持有</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03"/>
        <w:gridCol w:w="96"/>
        <w:gridCol w:w="2766"/>
        <w:gridCol w:w="2518"/>
      </w:tblGrid>
      <w:tr>
        <w:trPr>
          <w:trHeight w:val="341" w:hRule="exact"/>
        </w:trPr>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97" w:right="-40"/>
              <w:jc w:val="left"/>
              <w:rPr>
                <w:rFonts w:ascii="宋体" w:hAnsi="宋体" w:cs="宋体" w:eastAsia="宋体" w:hint="default"/>
                <w:sz w:val="18"/>
                <w:szCs w:val="18"/>
              </w:rPr>
            </w:pPr>
            <w:r>
              <w:rPr>
                <w:rFonts w:ascii="宋体" w:hAnsi="宋体" w:cs="宋体" w:eastAsia="宋体" w:hint="default"/>
                <w:b/>
                <w:bCs/>
                <w:sz w:val="18"/>
                <w:szCs w:val="18"/>
              </w:rPr>
              <w:t>年末数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
              <w:jc w:val="right"/>
              <w:rPr>
                <w:rFonts w:ascii="宋体" w:hAnsi="宋体" w:cs="宋体" w:eastAsia="宋体" w:hint="default"/>
                <w:sz w:val="18"/>
                <w:szCs w:val="18"/>
              </w:rPr>
            </w:pPr>
            <w:r>
              <w:rPr>
                <w:rFonts w:ascii="宋体" w:hAnsi="宋体" w:cs="宋体" w:eastAsia="宋体" w:hint="default"/>
                <w:b/>
                <w:bCs/>
                <w:w w:val="95"/>
                <w:sz w:val="18"/>
                <w:szCs w:val="18"/>
              </w:rPr>
              <w:t>年初数</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43" w:hRule="exact"/>
        </w:trPr>
        <w:tc>
          <w:tcPr>
            <w:tcW w:w="3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5,275,064.60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3,519,980.33</w:t>
            </w:r>
          </w:p>
        </w:tc>
      </w:tr>
      <w:tr>
        <w:trPr>
          <w:trHeight w:val="341" w:hRule="exact"/>
        </w:trPr>
        <w:tc>
          <w:tcPr>
            <w:tcW w:w="3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3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1,755,069.56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2,141,863.45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999"/>
        <w:gridCol w:w="2766"/>
        <w:gridCol w:w="2518"/>
      </w:tblGrid>
      <w:tr>
        <w:trPr>
          <w:trHeight w:val="341"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1,755,069.56</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2,141,863.45</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3"/>
        <w:spacing w:line="240" w:lineRule="auto" w:before="37"/>
        <w:ind w:right="171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171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513" w:right="4593" w:hanging="360"/>
        <w:jc w:val="left"/>
      </w:pPr>
      <w:r>
        <w:rPr/>
        <w:t>在共同经营中的持股比例或享有的份额不同于表决权比例的说明： 无。</w:t>
      </w:r>
    </w:p>
    <w:p>
      <w:pPr>
        <w:pStyle w:val="BodyText"/>
        <w:spacing w:line="357" w:lineRule="auto" w:before="27"/>
        <w:ind w:left="513" w:right="5853" w:hanging="360"/>
        <w:jc w:val="left"/>
      </w:pPr>
      <w:r>
        <w:rPr/>
        <w:t>共同经营为单独主体的，分类为共同经营的依据： 无。</w:t>
      </w:r>
    </w:p>
    <w:p>
      <w:pPr>
        <w:spacing w:line="240" w:lineRule="auto" w:before="13"/>
        <w:rPr>
          <w:rFonts w:ascii="宋体" w:hAnsi="宋体" w:cs="宋体" w:eastAsia="宋体" w:hint="default"/>
          <w:sz w:val="20"/>
          <w:szCs w:val="20"/>
        </w:rPr>
      </w:pPr>
    </w:p>
    <w:p>
      <w:pPr>
        <w:pStyle w:val="Heading3"/>
        <w:spacing w:line="240" w:lineRule="auto"/>
        <w:ind w:right="171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1"/>
        <w:rPr>
          <w:rFonts w:ascii="宋体" w:hAnsi="宋体" w:cs="宋体" w:eastAsia="宋体" w:hint="default"/>
          <w:b/>
          <w:bCs/>
          <w:sz w:val="26"/>
          <w:szCs w:val="26"/>
        </w:rPr>
      </w:pPr>
    </w:p>
    <w:p>
      <w:pPr>
        <w:pStyle w:val="BodyText"/>
        <w:spacing w:line="360" w:lineRule="auto"/>
        <w:ind w:left="513" w:right="5673" w:hanging="360"/>
        <w:jc w:val="left"/>
      </w:pPr>
      <w:r>
        <w:rPr/>
        <w:t>未纳入合并财务报表范围的结构化主体的相关说明： 无。</w:t>
      </w:r>
    </w:p>
    <w:p>
      <w:pPr>
        <w:spacing w:line="240" w:lineRule="auto" w:before="11"/>
        <w:rPr>
          <w:rFonts w:ascii="宋体" w:hAnsi="宋体" w:cs="宋体" w:eastAsia="宋体" w:hint="default"/>
          <w:sz w:val="20"/>
          <w:szCs w:val="20"/>
        </w:rPr>
      </w:pPr>
    </w:p>
    <w:p>
      <w:pPr>
        <w:pStyle w:val="Heading3"/>
        <w:spacing w:line="240" w:lineRule="auto"/>
        <w:ind w:right="171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1713"/>
        <w:jc w:val="left"/>
      </w:pPr>
      <w:r>
        <w:rPr/>
        <w:t>无。</w:t>
      </w:r>
    </w:p>
    <w:p>
      <w:pPr>
        <w:spacing w:line="240" w:lineRule="auto" w:before="3"/>
        <w:rPr>
          <w:rFonts w:ascii="宋体" w:hAnsi="宋体" w:cs="宋体" w:eastAsia="宋体" w:hint="default"/>
          <w:sz w:val="25"/>
          <w:szCs w:val="25"/>
        </w:rPr>
      </w:pPr>
    </w:p>
    <w:p>
      <w:pPr>
        <w:pStyle w:val="Heading2"/>
        <w:spacing w:line="240" w:lineRule="auto"/>
        <w:ind w:right="171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3" w:firstLine="360"/>
        <w:jc w:val="left"/>
      </w:pPr>
      <w:r>
        <w:rPr/>
        <w:t>本集团的主要金融工具包括货币资金、应收账款、应收利息、其他应收款、一年内到期的非流动资产、其他流动资产、 应付账款、应付利息、应付职工薪酬、应付股利、其他应付款、长期借款。各项金融工具的详细情况已于相关附注内披露。</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2"/>
        <w:jc w:val="both"/>
      </w:pPr>
      <w:r>
        <w:rPr>
          <w:spacing w:val="-2"/>
        </w:rPr>
        <w:t>与这些金融工具有关的风险，以及本集团为降低这些风险所采取的风险管理政策如下所述。本集团管理层对这些风险敞口进</w:t>
      </w:r>
      <w:r>
        <w:rPr>
          <w:spacing w:val="-64"/>
        </w:rPr>
        <w:t> </w:t>
      </w:r>
      <w:r>
        <w:rPr>
          <w:spacing w:val="-64"/>
        </w:rPr>
      </w:r>
      <w:r>
        <w:rPr/>
        <w:t>行管理和监控以确保将上述风险控制在限定的范围之内。</w:t>
      </w:r>
    </w:p>
    <w:p>
      <w:pPr>
        <w:pStyle w:val="BodyText"/>
        <w:spacing w:line="528" w:lineRule="exact" w:before="21"/>
        <w:ind w:left="513" w:right="93"/>
        <w:jc w:val="left"/>
      </w:pPr>
      <w:r>
        <w:rPr>
          <w:rFonts w:ascii="Times New Roman" w:hAnsi="Times New Roman" w:cs="Times New Roman" w:eastAsia="Times New Roman" w:hint="default"/>
        </w:rPr>
        <w:t>1</w:t>
      </w:r>
      <w:r>
        <w:rPr/>
        <w:t>、风险管理目标和政策 </w:t>
      </w:r>
      <w:r>
        <w:rPr>
          <w:spacing w:val="-2"/>
        </w:rPr>
        <w:t>本集团从事风险管理的目标是在风险和收益之间取得适当的平衡，力求降低金融风险对本集团财务业绩的不利影响。基</w:t>
      </w:r>
    </w:p>
    <w:p>
      <w:pPr>
        <w:pStyle w:val="BodyText"/>
        <w:spacing w:line="316" w:lineRule="auto"/>
        <w:ind w:right="190"/>
        <w:jc w:val="both"/>
      </w:pPr>
      <w:r>
        <w:rPr>
          <w:spacing w:val="-2"/>
        </w:rPr>
        <w:t>于该风险管理目标，本集团已制定风险管理政策以辨别和分析本集团所面临的风险，设定适当的风险可接受水平并设计相应</w:t>
      </w:r>
      <w:r>
        <w:rPr>
          <w:spacing w:val="-64"/>
        </w:rPr>
        <w:t> </w:t>
      </w:r>
      <w:r>
        <w:rPr>
          <w:spacing w:val="-64"/>
        </w:rPr>
      </w:r>
      <w:r>
        <w:rPr>
          <w:spacing w:val="-2"/>
        </w:rPr>
        <w:t>的内部控制程序，以监控本集团的风险水平。本集团会定期审阅这些风险管理政策及有关内部控制系统，以适应市场情况或</w:t>
      </w:r>
      <w:r>
        <w:rPr>
          <w:spacing w:val="-63"/>
        </w:rPr>
        <w:t> </w:t>
      </w:r>
      <w:r>
        <w:rPr>
          <w:spacing w:val="-63"/>
        </w:rPr>
      </w:r>
      <w:r>
        <w:rPr/>
        <w:t>本集团经营活动的改变。本集团的内部审计部门也定期或随机检查内部控制系统的执行是否符合风险管理政策。</w:t>
      </w:r>
    </w:p>
    <w:p>
      <w:pPr>
        <w:spacing w:line="240" w:lineRule="auto" w:before="12"/>
        <w:rPr>
          <w:rFonts w:ascii="宋体" w:hAnsi="宋体" w:cs="宋体" w:eastAsia="宋体" w:hint="default"/>
          <w:sz w:val="17"/>
          <w:szCs w:val="17"/>
        </w:rPr>
      </w:pPr>
    </w:p>
    <w:p>
      <w:pPr>
        <w:pStyle w:val="BodyText"/>
        <w:spacing w:line="240" w:lineRule="auto"/>
        <w:ind w:left="513" w:right="1713"/>
        <w:jc w:val="left"/>
      </w:pPr>
      <w:r>
        <w:rPr/>
        <w:t>本集团的金融工具导致的主要风险是利率风险、信用风险及流动性风险。</w:t>
      </w:r>
    </w:p>
    <w:p>
      <w:pPr>
        <w:spacing w:line="240" w:lineRule="auto" w:before="5"/>
        <w:rPr>
          <w:rFonts w:ascii="宋体" w:hAnsi="宋体" w:cs="宋体" w:eastAsia="宋体" w:hint="default"/>
          <w:sz w:val="22"/>
          <w:szCs w:val="22"/>
        </w:rPr>
      </w:pPr>
    </w:p>
    <w:p>
      <w:pPr>
        <w:pStyle w:val="BodyText"/>
        <w:spacing w:line="508" w:lineRule="auto"/>
        <w:ind w:left="513" w:right="93"/>
        <w:jc w:val="left"/>
      </w:pPr>
      <w:r>
        <w:rPr/>
        <w:t>（</w:t>
      </w:r>
      <w:r>
        <w:rPr>
          <w:rFonts w:ascii="Times New Roman" w:hAnsi="Times New Roman" w:cs="Times New Roman" w:eastAsia="Times New Roman" w:hint="default"/>
        </w:rPr>
        <w:t>1</w:t>
      </w:r>
      <w:r>
        <w:rPr/>
        <w:t>）市场风险 金融工具的市场风险，是指金融工具的公允价值或未来现金流量因市场价格变动而发生波动的风险，主要是利率风险。</w:t>
      </w:r>
    </w:p>
    <w:p>
      <w:pPr>
        <w:pStyle w:val="BodyText"/>
        <w:spacing w:line="316" w:lineRule="auto" w:before="91"/>
        <w:ind w:right="192"/>
        <w:jc w:val="both"/>
      </w:pPr>
      <w:r>
        <w:rPr>
          <w:spacing w:val="-2"/>
        </w:rPr>
        <w:t>利率风险，是指金融工具的公允价值或未来现金流量因市场利率变动而发生波动的风险。利率风险可源于已确认的计息金融</w:t>
      </w:r>
      <w:r>
        <w:rPr>
          <w:spacing w:val="-64"/>
        </w:rPr>
        <w:t> </w:t>
      </w:r>
      <w:r>
        <w:rPr>
          <w:spacing w:val="-64"/>
        </w:rPr>
      </w:r>
      <w:r>
        <w:rPr/>
        <w:t>工具和未确认的金融工具（如某些贷款承诺）。</w:t>
      </w:r>
    </w:p>
    <w:p>
      <w:pPr>
        <w:spacing w:line="240" w:lineRule="auto" w:before="12"/>
        <w:rPr>
          <w:rFonts w:ascii="宋体" w:hAnsi="宋体" w:cs="宋体" w:eastAsia="宋体" w:hint="default"/>
          <w:sz w:val="17"/>
          <w:szCs w:val="17"/>
        </w:rPr>
      </w:pPr>
    </w:p>
    <w:p>
      <w:pPr>
        <w:pStyle w:val="BodyText"/>
        <w:spacing w:line="316" w:lineRule="auto"/>
        <w:ind w:right="192" w:firstLine="360"/>
        <w:jc w:val="both"/>
      </w:pPr>
      <w:r>
        <w:rPr>
          <w:spacing w:val="-2"/>
        </w:rPr>
        <w:t>本集团的利率风险主要产生于长期银行借款。浮动利率的金融负债使本集团面临现金流量利率风险，固定利率的金融负</w:t>
      </w:r>
      <w:r>
        <w:rPr/>
        <w:t> </w:t>
      </w:r>
      <w:r>
        <w:rPr>
          <w:spacing w:val="-2"/>
        </w:rPr>
        <w:t>债使本集团面临公允价值利率风险。本集团根据当时的市场环境来决定固定利率及浮动利率合同的相对比例，并通过定期审</w:t>
      </w:r>
      <w:r>
        <w:rPr>
          <w:spacing w:val="-64"/>
        </w:rPr>
        <w:t> </w:t>
      </w:r>
      <w:r>
        <w:rPr>
          <w:spacing w:val="-64"/>
        </w:rPr>
      </w:r>
      <w:r>
        <w:rPr/>
        <w:t>阅与监察维持适当的固定和浮动利率工具组合。</w:t>
      </w:r>
    </w:p>
    <w:p>
      <w:pPr>
        <w:spacing w:line="240" w:lineRule="auto" w:before="12"/>
        <w:rPr>
          <w:rFonts w:ascii="宋体" w:hAnsi="宋体" w:cs="宋体" w:eastAsia="宋体" w:hint="default"/>
          <w:sz w:val="17"/>
          <w:szCs w:val="17"/>
        </w:rPr>
      </w:pPr>
    </w:p>
    <w:p>
      <w:pPr>
        <w:pStyle w:val="BodyText"/>
        <w:spacing w:line="316" w:lineRule="auto"/>
        <w:ind w:right="93" w:firstLine="360"/>
        <w:jc w:val="left"/>
      </w:pPr>
      <w:r>
        <w:rPr/>
        <w:t>本集团密切关注利率变动对本集团利率风险的影响。本集团目前并未采取利率对冲政策。但管理层负责监控利率风险， 并将于需要时考虑对冲重大利率风险。由于定期存款为短期存款，故银行存款的公允价值利率风险并不重大。</w:t>
      </w:r>
    </w:p>
    <w:p>
      <w:pPr>
        <w:spacing w:line="240" w:lineRule="auto" w:before="13"/>
        <w:rPr>
          <w:rFonts w:ascii="宋体" w:hAnsi="宋体" w:cs="宋体" w:eastAsia="宋体" w:hint="default"/>
          <w:sz w:val="17"/>
          <w:szCs w:val="17"/>
        </w:rPr>
      </w:pPr>
    </w:p>
    <w:p>
      <w:pPr>
        <w:pStyle w:val="BodyText"/>
        <w:spacing w:line="523" w:lineRule="auto"/>
        <w:ind w:left="513" w:right="2613"/>
        <w:jc w:val="left"/>
      </w:pPr>
      <w:r>
        <w:rPr/>
        <w:t>（</w:t>
      </w:r>
      <w:r>
        <w:rPr>
          <w:rFonts w:ascii="Times New Roman" w:hAnsi="Times New Roman" w:cs="Times New Roman" w:eastAsia="Times New Roman" w:hint="default"/>
        </w:rPr>
        <w:t>2</w:t>
      </w:r>
      <w:r>
        <w:rPr/>
        <w:t>）信用风险 信用风险，是指金融工具的一方不履行义务，造成另一方发生财务损失的风险。 本集团对信用风险按组合分类进行管理。信用风险主要产生于银行存款和应收款项等。</w:t>
      </w:r>
    </w:p>
    <w:p>
      <w:pPr>
        <w:pStyle w:val="BodyText"/>
        <w:spacing w:line="240" w:lineRule="auto" w:before="80"/>
        <w:ind w:left="513" w:right="93"/>
        <w:jc w:val="left"/>
      </w:pPr>
      <w:r>
        <w:rPr/>
        <w:t>本集团银行存款主要存放于国有银行和其它大中型上市银行，本集团预期银行存款不存在重大的信用风险。</w:t>
      </w:r>
    </w:p>
    <w:p>
      <w:pPr>
        <w:spacing w:line="240" w:lineRule="auto" w:before="5"/>
        <w:rPr>
          <w:rFonts w:ascii="宋体" w:hAnsi="宋体" w:cs="宋体" w:eastAsia="宋体" w:hint="default"/>
          <w:sz w:val="22"/>
          <w:szCs w:val="22"/>
        </w:rPr>
      </w:pPr>
    </w:p>
    <w:p>
      <w:pPr>
        <w:pStyle w:val="BodyText"/>
        <w:spacing w:line="316" w:lineRule="auto"/>
        <w:ind w:right="93" w:firstLine="360"/>
        <w:jc w:val="left"/>
      </w:pPr>
      <w:r>
        <w:rPr>
          <w:spacing w:val="-2"/>
        </w:rPr>
        <w:t>对于应收款项，本集团设定相关政策以控制信用风险敞口。本集团基于对债务人的财务状况、外部评级、从第三方获取</w:t>
      </w:r>
      <w:r>
        <w:rPr/>
        <w:t> </w:t>
      </w:r>
      <w:r>
        <w:rPr>
          <w:spacing w:val="-2"/>
        </w:rPr>
        <w:t>担保的可能性、信用记录及其它因素诸如目前市场状况等评估债务人的信用资质并设置相应欠款额度与信用期限。本集团会</w:t>
      </w:r>
      <w:r>
        <w:rPr>
          <w:spacing w:val="-64"/>
        </w:rPr>
        <w:t> </w:t>
      </w:r>
      <w:r>
        <w:rPr>
          <w:spacing w:val="-64"/>
        </w:rPr>
      </w:r>
      <w:r>
        <w:rPr/>
        <w:t>定期对债务人信用记录进行监控，对于信用记录不良的债务人，本集团会采用书面催款、缩短信用期或取消信用期等方式， 以确保本集团的整体信用风险在可控的范围内。</w:t>
      </w:r>
    </w:p>
    <w:p>
      <w:pPr>
        <w:spacing w:line="240" w:lineRule="auto" w:before="13"/>
        <w:rPr>
          <w:rFonts w:ascii="宋体" w:hAnsi="宋体" w:cs="宋体" w:eastAsia="宋体" w:hint="default"/>
          <w:sz w:val="17"/>
          <w:szCs w:val="17"/>
        </w:rPr>
      </w:pPr>
    </w:p>
    <w:p>
      <w:pPr>
        <w:pStyle w:val="BodyText"/>
        <w:spacing w:line="300" w:lineRule="auto"/>
        <w:ind w:right="93" w:firstLine="360"/>
        <w:jc w:val="left"/>
      </w:pPr>
      <w:r>
        <w:rPr/>
        <w:t>本集团应收账款中，欠款金额前五大客户的应收账款占本集团应收账款总额的</w:t>
      </w:r>
      <w:r>
        <w:rPr>
          <w:rFonts w:ascii="Times New Roman" w:hAnsi="Times New Roman" w:cs="Times New Roman" w:eastAsia="Times New Roman" w:hint="default"/>
        </w:rPr>
        <w:t>24.48%</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26.50%</w:t>
      </w:r>
      <w:r>
        <w:rPr/>
        <w:t>）；本集团其 他应收款中，欠款金额前五大公司的其他应收款占本集团其他应收款总额的</w:t>
      </w:r>
      <w:r>
        <w:rPr>
          <w:rFonts w:ascii="Times New Roman" w:hAnsi="Times New Roman" w:cs="Times New Roman" w:eastAsia="Times New Roman" w:hint="default"/>
        </w:rPr>
        <w:t>24.05%</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31.08%</w:t>
      </w:r>
      <w:r>
        <w:rPr/>
        <w:t>）。</w:t>
      </w:r>
    </w:p>
    <w:p>
      <w:pPr>
        <w:pStyle w:val="BodyText"/>
        <w:spacing w:line="528" w:lineRule="exact" w:before="17"/>
        <w:ind w:left="513" w:right="93"/>
        <w:jc w:val="left"/>
      </w:pPr>
      <w:r>
        <w:rPr/>
        <w:t>（</w:t>
      </w:r>
      <w:r>
        <w:rPr>
          <w:rFonts w:ascii="Times New Roman" w:hAnsi="Times New Roman" w:cs="Times New Roman" w:eastAsia="Times New Roman" w:hint="default"/>
        </w:rPr>
        <w:t>3</w:t>
      </w:r>
      <w:r>
        <w:rPr/>
        <w:t>）流动性风险 流动性风险，是指本集团在履行以交付现金或其他金融资产的方式结算的义务时发生资金短缺的风险。 </w:t>
      </w:r>
      <w:r>
        <w:rPr>
          <w:spacing w:val="-2"/>
        </w:rPr>
        <w:t>管理流动风险时，本集团保持管理层认为充分的现金及现金等价物并对其进行监控，以满足本集团经营需要，并降低现</w:t>
      </w:r>
    </w:p>
    <w:p>
      <w:pPr>
        <w:pStyle w:val="BodyText"/>
        <w:spacing w:line="316" w:lineRule="auto"/>
        <w:ind w:right="192"/>
        <w:jc w:val="both"/>
      </w:pPr>
      <w:r>
        <w:rPr>
          <w:spacing w:val="-2"/>
        </w:rPr>
        <w:t>金流量波动的影响。本集团管理层对银行借款的使用情况进行监控并确保遵守借款协议。同时从主要金融机构获得提供足够</w:t>
      </w:r>
      <w:r>
        <w:rPr>
          <w:spacing w:val="-64"/>
        </w:rPr>
        <w:t> </w:t>
      </w:r>
      <w:r>
        <w:rPr>
          <w:spacing w:val="-64"/>
        </w:rPr>
      </w:r>
      <w:r>
        <w:rPr/>
        <w:t>备用资金的承诺，以满足短期和长期的资金需求。</w:t>
      </w:r>
    </w:p>
    <w:p>
      <w:pPr>
        <w:spacing w:after="0" w:line="316" w:lineRule="auto"/>
        <w:jc w:val="both"/>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0" w:firstLine="360"/>
        <w:jc w:val="left"/>
      </w:pPr>
      <w:r>
        <w:rPr/>
        <w:t>本集团通过经营业务产生的资金来筹措营运资金。于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日，本集团尚未使用的银行借款额度为人民币</w:t>
      </w:r>
      <w:r>
        <w:rPr>
          <w:rFonts w:ascii="Times New Roman" w:hAnsi="Times New Roman" w:cs="Times New Roman" w:eastAsia="Times New Roman" w:hint="default"/>
        </w:rPr>
        <w:t>2,000 </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3,000</w:t>
      </w:r>
      <w:r>
        <w:rPr/>
        <w:t>万元）。</w:t>
      </w:r>
    </w:p>
    <w:p>
      <w:pPr>
        <w:pStyle w:val="BodyText"/>
        <w:spacing w:line="528" w:lineRule="exact" w:before="17"/>
        <w:ind w:left="513" w:right="0"/>
        <w:jc w:val="left"/>
      </w:pPr>
      <w:r>
        <w:rPr>
          <w:rFonts w:ascii="Times New Roman" w:hAnsi="Times New Roman" w:cs="Times New Roman" w:eastAsia="Times New Roman" w:hint="default"/>
        </w:rPr>
        <w:t>2</w:t>
      </w:r>
      <w:r>
        <w:rPr/>
        <w:t>、资本管理 </w:t>
      </w:r>
      <w:r>
        <w:rPr>
          <w:spacing w:val="-2"/>
        </w:rPr>
        <w:t>本集团资本管理政策的目标是为了保障本集团能够持续经营，从而为股东提供回报，并使其他利益相关者获益，同时维</w:t>
      </w:r>
    </w:p>
    <w:p>
      <w:pPr>
        <w:pStyle w:val="BodyText"/>
        <w:spacing w:line="232" w:lineRule="exact"/>
        <w:ind w:right="0"/>
        <w:jc w:val="left"/>
      </w:pPr>
      <w:r>
        <w:rPr/>
        <w:t>持最佳的资本结构以降低资本成本。</w:t>
      </w:r>
    </w:p>
    <w:p>
      <w:pPr>
        <w:spacing w:line="240" w:lineRule="auto" w:before="5"/>
        <w:rPr>
          <w:rFonts w:ascii="宋体" w:hAnsi="宋体" w:cs="宋体" w:eastAsia="宋体" w:hint="default"/>
          <w:sz w:val="22"/>
          <w:szCs w:val="22"/>
        </w:rPr>
      </w:pPr>
    </w:p>
    <w:p>
      <w:pPr>
        <w:pStyle w:val="BodyText"/>
        <w:spacing w:line="316" w:lineRule="auto"/>
        <w:ind w:right="0" w:firstLine="360"/>
        <w:jc w:val="left"/>
      </w:pPr>
      <w:r>
        <w:rPr>
          <w:spacing w:val="-2"/>
        </w:rPr>
        <w:t>为了维持或调整资本结构，本集团可能会调整支付给股东的股利金额、向股东返还资本、发行新股或出售资产以减低债</w:t>
      </w:r>
      <w:r>
        <w:rPr/>
        <w:t> 务。</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t>本集团以资产负债率（即总负债除以总资产）为基础对资本结构进行监控。于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日，本集团的资产负债率为</w:t>
      </w:r>
    </w:p>
    <w:p>
      <w:pPr>
        <w:pStyle w:val="BodyText"/>
        <w:spacing w:line="240" w:lineRule="auto" w:before="63"/>
        <w:ind w:right="0"/>
        <w:jc w:val="left"/>
      </w:pPr>
      <w:r>
        <w:rPr>
          <w:rFonts w:ascii="Times New Roman" w:hAnsi="Times New Roman" w:cs="Times New Roman" w:eastAsia="Times New Roman" w:hint="default"/>
        </w:rPr>
        <w:t>23.29%</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17.87%</w:t>
      </w:r>
      <w:r>
        <w:rPr/>
        <w:t>）。</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十一、公允价值的披露</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十二、关联方及关联交易</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本企业子公司的情况详见附注七、</w:t>
      </w:r>
      <w:r>
        <w:rPr>
          <w:rFonts w:ascii="Times New Roman" w:hAnsi="Times New Roman" w:cs="Times New Roman" w:eastAsia="Times New Roman" w:hint="default"/>
        </w:rPr>
        <w:t>1</w:t>
      </w:r>
      <w:r>
        <w:rPr/>
        <w:t>。</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本企业重要的合营或联营企业详见附注七、</w:t>
      </w:r>
      <w:r>
        <w:rPr>
          <w:rFonts w:ascii="Times New Roman" w:hAnsi="Times New Roman" w:cs="Times New Roman" w:eastAsia="Times New Roman" w:hint="default"/>
        </w:rPr>
        <w:t>2</w:t>
      </w:r>
      <w:r>
        <w:rPr/>
        <w:t>。</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福州实达医疗系统有限公司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颜新永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陈企珠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北京骏豪融生投资有限责任公司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3"/>
        <w:rPr>
          <w:rFonts w:ascii="宋体" w:hAnsi="宋体" w:cs="宋体" w:eastAsia="宋体" w:hint="default"/>
          <w:b/>
          <w:bCs/>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北京骏豪融生投资有限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未约定</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after="0" w:line="240"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7"/>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北京尚洋易捷信息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709,700.00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146,025.60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7,301.28</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福州实达医疗系统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41,353.72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4,135.37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50,649.73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2,532.49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颜新永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2,351.87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11,516.55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陈企珠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411,909.00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北京骏豪融生投资有限责任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firstLine="36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十三、股份支付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十四、承诺及或有事项</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9"/>
        <w:rPr>
          <w:rFonts w:ascii="宋体" w:hAnsi="宋体" w:cs="宋体" w:eastAsia="宋体" w:hint="default"/>
          <w:b/>
          <w:bCs/>
          <w:sz w:val="26"/>
          <w:szCs w:val="26"/>
        </w:rPr>
      </w:pPr>
    </w:p>
    <w:p>
      <w:pPr>
        <w:pStyle w:val="BodyText"/>
        <w:spacing w:line="516" w:lineRule="auto"/>
        <w:ind w:left="513" w:right="4733" w:hanging="360"/>
        <w:jc w:val="left"/>
      </w:pPr>
      <w:r>
        <w:rPr/>
        <w:t>资产负债表日存在的重要承诺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日止，本公司不存在应披露的或有事项。</w:t>
      </w:r>
    </w:p>
    <w:p>
      <w:pPr>
        <w:spacing w:after="0" w:line="516" w:lineRule="auto"/>
        <w:jc w:val="left"/>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日止，本公司不存在应披露的承诺事项。</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24"/>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3"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日止，本公司不存在应披露的其他重要事项。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十五、资产负债表日后事项</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2,150,000.00</w:t>
            </w:r>
          </w:p>
        </w:tc>
      </w:tr>
    </w:tbl>
    <w:p>
      <w:pPr>
        <w:pStyle w:val="BodyText"/>
        <w:spacing w:line="240" w:lineRule="auto" w:before="49"/>
        <w:ind w:left="513" w:right="0"/>
        <w:jc w:val="left"/>
        <w:rPr>
          <w:rFonts w:ascii="Times New Roman" w:hAnsi="Times New Roman" w:cs="Times New Roman" w:eastAsia="Times New Roman" w:hint="default"/>
        </w:rPr>
      </w:pPr>
      <w:r>
        <w:rPr/>
        <w:t>本年度利润分配预案为：以</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日总股本</w:t>
      </w:r>
      <w:r>
        <w:rPr>
          <w:spacing w:val="-41"/>
        </w:rPr>
        <w:t> </w:t>
      </w:r>
      <w:r>
        <w:rPr>
          <w:rFonts w:ascii="Times New Roman" w:hAnsi="Times New Roman" w:cs="Times New Roman" w:eastAsia="Times New Roman" w:hint="default"/>
        </w:rPr>
        <w:t>43,000</w:t>
      </w:r>
      <w:r>
        <w:rPr>
          <w:rFonts w:ascii="Times New Roman" w:hAnsi="Times New Roman" w:cs="Times New Roman" w:eastAsia="Times New Roman" w:hint="default"/>
          <w:spacing w:val="5"/>
        </w:rPr>
        <w:t> </w:t>
      </w:r>
      <w:r>
        <w:rPr/>
        <w:t>万股为基数，向全体股东实施每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股派发现金红利</w:t>
      </w:r>
      <w:r>
        <w:rPr>
          <w:spacing w:val="-41"/>
        </w:rPr>
        <w:t> </w:t>
      </w:r>
      <w:r>
        <w:rPr>
          <w:rFonts w:ascii="Times New Roman" w:hAnsi="Times New Roman" w:cs="Times New Roman" w:eastAsia="Times New Roman" w:hint="default"/>
        </w:rPr>
        <w:t>0.05</w:t>
      </w:r>
    </w:p>
    <w:p>
      <w:pPr>
        <w:pStyle w:val="BodyText"/>
        <w:spacing w:line="240" w:lineRule="auto" w:before="63"/>
        <w:ind w:right="0"/>
        <w:jc w:val="both"/>
      </w:pPr>
      <w:r>
        <w:rPr/>
        <w:t>元（含税），合计派发现金红利</w:t>
      </w:r>
      <w:r>
        <w:rPr>
          <w:spacing w:val="-47"/>
        </w:rPr>
        <w:t> </w:t>
      </w:r>
      <w:r>
        <w:rPr>
          <w:rFonts w:ascii="Times New Roman" w:hAnsi="Times New Roman" w:cs="Times New Roman" w:eastAsia="Times New Roman" w:hint="default"/>
        </w:rPr>
        <w:t>2,150,000</w:t>
      </w:r>
      <w:r>
        <w:rPr>
          <w:rFonts w:ascii="Times New Roman" w:hAnsi="Times New Roman" w:cs="Times New Roman" w:eastAsia="Times New Roman" w:hint="default"/>
          <w:spacing w:val="-2"/>
        </w:rPr>
        <w:t> </w:t>
      </w:r>
      <w:r>
        <w:rPr/>
        <w:t>元，剩余未分配利润结转至下一年度。</w:t>
      </w:r>
    </w:p>
    <w:p>
      <w:pPr>
        <w:pStyle w:val="BodyText"/>
        <w:spacing w:line="240" w:lineRule="auto" w:before="101"/>
        <w:ind w:left="513" w:right="0"/>
        <w:jc w:val="left"/>
      </w:pPr>
      <w:r>
        <w:rPr/>
        <w:t>上述利润分配预案尚需经公司</w:t>
      </w:r>
      <w:r>
        <w:rPr>
          <w:spacing w:val="-46"/>
        </w:rPr>
        <w:t> </w:t>
      </w:r>
      <w:r>
        <w:rPr>
          <w:rFonts w:ascii="Times New Roman" w:hAnsi="Times New Roman" w:cs="Times New Roman" w:eastAsia="Times New Roman" w:hint="default"/>
        </w:rPr>
        <w:t>2014 </w:t>
      </w:r>
      <w:r>
        <w:rPr/>
        <w:t>年度股东大会审议批准后实施。</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both"/>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12"/>
        <w:rPr>
          <w:rFonts w:ascii="宋体" w:hAnsi="宋体" w:cs="宋体" w:eastAsia="宋体" w:hint="default"/>
          <w:b/>
          <w:bCs/>
          <w:sz w:val="26"/>
          <w:szCs w:val="26"/>
        </w:rPr>
      </w:pPr>
    </w:p>
    <w:p>
      <w:pPr>
        <w:pStyle w:val="BodyText"/>
        <w:spacing w:line="316" w:lineRule="auto"/>
        <w:ind w:left="513" w:right="0"/>
        <w:jc w:val="left"/>
      </w:pPr>
      <w:r>
        <w:rPr/>
        <w:t>资产负债表日后处置子公司 </w:t>
      </w:r>
      <w:r>
        <w:rPr>
          <w:spacing w:val="-2"/>
        </w:rPr>
        <w:t>根据中职动力（北京）科技有限公司（以下简称中职动力公司）</w:t>
      </w:r>
      <w:r>
        <w:rPr>
          <w:rFonts w:ascii="Times New Roman" w:hAnsi="Times New Roman" w:cs="Times New Roman" w:eastAsia="Times New Roman" w:hint="default"/>
          <w:spacing w:val="-2"/>
        </w:rPr>
        <w:t>2014</w:t>
      </w:r>
      <w:r>
        <w:rPr>
          <w:spacing w:val="-2"/>
        </w:rPr>
        <w:t>年第一次临时股东会决议及股权转让协议，本公司</w:t>
      </w:r>
    </w:p>
    <w:p>
      <w:pPr>
        <w:pStyle w:val="BodyText"/>
        <w:spacing w:line="300" w:lineRule="auto"/>
        <w:ind w:right="186"/>
        <w:jc w:val="both"/>
      </w:pPr>
      <w:r>
        <w:rPr/>
        <w:t>子公司福州易联众信息技术有限公司将持有中职动力公司的</w:t>
      </w:r>
      <w:r>
        <w:rPr>
          <w:rFonts w:ascii="Times New Roman" w:hAnsi="Times New Roman" w:cs="Times New Roman" w:eastAsia="Times New Roman" w:hint="default"/>
        </w:rPr>
        <w:t>25%</w:t>
      </w:r>
      <w:r>
        <w:rPr/>
        <w:t>股权分别转让给北京雷博技术培训有限公司及赵研等</w:t>
      </w:r>
      <w:r>
        <w:rPr>
          <w:rFonts w:ascii="Times New Roman" w:hAnsi="Times New Roman" w:cs="Times New Roman" w:eastAsia="Times New Roman" w:hint="default"/>
        </w:rPr>
        <w:t>5</w:t>
      </w:r>
      <w:r>
        <w:rPr/>
        <w:t>位中 职动力公司管理人员，转让价为</w:t>
      </w:r>
      <w:r>
        <w:rPr>
          <w:rFonts w:ascii="Times New Roman" w:hAnsi="Times New Roman" w:cs="Times New Roman" w:eastAsia="Times New Roman" w:hint="default"/>
        </w:rPr>
        <w:t>125</w:t>
      </w:r>
      <w:r>
        <w:rPr/>
        <w:t>万元，转让后福州易联众信息技术有限公司持有中职动力公司的股权比例由</w:t>
      </w:r>
      <w:r>
        <w:rPr>
          <w:rFonts w:ascii="Times New Roman" w:hAnsi="Times New Roman" w:cs="Times New Roman" w:eastAsia="Times New Roman" w:hint="default"/>
        </w:rPr>
        <w:t>90%</w:t>
      </w:r>
      <w:r>
        <w:rPr/>
        <w:t>下降至 </w:t>
      </w:r>
      <w:r>
        <w:rPr>
          <w:rFonts w:ascii="Times New Roman" w:hAnsi="Times New Roman" w:cs="Times New Roman" w:eastAsia="Times New Roman" w:hint="default"/>
        </w:rPr>
        <w:t>65%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月份收到股权转让款及完成工商变更手续）；</w:t>
      </w:r>
    </w:p>
    <w:p>
      <w:pPr>
        <w:pStyle w:val="BodyText"/>
        <w:spacing w:line="316" w:lineRule="auto" w:before="13"/>
        <w:ind w:right="0" w:firstLine="360"/>
        <w:jc w:val="left"/>
      </w:pPr>
      <w:r>
        <w:rPr>
          <w:spacing w:val="-2"/>
        </w:rPr>
        <w:t>根据中职动力公司增资扩股协议，由新股东张曦和雷彪注资，增资扩股后福州易联众信息技术有限公司持有中职动力公</w:t>
      </w:r>
      <w:r>
        <w:rPr/>
        <w:t> 司的股权比例由</w:t>
      </w:r>
      <w:r>
        <w:rPr>
          <w:rFonts w:ascii="Times New Roman" w:hAnsi="Times New Roman" w:cs="Times New Roman" w:eastAsia="Times New Roman" w:hint="default"/>
        </w:rPr>
        <w:t>65%</w:t>
      </w:r>
      <w:r>
        <w:rPr/>
        <w:t>下降至</w:t>
      </w:r>
      <w:r>
        <w:rPr>
          <w:rFonts w:ascii="Times New Roman" w:hAnsi="Times New Roman" w:cs="Times New Roman" w:eastAsia="Times New Roman" w:hint="default"/>
        </w:rPr>
        <w:t>26%</w:t>
      </w:r>
      <w:r>
        <w:rPr/>
        <w:t>，不再是中职动力公司的控股股东（截止财务报告日尚未办妥工商变更手续）。</w:t>
      </w:r>
    </w:p>
    <w:p>
      <w:pPr>
        <w:spacing w:after="0" w:line="316"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十六、其他重要事项</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left="33" w:right="8567"/>
        <w:jc w:val="center"/>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left="33" w:right="8567"/>
        <w:jc w:val="center"/>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left="33" w:right="8567"/>
        <w:jc w:val="center"/>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left="33" w:right="8567"/>
        <w:jc w:val="center"/>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left="33" w:right="8567"/>
        <w:jc w:val="center"/>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0" w:right="8567"/>
        <w:jc w:val="center"/>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日止，本公司不存在应披露的其他重要事项。</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十七、母公司财务报表主要项目注释</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205,178,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091.52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25,014,9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02.83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180,163,1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88.69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124,470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,009.31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20,128,66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3.36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104,341,34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5.95</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205,178,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091.52</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25,014,9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02.83</w:t>
            </w:r>
          </w:p>
        </w:tc>
        <w:tc>
          <w:tcPr>
            <w:tcW w:w="764"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180,163,1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88.69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124,470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,009.31</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20,128,66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3.36</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104,341,34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5.95</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79,022,170.05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3,951,108.50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15,830,870.99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1,583,087.10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7,139,031.42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1,427,806.29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5,094,845.06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2,547,422.53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5,130,062.24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5,130,062.24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10,375,416.17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10,375,416.17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122,592,395.93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25,014,902.83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20.40%</w:t>
            </w:r>
          </w:p>
        </w:tc>
      </w:tr>
    </w:tbl>
    <w:p>
      <w:pPr>
        <w:pStyle w:val="BodyText"/>
        <w:spacing w:line="357" w:lineRule="auto" w:before="49"/>
        <w:ind w:right="5453"/>
        <w:jc w:val="left"/>
      </w:pPr>
      <w:r>
        <w:rPr/>
        <w:t>确定该组合依据的说明： 组合中，采用余额百分比法计提坏账准备的应收账款：</w:t>
      </w:r>
    </w:p>
    <w:p>
      <w:pPr>
        <w:pStyle w:val="BodyText"/>
        <w:spacing w:line="340" w:lineRule="auto" w:before="29"/>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本期计提坏账准备金额</w:t>
      </w:r>
      <w:r>
        <w:rPr>
          <w:spacing w:val="-46"/>
        </w:rPr>
        <w:t> </w:t>
      </w:r>
      <w:r>
        <w:rPr>
          <w:rFonts w:ascii="Times New Roman" w:hAnsi="Times New Roman" w:cs="Times New Roman" w:eastAsia="Times New Roman" w:hint="default"/>
        </w:rPr>
        <w:t>4,886,239.47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after="0" w:line="240" w:lineRule="auto"/>
        <w:jc w:val="left"/>
        <w:sectPr>
          <w:type w:val="continuous"/>
          <w:pgSz w:w="11910" w:h="16840"/>
          <w:pgMar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653"/>
        <w:gridCol w:w="1560"/>
        <w:gridCol w:w="2552"/>
        <w:gridCol w:w="1517"/>
      </w:tblGrid>
      <w:tr>
        <w:trPr>
          <w:trHeight w:val="6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823" w:right="3"/>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hAnsi="宋体" w:cs="宋体" w:eastAsia="宋体" w:hint="default"/>
                <w:b/>
                <w:bCs/>
                <w:w w:val="95"/>
                <w:sz w:val="18"/>
                <w:szCs w:val="18"/>
              </w:rPr>
              <w:t>占应收账款年末余额合计数的比</w:t>
            </w:r>
            <w:r>
              <w:rPr>
                <w:rFonts w:ascii="宋体" w:hAnsi="宋体" w:cs="宋体" w:eastAsia="宋体" w:hint="default"/>
                <w:sz w:val="18"/>
                <w:szCs w:val="18"/>
              </w:rPr>
            </w:r>
          </w:p>
          <w:p>
            <w:pPr>
              <w:pStyle w:val="TableParagraph"/>
              <w:spacing w:line="240" w:lineRule="auto" w:before="76"/>
              <w:ind w:right="0"/>
              <w:jc w:val="right"/>
              <w:rPr>
                <w:rFonts w:ascii="Times New Roman" w:hAnsi="Times New Roman" w:cs="Times New Roman" w:eastAsia="Times New Roman" w:hint="default"/>
                <w:sz w:val="18"/>
                <w:szCs w:val="18"/>
              </w:rPr>
            </w:pPr>
            <w:r>
              <w:rPr>
                <w:rFonts w:ascii="宋体" w:hAnsi="宋体" w:cs="宋体" w:eastAsia="宋体" w:hint="default"/>
                <w:b/>
                <w:bCs/>
                <w:sz w:val="18"/>
                <w:szCs w:val="18"/>
              </w:rPr>
              <w:t>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8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三明市人力资源和社会保障局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16,835,000.00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8.21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834,500.00</w:t>
            </w:r>
          </w:p>
        </w:tc>
      </w:tr>
      <w:tr>
        <w:trPr>
          <w:trHeight w:val="34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三明市卫生局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12,675,029.00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6.18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914,602.90</w:t>
            </w:r>
          </w:p>
        </w:tc>
      </w:tr>
      <w:tr>
        <w:trPr>
          <w:trHeight w:val="34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福建莆田农村商业银行股份有限公司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8,574,187.13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583,436.42</w:t>
            </w:r>
          </w:p>
        </w:tc>
      </w:tr>
      <w:tr>
        <w:trPr>
          <w:trHeight w:val="34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中国工商银行泉州市分行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6,019,059.00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2.61</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373,064.68</w:t>
            </w:r>
          </w:p>
        </w:tc>
      </w:tr>
      <w:tr>
        <w:trPr>
          <w:trHeight w:val="34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广西壮族自治区人力资源和社会保障信息中心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5,417,895.91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276,652.57</w:t>
            </w:r>
          </w:p>
        </w:tc>
      </w:tr>
      <w:tr>
        <w:trPr>
          <w:trHeight w:val="34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48,243,456.44</w:t>
            </w:r>
            <w:r>
              <w:rPr>
                <w:rFonts w:ascii="Times New Roman"/>
                <w:spacing w:val="-1"/>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23.52</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2,982,256.57</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5"/>
        <w:gridCol w:w="761"/>
        <w:gridCol w:w="763"/>
        <w:gridCol w:w="764"/>
        <w:gridCol w:w="787"/>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18,497,4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29.54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3,891,17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0.21%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14,606,25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7,993,0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66.18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2,977,779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37.25%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5,015,287.1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18,497,4</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29.54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3,891,17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0.06</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0.21%</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14,606,25</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9.48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7,993,0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66.18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2,977,779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37.25%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5,015,287.1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期末单项金额重大并单项计提坏账准备的其他应收款：</w:t>
      </w:r>
    </w:p>
    <w:p>
      <w:pPr>
        <w:pStyle w:val="BodyText"/>
        <w:spacing w:line="338" w:lineRule="auto" w:before="117"/>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3,532,574.99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176,628.75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510,733.04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51,073.30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416,705.30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83,341.06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766,555.17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383,277.58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975,449.70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975,449.70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2,221,399.66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2,221,399.66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8,423,417.86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3,891,170.05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46.19%</w:t>
            </w:r>
          </w:p>
        </w:tc>
      </w:tr>
    </w:tbl>
    <w:p>
      <w:pPr>
        <w:pStyle w:val="BodyText"/>
        <w:spacing w:line="357" w:lineRule="auto" w:before="49"/>
        <w:ind w:right="5273"/>
        <w:jc w:val="left"/>
      </w:pPr>
      <w:r>
        <w:rPr/>
        <w:t>确定该组合依据的说明： 组合中，采用余额百分比法计提坏账准备的其他应收款：</w:t>
      </w:r>
    </w:p>
    <w:p>
      <w:pPr>
        <w:pStyle w:val="BodyText"/>
        <w:spacing w:line="338" w:lineRule="auto" w:before="29"/>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913,391.01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2"/>
        <w:gridCol w:w="3101"/>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5,919,611.81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5,067,259.70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12,577,817.73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2,925,806.48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18,497,429.54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7,993,066.18</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center"/>
              <w:rPr>
                <w:rFonts w:ascii="宋体" w:hAnsi="宋体" w:cs="宋体" w:eastAsia="宋体" w:hint="default"/>
                <w:sz w:val="18"/>
                <w:szCs w:val="18"/>
              </w:rPr>
            </w:pPr>
            <w:r>
              <w:rPr>
                <w:rFonts w:ascii="宋体" w:hAnsi="宋体" w:cs="宋体" w:eastAsia="宋体" w:hint="default"/>
                <w:sz w:val="18"/>
                <w:szCs w:val="18"/>
              </w:rPr>
              <w:t>湖南易联众信息技术</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7,203,328.62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0" w:right="0"/>
              <w:jc w:val="left"/>
              <w:rPr>
                <w:rFonts w:ascii="Times New Roman" w:hAnsi="Times New Roman" w:cs="Times New Roman" w:eastAsia="Times New Roman" w:hint="default"/>
                <w:sz w:val="18"/>
                <w:szCs w:val="18"/>
              </w:rPr>
            </w:pPr>
            <w:r>
              <w:rPr>
                <w:rFonts w:ascii="Times New Roman"/>
                <w:sz w:val="18"/>
              </w:rPr>
              <w:t>38.94%</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36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福建易联众软件系统 开发有限公司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1,954,473.49</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10.57%</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福建省机关事业社会 保险局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1,029,600.00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1,029,600.00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长沙公共资源交易中 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中国建设银行股份有 限公司福建省分行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11,247,402.11</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60.81%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1,082,600.00</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9"/>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131,276,800.00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131,276,800.00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121,826,800.00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121,826,800.00</w:t>
            </w:r>
          </w:p>
        </w:tc>
      </w:tr>
      <w:tr>
        <w:trPr>
          <w:trHeight w:val="71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5,204,229.76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5,204,229.76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3,449,160.20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3,449,160.20</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136,481,029.76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136,481,029.76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125,275,960.20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125,275,960.20</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山西易联众信息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10,545,600.00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10,545,600.00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安徽易联众信息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3,798,000.00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10,048,000.00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福建易联众软件 系统开发有限公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福州易联众信息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福建易联众电子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湖南易联众信息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广西易联众信息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9,973,200.00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9,973,200.00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广东易联众计算 机技术有限公司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陕西易联众信息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121,826,800.00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131,276,800.00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北京尚洋 易捷信息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3,449,160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1,755,069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5,204,229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1,755,069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5,204,229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3,449,160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5,204,229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3"/>
        <w:rPr>
          <w:rFonts w:ascii="宋体" w:hAnsi="宋体" w:cs="宋体" w:eastAsia="宋体" w:hint="default"/>
          <w:sz w:val="25"/>
          <w:szCs w:val="25"/>
        </w:rPr>
      </w:pPr>
    </w:p>
    <w:p>
      <w:pPr>
        <w:pStyle w:val="Heading3"/>
        <w:spacing w:line="240" w:lineRule="auto" w:before="37"/>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7"/>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202,903,532.62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128,075,863.27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171,551,494.40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105,690,339.15</w:t>
            </w:r>
          </w:p>
        </w:tc>
      </w:tr>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1,195,945.56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1,034,411.05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498,310.65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516,535.54</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204,099,478.18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129,110,274.32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172,049,805.05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106,206,874.69</w:t>
            </w:r>
          </w:p>
        </w:tc>
      </w:tr>
    </w:tbl>
    <w:p>
      <w:pPr>
        <w:spacing w:line="240" w:lineRule="auto" w:before="8"/>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2"/>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1,755,069.56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2,142,170.31</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2"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-929,013.21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1,755,069.56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1,213,157.10</w:t>
            </w:r>
          </w:p>
        </w:tc>
      </w:tr>
    </w:tbl>
    <w:p>
      <w:pPr>
        <w:spacing w:line="240" w:lineRule="auto" w:before="9"/>
        <w:rPr>
          <w:rFonts w:ascii="宋体" w:hAnsi="宋体" w:cs="宋体" w:eastAsia="宋体" w:hint="default"/>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十八、补充资料</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2"/>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13,251.41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5,261,880.29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302,116.27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860,888.35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41,691.77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15"/>
        <w:gridCol w:w="3072"/>
        <w:gridCol w:w="3174"/>
      </w:tblGrid>
      <w:tr>
        <w:trPr>
          <w:trHeight w:val="404"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4,674,667.85</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4"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0.109</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0.098</w:t>
            </w:r>
          </w:p>
        </w:tc>
      </w:tr>
    </w:tbl>
    <w:p>
      <w:pPr>
        <w:spacing w:line="240" w:lineRule="auto" w:before="8"/>
        <w:rPr>
          <w:rFonts w:ascii="宋体" w:hAnsi="宋体" w:cs="宋体" w:eastAsia="宋体" w:hint="default"/>
          <w:b/>
          <w:bCs/>
          <w:sz w:val="19"/>
          <w:szCs w:val="19"/>
        </w:rPr>
      </w:pPr>
    </w:p>
    <w:p>
      <w:pPr>
        <w:pStyle w:val="Heading3"/>
        <w:spacing w:line="240" w:lineRule="auto" w:before="37"/>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73" w:lineRule="auto"/>
        <w:ind w:right="0"/>
        <w:jc w:val="left"/>
        <w:rPr>
          <w:b w:val="0"/>
          <w:bCs w:val="0"/>
        </w:rPr>
      </w:pPr>
      <w:r>
        <w:rPr>
          <w:spacing w:val="-1"/>
          <w:w w:val="95"/>
        </w:rPr>
        <w:t>（</w:t>
      </w:r>
      <w:r>
        <w:rPr>
          <w:rFonts w:ascii="Times New Roman" w:hAnsi="Times New Roman" w:cs="Times New Roman" w:eastAsia="Times New Roman" w:hint="default"/>
          <w:spacing w:val="-1"/>
          <w:w w:val="95"/>
        </w:rPr>
        <w:t>3</w:t>
      </w:r>
      <w:r>
        <w:rPr>
          <w:spacing w:val="-1"/>
          <w:w w:val="95"/>
        </w:rPr>
        <w:t>）境内外会计准则下会计数据差异原因说明，对已经境外审计机构审计的数据进行差异调节的，应注明该境</w:t>
      </w:r>
      <w:r>
        <w:rPr>
          <w:spacing w:val="37"/>
          <w:w w:val="95"/>
        </w:rPr>
        <w:t> </w:t>
      </w:r>
      <w:r>
        <w:rPr>
          <w:spacing w:val="37"/>
          <w:w w:val="95"/>
        </w:rPr>
      </w:r>
      <w:r>
        <w:rPr/>
        <w:t>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35"/>
        <w:jc w:val="center"/>
        <w:rPr>
          <w:b w:val="0"/>
          <w:bCs w:val="0"/>
        </w:rPr>
      </w:pPr>
      <w:bookmarkStart w:name="_bookmark9" w:id="10"/>
      <w:bookmarkEnd w:id="10"/>
      <w:r>
        <w:rPr>
          <w:b w:val="0"/>
          <w:bCs w:val="0"/>
        </w:rPr>
      </w:r>
      <w:r>
        <w:rPr/>
        <w:t>第十节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513" w:right="593"/>
        <w:jc w:val="left"/>
      </w:pPr>
      <w:r>
        <w:rPr/>
        <w:t>一、载有公司法定代表人、主管会计工作的负责人、会计机构负责人（会计主管人员）签名并盖章的财务报表。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四、经公司法定代表人签名并加盖公司公章的</w:t>
      </w:r>
      <w:r>
        <w:rPr>
          <w:rFonts w:ascii="Times New Roman" w:hAnsi="Times New Roman" w:cs="Times New Roman" w:eastAsia="Times New Roman" w:hint="default"/>
        </w:rPr>
        <w:t>2014</w:t>
      </w:r>
      <w:r>
        <w:rPr/>
        <w:t>年年度报告文本原件。</w:t>
      </w:r>
    </w:p>
    <w:p>
      <w:pPr>
        <w:pStyle w:val="BodyText"/>
        <w:spacing w:line="316" w:lineRule="auto"/>
        <w:ind w:left="513" w:right="5633"/>
        <w:jc w:val="left"/>
      </w:pPr>
      <w:r>
        <w:rPr/>
        <w:t>五、其他相关资料。 以上备查文件的备置地点：公司董事会办公室。</w:t>
      </w:r>
    </w:p>
    <w:p>
      <w:pPr>
        <w:pStyle w:val="BodyText"/>
        <w:spacing w:line="240" w:lineRule="auto" w:before="19"/>
        <w:ind w:left="0" w:right="151"/>
        <w:jc w:val="right"/>
      </w:pPr>
      <w:r>
        <w:rPr/>
        <w:t>易联众信息技术股份有限公司</w:t>
      </w:r>
    </w:p>
    <w:p>
      <w:pPr>
        <w:spacing w:line="240" w:lineRule="auto" w:before="0"/>
        <w:rPr>
          <w:rFonts w:ascii="宋体" w:hAnsi="宋体" w:cs="宋体" w:eastAsia="宋体" w:hint="default"/>
          <w:sz w:val="18"/>
          <w:szCs w:val="18"/>
        </w:rPr>
      </w:pPr>
    </w:p>
    <w:p>
      <w:pPr>
        <w:pStyle w:val="BodyText"/>
        <w:spacing w:line="240" w:lineRule="auto" w:before="153"/>
        <w:ind w:left="0" w:right="151"/>
        <w:jc w:val="right"/>
      </w:pPr>
      <w:r>
        <w:rPr/>
        <w:t>法定代表人：张曦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left="0" w:right="148"/>
        <w:jc w:val="righ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8326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832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832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64</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832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832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832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96</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8325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832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832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134</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832720" type="#_x0000_t202" filled="false" stroked="false">
          <v:textbox inset="0,0,0,0">
            <w:txbxContent>
              <w:p>
                <w:pPr>
                  <w:pStyle w:val="BodyText"/>
                  <w:spacing w:line="214" w:lineRule="exact"/>
                  <w:ind w:left="20" w:right="0"/>
                  <w:jc w:val="left"/>
                </w:pPr>
                <w:r>
                  <w:rPr/>
                  <w:t>易联众信息技术股份有限公司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3"/>
    </w:pPr>
    <w:rPr>
      <w:rFonts w:ascii="宋体" w:hAnsi="宋体" w:eastAsia="宋体"/>
      <w:sz w:val="18"/>
      <w:szCs w:val="1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13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0"/>
      <w:szCs w:val="20"/>
    </w:rPr>
  </w:style>
  <w:style w:styleId="Heading4" w:type="paragraph">
    <w:name w:val="Heading 4"/>
    <w:basedOn w:val="Normal"/>
    <w:uiPriority w:val="1"/>
    <w:qFormat/>
    <w:pPr>
      <w:spacing w:before="133"/>
      <w:ind w:left="65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ylzinfo.com/" TargetMode="External"/><Relationship Id="rId10" Type="http://schemas.openxmlformats.org/officeDocument/2006/relationships/hyperlink" Target="mailto:YLZ@ylzinfo.com" TargetMode="External"/><Relationship Id="rId11" Type="http://schemas.openxmlformats.org/officeDocument/2006/relationships/hyperlink" Target="mailto:tylee173@163.com" TargetMode="External"/><Relationship Id="rId12" Type="http://schemas.openxmlformats.org/officeDocument/2006/relationships/hyperlink" Target="mailto:zhushaojing553@163.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hyperlink" Target="http://ww/" TargetMode="External"/><Relationship Id="rId16" Type="http://schemas.openxmlformats.org/officeDocument/2006/relationships/image" Target="media/image3.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易联众信息技术股份有限公司</dc:creator>
  <dc:title>易联众信息技术股份有限公司2014年年度报告全文</dc:title>
  <dcterms:created xsi:type="dcterms:W3CDTF">2020-05-06T18:46:25Z</dcterms:created>
  <dcterms:modified xsi:type="dcterms:W3CDTF">2020-05-06T18:46:25Z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2015-04-20T00:00:00Z</vt:filetime>
  </property>
  <property fmtid="{D5CDD505-2E9C-101B-9397-08002B2CF9AE}" pid="3" name="Creator">
    <vt:lpwstr>Microsoft® Office Word 2007</vt:lpwstr>
  </property>
  <property fmtid="{D5CDD505-2E9C-101B-9397-08002B2CF9AE}" pid="4" name="LastSaved">
    <vt:filetime>2020-05-06T00:00:00Z</vt:filetime>
  </property>
</Properties>
</file>