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321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3"/>
          <w:sz w:val="20"/>
          <w:szCs w:val="20"/>
        </w:rPr>
        <w:drawing>
          <wp:inline distT="0" distB="0" distL="0" distR="0">
            <wp:extent cx="1409260" cy="20383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260" cy="2038350"/>
                    </a:xfrm>
                    <a:prstGeom prst="rect">
                      <a:avLst/>
                    </a:prstGeom>
                  </pic:spPr>
                </pic:pic>
              </a:graphicData>
            </a:graphic>
          </wp:inline>
        </w:drawing>
      </w:r>
      <w:r>
        <w:rPr>
          <w:rFonts w:ascii="Times New Roman" w:hAnsi="Times New Roman" w:cs="Times New Roman" w:eastAsia="Times New Roman" w:hint="default"/>
          <w:position w:val="-63"/>
          <w:sz w:val="20"/>
          <w:szCs w:val="20"/>
        </w:rPr>
      </w:r>
    </w:p>
    <w:p>
      <w:pPr>
        <w:spacing w:line="240" w:lineRule="auto" w:before="7"/>
        <w:rPr>
          <w:rFonts w:ascii="Times New Roman" w:hAnsi="Times New Roman" w:cs="Times New Roman" w:eastAsia="Times New Roman" w:hint="default"/>
          <w:sz w:val="13"/>
          <w:szCs w:val="13"/>
        </w:rPr>
      </w:pPr>
    </w:p>
    <w:p>
      <w:pPr>
        <w:spacing w:line="460" w:lineRule="exact" w:before="0"/>
        <w:ind w:left="2601" w:right="3587" w:firstLine="0"/>
        <w:jc w:val="center"/>
        <w:rPr>
          <w:rFonts w:ascii="宋体" w:hAnsi="宋体" w:cs="宋体" w:eastAsia="宋体" w:hint="default"/>
          <w:sz w:val="36"/>
          <w:szCs w:val="36"/>
        </w:rPr>
      </w:pPr>
      <w:r>
        <w:rPr>
          <w:rFonts w:ascii="宋体" w:hAnsi="宋体" w:cs="宋体" w:eastAsia="宋体" w:hint="default"/>
          <w:b/>
          <w:bCs/>
          <w:sz w:val="36"/>
          <w:szCs w:val="36"/>
        </w:rPr>
        <w:t>易联众信息技术股份有限公司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0"/>
          <w:szCs w:val="30"/>
        </w:rPr>
      </w:pPr>
    </w:p>
    <w:p>
      <w:pPr>
        <w:spacing w:before="0"/>
        <w:ind w:left="2601" w:right="358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2601" w:right="35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4" w:top="1060" w:bottom="1160" w:left="980" w:right="0"/>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left="2802" w:right="0"/>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公司负责人张曦、主管会计工作负责人陈东红及会计机构负责人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尤泽祥声明：保证年度报告中财务报告的真实、准确、完整。</w:t>
      </w:r>
      <w:r>
        <w:rPr>
          <w:rFonts w:ascii="宋体" w:hAnsi="宋体" w:cs="宋体" w:eastAsia="宋体" w:hint="default"/>
          <w:sz w:val="28"/>
          <w:szCs w:val="28"/>
        </w:rPr>
      </w:r>
    </w:p>
    <w:p>
      <w:pPr>
        <w:spacing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936"/>
        <w:gridCol w:w="2210"/>
        <w:gridCol w:w="2211"/>
        <w:gridCol w:w="2213"/>
      </w:tblGrid>
      <w:tr>
        <w:trPr>
          <w:trHeight w:val="398"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6" w:hRule="exact"/>
        </w:trPr>
        <w:tc>
          <w:tcPr>
            <w:tcW w:w="29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工作原因</w:t>
            </w:r>
          </w:p>
        </w:tc>
        <w:tc>
          <w:tcPr>
            <w:tcW w:w="22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孔祥谱</w:t>
            </w:r>
          </w:p>
        </w:tc>
      </w:tr>
    </w:tbl>
    <w:p>
      <w:pPr>
        <w:spacing w:line="240" w:lineRule="auto" w:before="3"/>
        <w:rPr>
          <w:rFonts w:ascii="宋体" w:hAnsi="宋体" w:cs="宋体" w:eastAsia="宋体" w:hint="default"/>
          <w:b/>
          <w:bCs/>
          <w:sz w:val="13"/>
          <w:szCs w:val="13"/>
        </w:rPr>
      </w:pPr>
    </w:p>
    <w:p>
      <w:pPr>
        <w:spacing w:line="408" w:lineRule="auto" w:before="14"/>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398" w:lineRule="auto" w:before="162"/>
        <w:ind w:left="152" w:right="1130"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Times New Roman" w:hAnsi="Times New Roman" w:cs="Times New Roman" w:eastAsia="Times New Roman" w:hint="default"/>
          <w:b/>
          <w:bCs/>
          <w:w w:val="100"/>
          <w:sz w:val="28"/>
          <w:szCs w:val="28"/>
        </w:rPr>
        <w:t> </w:t>
      </w:r>
      <w:r>
        <w:rPr>
          <w:rFonts w:ascii="宋体" w:hAnsi="宋体" w:cs="宋体" w:eastAsia="宋体" w:hint="default"/>
          <w:b/>
          <w:bCs/>
          <w:spacing w:val="2"/>
          <w:sz w:val="28"/>
          <w:szCs w:val="28"/>
        </w:rPr>
        <w:t>中，详细描述了公司经营中可能面对的风险及应对措施，敬请投资者注意并仔</w:t>
      </w:r>
      <w:r>
        <w:rPr>
          <w:rFonts w:ascii="宋体" w:hAnsi="宋体" w:cs="宋体" w:eastAsia="宋体" w:hint="default"/>
          <w:b/>
          <w:bCs/>
          <w:w w:val="99"/>
          <w:sz w:val="28"/>
          <w:szCs w:val="28"/>
        </w:rPr>
        <w:t> </w:t>
      </w:r>
      <w:r>
        <w:rPr>
          <w:rFonts w:ascii="宋体" w:hAnsi="宋体" w:cs="宋体" w:eastAsia="宋体" w:hint="default"/>
          <w:b/>
          <w:bCs/>
          <w:sz w:val="28"/>
          <w:szCs w:val="28"/>
        </w:rPr>
        <w:t>细阅读。</w:t>
      </w:r>
      <w:r>
        <w:rPr>
          <w:rFonts w:ascii="宋体" w:hAnsi="宋体" w:cs="宋体" w:eastAsia="宋体" w:hint="default"/>
          <w:sz w:val="28"/>
          <w:szCs w:val="28"/>
        </w:rPr>
      </w:r>
    </w:p>
    <w:p>
      <w:pPr>
        <w:spacing w:before="171"/>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430,000,000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0.05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1"/>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4" w:header="748" w:top="1060" w:bottom="1160" w:left="980" w:right="0"/>
          <w:pgNumType w:start="2"/>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601" w:right="357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 公司债券相关情况</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rPr>
              <w:tab/>
              <w:t>94</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216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8" w:footer="974" w:top="1060" w:bottom="1160" w:left="980" w:right="0"/>
        </w:sectPr>
      </w:pPr>
    </w:p>
    <w:p>
      <w:pPr>
        <w:spacing w:before="942"/>
        <w:ind w:left="2601" w:right="357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3"/>
        <w:gridCol w:w="623"/>
        <w:gridCol w:w="5424"/>
      </w:tblGrid>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公司、本公司、股份公司、母公司、易联众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安徽易联众信息技术有限公司，系本公司全资子公司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山西易联众信息技术有限公司，系本公司全资子公司</w:t>
            </w:r>
          </w:p>
        </w:tc>
      </w:tr>
      <w:tr>
        <w:trPr>
          <w:trHeight w:val="404"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福建软件开发</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福建易联众软件系统开发有限公司，系本公司全资子公司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福州易联众信息技术有限公司，系本公司全资子公司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湖南易联众信息技术有限公司，系本公司全资子公司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北京易联众信息技术有限公司，系本公司全资子公司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广西易联众信息技术有限公司，系本公司全资子公司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陕西易联众信息技术有限公司，系本公司全资子公司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金融控股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厦门易联众金融控股有限公司，系本公司全资子公司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商业保理、保理公司</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厦门易联众商业保理有限公司，系本公司全资子公司</w:t>
            </w:r>
          </w:p>
        </w:tc>
      </w:tr>
      <w:tr>
        <w:trPr>
          <w:trHeight w:val="404"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医疗控股、医控公司</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易联众健康医疗控股有限公司，系本公司全资子公司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厦门易联众融资租赁有限公司，系本公司全资子公司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易康吉</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易康吉保险经济有限责任公司，系本公司全资子公司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厦门易联众网络科技有限公司，系本公司全资子公司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易思达</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福州市鼓楼区易思达系统集成有限公司，系福建软件开发全资子公司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宁夏易联众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宁夏易联众信息技术有限公司，系陕西易联众全资子公司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三明易联众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三明易联众信息技术有限公司，系医控公司全资子公司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上海润达</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上海润达医院管理投资有限公司，系医控公司全资子公司</w:t>
            </w:r>
          </w:p>
        </w:tc>
      </w:tr>
      <w:tr>
        <w:trPr>
          <w:trHeight w:val="404"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宿州易联众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宿州易联众信息技术有限公司，原系安徽易联众全资子公司，已注销</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百路源</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湖州百路源投资管理有限公司，系商业保理控股子公司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电子科技</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福建易联众电子科技有限公司，系本公司控股子公司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广东易联众计算机技术有限公司，系本公司控股子公司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厦门纵达</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厦门市纵达科技有限公司，系本公司控股子公司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易联众智能（厦门）科技有限公司，系本公司控股子公司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易惠科技</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厦门市易联众易惠科技有限公司，系本公司控股子公司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易联众民生（厦门）科技有限公司，系本公司控股子公司</w:t>
            </w:r>
          </w:p>
        </w:tc>
      </w:tr>
      <w:tr>
        <w:trPr>
          <w:trHeight w:val="404"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大数据、大数据公司</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易联众（厦门）大数据科技有限公司，系本公司控股子公司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海南易联众信息技术有限公司，系本公司控股子公司</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4"/>
        <w:gridCol w:w="622"/>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易达迅</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福建易联众易达迅教育科技有限公司，系本公司控股子公司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通达易</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易联众通达易（厦门）信息科技有限公司，系本公司控股子公司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北京智康</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北京易联众智康科技有限公司，系本公司控股子公司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厦门市民生通电子商务有限公司，系易惠科技控股子公司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吉林易联众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吉林易联众信息技术有限公司，系北京易联众控股子公司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易方科技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厦门易联众易方科技有限公司，系医控公司控股子公司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山西民生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山西易联众民生科技有限公司，系民生科技控股子公司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医疗信息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福建易联众医疗信息系统有限公司，系医控公司控股子公司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广州睿图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广州易联众睿图信息技术有限公司，系医控公司控股子公司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医卫信息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福建易联众医卫信息技术有限公司，系医控公司控股子公司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人力资源、人力资源公司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易联众（厦门）人力资源服务有限公司，系民生科技全资子公司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山西无感付、无感付</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山西无感付科技有限公司，系易惠科技控股子公司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安徽易惠</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安徽易惠天下软件科技有限公司，系易惠科技控股子公司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保睿通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保睿通（厦门）信息科技有限公司，系易康吉控股子公司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长青科技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厦门易联众长青科技有限公司，系医控公司控股子公司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北京民生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北京易联众民生科技有限公司，系民生科技控股子公司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安徽民生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安徽易联众民生科技有限公司，系民生科技控股子公司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欣贝康</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福州欣贝康医药科技有限公司，系易方科技控股子公司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三明易就医</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三明易就医信息技术有限公司，系医疗信息全资子公司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金服公司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厦门易联众金融技术服务股份有限公司，系金融控股参股公司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基因检测公司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福建易联众基因检测分析技术有限公司，系本公司参股公司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广东民生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广东易联众民生信息技术有限公司，系本公司控股公司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黑龙江易联众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黑龙江易联众信息工程技术有限公司，系本公司参股公司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百川通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百川通信息技术有限公司，系本公司参股公司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尚洋易捷</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北京尚洋易捷信息技术股份有限公司，系本公司参股公司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医联康护</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原福建易联众医联信息技术有限公司，系本公司参股公司，现已更名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为福建医联康护信息技术有限公司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广州桔叶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广州桔叶信息科技有限公司，系本公司参股公司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医生集团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易联众（厦门）医生集团有限公司，系本公司参股公司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星民易付</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福建省星民易付多卡融合信息科技有限公司，系本公司参股公司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海保人寿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海保人寿保险股份有限公司，系本公司参股公司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麟腾网络</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厦门麟腾网络科技有限公司，系民生科技、保睿通及易惠科技参股公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易联众信息技术股份有限公司股东大会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易联众信息技术股份有限公司董事会</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4"/>
        <w:gridCol w:w="622"/>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厦门证监局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中国证券监督管理委员会厦门监管局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信托计划</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2"/>
              <w:ind w:left="22" w:right="86"/>
              <w:jc w:val="left"/>
              <w:rPr>
                <w:rFonts w:ascii="Times New Roman" w:hAnsi="Times New Roman" w:cs="Times New Roman" w:eastAsia="Times New Roman" w:hint="default"/>
                <w:sz w:val="18"/>
                <w:szCs w:val="18"/>
              </w:rPr>
            </w:pPr>
            <w:r>
              <w:rPr>
                <w:rFonts w:ascii="宋体" w:hAnsi="宋体" w:cs="宋体" w:eastAsia="宋体" w:hint="default"/>
                <w:sz w:val="18"/>
                <w:szCs w:val="18"/>
              </w:rPr>
              <w:t>张曦委托兴业国际信托有限公司设立的</w:t>
            </w:r>
            <w:r>
              <w:rPr>
                <w:rFonts w:ascii="Times New Roman" w:hAnsi="Times New Roman" w:cs="Times New Roman" w:eastAsia="Times New Roman" w:hint="default"/>
                <w:sz w:val="18"/>
                <w:szCs w:val="18"/>
              </w:rPr>
              <w:t>“</w:t>
            </w:r>
            <w:r>
              <w:rPr>
                <w:rFonts w:ascii="宋体" w:hAnsi="宋体" w:cs="宋体" w:eastAsia="宋体" w:hint="default"/>
                <w:sz w:val="18"/>
                <w:szCs w:val="18"/>
              </w:rPr>
              <w:t>兴业信托</w:t>
            </w:r>
            <w:r>
              <w:rPr>
                <w:rFonts w:ascii="Times New Roman" w:hAnsi="Times New Roman" w:cs="Times New Roman" w:eastAsia="Times New Roman" w:hint="default"/>
                <w:sz w:val="18"/>
                <w:szCs w:val="18"/>
              </w:rPr>
              <w:t>—</w:t>
            </w:r>
            <w:r>
              <w:rPr>
                <w:rFonts w:ascii="宋体" w:hAnsi="宋体" w:cs="宋体" w:eastAsia="宋体" w:hint="default"/>
                <w:sz w:val="18"/>
                <w:szCs w:val="18"/>
              </w:rPr>
              <w:t>兴运扶摇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号集 合资金信托计划</w:t>
            </w:r>
            <w:r>
              <w:rPr>
                <w:rFonts w:ascii="Times New Roman" w:hAnsi="Times New Roman" w:cs="Times New Roman" w:eastAsia="Times New Roman" w:hint="default"/>
                <w:sz w:val="18"/>
                <w:szCs w:val="18"/>
              </w:rPr>
              <w:t>”</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厦门麟真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张曦全资控股的厦门麟真贸易有限公司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报告期末（本报告期末）</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0"/>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shape style="position:absolute;margin-left:138pt;margin-top:114.585602pt;width:396.95pt;height:19.7pt;mso-position-horizontal-relative:page;mso-position-vertical-relative:paragraph;z-index:-1132216" type="#_x0000_t202" filled="false" stroked="false">
            <v:textbox inset="0,0,0,0">
              <w:txbxContent>
                <w:p>
                  <w:pPr>
                    <w:pStyle w:val="BodyText"/>
                    <w:spacing w:line="240" w:lineRule="auto" w:before="51"/>
                    <w:ind w:left="0" w:right="0"/>
                    <w:jc w:val="left"/>
                  </w:pPr>
                  <w:r>
                    <w:rPr/>
                    <w:t>（如有）</w:t>
                  </w:r>
                </w:p>
              </w:txbxContent>
            </v:textbox>
            <w10:wrap type="none"/>
          </v:shape>
        </w:pict>
      </w: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5"/>
        <w:gridCol w:w="2176"/>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5" w:right="0"/>
              <w:jc w:val="left"/>
              <w:rPr>
                <w:rFonts w:ascii="Times New Roman" w:hAnsi="Times New Roman" w:cs="Times New Roman" w:eastAsia="Times New Roman" w:hint="default"/>
                <w:sz w:val="18"/>
                <w:szCs w:val="18"/>
              </w:rPr>
            </w:pPr>
            <w:r>
              <w:rPr>
                <w:rFonts w:ascii="Times New Roman"/>
                <w:sz w:val="18"/>
              </w:rPr>
              <w:t>300096</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YLZ Information Technology</w:t>
            </w:r>
            <w:r>
              <w:rPr>
                <w:rFonts w:ascii="Times New Roman"/>
                <w:spacing w:val="-29"/>
                <w:sz w:val="18"/>
              </w:rPr>
              <w:t> </w:t>
            </w:r>
            <w:r>
              <w:rPr>
                <w:rFonts w:ascii="Times New Roman"/>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YLZ</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361008</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361008</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9">
              <w:r>
                <w:rPr>
                  <w:rFonts w:ascii="Times New Roman"/>
                  <w:sz w:val="18"/>
                </w:rPr>
                <w:t>www.ylzinfo.com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10">
              <w:r>
                <w:rPr>
                  <w:rFonts w:ascii="Times New Roman"/>
                  <w:sz w:val="18"/>
                </w:rPr>
                <w:t>YLZ@ylzinfo.com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甘雅娟</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0592-2517011</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0592-6307553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0592-2517008</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0592-2517008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hyperlink r:id="rId11">
              <w:r>
                <w:rPr>
                  <w:rFonts w:ascii="Times New Roman"/>
                  <w:sz w:val="18"/>
                </w:rPr>
                <w:t>tylee173@163.com</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hyperlink r:id="rId12">
              <w:r>
                <w:rPr>
                  <w:rFonts w:ascii="Times New Roman"/>
                  <w:sz w:val="18"/>
                </w:rPr>
                <w:t>gyj_rabbit@126.com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7"/>
      </w:tblGrid>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p>
        </w:tc>
      </w:tr>
      <w:tr>
        <w:trPr>
          <w:trHeight w:val="715"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p>
          <w:p>
            <w:pPr>
              <w:pStyle w:val="TableParagraph"/>
              <w:spacing w:line="240" w:lineRule="auto" w:before="105"/>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3"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97"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 </w:t>
            </w:r>
            <w:r>
              <w:rPr>
                <w:rFonts w:ascii="宋体" w:hAnsi="宋体" w:cs="宋体" w:eastAsia="宋体" w:hint="default"/>
                <w:sz w:val="18"/>
                <w:szCs w:val="18"/>
              </w:rPr>
              <w:t>室易联众信息技术股份有限公司董 事会办公室</w:t>
            </w:r>
          </w:p>
        </w:tc>
      </w:tr>
    </w:tbl>
    <w:p>
      <w:pPr>
        <w:spacing w:after="0" w:line="297"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厦门市湖里区环岛干道万科云玺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区领域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 </w:t>
            </w:r>
            <w:r>
              <w:rPr>
                <w:rFonts w:ascii="宋体" w:hAnsi="宋体" w:cs="宋体" w:eastAsia="宋体" w:hint="default"/>
                <w:sz w:val="18"/>
                <w:szCs w:val="18"/>
              </w:rPr>
              <w:t>楼</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李仕谦、郭清艺</w:t>
            </w:r>
          </w:p>
        </w:tc>
      </w:tr>
    </w:tbl>
    <w:p>
      <w:pPr>
        <w:pStyle w:val="BodyText"/>
        <w:spacing w:line="240" w:lineRule="auto" w:before="51"/>
        <w:ind w:right="0"/>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729,805,790.24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625,540,124.27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514,673,328.92</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14,664,775.38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18,121,725.29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10,598,174.34</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6,418,786.34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-42,842,488.41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114.98%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-4,386,864.75</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56,774,366.09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-936,320.35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6,163.56%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-275,594,974.57</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0.0340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0.0420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0.0250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0.0340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0.0420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-19.05%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0.0250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1,914,957,108.71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1,910,237,184.55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1,418,991,298.46</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740,647,483.83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727,272,623.62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711,726,010.37</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41"/>
        <w:gridCol w:w="1740"/>
        <w:gridCol w:w="1738"/>
        <w:gridCol w:w="1730"/>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89,009,549.04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168,293,796.94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180,644,547.52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291,857,896.74</w:t>
            </w:r>
          </w:p>
        </w:tc>
      </w:tr>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-20,165,435.64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-412,474.96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3,418,720.05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31,823,965.93</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-21,593,152.37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-4,405,371.34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3,125,656.01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29,291,654.04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36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5" w:right="0"/>
              <w:jc w:val="left"/>
              <w:rPr>
                <w:rFonts w:ascii="Times New Roman" w:hAnsi="Times New Roman" w:cs="Times New Roman" w:eastAsia="Times New Roman" w:hint="default"/>
                <w:sz w:val="18"/>
                <w:szCs w:val="18"/>
              </w:rPr>
            </w:pPr>
            <w:r>
              <w:rPr>
                <w:rFonts w:ascii="Times New Roman"/>
                <w:sz w:val="18"/>
              </w:rPr>
              <w:t>-97,904,388.14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1" w:right="0"/>
              <w:jc w:val="left"/>
              <w:rPr>
                <w:rFonts w:ascii="Times New Roman" w:hAnsi="Times New Roman" w:cs="Times New Roman" w:eastAsia="Times New Roman" w:hint="default"/>
                <w:sz w:val="18"/>
                <w:szCs w:val="18"/>
              </w:rPr>
            </w:pPr>
            <w:r>
              <w:rPr>
                <w:rFonts w:ascii="Times New Roman"/>
                <w:sz w:val="18"/>
              </w:rPr>
              <w:t>-31,524,466.38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1" w:right="0"/>
              <w:jc w:val="left"/>
              <w:rPr>
                <w:rFonts w:ascii="Times New Roman" w:hAnsi="Times New Roman" w:cs="Times New Roman" w:eastAsia="Times New Roman" w:hint="default"/>
                <w:sz w:val="18"/>
                <w:szCs w:val="18"/>
              </w:rPr>
            </w:pPr>
            <w:r>
              <w:rPr>
                <w:rFonts w:ascii="Times New Roman"/>
                <w:sz w:val="18"/>
              </w:rPr>
              <w:t>-44,746,724.20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1" w:right="0"/>
              <w:jc w:val="left"/>
              <w:rPr>
                <w:rFonts w:ascii="Times New Roman" w:hAnsi="Times New Roman" w:cs="Times New Roman" w:eastAsia="Times New Roman" w:hint="default"/>
                <w:sz w:val="18"/>
                <w:szCs w:val="18"/>
              </w:rPr>
            </w:pPr>
            <w:r>
              <w:rPr>
                <w:rFonts w:ascii="Times New Roman"/>
                <w:sz w:val="18"/>
              </w:rPr>
              <w:t>230,949,944.81</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15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-822,439.50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64,232,179.83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13,969,503.30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11,598,255.26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7,959,289.22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3,741,556.73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-50,162.24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-800,565.14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-292,714.13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1,593,135.11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9,561,127.95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2,419,271.72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886,529.37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865,562.26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14,035.09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8,245,989.04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60,964,213.70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14,985,039.09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2"/>
        <w:gridCol w:w="2128"/>
        <w:gridCol w:w="5179"/>
      </w:tblGrid>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3"/>
              <w:jc w:val="right"/>
              <w:rPr>
                <w:rFonts w:ascii="宋体" w:hAnsi="宋体" w:cs="宋体" w:eastAsia="宋体" w:hint="default"/>
                <w:sz w:val="18"/>
                <w:szCs w:val="18"/>
              </w:rPr>
            </w:pPr>
            <w:r>
              <w:rPr>
                <w:rFonts w:ascii="宋体" w:hAnsi="宋体" w:cs="宋体" w:eastAsia="宋体" w:hint="default"/>
                <w:sz w:val="18"/>
                <w:szCs w:val="18"/>
              </w:rPr>
              <w:t>项目</w:t>
            </w:r>
          </w:p>
        </w:tc>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969"/>
              <w:jc w:val="right"/>
              <w:rPr>
                <w:rFonts w:ascii="宋体" w:hAnsi="宋体" w:cs="宋体" w:eastAsia="宋体" w:hint="default"/>
                <w:sz w:val="18"/>
                <w:szCs w:val="18"/>
              </w:rPr>
            </w:pPr>
            <w:r>
              <w:rPr>
                <w:rFonts w:ascii="宋体" w:hAnsi="宋体" w:cs="宋体" w:eastAsia="宋体" w:hint="default"/>
                <w:sz w:val="18"/>
                <w:szCs w:val="18"/>
              </w:rPr>
              <w:t>软件增值税退税</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9,145,402.66</w:t>
            </w:r>
          </w:p>
        </w:tc>
        <w:tc>
          <w:tcPr>
            <w:tcW w:w="5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退税政策为经常性发生的补助</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969"/>
              <w:jc w:val="right"/>
              <w:rPr>
                <w:rFonts w:ascii="宋体" w:hAnsi="宋体" w:cs="宋体" w:eastAsia="宋体" w:hint="default"/>
                <w:sz w:val="18"/>
                <w:szCs w:val="18"/>
              </w:rPr>
            </w:pPr>
            <w:r>
              <w:rPr>
                <w:rFonts w:ascii="宋体" w:hAnsi="宋体" w:cs="宋体" w:eastAsia="宋体" w:hint="default"/>
                <w:sz w:val="18"/>
                <w:szCs w:val="18"/>
              </w:rPr>
              <w:t>个税手续费返还</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136,112.83</w:t>
            </w:r>
          </w:p>
        </w:tc>
        <w:tc>
          <w:tcPr>
            <w:tcW w:w="5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个税手续费返还为经常性发生的补助</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82"/>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0"/>
        <w:jc w:val="left"/>
      </w:pPr>
      <w:r>
        <w:rPr/>
        <w:t>软件与信息技术服务业</w:t>
      </w:r>
    </w:p>
    <w:p>
      <w:pPr>
        <w:pStyle w:val="BodyText"/>
        <w:spacing w:line="340" w:lineRule="auto" w:before="117"/>
        <w:ind w:left="513" w:right="0"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2"/>
        </w:rPr>
        <w:t>公司围绕</w:t>
      </w:r>
      <w:r>
        <w:rPr>
          <w:rFonts w:ascii="Times New Roman" w:hAnsi="Times New Roman" w:cs="Times New Roman" w:eastAsia="Times New Roman" w:hint="default"/>
          <w:spacing w:val="-2"/>
        </w:rPr>
        <w:t>“</w:t>
      </w:r>
      <w:r>
        <w:rPr>
          <w:spacing w:val="-2"/>
        </w:rPr>
        <w:t>医疗卫生、医疗保障、人力资源和社会保障</w:t>
      </w:r>
      <w:r>
        <w:rPr>
          <w:rFonts w:ascii="Times New Roman" w:hAnsi="Times New Roman" w:cs="Times New Roman" w:eastAsia="Times New Roman" w:hint="default"/>
          <w:spacing w:val="-2"/>
        </w:rPr>
        <w:t>”</w:t>
      </w:r>
      <w:r>
        <w:rPr>
          <w:spacing w:val="-2"/>
        </w:rPr>
        <w:t>等民生重要领域，深度整合政府、企业和社会大众不同层面的民</w:t>
      </w:r>
    </w:p>
    <w:p>
      <w:pPr>
        <w:pStyle w:val="BodyText"/>
        <w:spacing w:line="215" w:lineRule="exact"/>
        <w:ind w:right="0"/>
        <w:jc w:val="left"/>
      </w:pPr>
      <w:r>
        <w:rPr/>
        <w:t>生信息服务需求，依托社保卡业务、民生行业应用软件、云平台、智能终端等全面的软硬件产品应用体系，逐步构建起线上</w:t>
      </w:r>
    </w:p>
    <w:p>
      <w:pPr>
        <w:pStyle w:val="BodyText"/>
        <w:spacing w:line="314" w:lineRule="auto" w:before="76"/>
        <w:ind w:right="1034"/>
        <w:jc w:val="left"/>
      </w:pPr>
      <w:r>
        <w:rPr/>
        <w:t>线下一体化的综合运营服务模式，形成应用、平台、渠道、运营的组合优势，以大数据为驱动，围绕健康医疗、公共服务、 </w:t>
      </w:r>
      <w:r>
        <w:rPr>
          <w:spacing w:val="-4"/>
        </w:rPr>
        <w:t>产业金融三大类服务，提供全方位的整体解决方案和综合运营服务，致力于成为以大数据为核心的民生信息服务综合运营商，</w:t>
      </w:r>
      <w:r>
        <w:rPr>
          <w:spacing w:val="-44"/>
        </w:rPr>
        <w:t> </w:t>
      </w:r>
      <w:r>
        <w:rPr>
          <w:spacing w:val="-44"/>
        </w:rPr>
      </w:r>
      <w:r>
        <w:rPr>
          <w:spacing w:val="-2"/>
        </w:rPr>
        <w:t>为政府、企业和社会公众提供并优化包括健康医疗服务、人社公共服务、医保控费、医保移动支付、商业保险服务、劳动就</w:t>
      </w:r>
      <w:r>
        <w:rPr>
          <w:spacing w:val="-68"/>
        </w:rPr>
        <w:t> </w:t>
      </w:r>
      <w:r>
        <w:rPr>
          <w:spacing w:val="-68"/>
        </w:rPr>
      </w:r>
      <w:r>
        <w:rPr>
          <w:spacing w:val="-2"/>
        </w:rPr>
        <w:t>业、金融等更多、更便捷、更实惠的各类民生信息服务。目前公司业务范围覆盖福建、安徽、湖南、广西、山西等</w:t>
      </w:r>
      <w:r>
        <w:rPr>
          <w:rFonts w:ascii="Times New Roman" w:hAnsi="Times New Roman" w:cs="Times New Roman" w:eastAsia="Times New Roman" w:hint="default"/>
          <w:spacing w:val="-2"/>
        </w:rPr>
        <w:t>20</w:t>
      </w:r>
      <w:r>
        <w:rPr>
          <w:spacing w:val="-2"/>
        </w:rPr>
        <w:t>多个省</w:t>
      </w:r>
      <w:r>
        <w:rPr>
          <w:spacing w:val="-67"/>
        </w:rPr>
        <w:t> </w:t>
      </w:r>
      <w:r>
        <w:rPr>
          <w:spacing w:val="-67"/>
        </w:rPr>
      </w:r>
      <w:r>
        <w:rPr/>
        <w:t>份，产品服务人群超过</w:t>
      </w:r>
      <w:r>
        <w:rPr>
          <w:rFonts w:ascii="Times New Roman" w:hAnsi="Times New Roman" w:cs="Times New Roman" w:eastAsia="Times New Roman" w:hint="default"/>
        </w:rPr>
        <w:t>4.5</w:t>
      </w:r>
      <w:r>
        <w:rPr/>
        <w:t>亿，服务企业超过</w:t>
      </w:r>
      <w:r>
        <w:rPr>
          <w:rFonts w:ascii="Times New Roman" w:hAnsi="Times New Roman" w:cs="Times New Roman" w:eastAsia="Times New Roman" w:hint="default"/>
        </w:rPr>
        <w:t>600</w:t>
      </w:r>
      <w:r>
        <w:rPr/>
        <w:t>万家。</w:t>
      </w:r>
    </w:p>
    <w:p>
      <w:pPr>
        <w:pStyle w:val="BodyText"/>
        <w:spacing w:line="240" w:lineRule="auto" w:before="1"/>
        <w:ind w:left="513" w:right="0"/>
        <w:jc w:val="left"/>
      </w:pPr>
      <w:r>
        <w:rPr/>
        <w:t>经过多年的业务实践和积累，目前，公司拥有健康医疗、公共服务、产业金融、大数据等业务。</w:t>
      </w:r>
    </w:p>
    <w:p>
      <w:pPr>
        <w:pStyle w:val="BodyText"/>
        <w:spacing w:line="316" w:lineRule="auto" w:before="76"/>
        <w:ind w:left="513" w:right="0"/>
        <w:jc w:val="left"/>
      </w:pPr>
      <w:r>
        <w:rPr>
          <w:rFonts w:ascii="宋体" w:hAnsi="宋体" w:cs="宋体" w:eastAsia="宋体" w:hint="default"/>
          <w:b/>
          <w:bCs/>
        </w:rPr>
        <w:t>（一）健康医疗业务</w:t>
      </w:r>
      <w:r>
        <w:rPr>
          <w:rFonts w:ascii="宋体" w:hAnsi="宋体" w:cs="宋体" w:eastAsia="宋体" w:hint="default"/>
          <w:b/>
          <w:bCs/>
          <w:w w:val="99"/>
        </w:rPr>
        <w:t> </w:t>
      </w:r>
      <w:r>
        <w:rPr/>
        <w:t>近年来，国家高度重视健康医疗行业发展，尤其关注以信息化促进健康医疗发展，发布了包括</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、医疗改革、</w:t>
      </w:r>
    </w:p>
    <w:p>
      <w:pPr>
        <w:pStyle w:val="BodyText"/>
        <w:spacing w:line="235" w:lineRule="exact"/>
        <w:ind w:right="0"/>
        <w:jc w:val="left"/>
      </w:pPr>
      <w:r>
        <w:rPr/>
        <w:t>医疗机构信息化建设等文件，包括：</w:t>
      </w:r>
    </w:p>
    <w:p>
      <w:pPr>
        <w:pStyle w:val="BodyText"/>
        <w:spacing w:line="314" w:lineRule="auto" w:before="76"/>
        <w:ind w:right="1129"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月，国务院发布的《关于积极推进</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行动的指导意见》（国发〔</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40</w:t>
      </w:r>
      <w:r>
        <w:rPr>
          <w:spacing w:val="-2"/>
        </w:rPr>
        <w:t>号）指出，积极利用移动互联</w:t>
      </w:r>
      <w:r>
        <w:rPr/>
        <w:t> </w:t>
      </w:r>
      <w:r>
        <w:rPr>
          <w:spacing w:val="-2"/>
        </w:rPr>
        <w:t>网提供在线预约诊疗、候诊提醒、划价缴费、诊疗报告查询、药品配送等便捷服务；引导医疗机构面向中小城市和农村地区</w:t>
      </w:r>
      <w:r>
        <w:rPr>
          <w:spacing w:val="-67"/>
        </w:rPr>
        <w:t> </w:t>
      </w:r>
      <w:r>
        <w:rPr>
          <w:spacing w:val="-67"/>
        </w:rPr>
      </w:r>
      <w:r>
        <w:rPr>
          <w:spacing w:val="-2"/>
        </w:rPr>
        <w:t>开展基层检查、上级诊断等远程医疗服务；鼓励互联网企业与医疗机构合作建立医疗网络信息平台，加强区域医疗卫生服务</w:t>
      </w:r>
      <w:r>
        <w:rPr>
          <w:spacing w:val="-62"/>
        </w:rPr>
        <w:t> </w:t>
      </w:r>
      <w:r>
        <w:rPr>
          <w:spacing w:val="-62"/>
        </w:rPr>
      </w:r>
      <w:r>
        <w:rPr>
          <w:spacing w:val="-2"/>
        </w:rPr>
        <w:t>资源整合，充分利用互联网、大数据等手段，提高重大疾病和突发公共卫生事件防控能力；积极探索互联网延伸医嘱、电子</w:t>
      </w:r>
      <w:r>
        <w:rPr>
          <w:spacing w:val="-66"/>
        </w:rPr>
        <w:t> </w:t>
      </w:r>
      <w:r>
        <w:rPr>
          <w:spacing w:val="-66"/>
        </w:rPr>
      </w:r>
      <w:r>
        <w:rPr/>
        <w:t>处方等网络医疗健康服务应用。</w:t>
      </w:r>
    </w:p>
    <w:p>
      <w:pPr>
        <w:pStyle w:val="BodyText"/>
        <w:spacing w:line="304" w:lineRule="auto" w:before="20"/>
        <w:ind w:right="1129"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月，国务院发布《关于印发</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卫生与健康规划的通知》（国发〔</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77</w:t>
      </w:r>
      <w:r>
        <w:rPr>
          <w:spacing w:val="-2"/>
        </w:rPr>
        <w:t>号）指出，积极推动健康医疗</w:t>
      </w:r>
      <w:r>
        <w:rPr/>
        <w:t> 信息化新业态快速有序发展；全面实施</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健康医疗益民服务，发展面向中西部和基层的远程医疗和线上线下相结合</w:t>
      </w:r>
      <w:r>
        <w:rPr>
          <w:spacing w:val="-74"/>
        </w:rPr>
        <w:t> </w:t>
      </w:r>
      <w:r>
        <w:rPr>
          <w:spacing w:val="-74"/>
        </w:rPr>
      </w:r>
      <w:r>
        <w:rPr>
          <w:spacing w:val="-2"/>
        </w:rPr>
        <w:t>的智慧医疗，促进云计算、大数据、物联网、移动互联网、虚拟现实等信息技术与健康服务的深度融合，提升健康信息服务</w:t>
      </w:r>
      <w:r>
        <w:rPr>
          <w:spacing w:val="-66"/>
        </w:rPr>
        <w:t> </w:t>
      </w:r>
      <w:r>
        <w:rPr>
          <w:spacing w:val="-66"/>
        </w:rPr>
      </w:r>
      <w:r>
        <w:rPr>
          <w:spacing w:val="-2"/>
        </w:rPr>
        <w:t>能力；鼓励建立区域远程医疗业务平台，推动优质医疗资源纵向流动，远程医疗服务覆盖</w:t>
      </w:r>
      <w:r>
        <w:rPr>
          <w:rFonts w:ascii="Times New Roman" w:hAnsi="Times New Roman" w:cs="Times New Roman" w:eastAsia="Times New Roman" w:hint="default"/>
          <w:spacing w:val="-2"/>
        </w:rPr>
        <w:t>50%</w:t>
      </w:r>
      <w:r>
        <w:rPr>
          <w:spacing w:val="-2"/>
        </w:rPr>
        <w:t>以上的县（区、市）；全面深</w:t>
      </w:r>
      <w:r>
        <w:rPr>
          <w:spacing w:val="-37"/>
        </w:rPr>
        <w:t> </w:t>
      </w:r>
      <w:r>
        <w:rPr>
          <w:spacing w:val="-37"/>
        </w:rPr>
      </w:r>
      <w:r>
        <w:rPr/>
        <w:t>化健康医疗大数据应用。</w:t>
      </w:r>
    </w:p>
    <w:p>
      <w:pPr>
        <w:pStyle w:val="BodyText"/>
        <w:spacing w:line="300" w:lineRule="auto" w:before="28"/>
        <w:ind w:right="1133"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月国务院印发《</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深化医药卫生体制改革规划的通知》（国发〔</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78</w:t>
      </w:r>
      <w:r>
        <w:rPr/>
        <w:t>号），明确</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期间要在 分级诊疗、现代医院管理、全民医保、药品供应保障、综合监管等五项制度改革上取得新突破。</w:t>
      </w:r>
    </w:p>
    <w:p>
      <w:pPr>
        <w:pStyle w:val="BodyText"/>
        <w:spacing w:line="302" w:lineRule="auto" w:before="31"/>
        <w:ind w:right="1128"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月，国务院办公厅正式发布《关于促进</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医疗健康</w:t>
      </w:r>
      <w:r>
        <w:rPr>
          <w:rFonts w:ascii="Times New Roman" w:hAnsi="Times New Roman" w:cs="Times New Roman" w:eastAsia="Times New Roman" w:hint="default"/>
          <w:spacing w:val="-2"/>
        </w:rPr>
        <w:t>”</w:t>
      </w:r>
      <w:r>
        <w:rPr>
          <w:spacing w:val="-2"/>
        </w:rPr>
        <w:t>发展的意见》（国办发〔</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26</w:t>
      </w:r>
      <w:r>
        <w:rPr>
          <w:spacing w:val="-2"/>
        </w:rPr>
        <w:t>号），提出：一是</w:t>
      </w:r>
      <w:r>
        <w:rPr/>
        <w:t> </w:t>
      </w:r>
      <w:r>
        <w:rPr>
          <w:spacing w:val="-1"/>
        </w:rPr>
        <w:t>健全</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医疗健康</w:t>
      </w:r>
      <w:r>
        <w:rPr>
          <w:rFonts w:ascii="Times New Roman" w:hAnsi="Times New Roman" w:cs="Times New Roman" w:eastAsia="Times New Roman" w:hint="default"/>
          <w:spacing w:val="-1"/>
        </w:rPr>
        <w:t>”</w:t>
      </w:r>
      <w:r>
        <w:rPr>
          <w:spacing w:val="-1"/>
        </w:rPr>
        <w:t>服务体系，通过发展</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医疗服务，创新</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公共卫生服务，优化</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家庭医生签</w:t>
      </w:r>
      <w:r>
        <w:rPr>
          <w:spacing w:val="-88"/>
        </w:rPr>
        <w:t> </w:t>
      </w:r>
      <w:r>
        <w:rPr>
          <w:spacing w:val="-4"/>
        </w:rPr>
        <w:t>约服务，完善</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药品供应保障服务，推进</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医疗保障结算服务，加强</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医学教育和科普服务，推进</w:t>
      </w:r>
      <w:r>
        <w:rPr>
          <w:rFonts w:ascii="Times New Roman" w:hAnsi="Times New Roman" w:cs="Times New Roman" w:eastAsia="Times New Roman" w:hint="default"/>
          <w:spacing w:val="-4"/>
        </w:rPr>
        <w:t>“</w:t>
      </w:r>
      <w:r>
        <w:rPr>
          <w:spacing w:val="-4"/>
        </w:rPr>
        <w:t>互</w:t>
      </w:r>
      <w:r>
        <w:rPr>
          <w:spacing w:val="-84"/>
        </w:rPr>
        <w:t> </w:t>
      </w:r>
      <w:r>
        <w:rPr/>
        <w:t>联网</w:t>
      </w:r>
      <w:r>
        <w:rPr>
          <w:rFonts w:ascii="Times New Roman" w:hAnsi="Times New Roman" w:cs="Times New Roman" w:eastAsia="Times New Roman" w:hint="default"/>
        </w:rPr>
        <w:t>+”</w:t>
      </w:r>
      <w:r>
        <w:rPr/>
        <w:t>人工智能应用服务，推动互联网与医疗健康服务融合发展；二是完善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支撑体系，加快实现医疗健</w:t>
      </w:r>
      <w:r>
        <w:rPr>
          <w:spacing w:val="-78"/>
        </w:rPr>
        <w:t> </w:t>
      </w:r>
      <w:r>
        <w:rPr>
          <w:spacing w:val="-78"/>
        </w:rPr>
      </w:r>
      <w:r>
        <w:rPr/>
        <w:t>康信息互通共享，健全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标准体系，提高医院管理和便民服务水平；三是加强行业监管和安全保障，强化</w:t>
      </w:r>
      <w:r>
        <w:rPr>
          <w:spacing w:val="-77"/>
        </w:rPr>
        <w:t> </w:t>
      </w:r>
      <w:r>
        <w:rPr>
          <w:spacing w:val="-77"/>
        </w:rPr>
      </w:r>
      <w:r>
        <w:rPr>
          <w:spacing w:val="-2"/>
        </w:rPr>
        <w:t>医疗质量监管，保障数据安全。随着医改的实施及国家基本医疗卫生制度的建立，加快发展健康服务业成为健全全民医保体</w:t>
      </w:r>
      <w:r>
        <w:rPr>
          <w:spacing w:val="-62"/>
        </w:rPr>
        <w:t> </w:t>
      </w:r>
      <w:r>
        <w:rPr>
          <w:spacing w:val="-62"/>
        </w:rPr>
      </w:r>
      <w:r>
        <w:rPr/>
        <w:t>系、深化医药卫生体制改革新阶段的重要任务。</w:t>
      </w:r>
    </w:p>
    <w:p>
      <w:pPr>
        <w:pStyle w:val="BodyText"/>
        <w:spacing w:line="300" w:lineRule="auto" w:before="29"/>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日，国家卫健委发布《关于进一步推进以电子病历为核心的医疗机构信息化建设工作的通知》（国卫办医 发〔</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20</w:t>
      </w:r>
      <w:r>
        <w:rPr/>
        <w:t>号），指出为全面实施健康中国战略，落实《国务院办公厅关于促进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发展的意见》，将持</w:t>
      </w:r>
      <w:r>
        <w:rPr>
          <w:spacing w:val="-78"/>
        </w:rPr>
        <w:t> </w:t>
      </w:r>
      <w:r>
        <w:rPr>
          <w:spacing w:val="-78"/>
        </w:rPr>
      </w:r>
      <w:r>
        <w:rPr/>
        <w:t>续推进以电子病历为核心的医疗机构信息化建设。</w:t>
      </w:r>
    </w:p>
    <w:p>
      <w:pPr>
        <w:spacing w:after="0" w:line="300"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0"/>
        <w:jc w:val="left"/>
      </w:pPr>
      <w:r>
        <w:rPr/>
        <w:t>以上文件表明健康医疗信息化行业随着国家的高度重视，已经进入快速发展期。</w:t>
      </w:r>
    </w:p>
    <w:p>
      <w:pPr>
        <w:pStyle w:val="BodyText"/>
        <w:spacing w:line="312" w:lineRule="auto" w:before="76"/>
        <w:ind w:right="113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日，十三届全国人大一次会议表决通过关于国务院机构改革方案，其中为深化推进</w:t>
      </w:r>
      <w:r>
        <w:rPr>
          <w:rFonts w:ascii="Times New Roman" w:hAnsi="Times New Roman" w:cs="Times New Roman" w:eastAsia="Times New Roman" w:hint="default"/>
        </w:rPr>
        <w:t>“</w:t>
      </w:r>
      <w:r>
        <w:rPr/>
        <w:t>三医联动</w:t>
      </w:r>
      <w:r>
        <w:rPr>
          <w:rFonts w:ascii="Times New Roman" w:hAnsi="Times New Roman" w:cs="Times New Roman" w:eastAsia="Times New Roman" w:hint="default"/>
        </w:rPr>
        <w:t>”</w:t>
      </w:r>
      <w:r>
        <w:rPr/>
        <w:t>改革，确定 </w:t>
      </w:r>
      <w:r>
        <w:rPr>
          <w:spacing w:val="-2"/>
        </w:rPr>
        <w:t>组建国家医疗保障局，这是对三明和福建省试点经验的肯定，也是总结、提升和推广。公司作为三明医改总集成商和福建省</w:t>
      </w:r>
      <w:r>
        <w:rPr>
          <w:spacing w:val="-66"/>
        </w:rPr>
        <w:t> </w:t>
      </w:r>
      <w:r>
        <w:rPr>
          <w:spacing w:val="-66"/>
        </w:rPr>
      </w:r>
      <w:r>
        <w:rPr>
          <w:spacing w:val="-2"/>
        </w:rPr>
        <w:t>全省医保信息化总承建商，具备先发优势，将给公司医保信息化和大数据业务带来积极影响，把公司已经形成的产品推广到</w:t>
      </w:r>
      <w:r>
        <w:rPr>
          <w:spacing w:val="-63"/>
        </w:rPr>
        <w:t> </w:t>
      </w:r>
      <w:r>
        <w:rPr>
          <w:spacing w:val="-63"/>
        </w:rPr>
      </w:r>
      <w:r>
        <w:rPr/>
        <w:t>其他省份和地区，在医保服务和监管上发挥作用。</w:t>
      </w:r>
    </w:p>
    <w:p>
      <w:pPr>
        <w:pStyle w:val="BodyText"/>
        <w:spacing w:line="309" w:lineRule="auto" w:before="22"/>
        <w:ind w:right="1128" w:firstLine="360"/>
        <w:jc w:val="both"/>
      </w:pPr>
      <w:r>
        <w:rPr>
          <w:spacing w:val="-2"/>
        </w:rPr>
        <w:t>此外，经过多年积淀，公司已全面覆盖了医疗卫生传统基础业务，并积极拓展公众健康服务等互联网医疗领域，力图在</w:t>
      </w:r>
      <w:r>
        <w:rPr/>
        <w:t> </w:t>
      </w:r>
      <w:r>
        <w:rPr>
          <w:spacing w:val="-2"/>
        </w:rPr>
        <w:t>互联网医疗发展浪潮中占据有利竞争地位。公司健康医疗领域的产品及解决方案主要包括医改信息化整体解决方案、医保信</w:t>
      </w:r>
      <w:r>
        <w:rPr>
          <w:spacing w:val="-64"/>
        </w:rPr>
        <w:t> </w:t>
      </w:r>
      <w:r>
        <w:rPr>
          <w:spacing w:val="-64"/>
        </w:rPr>
      </w:r>
      <w:r>
        <w:rPr>
          <w:spacing w:val="-2"/>
        </w:rPr>
        <w:t>息化整体解决方案、智慧医药解决方案、智慧医院整体解决方案、健康城市解决方案、区域卫生平台整体解决方案、基层卫</w:t>
      </w:r>
      <w:r>
        <w:rPr>
          <w:spacing w:val="-68"/>
        </w:rPr>
        <w:t> </w:t>
      </w:r>
      <w:r>
        <w:rPr>
          <w:spacing w:val="-68"/>
        </w:rPr>
      </w:r>
      <w:r>
        <w:rPr/>
        <w:t>生平台整体解决方案、各类互联网</w:t>
      </w:r>
      <w:r>
        <w:rPr>
          <w:rFonts w:ascii="Times New Roman" w:hAnsi="Times New Roman" w:cs="Times New Roman" w:eastAsia="Times New Roman" w:hint="default"/>
        </w:rPr>
        <w:t>+</w:t>
      </w:r>
      <w:r>
        <w:rPr/>
        <w:t>移动医疗解决方案等；产品涵盖</w:t>
      </w:r>
      <w:r>
        <w:rPr>
          <w:rFonts w:ascii="Times New Roman" w:hAnsi="Times New Roman" w:cs="Times New Roman" w:eastAsia="Times New Roman" w:hint="default"/>
        </w:rPr>
        <w:t>“</w:t>
      </w:r>
      <w:r>
        <w:rPr/>
        <w:t>三医联动</w:t>
      </w:r>
      <w:r>
        <w:rPr>
          <w:rFonts w:ascii="Times New Roman" w:hAnsi="Times New Roman" w:cs="Times New Roman" w:eastAsia="Times New Roman" w:hint="default"/>
        </w:rPr>
        <w:t>”</w:t>
      </w:r>
      <w:r>
        <w:rPr/>
        <w:t>监测平台、</w:t>
      </w:r>
      <w:r>
        <w:rPr>
          <w:rFonts w:ascii="Times New Roman" w:hAnsi="Times New Roman" w:cs="Times New Roman" w:eastAsia="Times New Roman" w:hint="default"/>
        </w:rPr>
        <w:t>“</w:t>
      </w:r>
      <w:r>
        <w:rPr/>
        <w:t>三保合一</w:t>
      </w:r>
      <w:r>
        <w:rPr>
          <w:rFonts w:ascii="Times New Roman" w:hAnsi="Times New Roman" w:cs="Times New Roman" w:eastAsia="Times New Roman" w:hint="default"/>
        </w:rPr>
        <w:t>”</w:t>
      </w:r>
      <w:r>
        <w:rPr/>
        <w:t>系统、医保医师代码</w:t>
      </w:r>
      <w:r>
        <w:rPr>
          <w:spacing w:val="-60"/>
        </w:rPr>
        <w:t> </w:t>
      </w:r>
      <w:r>
        <w:rPr>
          <w:spacing w:val="-60"/>
        </w:rPr>
      </w:r>
      <w:r>
        <w:rPr/>
        <w:t>管理系统、医保控费系统、电子处方流转平台、智慧药店、</w:t>
      </w:r>
      <w:r>
        <w:rPr>
          <w:rFonts w:ascii="Times New Roman" w:hAnsi="Times New Roman" w:cs="Times New Roman" w:eastAsia="Times New Roman" w:hint="default"/>
        </w:rPr>
        <w:t>HIS</w:t>
      </w:r>
      <w:r>
        <w:rPr/>
        <w:t>、</w:t>
      </w:r>
      <w:r>
        <w:rPr>
          <w:rFonts w:ascii="Times New Roman" w:hAnsi="Times New Roman" w:cs="Times New Roman" w:eastAsia="Times New Roman" w:hint="default"/>
        </w:rPr>
        <w:t>PACS</w:t>
      </w:r>
      <w:r>
        <w:rPr/>
        <w:t>、电子病历、集成平台、统一支付平台、统一预约</w:t>
      </w:r>
      <w:r>
        <w:rPr>
          <w:spacing w:val="-22"/>
        </w:rPr>
        <w:t> </w:t>
      </w:r>
      <w:r>
        <w:rPr>
          <w:spacing w:val="-22"/>
        </w:rPr>
      </w:r>
      <w:r>
        <w:rPr/>
        <w:t>平台、医联体分级诊疗平台、基层医疗卫生信息平台、家庭医生签约服务平台、电子健康（医社保）卡以及互联网</w:t>
      </w:r>
      <w:r>
        <w:rPr>
          <w:rFonts w:ascii="Times New Roman" w:hAnsi="Times New Roman" w:cs="Times New Roman" w:eastAsia="Times New Roman" w:hint="default"/>
        </w:rPr>
        <w:t>+</w:t>
      </w:r>
      <w:r>
        <w:rPr/>
        <w:t>移动服 务门户等。</w:t>
      </w:r>
    </w:p>
    <w:p>
      <w:pPr>
        <w:pStyle w:val="BodyText"/>
        <w:spacing w:line="316" w:lineRule="auto" w:before="24"/>
        <w:ind w:left="513" w:right="0"/>
        <w:jc w:val="left"/>
      </w:pPr>
      <w:r>
        <w:rPr>
          <w:rFonts w:ascii="宋体" w:hAnsi="宋体" w:cs="宋体" w:eastAsia="宋体" w:hint="default"/>
          <w:b/>
          <w:bCs/>
        </w:rPr>
        <w:t>（二）公共服务业务</w:t>
      </w:r>
      <w:r>
        <w:rPr>
          <w:rFonts w:ascii="宋体" w:hAnsi="宋体" w:cs="宋体" w:eastAsia="宋体" w:hint="default"/>
          <w:b/>
          <w:bCs/>
          <w:w w:val="99"/>
        </w:rPr>
        <w:t> </w:t>
      </w:r>
      <w:r>
        <w:rPr>
          <w:spacing w:val="-4"/>
        </w:rPr>
        <w:t>党的十九大报告中提出，加强社会保障体系建设，按照兜底线、织密网、建机制的要求，全面建成覆盖全民、城乡统筹、</w:t>
      </w:r>
    </w:p>
    <w:p>
      <w:pPr>
        <w:pStyle w:val="BodyText"/>
        <w:spacing w:line="300" w:lineRule="auto" w:before="19"/>
        <w:ind w:right="1034"/>
        <w:jc w:val="left"/>
      </w:pPr>
      <w:r>
        <w:rPr/>
        <w:t>权责清晰、保障适度、可持续的多层次社会保障体系。《</w:t>
      </w:r>
      <w:r>
        <w:rPr>
          <w:rFonts w:ascii="Times New Roman" w:hAnsi="Times New Roman" w:cs="Times New Roman" w:eastAsia="Times New Roman" w:hint="default"/>
        </w:rPr>
        <w:t>2019</w:t>
      </w:r>
      <w:r>
        <w:rPr/>
        <w:t>年政府工作报告》进一步强调，</w:t>
      </w:r>
      <w:r>
        <w:rPr>
          <w:rFonts w:ascii="Times New Roman" w:hAnsi="Times New Roman" w:cs="Times New Roman" w:eastAsia="Times New Roman" w:hint="default"/>
        </w:rPr>
        <w:t>2019</w:t>
      </w:r>
      <w:r>
        <w:rPr/>
        <w:t>年将加快发展社会事业，</w:t>
      </w:r>
      <w:r>
        <w:rPr>
          <w:spacing w:val="-86"/>
        </w:rPr>
        <w:t> </w:t>
      </w:r>
      <w:r>
        <w:rPr/>
        <w:t>更好保障和改善民生，其中包含了深化公立医院综合改革、完善社会保障制度和政策。</w:t>
      </w:r>
    </w:p>
    <w:p>
      <w:pPr>
        <w:pStyle w:val="BodyText"/>
        <w:spacing w:line="304" w:lineRule="auto" w:before="31"/>
        <w:ind w:right="1034" w:firstLine="360"/>
        <w:jc w:val="left"/>
      </w:pPr>
      <w:r>
        <w:rPr/>
        <w:t>同时，随着我国电子政务的大力推进，在云计算、大数据、互联网</w:t>
      </w:r>
      <w:r>
        <w:rPr>
          <w:rFonts w:ascii="Times New Roman" w:hAnsi="Times New Roman" w:cs="Times New Roman" w:eastAsia="Times New Roman" w:hint="default"/>
        </w:rPr>
        <w:t>+</w:t>
      </w:r>
      <w:r>
        <w:rPr/>
        <w:t>的时代背景下，国务院指出，要利用现有的信息资 </w:t>
      </w:r>
      <w:r>
        <w:rPr>
          <w:spacing w:val="-2"/>
        </w:rPr>
        <w:t>源，以新技术为支撑，构建全方位、立体化的互联网政务服务体系，以促进政府职能转变，建设服务型政府，并制定一系列</w:t>
      </w:r>
      <w:r>
        <w:rPr>
          <w:spacing w:val="-68"/>
        </w:rPr>
        <w:t> </w:t>
      </w:r>
      <w:r>
        <w:rPr>
          <w:spacing w:val="-68"/>
        </w:rPr>
      </w:r>
      <w:r>
        <w:rPr>
          <w:spacing w:val="-5"/>
          <w:w w:val="100"/>
        </w:rPr>
        <w:t>的政策文件和标准规范，指导公共服务信息化建设。</w:t>
      </w:r>
      <w:r>
        <w:rPr>
          <w:rFonts w:ascii="Times New Roman" w:hAnsi="Times New Roman" w:cs="Times New Roman" w:eastAsia="Times New Roman" w:hint="default"/>
          <w:spacing w:val="-5"/>
          <w:w w:val="100"/>
        </w:rPr>
        <w:t>2016</w:t>
      </w:r>
      <w:r>
        <w:rPr>
          <w:spacing w:val="-5"/>
          <w:w w:val="100"/>
        </w:rPr>
        <w:t>年人社部发布的《</w:t>
      </w:r>
      <w:r>
        <w:rPr>
          <w:rFonts w:ascii="Times New Roman" w:hAnsi="Times New Roman" w:cs="Times New Roman" w:eastAsia="Times New Roman" w:hint="default"/>
          <w:spacing w:val="-5"/>
          <w:w w:val="100"/>
        </w:rPr>
        <w:t>“</w:t>
      </w:r>
      <w:r>
        <w:rPr>
          <w:spacing w:val="-5"/>
          <w:w w:val="100"/>
        </w:rPr>
        <w:t>互联网</w:t>
      </w:r>
      <w:r>
        <w:rPr>
          <w:rFonts w:ascii="Times New Roman" w:hAnsi="Times New Roman" w:cs="Times New Roman" w:eastAsia="Times New Roman" w:hint="default"/>
          <w:spacing w:val="-5"/>
          <w:w w:val="100"/>
        </w:rPr>
        <w:t>+</w:t>
      </w:r>
      <w:r>
        <w:rPr>
          <w:spacing w:val="-5"/>
          <w:w w:val="100"/>
        </w:rPr>
        <w:t>人社</w:t>
      </w:r>
      <w:r>
        <w:rPr>
          <w:rFonts w:ascii="Times New Roman" w:hAnsi="Times New Roman" w:cs="Times New Roman" w:eastAsia="Times New Roman" w:hint="default"/>
          <w:spacing w:val="-5"/>
          <w:w w:val="100"/>
        </w:rPr>
        <w:t>”2020</w:t>
      </w:r>
      <w:r>
        <w:rPr>
          <w:spacing w:val="-5"/>
          <w:w w:val="100"/>
        </w:rPr>
        <w:t>行动计划》（人社部发〔</w:t>
      </w:r>
      <w:r>
        <w:rPr>
          <w:rFonts w:ascii="Times New Roman" w:hAnsi="Times New Roman" w:cs="Times New Roman" w:eastAsia="Times New Roman" w:hint="default"/>
          <w:spacing w:val="-5"/>
          <w:w w:val="100"/>
        </w:rPr>
        <w:t>2016</w:t>
      </w:r>
      <w:r>
        <w:rPr>
          <w:spacing w:val="-5"/>
          <w:w w:val="100"/>
        </w:rPr>
        <w:t>〕</w:t>
      </w:r>
      <w:r>
        <w:rPr>
          <w:spacing w:val="-38"/>
          <w:w w:val="100"/>
        </w:rPr>
        <w:t> </w:t>
      </w:r>
      <w:r>
        <w:rPr>
          <w:rFonts w:ascii="Times New Roman" w:hAnsi="Times New Roman" w:cs="Times New Roman" w:eastAsia="Times New Roman" w:hint="default"/>
        </w:rPr>
        <w:t>105</w:t>
      </w:r>
      <w:r>
        <w:rPr/>
        <w:t>号），也提出要通过基础能力提升，优化办事流程，加强能力输出，推进线上线下融合，引入社会力量参与，提供渠道</w:t>
      </w:r>
      <w:r>
        <w:rPr>
          <w:spacing w:val="-85"/>
        </w:rPr>
        <w:t> </w:t>
      </w:r>
      <w:r>
        <w:rPr>
          <w:spacing w:val="-85"/>
        </w:rPr>
      </w:r>
      <w:r>
        <w:rPr/>
        <w:t>多样、简便易用的政务服务，面向各类服务人群，构建人人参与、人人享有、人人获益、人人便利的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人社</w:t>
      </w:r>
      <w:r>
        <w:rPr>
          <w:rFonts w:ascii="Times New Roman" w:hAnsi="Times New Roman" w:cs="Times New Roman" w:eastAsia="Times New Roman" w:hint="default"/>
        </w:rPr>
        <w:t>”</w:t>
      </w:r>
      <w:r>
        <w:rPr/>
        <w:t>服务新</w:t>
      </w:r>
      <w:r>
        <w:rPr>
          <w:spacing w:val="-72"/>
        </w:rPr>
        <w:t> </w:t>
      </w:r>
      <w:r>
        <w:rPr>
          <w:spacing w:val="-72"/>
        </w:rPr>
      </w:r>
      <w:r>
        <w:rPr/>
        <w:t>格局。</w:t>
      </w:r>
    </w:p>
    <w:p>
      <w:pPr>
        <w:pStyle w:val="BodyText"/>
        <w:spacing w:line="307" w:lineRule="auto" w:before="28"/>
        <w:ind w:right="1130" w:firstLine="360"/>
        <w:jc w:val="both"/>
      </w:pPr>
      <w:r>
        <w:rPr>
          <w:spacing w:val="-2"/>
        </w:rPr>
        <w:t>公司致力于成为</w:t>
      </w:r>
      <w:r>
        <w:rPr>
          <w:rFonts w:ascii="Times New Roman" w:hAnsi="Times New Roman" w:cs="Times New Roman" w:eastAsia="Times New Roman" w:hint="default"/>
          <w:spacing w:val="-2"/>
        </w:rPr>
        <w:t>“</w:t>
      </w:r>
      <w:r>
        <w:rPr>
          <w:spacing w:val="-2"/>
        </w:rPr>
        <w:t>以大数据为核心的民生信息服务综合运营商</w:t>
      </w:r>
      <w:r>
        <w:rPr>
          <w:rFonts w:ascii="Times New Roman" w:hAnsi="Times New Roman" w:cs="Times New Roman" w:eastAsia="Times New Roman" w:hint="default"/>
          <w:spacing w:val="-2"/>
        </w:rPr>
        <w:t>”</w:t>
      </w:r>
      <w:r>
        <w:rPr>
          <w:spacing w:val="-2"/>
        </w:rPr>
        <w:t>的发展理念与党和政府的政策导向相契合，这对公司而言</w:t>
      </w:r>
      <w:r>
        <w:rPr/>
        <w:t> 是巨大的发展契机。在稳步推进传统公共服务业务的基础上，结合人社部门对于</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人社</w:t>
      </w:r>
      <w:r>
        <w:rPr>
          <w:rFonts w:ascii="Times New Roman" w:hAnsi="Times New Roman" w:cs="Times New Roman" w:eastAsia="Times New Roman" w:hint="default"/>
        </w:rPr>
        <w:t>”</w:t>
      </w:r>
      <w:r>
        <w:rPr/>
        <w:t>的要求，深度挖掘民生领域</w:t>
      </w:r>
      <w:r>
        <w:rPr>
          <w:spacing w:val="-74"/>
        </w:rPr>
        <w:t> </w:t>
      </w:r>
      <w:r>
        <w:rPr>
          <w:spacing w:val="-74"/>
        </w:rPr>
      </w:r>
      <w:r>
        <w:rPr>
          <w:spacing w:val="-2"/>
        </w:rPr>
        <w:t>不同服务对象多层次的服务需求，通过资源整合，以人力资源和社会保障为核心，融合基础业务优势与互联网新业态，提供</w:t>
      </w:r>
      <w:r>
        <w:rPr>
          <w:spacing w:val="-65"/>
        </w:rPr>
        <w:t> </w:t>
      </w:r>
      <w:r>
        <w:rPr>
          <w:spacing w:val="-65"/>
        </w:rPr>
      </w:r>
      <w:r>
        <w:rPr/>
        <w:t>专业的民生信息服务，打造</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人社公共服务</w:t>
      </w:r>
      <w:r>
        <w:rPr>
          <w:rFonts w:ascii="Times New Roman" w:hAnsi="Times New Roman" w:cs="Times New Roman" w:eastAsia="Times New Roman" w:hint="default"/>
        </w:rPr>
        <w:t>”</w:t>
      </w:r>
      <w:r>
        <w:rPr/>
        <w:t>的新模式和互联互通多元共享的公共服务生态圈。</w:t>
      </w:r>
    </w:p>
    <w:p>
      <w:pPr>
        <w:pStyle w:val="BodyText"/>
        <w:spacing w:line="307" w:lineRule="auto" w:before="7"/>
        <w:ind w:right="1034" w:firstLine="360"/>
        <w:jc w:val="left"/>
      </w:pPr>
      <w:r>
        <w:rPr/>
        <w:t>公司多次参与人社部金保工程相关系统的顶层设计以及全国统一软件的开发，拥有完备的人社部软件实施技术授权书， </w:t>
      </w:r>
      <w:r>
        <w:rPr>
          <w:spacing w:val="-2"/>
        </w:rPr>
        <w:t>是全国拥有此</w:t>
      </w:r>
      <w:r>
        <w:rPr>
          <w:rFonts w:ascii="Times New Roman" w:hAnsi="Times New Roman" w:cs="Times New Roman" w:eastAsia="Times New Roman" w:hint="default"/>
          <w:spacing w:val="-2"/>
        </w:rPr>
        <w:t>6</w:t>
      </w:r>
      <w:r>
        <w:rPr>
          <w:spacing w:val="-2"/>
        </w:rPr>
        <w:t>项证书的八家企业之一。公司参与了福建、广东、湖南等</w:t>
      </w:r>
      <w:r>
        <w:rPr>
          <w:rFonts w:ascii="Times New Roman" w:hAnsi="Times New Roman" w:cs="Times New Roman" w:eastAsia="Times New Roman" w:hint="default"/>
          <w:spacing w:val="-2"/>
        </w:rPr>
        <w:t>20</w:t>
      </w:r>
      <w:r>
        <w:rPr>
          <w:spacing w:val="-2"/>
        </w:rPr>
        <w:t>多个省、</w:t>
      </w:r>
      <w:r>
        <w:rPr>
          <w:rFonts w:ascii="Times New Roman" w:hAnsi="Times New Roman" w:cs="Times New Roman" w:eastAsia="Times New Roman" w:hint="default"/>
          <w:spacing w:val="-2"/>
        </w:rPr>
        <w:t>100</w:t>
      </w:r>
      <w:r>
        <w:rPr>
          <w:spacing w:val="-2"/>
        </w:rPr>
        <w:t>多个地市的人社信息化建设，是人社</w:t>
      </w:r>
      <w:r>
        <w:rPr>
          <w:spacing w:val="-61"/>
        </w:rPr>
        <w:t> </w:t>
      </w:r>
      <w:r>
        <w:rPr>
          <w:spacing w:val="-61"/>
        </w:rPr>
      </w:r>
      <w:r>
        <w:rPr/>
        <w:t>部全国公共服务平台承建商，近年来完成了福建、山西、广西、广东、宁夏等</w:t>
      </w:r>
      <w:r>
        <w:rPr>
          <w:rFonts w:ascii="Times New Roman" w:hAnsi="Times New Roman" w:cs="Times New Roman" w:eastAsia="Times New Roman" w:hint="default"/>
        </w:rPr>
        <w:t>9</w:t>
      </w:r>
      <w:r>
        <w:rPr/>
        <w:t>个省集中式公共服务系统建设，形成了一套</w:t>
      </w:r>
      <w:r>
        <w:rPr>
          <w:spacing w:val="-83"/>
        </w:rPr>
        <w:t> </w:t>
      </w:r>
      <w:r>
        <w:rPr>
          <w:spacing w:val="-83"/>
        </w:rPr>
      </w:r>
      <w:r>
        <w:rPr>
          <w:spacing w:val="-3"/>
        </w:rPr>
        <w:t>业界领先的公共服务解决方案。作为公共服务的重要载体，公司的人社智能终端作为人社部重点服务产品荣登国家十九大</w:t>
      </w:r>
      <w:r>
        <w:rPr>
          <w:rFonts w:ascii="Times New Roman" w:hAnsi="Times New Roman" w:cs="Times New Roman" w:eastAsia="Times New Roman" w:hint="default"/>
          <w:spacing w:val="-3"/>
        </w:rPr>
        <w:t>“</w:t>
      </w:r>
      <w:r>
        <w:rPr>
          <w:spacing w:val="-3"/>
        </w:rPr>
        <w:t>砥</w:t>
      </w:r>
      <w:r>
        <w:rPr/>
        <w:t> 砺奋进的五年</w:t>
      </w:r>
      <w:r>
        <w:rPr>
          <w:rFonts w:ascii="Times New Roman" w:hAnsi="Times New Roman" w:cs="Times New Roman" w:eastAsia="Times New Roman" w:hint="default"/>
        </w:rPr>
        <w:t>”</w:t>
      </w:r>
      <w:r>
        <w:rPr/>
        <w:t>大型成就展，也是人社部唯一参展的自助服务一体机产品；在人社行业智能终端业务稳步推进的同时，公司</w:t>
      </w:r>
      <w:r>
        <w:rPr>
          <w:spacing w:val="-76"/>
        </w:rPr>
        <w:t> </w:t>
      </w:r>
      <w:r>
        <w:rPr>
          <w:spacing w:val="-76"/>
        </w:rPr>
      </w:r>
      <w:r>
        <w:rPr>
          <w:spacing w:val="-2"/>
        </w:rPr>
        <w:t>智能终端业务成功拓展到酒店、建筑等行业应用，并研发推出了多款桌面智能终端、制发卡智能终端、移动智能终端等新产</w:t>
      </w:r>
      <w:r>
        <w:rPr>
          <w:spacing w:val="-64"/>
        </w:rPr>
        <w:t> </w:t>
      </w:r>
      <w:r>
        <w:rPr>
          <w:spacing w:val="-64"/>
        </w:rPr>
      </w:r>
      <w:r>
        <w:rPr/>
        <w:t>品。</w:t>
      </w:r>
    </w:p>
    <w:p>
      <w:pPr>
        <w:pStyle w:val="BodyText"/>
        <w:spacing w:line="316" w:lineRule="auto" w:before="26"/>
        <w:ind w:left="513" w:right="0"/>
        <w:jc w:val="left"/>
      </w:pPr>
      <w:r>
        <w:rPr>
          <w:rFonts w:ascii="宋体" w:hAnsi="宋体" w:cs="宋体" w:eastAsia="宋体" w:hint="default"/>
          <w:b/>
          <w:bCs/>
        </w:rPr>
        <w:t>（三）产业金融业务</w:t>
      </w:r>
      <w:r>
        <w:rPr>
          <w:rFonts w:ascii="宋体" w:hAnsi="宋体" w:cs="宋体" w:eastAsia="宋体" w:hint="default"/>
          <w:b/>
          <w:bCs/>
          <w:w w:val="99"/>
        </w:rPr>
        <w:t> </w:t>
      </w:r>
      <w:r>
        <w:rPr>
          <w:spacing w:val="-2"/>
        </w:rPr>
        <w:t>医疗卫生、医疗保障、人力资源和社会保障行业属于资金密集型行业，众多优质客户不仅有信息化建设需求，也具有资</w:t>
      </w:r>
    </w:p>
    <w:p>
      <w:pPr>
        <w:pStyle w:val="BodyText"/>
        <w:spacing w:line="300" w:lineRule="auto" w:before="19"/>
        <w:ind w:right="1069"/>
        <w:jc w:val="both"/>
      </w:pPr>
      <w:r>
        <w:rPr/>
        <w:t>金周转需求。随着</w:t>
      </w:r>
      <w:r>
        <w:rPr>
          <w:rFonts w:ascii="Times New Roman" w:hAnsi="Times New Roman" w:cs="Times New Roman" w:eastAsia="Times New Roman" w:hint="default"/>
        </w:rPr>
        <w:t>“</w:t>
      </w:r>
      <w:r>
        <w:rPr/>
        <w:t>以药养医</w:t>
      </w:r>
      <w:r>
        <w:rPr>
          <w:rFonts w:ascii="Times New Roman" w:hAnsi="Times New Roman" w:cs="Times New Roman" w:eastAsia="Times New Roman" w:hint="default"/>
        </w:rPr>
        <w:t>”</w:t>
      </w:r>
      <w:r>
        <w:rPr/>
        <w:t>模式逐步被摈弃，医疗机构资金来源渠道越来越窄，资金流的紧张传导至产业链上相关主体， 使得其融资需求十分迫切。响应市场需求，系列政策的发布为行业金融指明方向。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月，福建省商务厅发布了《中国</w:t>
      </w:r>
    </w:p>
    <w:p>
      <w:pPr>
        <w:pStyle w:val="BodyText"/>
        <w:spacing w:line="300" w:lineRule="auto" w:before="13"/>
        <w:ind w:right="1050"/>
        <w:jc w:val="both"/>
      </w:pPr>
      <w:r>
        <w:rPr>
          <w:spacing w:val="-2"/>
        </w:rPr>
        <w:t>（福建）自由贸易试验区商业保理业务试点管理暂行办法》（闽商务外资〔</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25</w:t>
      </w:r>
      <w:r>
        <w:rPr>
          <w:spacing w:val="-2"/>
        </w:rPr>
        <w:t>号），鼓励福建自贸区商业保理业务的</w:t>
      </w:r>
      <w:r>
        <w:rPr>
          <w:spacing w:val="-63"/>
        </w:rPr>
        <w:t> </w:t>
      </w:r>
      <w:r>
        <w:rPr>
          <w:spacing w:val="-63"/>
        </w:rPr>
      </w:r>
      <w:r>
        <w:rPr/>
        <w:t>健康发展，扩大自贸试验区内信用服务业对外开放。</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月，国务院办公厅发布的《关于加快融资租赁业务发展的指导</w:t>
      </w:r>
      <w:r>
        <w:rPr>
          <w:spacing w:val="-85"/>
        </w:rPr>
        <w:t> </w:t>
      </w:r>
      <w:r>
        <w:rPr>
          <w:spacing w:val="-85"/>
        </w:rPr>
      </w:r>
      <w:r>
        <w:rPr/>
        <w:t>意见》（国办发〔</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68</w:t>
      </w:r>
      <w:r>
        <w:rPr/>
        <w:t>号）指出</w:t>
      </w:r>
      <w:r>
        <w:rPr>
          <w:rFonts w:ascii="Times New Roman" w:hAnsi="Times New Roman" w:cs="Times New Roman" w:eastAsia="Times New Roman" w:hint="default"/>
        </w:rPr>
        <w:t>“</w:t>
      </w:r>
      <w:r>
        <w:rPr/>
        <w:t>根据融资租赁特点，便利融资租赁公司申请医疗器械经营许可或办理备案</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spacing w:val="-2"/>
        </w:rPr>
        <w:t>月，国务院办公厅发布《关于促进医药产业健康发展的指导意见》（国办发〔</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11</w:t>
      </w:r>
      <w:r>
        <w:rPr>
          <w:spacing w:val="-2"/>
        </w:rPr>
        <w:t>号），提出要探索医疗器械生产企业</w:t>
      </w:r>
      <w:r>
        <w:rPr>
          <w:spacing w:val="-60"/>
        </w:rPr>
        <w:t> </w:t>
      </w:r>
      <w:r>
        <w:rPr>
          <w:spacing w:val="-60"/>
        </w:rPr>
      </w:r>
      <w:r>
        <w:rPr/>
        <w:t>与金融租赁公司、融资租赁公司合作，为各类所有制医疗机构提供分期付款采购大型医疗设备的服务。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月份厦门自</w:t>
      </w:r>
      <w:r>
        <w:rPr>
          <w:spacing w:val="-84"/>
        </w:rPr>
        <w:t> </w:t>
      </w:r>
      <w:r>
        <w:rPr>
          <w:spacing w:val="-84"/>
        </w:rPr>
      </w:r>
      <w:r>
        <w:rPr/>
        <w:t>贸区出台了关于大型医疗器械融资租赁监管改革的若干意见，</w:t>
      </w:r>
      <w:r>
        <w:rPr>
          <w:rFonts w:ascii="Times New Roman" w:hAnsi="Times New Roman" w:cs="Times New Roman" w:eastAsia="Times New Roman" w:hint="default"/>
        </w:rPr>
        <w:t>2018</w:t>
      </w:r>
      <w:r>
        <w:rPr/>
        <w:t>年年中厦门市市场监督管理局出台相关细则和指导意见。</w:t>
      </w:r>
    </w:p>
    <w:p>
      <w:pPr>
        <w:pStyle w:val="BodyText"/>
        <w:spacing w:line="240" w:lineRule="auto" w:before="13"/>
        <w:ind w:left="513" w:right="0"/>
        <w:jc w:val="left"/>
      </w:pPr>
      <w:r>
        <w:rPr/>
        <w:t>公司凭借长期以来通过业务合作而形成的对产业链群体的深刻了解，充分利用在民生领域积累的资源，面向医院、基层</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医疗机构、药店以及海量个人和参保单位等，通过大数据分析，了解用户的需求，并提供融资租赁、商业保理、保险及理财</w:t>
      </w:r>
      <w:r>
        <w:rPr>
          <w:spacing w:val="-67"/>
        </w:rPr>
        <w:t> </w:t>
      </w:r>
      <w:r>
        <w:rPr>
          <w:spacing w:val="-67"/>
        </w:rPr>
      </w:r>
      <w:r>
        <w:rPr/>
        <w:t>产品（代理销售）等产业金融服务。</w:t>
      </w:r>
    </w:p>
    <w:p>
      <w:pPr>
        <w:pStyle w:val="Heading4"/>
        <w:spacing w:line="240" w:lineRule="auto"/>
        <w:ind w:right="0"/>
        <w:jc w:val="left"/>
        <w:rPr>
          <w:b w:val="0"/>
          <w:bCs w:val="0"/>
        </w:rPr>
      </w:pPr>
      <w:r>
        <w:rPr/>
        <w:t>（四）大数据业务</w:t>
      </w:r>
      <w:r>
        <w:rPr>
          <w:b w:val="0"/>
          <w:bCs w:val="0"/>
        </w:rPr>
      </w:r>
    </w:p>
    <w:p>
      <w:pPr>
        <w:pStyle w:val="BodyText"/>
        <w:spacing w:line="307" w:lineRule="auto" w:before="76"/>
        <w:ind w:right="1130" w:firstLine="360"/>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月，国务院发布《促进大数据发展行动纲要》（国发〔</w:t>
      </w:r>
      <w:r>
        <w:rPr>
          <w:rFonts w:ascii="Times New Roman" w:hAnsi="Times New Roman" w:cs="Times New Roman" w:eastAsia="Times New Roman" w:hint="default"/>
          <w:spacing w:val="-3"/>
        </w:rPr>
        <w:t>2015</w:t>
      </w:r>
      <w:r>
        <w:rPr>
          <w:spacing w:val="-3"/>
        </w:rPr>
        <w:t>〕</w:t>
      </w:r>
      <w:r>
        <w:rPr>
          <w:rFonts w:ascii="Times New Roman" w:hAnsi="Times New Roman" w:cs="Times New Roman" w:eastAsia="Times New Roman" w:hint="default"/>
          <w:spacing w:val="-3"/>
        </w:rPr>
        <w:t>50</w:t>
      </w:r>
      <w:r>
        <w:rPr>
          <w:rFonts w:ascii="Times New Roman" w:hAnsi="Times New Roman" w:cs="Times New Roman" w:eastAsia="Times New Roman" w:hint="default"/>
          <w:spacing w:val="9"/>
        </w:rPr>
        <w:t> </w:t>
      </w:r>
      <w:r>
        <w:rPr/>
        <w:t>号），重点强调了</w:t>
      </w:r>
      <w:r>
        <w:rPr>
          <w:rFonts w:ascii="Times New Roman" w:hAnsi="Times New Roman" w:cs="Times New Roman" w:eastAsia="Times New Roman" w:hint="default"/>
        </w:rPr>
        <w:t>“</w:t>
      </w:r>
      <w:r>
        <w:rPr/>
        <w:t>医疗健康服务大数据</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社 会保障服务大数据</w:t>
      </w:r>
      <w:r>
        <w:rPr>
          <w:rFonts w:ascii="Times New Roman" w:hAnsi="Times New Roman" w:cs="Times New Roman" w:eastAsia="Times New Roman" w:hint="default"/>
        </w:rPr>
        <w:t>”</w:t>
      </w:r>
      <w:r>
        <w:rPr/>
        <w:t>。纲要提出要鼓励和规范有关企事业单位开展医疗健康大数据创新应用研究，构建综合健康服务应用；</w:t>
      </w:r>
      <w:r>
        <w:rPr>
          <w:spacing w:val="-76"/>
        </w:rPr>
        <w:t> </w:t>
      </w:r>
      <w:r>
        <w:rPr>
          <w:spacing w:val="-76"/>
        </w:rPr>
      </w:r>
      <w:r>
        <w:rPr>
          <w:spacing w:val="-2"/>
        </w:rPr>
        <w:t>要充分利用社会各方面信息资源，推动公共信用数据与互联网、移动互联网等数据的汇聚整合，鼓励互联网企业运用大数据</w:t>
      </w:r>
      <w:r>
        <w:rPr>
          <w:spacing w:val="-63"/>
        </w:rPr>
        <w:t> </w:t>
      </w:r>
      <w:r>
        <w:rPr>
          <w:spacing w:val="-63"/>
        </w:rPr>
      </w:r>
      <w:r>
        <w:rPr/>
        <w:t>技术建立市场化的第三方信用信息共享平台；支持企业开展基于大数据的第三方数据分析挖掘服务、技术外包服务。</w:t>
      </w:r>
    </w:p>
    <w:p>
      <w:pPr>
        <w:pStyle w:val="BodyText"/>
        <w:spacing w:line="312" w:lineRule="auto" w:before="26"/>
        <w:ind w:right="0" w:firstLine="360"/>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月，国务院发布《关于促进和规范健康医疗大数据应用发展的指导意见》（国办发〔</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47</w:t>
      </w:r>
      <w:r>
        <w:rPr>
          <w:spacing w:val="-2"/>
        </w:rPr>
        <w:t>号），意见指出，</w:t>
      </w:r>
      <w:r>
        <w:rPr/>
        <w:t> </w:t>
      </w:r>
      <w:r>
        <w:rPr>
          <w:spacing w:val="-2"/>
        </w:rPr>
        <w:t>健康医疗大数据是国家重要的基础性战略资源。健康医疗大数据应用发展将带来健康医疗模式的深刻变化，有利于激发深化</w:t>
      </w:r>
      <w:r>
        <w:rPr>
          <w:spacing w:val="-64"/>
        </w:rPr>
        <w:t> </w:t>
      </w:r>
      <w:r>
        <w:rPr>
          <w:spacing w:val="-64"/>
        </w:rPr>
      </w:r>
      <w:r>
        <w:rPr>
          <w:spacing w:val="-2"/>
        </w:rPr>
        <w:t>医药卫生体制改革的动力和活力，提升健康医疗服务效率和质量，扩大资源供给，不断满足人民群众多层次、多样化的健康</w:t>
      </w:r>
      <w:r>
        <w:rPr>
          <w:spacing w:val="-64"/>
        </w:rPr>
        <w:t> </w:t>
      </w:r>
      <w:r>
        <w:rPr>
          <w:spacing w:val="-64"/>
        </w:rPr>
      </w:r>
      <w:r>
        <w:rPr/>
        <w:t>需求，有利于培育新的业态和经济增长点。</w:t>
      </w:r>
    </w:p>
    <w:p>
      <w:pPr>
        <w:pStyle w:val="BodyText"/>
        <w:spacing w:line="300" w:lineRule="auto" w:before="23"/>
        <w:ind w:right="103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月，国家工信部印发《大数据产业发展规划（</w:t>
      </w:r>
      <w:r>
        <w:rPr>
          <w:rFonts w:ascii="Times New Roman" w:hAnsi="Times New Roman" w:cs="Times New Roman" w:eastAsia="Times New Roman" w:hint="default"/>
        </w:rPr>
        <w:t>2016-2020</w:t>
      </w:r>
      <w:r>
        <w:rPr/>
        <w:t>年）》（工信部规〔</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412</w:t>
      </w:r>
      <w:r>
        <w:rPr/>
        <w:t>号），指出将充分发挥 国家科技计划资金扶持政策的作用，鼓励设立大数据发展专项基金，支持大数据基础技术、重点产品、服务和应用的发展。</w:t>
      </w:r>
    </w:p>
    <w:p>
      <w:pPr>
        <w:pStyle w:val="BodyText"/>
        <w:spacing w:line="300" w:lineRule="auto" w:before="31"/>
        <w:ind w:right="1093" w:firstLine="36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2018</w:t>
      </w:r>
      <w:r>
        <w:rPr/>
        <w:t>年政府工作报告》提出</w:t>
      </w:r>
      <w:r>
        <w:rPr>
          <w:rFonts w:ascii="Times New Roman" w:hAnsi="Times New Roman" w:cs="Times New Roman" w:eastAsia="Times New Roman" w:hint="default"/>
        </w:rPr>
        <w:t>“</w:t>
      </w:r>
      <w:r>
        <w:rPr/>
        <w:t>深入开展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行动，实行包容审慎监管，推动大数据、云计算、物联网广泛应用， 新兴产业蓬勃发展，传统产业深刻重塑。</w:t>
      </w:r>
      <w:r>
        <w:rPr>
          <w:rFonts w:ascii="Times New Roman" w:hAnsi="Times New Roman" w:cs="Times New Roman" w:eastAsia="Times New Roman" w:hint="default"/>
        </w:rPr>
        <w:t>”</w:t>
      </w:r>
    </w:p>
    <w:p>
      <w:pPr>
        <w:pStyle w:val="BodyText"/>
        <w:spacing w:line="300" w:lineRule="auto" w:before="13"/>
        <w:ind w:right="1134" w:firstLine="36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2019</w:t>
      </w:r>
      <w:r>
        <w:rPr/>
        <w:t>年政府工作报告》提出</w:t>
      </w:r>
      <w:r>
        <w:rPr>
          <w:rFonts w:ascii="Times New Roman" w:hAnsi="Times New Roman" w:cs="Times New Roman" w:eastAsia="Times New Roman" w:hint="default"/>
        </w:rPr>
        <w:t>“2019</w:t>
      </w:r>
      <w:r>
        <w:rPr/>
        <w:t>年的工作任务是促进新兴产业加快发展。深化大数据、人工智能等研发应用，培育 新一代信息技术、高端装备、生物医药、新能源汽车、新材料等新兴产业集群，壮大数字经济。</w:t>
      </w:r>
      <w:r>
        <w:rPr>
          <w:rFonts w:ascii="Times New Roman" w:hAnsi="Times New Roman" w:cs="Times New Roman" w:eastAsia="Times New Roman" w:hint="default"/>
        </w:rPr>
        <w:t>”</w:t>
      </w:r>
    </w:p>
    <w:p>
      <w:pPr>
        <w:pStyle w:val="BodyText"/>
        <w:spacing w:line="312" w:lineRule="auto" w:before="13"/>
        <w:ind w:right="1034" w:firstLine="360"/>
        <w:jc w:val="left"/>
      </w:pPr>
      <w:r>
        <w:rPr>
          <w:spacing w:val="-3"/>
        </w:rPr>
        <w:t>随着上述产业政策的实施，公司牢牢把握住了大数据时代发展方向，提出了</w:t>
      </w:r>
      <w:r>
        <w:rPr>
          <w:rFonts w:ascii="Times New Roman" w:hAnsi="Times New Roman" w:cs="Times New Roman" w:eastAsia="Times New Roman" w:hint="default"/>
          <w:spacing w:val="-3"/>
        </w:rPr>
        <w:t>“</w:t>
      </w:r>
      <w:r>
        <w:rPr>
          <w:spacing w:val="-3"/>
        </w:rPr>
        <w:t>一切业务数据化，一切数据业务化</w:t>
      </w:r>
      <w:r>
        <w:rPr>
          <w:rFonts w:ascii="Times New Roman" w:hAnsi="Times New Roman" w:cs="Times New Roman" w:eastAsia="Times New Roman" w:hint="default"/>
          <w:spacing w:val="-3"/>
        </w:rPr>
        <w:t>”</w:t>
      </w:r>
      <w:r>
        <w:rPr>
          <w:spacing w:val="-3"/>
        </w:rPr>
        <w:t>的目标，</w:t>
      </w:r>
      <w:r>
        <w:rPr/>
        <w:t> </w:t>
      </w:r>
      <w:r>
        <w:rPr>
          <w:spacing w:val="-2"/>
        </w:rPr>
        <w:t>坚定不移地以大数据为核心，以创新为引领，以市场为导向，推进数据资源整合与开放。公司依托在人力资源和社会保障行</w:t>
      </w:r>
      <w:r>
        <w:rPr>
          <w:spacing w:val="-64"/>
        </w:rPr>
        <w:t> </w:t>
      </w:r>
      <w:r>
        <w:rPr>
          <w:spacing w:val="-64"/>
        </w:rPr>
      </w:r>
      <w:r>
        <w:rPr>
          <w:spacing w:val="-2"/>
        </w:rPr>
        <w:t>业、医疗保障、健康医疗行业等近</w:t>
      </w:r>
      <w:r>
        <w:rPr>
          <w:rFonts w:ascii="Times New Roman" w:hAnsi="Times New Roman" w:cs="Times New Roman" w:eastAsia="Times New Roman" w:hint="default"/>
          <w:spacing w:val="-2"/>
        </w:rPr>
        <w:t>20</w:t>
      </w:r>
      <w:r>
        <w:rPr>
          <w:spacing w:val="-2"/>
        </w:rPr>
        <w:t>年积累的资源优势，自主研发了大数据平台产品体系，运用大数据技术，面向人社、医</w:t>
      </w:r>
      <w:r>
        <w:rPr>
          <w:spacing w:val="-66"/>
        </w:rPr>
        <w:t> </w:t>
      </w:r>
      <w:r>
        <w:rPr>
          <w:spacing w:val="-66"/>
        </w:rPr>
      </w:r>
      <w:r>
        <w:rPr/>
        <w:t>疗卫生等行业政府部门提供疾病爆发预警、劳资纠纷预警、政策仿真、人才智能推荐、就业精准扶贫、精准公共服务平台、 </w:t>
      </w:r>
      <w:r>
        <w:rPr>
          <w:spacing w:val="-2"/>
        </w:rPr>
        <w:t>社保稽核、就业决策分析、医保人身核验防欺诈系统等大数据分析服务；并为易联众大体系的健康医疗、公共服务、产业金</w:t>
      </w:r>
      <w:r>
        <w:rPr>
          <w:spacing w:val="-66"/>
        </w:rPr>
        <w:t> </w:t>
      </w:r>
      <w:r>
        <w:rPr>
          <w:spacing w:val="-66"/>
        </w:rPr>
      </w:r>
      <w:r>
        <w:rPr/>
        <w:t>融三大版块提供底层支撑。公司将继续加快构建大数据业务的生态圈，实现创新业务和传统业务</w:t>
      </w:r>
      <w:r>
        <w:rPr>
          <w:rFonts w:ascii="Times New Roman" w:hAnsi="Times New Roman" w:cs="Times New Roman" w:eastAsia="Times New Roman" w:hint="default"/>
        </w:rPr>
        <w:t>“</w:t>
      </w:r>
      <w:r>
        <w:rPr/>
        <w:t>两翼齐飞</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长期股权投资比年初增加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0.69%</w:t>
            </w:r>
            <w:r>
              <w:rPr>
                <w:rFonts w:ascii="宋体" w:hAnsi="宋体" w:cs="宋体" w:eastAsia="宋体" w:hint="default"/>
                <w:sz w:val="18"/>
                <w:szCs w:val="18"/>
              </w:rPr>
              <w:t>。</w:t>
            </w: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shd w:val="clear" w:color="auto" w:fill="CCE8CF"/>
          </w:tcPr>
          <w:p>
            <w:pPr>
              <w:pStyle w:val="TableParagraph"/>
              <w:spacing w:line="300" w:lineRule="auto" w:before="52"/>
              <w:ind w:left="24" w:right="22"/>
              <w:jc w:val="left"/>
              <w:rPr>
                <w:rFonts w:ascii="宋体" w:hAnsi="宋体" w:cs="宋体" w:eastAsia="宋体" w:hint="default"/>
                <w:sz w:val="18"/>
                <w:szCs w:val="18"/>
              </w:rPr>
            </w:pPr>
            <w:r>
              <w:rPr>
                <w:rFonts w:ascii="宋体" w:hAnsi="宋体" w:cs="宋体" w:eastAsia="宋体" w:hint="default"/>
                <w:sz w:val="18"/>
                <w:szCs w:val="18"/>
              </w:rPr>
              <w:t>固定资产较年初减少</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13.19%</w:t>
            </w:r>
            <w:r>
              <w:rPr>
                <w:rFonts w:ascii="宋体" w:hAnsi="宋体" w:cs="宋体" w:eastAsia="宋体" w:hint="default"/>
                <w:spacing w:val="-3"/>
                <w:sz w:val="18"/>
                <w:szCs w:val="18"/>
              </w:rPr>
              <w:t>，主要是折旧计提的影响及部分资产使用到期及报废所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致。</w:t>
            </w:r>
          </w:p>
        </w:tc>
      </w:tr>
      <w:tr>
        <w:trPr>
          <w:trHeight w:val="391" w:hRule="exact"/>
        </w:trPr>
        <w:tc>
          <w:tcPr>
            <w:tcW w:w="3051" w:type="dxa"/>
            <w:tcBorders>
              <w:top w:val="nil" w:sz="6" w:space="0" w:color="auto"/>
              <w:left w:val="single" w:sz="4" w:space="0" w:color="000000"/>
              <w:bottom w:val="nil" w:sz="6" w:space="0" w:color="auto"/>
              <w:right w:val="single" w:sz="13" w:space="0" w:color="CCE8C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4" w:space="0" w:color="000000"/>
              <w:right w:val="single" w:sz="4" w:space="0" w:color="000000"/>
            </w:tcBorders>
            <w:shd w:val="clear" w:color="auto" w:fill="CCE8CF"/>
          </w:tcPr>
          <w:p>
            <w:pPr/>
          </w:p>
        </w:tc>
      </w:tr>
      <w:tr>
        <w:trPr>
          <w:trHeight w:val="162" w:hRule="exact"/>
        </w:trPr>
        <w:tc>
          <w:tcPr>
            <w:tcW w:w="3051" w:type="dxa"/>
            <w:tcBorders>
              <w:top w:val="nil" w:sz="6" w:space="0" w:color="auto"/>
              <w:left w:val="single" w:sz="4" w:space="0" w:color="000000"/>
              <w:bottom w:val="single" w:sz="4" w:space="0" w:color="000000"/>
              <w:right w:val="single" w:sz="13" w:space="0" w:color="CCE8CF"/>
            </w:tcBorders>
            <w:shd w:val="clear" w:color="auto" w:fill="D2D2D2"/>
          </w:tcPr>
          <w:p>
            <w:pPr/>
          </w:p>
        </w:tc>
        <w:tc>
          <w:tcPr>
            <w:tcW w:w="6519"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无形资产较年初减少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18.26%</w:t>
            </w:r>
            <w:r>
              <w:rPr>
                <w:rFonts w:ascii="宋体" w:hAnsi="宋体" w:cs="宋体" w:eastAsia="宋体" w:hint="default"/>
                <w:sz w:val="18"/>
                <w:szCs w:val="18"/>
              </w:rPr>
              <w:t>，主要是本年度摊销的影响。</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万元，主要是福州办公室装修，尚未验收。</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预付账款较年初新增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170.12%</w:t>
            </w:r>
            <w:r>
              <w:rPr>
                <w:rFonts w:ascii="宋体" w:hAnsi="宋体" w:cs="宋体" w:eastAsia="宋体" w:hint="default"/>
                <w:sz w:val="18"/>
                <w:szCs w:val="18"/>
              </w:rPr>
              <w:t>，主要是新增项目设备的预付货款所致。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264.01%</w:t>
            </w:r>
            <w:r>
              <w:rPr>
                <w:rFonts w:ascii="宋体" w:hAnsi="宋体" w:cs="宋体" w:eastAsia="宋体" w:hint="default"/>
                <w:sz w:val="18"/>
                <w:szCs w:val="18"/>
              </w:rPr>
              <w:t>，主要是保理公司应收利息增加所致。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其他流动资产较年初增加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376.49%</w:t>
            </w:r>
            <w:r>
              <w:rPr>
                <w:rFonts w:ascii="宋体" w:hAnsi="宋体" w:cs="宋体" w:eastAsia="宋体" w:hint="default"/>
                <w:sz w:val="18"/>
                <w:szCs w:val="18"/>
              </w:rPr>
              <w:t>，主要是新增留抵进项税额及预缴的所得税。</w:t>
            </w:r>
          </w:p>
        </w:tc>
      </w:tr>
      <w:tr>
        <w:trPr>
          <w:trHeight w:val="1028"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5" w:right="99"/>
              <w:jc w:val="both"/>
              <w:rPr>
                <w:rFonts w:ascii="宋体" w:hAnsi="宋体" w:cs="宋体" w:eastAsia="宋体" w:hint="default"/>
                <w:sz w:val="18"/>
                <w:szCs w:val="18"/>
              </w:rPr>
            </w:pPr>
            <w:r>
              <w:rPr>
                <w:rFonts w:ascii="宋体" w:hAnsi="宋体" w:cs="宋体" w:eastAsia="宋体" w:hint="default"/>
                <w:sz w:val="18"/>
                <w:szCs w:val="18"/>
              </w:rPr>
              <w:t>开发支出较年初增加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333.72%</w:t>
            </w:r>
            <w:r>
              <w:rPr>
                <w:rFonts w:ascii="宋体" w:hAnsi="宋体" w:cs="宋体" w:eastAsia="宋体" w:hint="default"/>
                <w:sz w:val="18"/>
                <w:szCs w:val="18"/>
              </w:rPr>
              <w:t>，主要是福建省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r>
              <w:rPr>
                <w:rFonts w:ascii="Times New Roman" w:hAnsi="Times New Roman" w:cs="Times New Roman" w:eastAsia="Times New Roman" w:hint="default"/>
                <w:sz w:val="18"/>
                <w:szCs w:val="18"/>
              </w:rPr>
              <w:t>DRG</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疾病分组省级平台及医保 结算支付系统和稽核改造项目、易联众医疗保险智能监察风控平台、家加社保二 期项目等项目的开发支出。</w:t>
            </w:r>
          </w:p>
        </w:tc>
      </w:tr>
    </w:tbl>
    <w:p>
      <w:pPr>
        <w:spacing w:after="0" w:line="309"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5" w:right="99"/>
              <w:jc w:val="left"/>
              <w:rPr>
                <w:rFonts w:ascii="宋体" w:hAnsi="宋体" w:cs="宋体" w:eastAsia="宋体" w:hint="default"/>
                <w:sz w:val="18"/>
                <w:szCs w:val="18"/>
              </w:rPr>
            </w:pPr>
            <w:r>
              <w:rPr>
                <w:rFonts w:ascii="宋体" w:hAnsi="宋体" w:cs="宋体" w:eastAsia="宋体" w:hint="default"/>
                <w:sz w:val="18"/>
                <w:szCs w:val="18"/>
              </w:rPr>
              <w:t>递延所得税资产较年初增加</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39.58%</w:t>
            </w:r>
            <w:r>
              <w:rPr>
                <w:rFonts w:ascii="宋体" w:hAnsi="宋体" w:cs="宋体" w:eastAsia="宋体" w:hint="default"/>
                <w:spacing w:val="-3"/>
                <w:sz w:val="18"/>
                <w:szCs w:val="18"/>
              </w:rPr>
              <w:t>，主要是母公司及控股子公司易方科技亏损所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致。</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360" w:lineRule="auto" w:before="29"/>
        <w:ind w:left="513" w:right="0" w:hanging="361"/>
        <w:jc w:val="left"/>
      </w:pPr>
      <w:r>
        <w:rPr/>
        <w:t>软件与信息技术服务业 </w:t>
      </w:r>
      <w:r>
        <w:rPr>
          <w:spacing w:val="-4"/>
        </w:rPr>
        <w:t>报告期内，公司各竞争力要素均衡发展，总体竞争力得到进一步巩固和提升，未出现可能影响公司未来经营的重大变化。</w:t>
      </w:r>
    </w:p>
    <w:p>
      <w:pPr>
        <w:pStyle w:val="BodyText"/>
        <w:spacing w:line="222" w:lineRule="exact"/>
        <w:ind w:right="0"/>
        <w:jc w:val="left"/>
      </w:pPr>
      <w:r>
        <w:rPr/>
        <w:t>公司竞争力主要体现在以下几个方面：</w:t>
      </w:r>
    </w:p>
    <w:p>
      <w:pPr>
        <w:pStyle w:val="BodyText"/>
        <w:spacing w:line="316" w:lineRule="auto" w:before="76"/>
        <w:ind w:left="513" w:right="0"/>
        <w:jc w:val="left"/>
      </w:pPr>
      <w:r>
        <w:rPr/>
        <w:t>（一）一体化整体解决能力优势 </w:t>
      </w:r>
      <w:r>
        <w:rPr>
          <w:spacing w:val="-2"/>
        </w:rPr>
        <w:t>随着公司医疗卫生、医疗保障、人力资源和社会保障等核心业务领域的纵深发展，各业务产品组合优势愈加显著，各渠</w:t>
      </w:r>
    </w:p>
    <w:p>
      <w:pPr>
        <w:pStyle w:val="BodyText"/>
        <w:spacing w:line="316" w:lineRule="auto" w:before="19"/>
        <w:ind w:right="1034"/>
        <w:jc w:val="left"/>
      </w:pPr>
      <w:r>
        <w:rPr/>
        <w:t>道服务协同互补效果愈加突出，特有的一体化整体解决能力优势在业务细分市场进一步突显。公司有效融合应用软件系统、 </w:t>
      </w:r>
      <w:r>
        <w:rPr>
          <w:spacing w:val="-2"/>
        </w:rPr>
        <w:t>卡业务、智能设备终端等产品体系，构建起全方位、立体化的产品服务网和线上线下结合的多维度运营服务模式，全面辐射</w:t>
      </w:r>
      <w:r>
        <w:rPr>
          <w:spacing w:val="-65"/>
        </w:rPr>
        <w:t> </w:t>
      </w:r>
      <w:r>
        <w:rPr>
          <w:spacing w:val="-65"/>
        </w:rPr>
      </w:r>
      <w:r>
        <w:rPr>
          <w:spacing w:val="-2"/>
        </w:rPr>
        <w:t>政府、企业和社会公众三大民生信息服务主体多层次的民生信息服务需求，并以云计算与大数据为创新驱动，融合互联网新</w:t>
      </w:r>
      <w:r>
        <w:rPr>
          <w:spacing w:val="-63"/>
        </w:rPr>
        <w:t> </w:t>
      </w:r>
      <w:r>
        <w:rPr>
          <w:spacing w:val="-63"/>
        </w:rPr>
      </w:r>
      <w:r>
        <w:rPr/>
        <w:t>业态，积极探索基础业务升级和关联新兴业务发展。</w:t>
      </w:r>
    </w:p>
    <w:p>
      <w:pPr>
        <w:pStyle w:val="BodyText"/>
        <w:spacing w:line="319" w:lineRule="auto" w:before="19"/>
        <w:ind w:left="513" w:right="0"/>
        <w:jc w:val="left"/>
      </w:pPr>
      <w:r>
        <w:rPr/>
        <w:t>（二）多元创新优势 </w:t>
      </w:r>
      <w:r>
        <w:rPr>
          <w:spacing w:val="-2"/>
        </w:rPr>
        <w:t>公司拥有软件行业较完整的高等级资质并将创新作为战略发展的核心要素，坚持自主创新，通过持续的产品创新、服务</w:t>
      </w:r>
    </w:p>
    <w:p>
      <w:pPr>
        <w:pStyle w:val="BodyText"/>
        <w:spacing w:line="316" w:lineRule="auto" w:before="17"/>
        <w:ind w:left="513" w:right="0" w:hanging="361"/>
        <w:jc w:val="left"/>
      </w:pPr>
      <w:r>
        <w:rPr/>
        <w:t>创新，形成多元化的创新模式，具有较强的竞争优势。 </w:t>
      </w:r>
      <w:r>
        <w:rPr>
          <w:spacing w:val="-2"/>
        </w:rPr>
        <w:t>作为一家持续自主创新的企业，公司自成立以来坚持自主研发，不断进行产品创新，开创了行业中的多个第一，为行业</w:t>
      </w:r>
    </w:p>
    <w:p>
      <w:pPr>
        <w:pStyle w:val="BodyText"/>
        <w:spacing w:line="307" w:lineRule="auto" w:before="19"/>
        <w:ind w:right="0"/>
        <w:jc w:val="left"/>
      </w:pPr>
      <w:r>
        <w:rPr>
          <w:spacing w:val="-2"/>
        </w:rPr>
        <w:t>发展树立了众多新标杆：研制全国第一张金融社保</w:t>
      </w:r>
      <w:r>
        <w:rPr>
          <w:rFonts w:ascii="Times New Roman" w:hAnsi="Times New Roman" w:cs="Times New Roman" w:eastAsia="Times New Roman" w:hint="default"/>
          <w:spacing w:val="-2"/>
        </w:rPr>
        <w:t>IC</w:t>
      </w:r>
      <w:r>
        <w:rPr>
          <w:spacing w:val="-2"/>
        </w:rPr>
        <w:t>卡，促进社保卡行业标准提升；研发全国第一个民生自助终端应用，丰</w:t>
      </w:r>
      <w:r>
        <w:rPr>
          <w:spacing w:val="-62"/>
        </w:rPr>
        <w:t> </w:t>
      </w:r>
      <w:r>
        <w:rPr>
          <w:spacing w:val="-62"/>
        </w:rPr>
      </w:r>
      <w:r>
        <w:rPr>
          <w:spacing w:val="-2"/>
        </w:rPr>
        <w:t>富民生信息服务便民渠道；全国第一个实现省级医保联网、异地就诊实时结算，解决异地就医费用结算难题；打造全国第一</w:t>
      </w:r>
      <w:r>
        <w:rPr>
          <w:spacing w:val="-65"/>
        </w:rPr>
        <w:t> </w:t>
      </w:r>
      <w:r>
        <w:rPr>
          <w:spacing w:val="-65"/>
        </w:rPr>
      </w:r>
      <w:r>
        <w:rPr>
          <w:spacing w:val="-4"/>
        </w:rPr>
        <w:t>个民生信息服务云计算平台，以新技术促进民生信息服务再发展；打造全国第一个人社行业全省大集中的公共服务应用平台；</w:t>
      </w:r>
      <w:r>
        <w:rPr>
          <w:spacing w:val="-44"/>
        </w:rPr>
        <w:t> </w:t>
      </w:r>
      <w:r>
        <w:rPr>
          <w:spacing w:val="-44"/>
        </w:rPr>
      </w:r>
      <w:r>
        <w:rPr/>
        <w:t>打造全国第一个人社行业大数据应用平台服务；以信息化助力三明市政府创造了闻名全国的</w:t>
      </w:r>
      <w:r>
        <w:rPr>
          <w:rFonts w:ascii="Times New Roman" w:hAnsi="Times New Roman" w:cs="Times New Roman" w:eastAsia="Times New Roman" w:hint="default"/>
        </w:rPr>
        <w:t>“</w:t>
      </w:r>
      <w:r>
        <w:rPr/>
        <w:t>三明医改模式</w:t>
      </w:r>
      <w:r>
        <w:rPr>
          <w:rFonts w:ascii="Times New Roman" w:hAnsi="Times New Roman" w:cs="Times New Roman" w:eastAsia="Times New Roman" w:hint="default"/>
        </w:rPr>
        <w:t>”</w:t>
      </w:r>
      <w:r>
        <w:rPr/>
        <w:t>，确立了覆盖医 疗、医保、医药的</w:t>
      </w:r>
      <w:r>
        <w:rPr>
          <w:rFonts w:ascii="Times New Roman" w:hAnsi="Times New Roman" w:cs="Times New Roman" w:eastAsia="Times New Roman" w:hint="default"/>
        </w:rPr>
        <w:t>“</w:t>
      </w:r>
      <w:r>
        <w:rPr/>
        <w:t>三医联动</w:t>
      </w:r>
      <w:r>
        <w:rPr>
          <w:rFonts w:ascii="Times New Roman" w:hAnsi="Times New Roman" w:cs="Times New Roman" w:eastAsia="Times New Roman" w:hint="default"/>
        </w:rPr>
        <w:t>”</w:t>
      </w:r>
      <w:r>
        <w:rPr/>
        <w:t>发展模式；开发实施了以</w:t>
      </w:r>
      <w:r>
        <w:rPr>
          <w:rFonts w:ascii="Times New Roman" w:hAnsi="Times New Roman" w:cs="Times New Roman" w:eastAsia="Times New Roman" w:hint="default"/>
        </w:rPr>
        <w:t>“</w:t>
      </w:r>
      <w:r>
        <w:rPr/>
        <w:t>三保合一</w:t>
      </w:r>
      <w:r>
        <w:rPr>
          <w:rFonts w:ascii="Times New Roman" w:hAnsi="Times New Roman" w:cs="Times New Roman" w:eastAsia="Times New Roman" w:hint="default"/>
        </w:rPr>
        <w:t>”</w:t>
      </w:r>
      <w:r>
        <w:rPr/>
        <w:t>为核心的福建全省医疗保障信息系统，支撑了福建省医保 体制改革创新，为新一轮医改背景下的医保改革提供了建设样本。</w:t>
      </w:r>
    </w:p>
    <w:p>
      <w:pPr>
        <w:pStyle w:val="BodyText"/>
        <w:spacing w:line="312" w:lineRule="auto" w:before="26"/>
        <w:ind w:right="1129" w:firstLine="360"/>
        <w:jc w:val="both"/>
      </w:pPr>
      <w:r>
        <w:rPr>
          <w:spacing w:val="-2"/>
        </w:rPr>
        <w:t>公司立足行业发展，针对客户需求，不断寻求服务模式的变革创新。引入互联网思维模式，创新融合基础业务，推动移</w:t>
      </w:r>
      <w:r>
        <w:rPr/>
        <w:t> 动互联网与医疗、医保、人社等行业融合发展，创新利民便民措施，不断提升行业生态。打造</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公共服务</w:t>
      </w:r>
      <w:r>
        <w:rPr>
          <w:rFonts w:ascii="Times New Roman" w:hAnsi="Times New Roman" w:cs="Times New Roman" w:eastAsia="Times New Roman" w:hint="default"/>
        </w:rPr>
        <w:t>”</w:t>
      </w:r>
      <w:r>
        <w:rPr/>
        <w:t>民生信息</w:t>
      </w:r>
      <w:r>
        <w:rPr>
          <w:spacing w:val="-72"/>
        </w:rPr>
        <w:t> </w:t>
      </w:r>
      <w:r>
        <w:rPr>
          <w:spacing w:val="-72"/>
        </w:rPr>
      </w:r>
      <w:r>
        <w:rPr>
          <w:spacing w:val="-2"/>
        </w:rPr>
        <w:t>服务新模式，促进民生信息服务多元化、网络化发展，并以云计算和大数据为创新驱动，积极探索项目运营的增值服务和盈</w:t>
      </w:r>
      <w:r>
        <w:rPr>
          <w:spacing w:val="-64"/>
        </w:rPr>
        <w:t> </w:t>
      </w:r>
      <w:r>
        <w:rPr>
          <w:spacing w:val="-64"/>
        </w:rPr>
      </w:r>
      <w:r>
        <w:rPr/>
        <w:t>利模式。</w:t>
      </w:r>
    </w:p>
    <w:p>
      <w:pPr>
        <w:pStyle w:val="BodyText"/>
        <w:spacing w:line="316" w:lineRule="auto" w:before="22"/>
        <w:ind w:left="513" w:right="0"/>
        <w:jc w:val="left"/>
      </w:pPr>
      <w:r>
        <w:rPr/>
        <w:t>（三）核心技术优势 </w:t>
      </w:r>
      <w:r>
        <w:rPr>
          <w:spacing w:val="-2"/>
        </w:rPr>
        <w:t>公司在民生行业信息化领域拥有国内领先的技术和研究成果，自主研发的应用软件多次荣获国家、省、市各级荣誉，其</w:t>
      </w:r>
    </w:p>
    <w:p>
      <w:pPr>
        <w:pStyle w:val="BodyText"/>
        <w:spacing w:line="300" w:lineRule="auto" w:before="19"/>
        <w:ind w:right="1031"/>
        <w:jc w:val="left"/>
      </w:pPr>
      <w:r>
        <w:rPr/>
        <w:t>中</w:t>
      </w:r>
      <w:r>
        <w:rPr>
          <w:rFonts w:ascii="Times New Roman" w:hAnsi="Times New Roman" w:cs="Times New Roman" w:eastAsia="Times New Roman" w:hint="default"/>
        </w:rPr>
        <w:t>“</w:t>
      </w:r>
      <w:r>
        <w:rPr/>
        <w:t>城镇职工医疗保险信息管理网络系统</w:t>
      </w:r>
      <w:r>
        <w:rPr>
          <w:rFonts w:ascii="Times New Roman" w:hAnsi="Times New Roman" w:cs="Times New Roman" w:eastAsia="Times New Roman" w:hint="default"/>
        </w:rPr>
        <w:t>”</w:t>
      </w:r>
      <w:r>
        <w:rPr/>
        <w:t>获得福建省卫生厅科技成果一等奖，并被国家科技部列入国家科技成果重点推广项 </w:t>
      </w:r>
      <w:r>
        <w:rPr>
          <w:spacing w:val="-2"/>
        </w:rPr>
        <w:t>目；</w:t>
      </w:r>
      <w:r>
        <w:rPr>
          <w:rFonts w:ascii="Times New Roman" w:hAnsi="Times New Roman" w:cs="Times New Roman" w:eastAsia="Times New Roman" w:hint="default"/>
          <w:spacing w:val="-2"/>
        </w:rPr>
        <w:t>“</w:t>
      </w:r>
      <w:r>
        <w:rPr>
          <w:spacing w:val="-2"/>
        </w:rPr>
        <w:t>五险合一管理信息系统</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就业信息系统</w:t>
      </w:r>
      <w:r>
        <w:rPr>
          <w:rFonts w:ascii="Times New Roman" w:hAnsi="Times New Roman" w:cs="Times New Roman" w:eastAsia="Times New Roman" w:hint="default"/>
          <w:spacing w:val="-2"/>
        </w:rPr>
        <w:t>”</w:t>
      </w:r>
      <w:r>
        <w:rPr>
          <w:spacing w:val="-2"/>
        </w:rPr>
        <w:t>被评为中国金桥优秀项目奖；</w:t>
      </w:r>
      <w:r>
        <w:rPr>
          <w:rFonts w:ascii="Times New Roman" w:hAnsi="Times New Roman" w:cs="Times New Roman" w:eastAsia="Times New Roman" w:hint="default"/>
          <w:spacing w:val="-2"/>
        </w:rPr>
        <w:t>“</w:t>
      </w:r>
      <w:r>
        <w:rPr>
          <w:spacing w:val="-2"/>
        </w:rPr>
        <w:t>劳动和社会保障信息系统</w:t>
      </w:r>
      <w:r>
        <w:rPr>
          <w:rFonts w:ascii="Times New Roman" w:hAnsi="Times New Roman" w:cs="Times New Roman" w:eastAsia="Times New Roman" w:hint="default"/>
          <w:spacing w:val="-2"/>
        </w:rPr>
        <w:t>”</w:t>
      </w:r>
      <w:r>
        <w:rPr>
          <w:spacing w:val="-2"/>
        </w:rPr>
        <w:t>获得厦门优质品牌、</w:t>
      </w:r>
      <w:r>
        <w:rPr>
          <w:spacing w:val="-87"/>
        </w:rPr>
        <w:t> </w:t>
      </w:r>
      <w:r>
        <w:rPr/>
        <w:t>福建省客户满意产品、福建省名牌产品称号，被列入国家火炬计划项目；</w:t>
      </w:r>
      <w:r>
        <w:rPr>
          <w:rFonts w:ascii="Times New Roman" w:hAnsi="Times New Roman" w:cs="Times New Roman" w:eastAsia="Times New Roman" w:hint="default"/>
        </w:rPr>
        <w:t>“</w:t>
      </w:r>
      <w:r>
        <w:rPr/>
        <w:t>人社大数据平台及劳资纠纷预警系统</w:t>
      </w:r>
      <w:r>
        <w:rPr>
          <w:rFonts w:ascii="Times New Roman" w:hAnsi="Times New Roman" w:cs="Times New Roman" w:eastAsia="Times New Roman" w:hint="default"/>
        </w:rPr>
        <w:t>”</w:t>
      </w:r>
      <w:r>
        <w:rPr/>
        <w:t>被列入工信 部</w:t>
      </w:r>
      <w:r>
        <w:rPr>
          <w:rFonts w:ascii="Times New Roman" w:hAnsi="Times New Roman" w:cs="Times New Roman" w:eastAsia="Times New Roman" w:hint="default"/>
        </w:rPr>
        <w:t>2018</w:t>
      </w:r>
      <w:r>
        <w:rPr/>
        <w:t>年大数据产业发展试点示范项目。</w:t>
      </w:r>
    </w:p>
    <w:p>
      <w:pPr>
        <w:pStyle w:val="BodyText"/>
        <w:spacing w:line="307" w:lineRule="auto" w:before="13"/>
        <w:ind w:right="1131" w:firstLine="360"/>
        <w:jc w:val="both"/>
      </w:pPr>
      <w:r>
        <w:rPr>
          <w:spacing w:val="-2"/>
        </w:rPr>
        <w:t>公司是国家高新技术企业，并且是全国少数拥有国家人力资源与社会保障部颁发的前台技术支持商五项认证的企业。公</w:t>
      </w:r>
      <w:r>
        <w:rPr/>
        <w:t> 司亦拥有</w:t>
      </w:r>
      <w:r>
        <w:rPr>
          <w:rFonts w:ascii="Times New Roman" w:hAnsi="Times New Roman" w:cs="Times New Roman" w:eastAsia="Times New Roman" w:hint="default"/>
        </w:rPr>
        <w:t>“</w:t>
      </w:r>
      <w:r>
        <w:rPr/>
        <w:t>双软</w:t>
      </w:r>
      <w:r>
        <w:rPr>
          <w:rFonts w:ascii="Times New Roman" w:hAnsi="Times New Roman" w:cs="Times New Roman" w:eastAsia="Times New Roman" w:hint="default"/>
        </w:rPr>
        <w:t>”</w:t>
      </w:r>
      <w:r>
        <w:rPr/>
        <w:t>认证、</w:t>
      </w:r>
      <w:r>
        <w:rPr>
          <w:rFonts w:ascii="Times New Roman" w:hAnsi="Times New Roman" w:cs="Times New Roman" w:eastAsia="Times New Roman" w:hint="default"/>
        </w:rPr>
        <w:t>ISO9001:2000</w:t>
      </w:r>
      <w:r>
        <w:rPr/>
        <w:t>认证等完备资质。</w:t>
      </w:r>
      <w:r>
        <w:rPr>
          <w:rFonts w:ascii="Times New Roman" w:hAnsi="Times New Roman" w:cs="Times New Roman" w:eastAsia="Times New Roman" w:hint="default"/>
        </w:rPr>
        <w:t>2012</w:t>
      </w:r>
      <w:r>
        <w:rPr/>
        <w:t>年，荣获</w:t>
      </w:r>
      <w:r>
        <w:rPr>
          <w:rFonts w:ascii="Times New Roman" w:hAnsi="Times New Roman" w:cs="Times New Roman" w:eastAsia="Times New Roman" w:hint="default"/>
        </w:rPr>
        <w:t>“</w:t>
      </w:r>
      <w:r>
        <w:rPr/>
        <w:t>第十届中国软件和信息服务</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rFonts w:ascii="Times New Roman" w:hAnsi="Times New Roman" w:cs="Times New Roman" w:eastAsia="Times New Roman" w:hint="default"/>
        </w:rPr>
        <w:t>-2012</w:t>
      </w:r>
      <w:r>
        <w:rPr/>
        <w:t>中国智慧城</w:t>
      </w:r>
      <w:r>
        <w:rPr>
          <w:spacing w:val="-84"/>
        </w:rPr>
        <w:t> </w:t>
      </w:r>
      <w:r>
        <w:rPr/>
        <w:t>市杰出服务商</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年中国软件行业医疗信息化优秀解决方案</w:t>
      </w:r>
      <w:r>
        <w:rPr>
          <w:rFonts w:ascii="Times New Roman" w:hAnsi="Times New Roman" w:cs="Times New Roman" w:eastAsia="Times New Roman" w:hint="default"/>
        </w:rPr>
        <w:t>”</w:t>
      </w:r>
      <w:r>
        <w:rPr/>
        <w:t>等荣誉奖项。</w:t>
      </w:r>
      <w:r>
        <w:rPr>
          <w:rFonts w:ascii="Times New Roman" w:hAnsi="Times New Roman" w:cs="Times New Roman" w:eastAsia="Times New Roman" w:hint="default"/>
        </w:rPr>
        <w:t>2013</w:t>
      </w:r>
      <w:r>
        <w:rPr/>
        <w:t>年，获国家火炬计划软件产业基地骨干</w:t>
      </w:r>
      <w:r>
        <w:rPr>
          <w:spacing w:val="-60"/>
        </w:rPr>
        <w:t> </w:t>
      </w:r>
      <w:r>
        <w:rPr>
          <w:spacing w:val="-60"/>
        </w:rPr>
      </w:r>
      <w:r>
        <w:rPr>
          <w:spacing w:val="-2"/>
        </w:rPr>
        <w:t>企业认定，并被评为</w:t>
      </w:r>
      <w:r>
        <w:rPr>
          <w:rFonts w:ascii="Times New Roman" w:hAnsi="Times New Roman" w:cs="Times New Roman" w:eastAsia="Times New Roman" w:hint="default"/>
          <w:spacing w:val="-2"/>
        </w:rPr>
        <w:t>“2013</w:t>
      </w:r>
      <w:r>
        <w:rPr>
          <w:spacing w:val="-2"/>
        </w:rPr>
        <w:t>年中国优秀软件企业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2014</w:t>
      </w:r>
      <w:r>
        <w:rPr>
          <w:spacing w:val="-2"/>
        </w:rPr>
        <w:t>年，公司被评为国家火炬计划软件产业基地骨干企业。</w:t>
      </w:r>
      <w:r>
        <w:rPr>
          <w:rFonts w:ascii="Times New Roman" w:hAnsi="Times New Roman" w:cs="Times New Roman" w:eastAsia="Times New Roman" w:hint="default"/>
          <w:spacing w:val="-2"/>
        </w:rPr>
        <w:t>2015</w:t>
      </w:r>
      <w:r>
        <w:rPr>
          <w:spacing w:val="-2"/>
        </w:rPr>
        <w:t>年度，公</w:t>
      </w:r>
    </w:p>
    <w:p>
      <w:pPr>
        <w:spacing w:after="0" w:line="307"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8"/>
        <w:jc w:val="both"/>
      </w:pPr>
      <w:r>
        <w:rPr>
          <w:spacing w:val="-2"/>
        </w:rPr>
        <w:t>司多个产品被评为厦门优质品牌，多个项目被评为厦门市高新技术成果转化项目。</w:t>
      </w:r>
      <w:r>
        <w:rPr>
          <w:rFonts w:ascii="Times New Roman" w:hAnsi="Times New Roman" w:cs="Times New Roman" w:eastAsia="Times New Roman" w:hint="default"/>
          <w:spacing w:val="-2"/>
        </w:rPr>
        <w:t>2016</w:t>
      </w:r>
      <w:r>
        <w:rPr>
          <w:spacing w:val="-2"/>
        </w:rPr>
        <w:t>年，公司被评为厦门市知识产品试点</w:t>
      </w:r>
      <w:r>
        <w:rPr>
          <w:spacing w:val="-59"/>
        </w:rPr>
        <w:t> </w:t>
      </w:r>
      <w:r>
        <w:rPr>
          <w:spacing w:val="-59"/>
        </w:rPr>
      </w:r>
      <w:r>
        <w:rPr/>
        <w:t>企业。</w:t>
      </w:r>
      <w:r>
        <w:rPr>
          <w:rFonts w:ascii="Times New Roman" w:hAnsi="Times New Roman" w:cs="Times New Roman" w:eastAsia="Times New Roman" w:hint="default"/>
        </w:rPr>
        <w:t>2017</w:t>
      </w:r>
      <w:r>
        <w:rPr/>
        <w:t>年，公司通过</w:t>
      </w:r>
      <w:r>
        <w:rPr>
          <w:rFonts w:ascii="Times New Roman" w:hAnsi="Times New Roman" w:cs="Times New Roman" w:eastAsia="Times New Roman" w:hint="default"/>
        </w:rPr>
        <w:t>CMMI</w:t>
      </w:r>
      <w:r>
        <w:rPr/>
        <w:t>最高等级</w:t>
      </w:r>
      <w:r>
        <w:rPr>
          <w:rFonts w:ascii="Times New Roman" w:hAnsi="Times New Roman" w:cs="Times New Roman" w:eastAsia="Times New Roman" w:hint="default"/>
        </w:rPr>
        <w:t>5</w:t>
      </w:r>
      <w:r>
        <w:rPr/>
        <w:t>级认证，成为全国为数不多通过</w:t>
      </w:r>
      <w:r>
        <w:rPr>
          <w:rFonts w:ascii="Times New Roman" w:hAnsi="Times New Roman" w:cs="Times New Roman" w:eastAsia="Times New Roman" w:hint="default"/>
        </w:rPr>
        <w:t>CMMI5</w:t>
      </w:r>
      <w:r>
        <w:rPr/>
        <w:t>级认证的企业之一，是公司研发规范化的</w:t>
      </w:r>
      <w:r>
        <w:rPr>
          <w:w w:val="99"/>
        </w:rPr>
        <w:t> </w:t>
      </w:r>
      <w:r>
        <w:rPr>
          <w:spacing w:val="-2"/>
        </w:rPr>
        <w:t>重要里程碑，并被工信部、民政部、国家卫计委评定为</w:t>
      </w:r>
      <w:r>
        <w:rPr>
          <w:rFonts w:ascii="Times New Roman" w:hAnsi="Times New Roman" w:cs="Times New Roman" w:eastAsia="Times New Roman" w:hint="default"/>
          <w:spacing w:val="-2"/>
        </w:rPr>
        <w:t>“</w:t>
      </w:r>
      <w:r>
        <w:rPr>
          <w:spacing w:val="-2"/>
        </w:rPr>
        <w:t>国家级智慧健康养老应用示范企业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2018</w:t>
      </w:r>
      <w:r>
        <w:rPr>
          <w:spacing w:val="-2"/>
        </w:rPr>
        <w:t>年公司荣获</w:t>
      </w:r>
      <w:r>
        <w:rPr>
          <w:rFonts w:ascii="Times New Roman" w:hAnsi="Times New Roman" w:cs="Times New Roman" w:eastAsia="Times New Roman" w:hint="default"/>
          <w:spacing w:val="-2"/>
        </w:rPr>
        <w:t>ITSS</w:t>
      </w:r>
      <w:r>
        <w:rPr>
          <w:spacing w:val="-2"/>
        </w:rPr>
        <w:t>研制和应</w:t>
      </w:r>
      <w:r>
        <w:rPr>
          <w:spacing w:val="-49"/>
        </w:rPr>
        <w:t> </w:t>
      </w:r>
      <w:r>
        <w:rPr>
          <w:spacing w:val="-49"/>
        </w:rPr>
      </w:r>
      <w:r>
        <w:rPr/>
        <w:t>用单位证书、</w:t>
      </w:r>
      <w:r>
        <w:rPr>
          <w:rFonts w:ascii="Times New Roman" w:hAnsi="Times New Roman" w:cs="Times New Roman" w:eastAsia="Times New Roman" w:hint="default"/>
        </w:rPr>
        <w:t>“2018</w:t>
      </w:r>
      <w:r>
        <w:rPr>
          <w:rFonts w:ascii="Times New Roman" w:hAnsi="Times New Roman" w:cs="Times New Roman" w:eastAsia="Times New Roman" w:hint="default"/>
        </w:rPr>
        <w:t>-2019</w:t>
      </w:r>
      <w:r>
        <w:rPr/>
        <w:t>年度厦门市龙头骨干民营企业</w:t>
      </w:r>
      <w:r>
        <w:rPr>
          <w:rFonts w:ascii="Times New Roman" w:hAnsi="Times New Roman" w:cs="Times New Roman" w:eastAsia="Times New Roman" w:hint="default"/>
        </w:rPr>
        <w:t>”</w:t>
      </w:r>
      <w:r>
        <w:rPr/>
        <w:t>、企业信用等级证书</w:t>
      </w:r>
      <w:r>
        <w:rPr>
          <w:rFonts w:ascii="Times New Roman" w:hAnsi="Times New Roman" w:cs="Times New Roman" w:eastAsia="Times New Roman" w:hint="default"/>
        </w:rPr>
        <w:t>AAA</w:t>
      </w:r>
      <w:r>
        <w:rPr/>
        <w:t>。技术优势为公司产品和服务创新打下了</w:t>
      </w:r>
      <w:r>
        <w:rPr>
          <w:spacing w:val="-68"/>
        </w:rPr>
        <w:t> </w:t>
      </w:r>
      <w:r>
        <w:rPr>
          <w:spacing w:val="-68"/>
        </w:rPr>
      </w:r>
      <w:r>
        <w:rPr/>
        <w:t>坚实基础，也是公司商业模式有效执行的保障，亦进一步增强了公司产品的全面性、多样性和公司业务的专业性。</w:t>
      </w:r>
    </w:p>
    <w:p>
      <w:pPr>
        <w:pStyle w:val="BodyText"/>
        <w:spacing w:line="316" w:lineRule="auto" w:before="31"/>
        <w:ind w:right="1034" w:firstLine="360"/>
        <w:jc w:val="left"/>
      </w:pPr>
      <w:r>
        <w:rPr>
          <w:spacing w:val="-2"/>
        </w:rPr>
        <w:t>报告期内，公司新增取得软件著作权</w:t>
      </w:r>
      <w:r>
        <w:rPr>
          <w:rFonts w:ascii="宋体" w:hAnsi="宋体" w:cs="宋体" w:eastAsia="宋体" w:hint="default"/>
          <w:spacing w:val="-2"/>
        </w:rPr>
        <w:t>124</w:t>
      </w:r>
      <w:r>
        <w:rPr>
          <w:spacing w:val="-2"/>
        </w:rPr>
        <w:t>项，发明专利</w:t>
      </w:r>
      <w:r>
        <w:rPr>
          <w:rFonts w:ascii="宋体" w:hAnsi="宋体" w:cs="宋体" w:eastAsia="宋体" w:hint="default"/>
          <w:spacing w:val="-2"/>
        </w:rPr>
        <w:t>3</w:t>
      </w:r>
      <w:r>
        <w:rPr>
          <w:spacing w:val="-2"/>
        </w:rPr>
        <w:t>项，外观专利</w:t>
      </w:r>
      <w:r>
        <w:rPr>
          <w:rFonts w:ascii="宋体" w:hAnsi="宋体" w:cs="宋体" w:eastAsia="宋体" w:hint="default"/>
          <w:spacing w:val="-2"/>
        </w:rPr>
        <w:t>4</w:t>
      </w:r>
      <w:r>
        <w:rPr>
          <w:spacing w:val="-2"/>
        </w:rPr>
        <w:t>项，实用新型专利</w:t>
      </w:r>
      <w:r>
        <w:rPr>
          <w:rFonts w:ascii="宋体" w:hAnsi="宋体" w:cs="宋体" w:eastAsia="宋体" w:hint="default"/>
          <w:spacing w:val="-2"/>
        </w:rPr>
        <w:t>1</w:t>
      </w:r>
      <w:r>
        <w:rPr>
          <w:spacing w:val="-2"/>
        </w:rPr>
        <w:t>项，商标证书</w:t>
      </w:r>
      <w:r>
        <w:rPr>
          <w:rFonts w:ascii="宋体" w:hAnsi="宋体" w:cs="宋体" w:eastAsia="宋体" w:hint="default"/>
          <w:spacing w:val="-2"/>
        </w:rPr>
        <w:t>21</w:t>
      </w:r>
      <w:r>
        <w:rPr>
          <w:spacing w:val="-2"/>
        </w:rPr>
        <w:t>件，软件产品</w:t>
      </w:r>
      <w:r>
        <w:rPr/>
        <w:t> 证书</w:t>
      </w:r>
      <w:r>
        <w:rPr>
          <w:rFonts w:ascii="宋体" w:hAnsi="宋体" w:cs="宋体" w:eastAsia="宋体" w:hint="default"/>
        </w:rPr>
        <w:t>2</w:t>
      </w:r>
      <w:r>
        <w:rPr/>
        <w:t>件。母公司新增取得证书</w:t>
      </w:r>
      <w:r>
        <w:rPr>
          <w:rFonts w:ascii="宋体" w:hAnsi="宋体" w:cs="宋体" w:eastAsia="宋体" w:hint="default"/>
        </w:rPr>
        <w:t>3</w:t>
      </w:r>
      <w:r>
        <w:rPr/>
        <w:t>件（</w:t>
      </w:r>
      <w:r>
        <w:rPr>
          <w:rFonts w:ascii="宋体" w:hAnsi="宋体" w:cs="宋体" w:eastAsia="宋体" w:hint="default"/>
        </w:rPr>
        <w:t>H3C</w:t>
      </w:r>
      <w:r>
        <w:rPr/>
        <w:t>渠道认证代理商</w:t>
      </w:r>
      <w:r>
        <w:rPr>
          <w:rFonts w:ascii="宋体" w:hAnsi="宋体" w:cs="宋体" w:eastAsia="宋体" w:hint="default"/>
        </w:rPr>
        <w:t>5548</w:t>
      </w:r>
      <w:r>
        <w:rPr/>
        <w:t>、</w:t>
      </w:r>
      <w:r>
        <w:rPr>
          <w:rFonts w:ascii="宋体" w:hAnsi="宋体" w:cs="宋体" w:eastAsia="宋体" w:hint="default"/>
        </w:rPr>
        <w:t>K1PowerSystems</w:t>
      </w:r>
      <w:r>
        <w:rPr/>
        <w:t>解决方案供应商、企业信用等级</w:t>
      </w:r>
      <w:r>
        <w:rPr>
          <w:rFonts w:ascii="宋体" w:hAnsi="宋体" w:cs="宋体" w:eastAsia="宋体" w:hint="default"/>
        </w:rPr>
        <w:t>AAA</w:t>
      </w:r>
      <w:r>
        <w:rPr/>
        <w:t>证书）， </w:t>
      </w:r>
      <w:r>
        <w:rPr>
          <w:rFonts w:ascii="宋体" w:hAnsi="宋体" w:cs="宋体" w:eastAsia="宋体" w:hint="default"/>
          <w:spacing w:val="-2"/>
        </w:rPr>
        <w:t>3</w:t>
      </w:r>
      <w:r>
        <w:rPr>
          <w:spacing w:val="-2"/>
        </w:rPr>
        <w:t>家子公司获得质量管理体系认证证书（</w:t>
      </w:r>
      <w:r>
        <w:rPr>
          <w:rFonts w:ascii="宋体" w:hAnsi="宋体" w:cs="宋体" w:eastAsia="宋体" w:hint="default"/>
          <w:spacing w:val="-2"/>
        </w:rPr>
        <w:t>ISO9001:2015</w:t>
      </w:r>
      <w:r>
        <w:rPr>
          <w:spacing w:val="-2"/>
        </w:rPr>
        <w:t>），</w:t>
      </w:r>
      <w:r>
        <w:rPr>
          <w:rFonts w:ascii="宋体" w:hAnsi="宋体" w:cs="宋体" w:eastAsia="宋体" w:hint="default"/>
          <w:spacing w:val="-2"/>
        </w:rPr>
        <w:t>7</w:t>
      </w:r>
      <w:r>
        <w:rPr>
          <w:spacing w:val="-2"/>
        </w:rPr>
        <w:t>家子公司获得软件企业证书，</w:t>
      </w:r>
      <w:r>
        <w:rPr>
          <w:rFonts w:ascii="宋体" w:hAnsi="宋体" w:cs="宋体" w:eastAsia="宋体" w:hint="default"/>
          <w:spacing w:val="-2"/>
        </w:rPr>
        <w:t>4</w:t>
      </w:r>
      <w:r>
        <w:rPr>
          <w:spacing w:val="-2"/>
        </w:rPr>
        <w:t>家子公司获得高新技术企业证书。</w:t>
      </w:r>
    </w:p>
    <w:p>
      <w:pPr>
        <w:pStyle w:val="BodyText"/>
        <w:spacing w:line="316" w:lineRule="auto" w:before="19"/>
        <w:ind w:left="513" w:right="0"/>
        <w:jc w:val="left"/>
      </w:pPr>
      <w:r>
        <w:rPr/>
        <w:t>（四）市场拓展优势 </w:t>
      </w:r>
      <w:r>
        <w:rPr>
          <w:spacing w:val="-2"/>
        </w:rPr>
        <w:t>公司在技术、产品和服务方面已有深厚积淀，充分具备承接大型项目的经验和能力，陆续承担了一系列业务复杂、影响</w:t>
      </w:r>
    </w:p>
    <w:p>
      <w:pPr>
        <w:pStyle w:val="BodyText"/>
        <w:spacing w:line="319" w:lineRule="auto" w:before="19"/>
        <w:ind w:right="1051"/>
        <w:jc w:val="both"/>
      </w:pPr>
      <w:r>
        <w:rPr>
          <w:spacing w:val="-2"/>
        </w:rPr>
        <w:t>深远的大型民生信息化项目，如广东、广西、吉林等省份的公共服务平台以及福建全省医保信息化系统等。这些典型项目的</w:t>
      </w:r>
      <w:r>
        <w:rPr>
          <w:spacing w:val="-63"/>
        </w:rPr>
        <w:t> </w:t>
      </w:r>
      <w:r>
        <w:rPr>
          <w:spacing w:val="-63"/>
        </w:rPr>
      </w:r>
      <w:r>
        <w:rPr>
          <w:spacing w:val="-2"/>
        </w:rPr>
        <w:t>成功运行，不仅促进公司行业应用解决能力的持续提升，也为行业发展提供了参考借鉴的成功范例，由此形成的规模效应和</w:t>
      </w:r>
      <w:r>
        <w:rPr>
          <w:spacing w:val="-63"/>
        </w:rPr>
        <w:t> </w:t>
      </w:r>
      <w:r>
        <w:rPr>
          <w:spacing w:val="-63"/>
        </w:rPr>
      </w:r>
      <w:r>
        <w:rPr/>
        <w:t>学习效应进一步提高了项目实施的效率和成功率，有助于公司把既有的成熟服务体系快速、低成本地推广到国内其他省市。</w:t>
      </w:r>
    </w:p>
    <w:p>
      <w:pPr>
        <w:pStyle w:val="BodyText"/>
        <w:spacing w:line="309" w:lineRule="auto" w:before="17"/>
        <w:ind w:right="1131" w:firstLine="360"/>
        <w:jc w:val="both"/>
      </w:pPr>
      <w:r>
        <w:rPr>
          <w:spacing w:val="-1"/>
        </w:rPr>
        <w:t>目前公司业务及产品覆盖</w:t>
      </w:r>
      <w:r>
        <w:rPr>
          <w:rFonts w:ascii="Times New Roman" w:hAnsi="Times New Roman" w:cs="Times New Roman" w:eastAsia="Times New Roman" w:hint="default"/>
          <w:spacing w:val="-1"/>
        </w:rPr>
        <w:t>20</w:t>
      </w:r>
      <w:r>
        <w:rPr>
          <w:spacing w:val="-1"/>
        </w:rPr>
        <w:t>多个省、</w:t>
      </w:r>
      <w:r>
        <w:rPr>
          <w:rFonts w:ascii="Times New Roman" w:hAnsi="Times New Roman" w:cs="Times New Roman" w:eastAsia="Times New Roman" w:hint="default"/>
          <w:spacing w:val="-1"/>
        </w:rPr>
        <w:t>100</w:t>
      </w:r>
      <w:r>
        <w:rPr>
          <w:spacing w:val="-1"/>
        </w:rPr>
        <w:t>多个地市，服务人群超过</w:t>
      </w:r>
      <w:r>
        <w:rPr>
          <w:rFonts w:ascii="Times New Roman" w:hAnsi="Times New Roman" w:cs="Times New Roman" w:eastAsia="Times New Roman" w:hint="default"/>
          <w:spacing w:val="-1"/>
        </w:rPr>
        <w:t>4.5</w:t>
      </w:r>
      <w:r>
        <w:rPr>
          <w:spacing w:val="-1"/>
        </w:rPr>
        <w:t>亿。民生行业的客户资源是公司持续创造价值的基</w:t>
      </w:r>
      <w:r>
        <w:rPr/>
        <w:t> </w:t>
      </w:r>
      <w:r>
        <w:rPr>
          <w:spacing w:val="-2"/>
        </w:rPr>
        <w:t>础，基于技术先进、项目成功率高、产品链丰富等优势，公司客户粘度高，庞大的客户资源为公司未来成长提供了有效的保</w:t>
      </w:r>
      <w:r>
        <w:rPr>
          <w:spacing w:val="-67"/>
        </w:rPr>
        <w:t> </w:t>
      </w:r>
      <w:r>
        <w:rPr>
          <w:spacing w:val="-67"/>
        </w:rPr>
      </w:r>
      <w:r>
        <w:rPr/>
        <w:t>障。</w:t>
      </w:r>
    </w:p>
    <w:p>
      <w:pPr>
        <w:pStyle w:val="BodyText"/>
        <w:spacing w:line="316" w:lineRule="auto" w:before="24"/>
        <w:ind w:left="513" w:right="0"/>
        <w:jc w:val="left"/>
      </w:pPr>
      <w:r>
        <w:rPr/>
        <w:t>（五）人才优势 </w:t>
      </w:r>
      <w:r>
        <w:rPr>
          <w:spacing w:val="-2"/>
        </w:rPr>
        <w:t>随着公司业务不断增多，业务范围逐步扩大，人力资源管理越发重要。公司丰富人才多元引进渠道，加快高素质人才引</w:t>
      </w:r>
    </w:p>
    <w:p>
      <w:pPr>
        <w:pStyle w:val="BodyText"/>
        <w:spacing w:line="319" w:lineRule="auto" w:before="19"/>
        <w:ind w:right="1034"/>
        <w:jc w:val="left"/>
      </w:pPr>
      <w:r>
        <w:rPr/>
        <w:t>进速度，同时通过盘点各分子公司现有人员情况，激活现有的关键人力资源，构建公司人才梯队，增强核心人才贮备力度， </w:t>
      </w:r>
      <w:r>
        <w:rPr>
          <w:spacing w:val="-2"/>
        </w:rPr>
        <w:t>给予储备人才针对性的培训与培养，组建更具创造力的专业团队，为企业发展战略提供可持续的人力支持。通过进一步明确</w:t>
      </w:r>
      <w:r>
        <w:rPr>
          <w:spacing w:val="-63"/>
        </w:rPr>
        <w:t> </w:t>
      </w:r>
      <w:r>
        <w:rPr>
          <w:spacing w:val="-63"/>
        </w:rPr>
      </w:r>
      <w:r>
        <w:rPr>
          <w:spacing w:val="-2"/>
        </w:rPr>
        <w:t>职责权利，营造开放创新环境，完善培养激励机制，创造团队业务和产品的领头羊效应；强化各团队高效协同合作，提升组</w:t>
      </w:r>
      <w:r>
        <w:rPr>
          <w:spacing w:val="-67"/>
        </w:rPr>
        <w:t> </w:t>
      </w:r>
      <w:r>
        <w:rPr>
          <w:spacing w:val="-67"/>
        </w:rPr>
      </w:r>
      <w:r>
        <w:rPr/>
        <w:t>合竞争优势，以新思维带动公司业务和产品的提升，为公司发展提供持续的创新动力。</w:t>
      </w:r>
    </w:p>
    <w:p>
      <w:pPr>
        <w:spacing w:after="0" w:line="319"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029"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5"/>
        </w:rPr>
        <w:t> </w:t>
      </w:r>
      <w:r>
        <w:rPr/>
        <w:t>年，公司把握行业发展新趋势，更加注重顶层设计，明确管控重点，在稳步推进基础业务深度发展的同时，立足 </w:t>
      </w:r>
      <w:r>
        <w:rPr>
          <w:spacing w:val="-2"/>
        </w:rPr>
        <w:t>基础、平台、渠道、支付等组合优势，探索基础业务创新，培育运营型增值服务，拓展互联网相关业务，进一步整合业务和</w:t>
      </w:r>
      <w:r>
        <w:rPr>
          <w:spacing w:val="-73"/>
        </w:rPr>
        <w:t> </w:t>
      </w:r>
      <w:r>
        <w:rPr>
          <w:spacing w:val="-73"/>
        </w:rPr>
      </w:r>
      <w:r>
        <w:rPr/>
        <w:t>创新产品，逐步形成整体解决方案。报告期内，公司围绕</w:t>
      </w:r>
      <w:r>
        <w:rPr>
          <w:rFonts w:ascii="Times New Roman" w:hAnsi="Times New Roman" w:cs="Times New Roman" w:eastAsia="Times New Roman" w:hint="default"/>
        </w:rPr>
        <w:t>“</w:t>
      </w:r>
      <w:r>
        <w:rPr/>
        <w:t>医疗卫生、医疗保障、人力资源和社会保障</w:t>
      </w:r>
      <w:r>
        <w:rPr>
          <w:rFonts w:ascii="Times New Roman" w:hAnsi="Times New Roman" w:cs="Times New Roman" w:eastAsia="Times New Roman" w:hint="default"/>
        </w:rPr>
        <w:t>”</w:t>
      </w:r>
      <w:r>
        <w:rPr/>
        <w:t>为核心的民生相关业 </w:t>
      </w:r>
      <w:r>
        <w:rPr>
          <w:spacing w:val="-2"/>
        </w:rPr>
        <w:t>务领域，积极布局，有序开展健康医疗领域、公共服务领域、产业金融领域、大数据领域等各项工作，构建核心行业竞争优</w:t>
      </w:r>
      <w:r>
        <w:rPr>
          <w:spacing w:val="-68"/>
        </w:rPr>
        <w:t> </w:t>
      </w:r>
      <w:r>
        <w:rPr>
          <w:spacing w:val="-68"/>
        </w:rPr>
      </w:r>
      <w:r>
        <w:rPr>
          <w:spacing w:val="-2"/>
        </w:rPr>
        <w:t>势，扩大市场占有率，增加公司服务人群，继续推进新产品的研究开发和新技术的运用力度以增强公司多元化服务的核心竞</w:t>
      </w:r>
      <w:r>
        <w:rPr>
          <w:spacing w:val="-65"/>
        </w:rPr>
        <w:t> </w:t>
      </w:r>
      <w:r>
        <w:rPr>
          <w:spacing w:val="-65"/>
        </w:rPr>
      </w:r>
      <w:r>
        <w:rPr/>
        <w:t>争力，抓好项目管理和实施推进工作，同时，持续推进公司管理架构的调整。</w:t>
      </w:r>
      <w:r>
        <w:rPr>
          <w:rFonts w:ascii="宋体" w:hAnsi="宋体" w:cs="宋体" w:eastAsia="宋体" w:hint="default"/>
        </w:rPr>
        <w:t>2018</w:t>
      </w:r>
      <w:r>
        <w:rPr>
          <w:rFonts w:ascii="宋体" w:hAnsi="宋体" w:cs="宋体" w:eastAsia="宋体" w:hint="default"/>
          <w:spacing w:val="-58"/>
        </w:rPr>
        <w:t> </w:t>
      </w:r>
      <w:r>
        <w:rPr/>
        <w:t>年，公司实现营业收入</w:t>
      </w:r>
      <w:r>
        <w:rPr>
          <w:spacing w:val="-59"/>
        </w:rPr>
        <w:t> </w:t>
      </w:r>
      <w:r>
        <w:rPr>
          <w:rFonts w:ascii="宋体" w:hAnsi="宋体" w:cs="宋体" w:eastAsia="宋体" w:hint="default"/>
        </w:rPr>
        <w:t>72,980.58</w:t>
      </w:r>
      <w:r>
        <w:rPr>
          <w:rFonts w:ascii="宋体" w:hAnsi="宋体" w:cs="宋体" w:eastAsia="宋体" w:hint="default"/>
          <w:spacing w:val="-58"/>
        </w:rPr>
        <w:t> </w:t>
      </w:r>
      <w:r>
        <w:rPr/>
        <w:t>万元， 同比上升</w:t>
      </w:r>
      <w:r>
        <w:rPr>
          <w:spacing w:val="-51"/>
        </w:rPr>
        <w:t> </w:t>
      </w:r>
      <w:r>
        <w:rPr>
          <w:rFonts w:ascii="宋体" w:hAnsi="宋体" w:cs="宋体" w:eastAsia="宋体" w:hint="default"/>
        </w:rPr>
        <w:t>16.67%</w:t>
      </w:r>
      <w:r>
        <w:rPr/>
        <w:t>；发生营业成本</w:t>
      </w:r>
      <w:r>
        <w:rPr>
          <w:spacing w:val="-52"/>
        </w:rPr>
        <w:t> </w:t>
      </w:r>
      <w:r>
        <w:rPr>
          <w:rFonts w:ascii="宋体" w:hAnsi="宋体" w:cs="宋体" w:eastAsia="宋体" w:hint="default"/>
        </w:rPr>
        <w:t>34,396.03</w:t>
      </w:r>
      <w:r>
        <w:rPr>
          <w:rFonts w:ascii="宋体" w:hAnsi="宋体" w:cs="宋体" w:eastAsia="宋体" w:hint="default"/>
          <w:spacing w:val="-49"/>
        </w:rPr>
        <w:t> </w:t>
      </w:r>
      <w:r>
        <w:rPr/>
        <w:t>万元，同比上升</w:t>
      </w:r>
      <w:r>
        <w:rPr>
          <w:spacing w:val="-53"/>
        </w:rPr>
        <w:t> </w:t>
      </w:r>
      <w:r>
        <w:rPr>
          <w:rFonts w:ascii="宋体" w:hAnsi="宋体" w:cs="宋体" w:eastAsia="宋体" w:hint="default"/>
        </w:rPr>
        <w:t>6.73%</w:t>
      </w:r>
      <w:r>
        <w:rPr/>
        <w:t>；发生期间费用</w:t>
      </w:r>
      <w:r>
        <w:rPr>
          <w:spacing w:val="-52"/>
        </w:rPr>
        <w:t> </w:t>
      </w:r>
      <w:r>
        <w:rPr>
          <w:rFonts w:ascii="宋体" w:hAnsi="宋体" w:cs="宋体" w:eastAsia="宋体" w:hint="default"/>
        </w:rPr>
        <w:t>33,335.19</w:t>
      </w:r>
      <w:r>
        <w:rPr>
          <w:rFonts w:ascii="宋体" w:hAnsi="宋体" w:cs="宋体" w:eastAsia="宋体" w:hint="default"/>
          <w:spacing w:val="-50"/>
        </w:rPr>
        <w:t> </w:t>
      </w:r>
      <w:r>
        <w:rPr/>
        <w:t>万元</w:t>
      </w:r>
      <w:r>
        <w:rPr>
          <w:rFonts w:ascii="宋体" w:hAnsi="宋体" w:cs="宋体" w:eastAsia="宋体" w:hint="default"/>
        </w:rPr>
        <w:t>,</w:t>
      </w:r>
      <w:r>
        <w:rPr/>
        <w:t>同比上升</w:t>
      </w:r>
      <w:r>
        <w:rPr>
          <w:spacing w:val="-52"/>
        </w:rPr>
        <w:t> </w:t>
      </w:r>
      <w:r>
        <w:rPr>
          <w:rFonts w:ascii="宋体" w:hAnsi="宋体" w:cs="宋体" w:eastAsia="宋体" w:hint="default"/>
        </w:rPr>
        <w:t>10.78%</w:t>
      </w:r>
      <w:r>
        <w:rPr/>
        <w:t>；全年 实现营业利润</w:t>
      </w:r>
      <w:r>
        <w:rPr>
          <w:spacing w:val="-45"/>
        </w:rPr>
        <w:t> </w:t>
      </w:r>
      <w:r>
        <w:rPr>
          <w:rFonts w:ascii="宋体" w:hAnsi="宋体" w:cs="宋体" w:eastAsia="宋体" w:hint="default"/>
        </w:rPr>
        <w:t>4,252.36</w:t>
      </w:r>
      <w:r>
        <w:rPr>
          <w:rFonts w:ascii="宋体" w:hAnsi="宋体" w:cs="宋体" w:eastAsia="宋体" w:hint="default"/>
          <w:spacing w:val="-44"/>
        </w:rPr>
        <w:t> </w:t>
      </w:r>
      <w:r>
        <w:rPr/>
        <w:t>万元。</w:t>
      </w:r>
    </w:p>
    <w:p>
      <w:pPr>
        <w:pStyle w:val="BodyText"/>
        <w:spacing w:line="240" w:lineRule="auto" w:before="61"/>
        <w:ind w:left="513" w:right="0"/>
        <w:jc w:val="left"/>
      </w:pPr>
      <w:r>
        <w:rPr/>
        <w:t>报告期内，公司主要工作包括：</w:t>
      </w:r>
    </w:p>
    <w:p>
      <w:pPr>
        <w:pStyle w:val="Heading4"/>
        <w:spacing w:line="240" w:lineRule="auto" w:before="76"/>
        <w:ind w:right="0"/>
        <w:jc w:val="left"/>
        <w:rPr>
          <w:b w:val="0"/>
          <w:bCs w:val="0"/>
        </w:rPr>
      </w:pPr>
      <w:r>
        <w:rPr/>
        <w:t>（一）推动各项业务工作有序开展</w:t>
      </w:r>
      <w:r>
        <w:rPr>
          <w:b w:val="0"/>
          <w:bCs w:val="0"/>
        </w:rPr>
      </w:r>
    </w:p>
    <w:p>
      <w:pPr>
        <w:pStyle w:val="BodyText"/>
        <w:spacing w:line="309" w:lineRule="auto" w:before="76"/>
        <w:ind w:left="513" w:right="1119"/>
        <w:jc w:val="left"/>
      </w:pPr>
      <w:r>
        <w:rPr>
          <w:rFonts w:ascii="Times New Roman" w:hAnsi="Times New Roman" w:cs="Times New Roman" w:eastAsia="Times New Roman" w:hint="default"/>
          <w:b/>
          <w:bCs/>
        </w:rPr>
        <w:t>1.</w:t>
      </w:r>
      <w:r>
        <w:rPr>
          <w:rFonts w:ascii="宋体" w:hAnsi="宋体" w:cs="宋体" w:eastAsia="宋体" w:hint="default"/>
          <w:b/>
          <w:bCs/>
        </w:rPr>
        <w:t>健康医疗领域业务</w:t>
      </w:r>
      <w:r>
        <w:rPr>
          <w:rFonts w:ascii="宋体" w:hAnsi="宋体" w:cs="宋体" w:eastAsia="宋体" w:hint="default"/>
          <w:b/>
          <w:bCs/>
          <w:w w:val="99"/>
        </w:rPr>
        <w:t> </w:t>
      </w:r>
      <w:r>
        <w:rPr/>
        <w:t>加速推进医疗卫生业务升级，围绕大健康、大医疗、大数据发展战略展开产品研发、市场拓展工作。 </w:t>
      </w:r>
      <w:r>
        <w:rPr>
          <w:spacing w:val="-2"/>
        </w:rPr>
        <w:t>医保业务方面，报告期内，公司继续守住、提升并深挖创新福建省内市场，推进以</w:t>
      </w:r>
      <w:r>
        <w:rPr>
          <w:rFonts w:ascii="Times New Roman" w:hAnsi="Times New Roman" w:cs="Times New Roman" w:eastAsia="Times New Roman" w:hint="default"/>
          <w:spacing w:val="-2"/>
        </w:rPr>
        <w:t>“</w:t>
      </w:r>
      <w:r>
        <w:rPr>
          <w:spacing w:val="-2"/>
        </w:rPr>
        <w:t>三保合一</w:t>
      </w:r>
      <w:r>
        <w:rPr>
          <w:rFonts w:ascii="Times New Roman" w:hAnsi="Times New Roman" w:cs="Times New Roman" w:eastAsia="Times New Roman" w:hint="default"/>
          <w:spacing w:val="-2"/>
        </w:rPr>
        <w:t>”</w:t>
      </w:r>
      <w:r>
        <w:rPr>
          <w:spacing w:val="-2"/>
        </w:rPr>
        <w:t>为核心的福建全省医疗保</w:t>
      </w:r>
    </w:p>
    <w:p>
      <w:pPr>
        <w:pStyle w:val="BodyText"/>
        <w:spacing w:line="304" w:lineRule="auto" w:before="5"/>
        <w:ind w:right="1070"/>
        <w:jc w:val="left"/>
      </w:pPr>
      <w:r>
        <w:rPr/>
        <w:t>障信息系统开发与实施，截止</w:t>
      </w:r>
      <w:r>
        <w:rPr>
          <w:rFonts w:ascii="Times New Roman" w:hAnsi="Times New Roman" w:cs="Times New Roman" w:eastAsia="Times New Roman" w:hint="default"/>
        </w:rPr>
        <w:t>2018</w:t>
      </w:r>
      <w:r>
        <w:rPr/>
        <w:t>年底已先后完成了主要统筹区</w:t>
      </w:r>
      <w:r>
        <w:rPr>
          <w:rFonts w:ascii="Times New Roman" w:hAnsi="Times New Roman" w:cs="Times New Roman" w:eastAsia="Times New Roman" w:hint="default"/>
        </w:rPr>
        <w:t>“</w:t>
      </w:r>
      <w:r>
        <w:rPr/>
        <w:t>三保合一</w:t>
      </w:r>
      <w:r>
        <w:rPr>
          <w:rFonts w:ascii="Times New Roman" w:hAnsi="Times New Roman" w:cs="Times New Roman" w:eastAsia="Times New Roman" w:hint="default"/>
        </w:rPr>
        <w:t>”</w:t>
      </w:r>
      <w:r>
        <w:rPr/>
        <w:t>业务系统上线。全省各统筹区均已完成</w:t>
      </w:r>
      <w:r>
        <w:rPr>
          <w:rFonts w:ascii="Times New Roman" w:hAnsi="Times New Roman" w:cs="Times New Roman" w:eastAsia="Times New Roman" w:hint="default"/>
        </w:rPr>
        <w:t>“</w:t>
      </w:r>
      <w:r>
        <w:rPr/>
        <w:t>三保合</w:t>
      </w:r>
      <w:r>
        <w:rPr>
          <w:spacing w:val="-57"/>
        </w:rPr>
        <w:t> </w:t>
      </w:r>
      <w:r>
        <w:rPr/>
        <w:t>一</w:t>
      </w:r>
      <w:r>
        <w:rPr>
          <w:rFonts w:ascii="Times New Roman" w:hAnsi="Times New Roman" w:cs="Times New Roman" w:eastAsia="Times New Roman" w:hint="default"/>
        </w:rPr>
        <w:t>”</w:t>
      </w:r>
      <w:r>
        <w:rPr/>
        <w:t>系统的初步建设目标，目前各系统运行状况良好，后续将持续推进系统的优化和完善工作。</w:t>
      </w:r>
      <w:r>
        <w:rPr>
          <w:rFonts w:ascii="Times New Roman" w:hAnsi="Times New Roman" w:cs="Times New Roman" w:eastAsia="Times New Roman" w:hint="default"/>
        </w:rPr>
        <w:t>“</w:t>
      </w:r>
      <w:r>
        <w:rPr/>
        <w:t>三保合一</w:t>
      </w:r>
      <w:r>
        <w:rPr>
          <w:rFonts w:ascii="Times New Roman" w:hAnsi="Times New Roman" w:cs="Times New Roman" w:eastAsia="Times New Roman" w:hint="default"/>
        </w:rPr>
        <w:t>”</w:t>
      </w:r>
      <w:r>
        <w:rPr/>
        <w:t>信息系统支撑了</w:t>
      </w:r>
      <w:r>
        <w:rPr>
          <w:spacing w:val="-53"/>
        </w:rPr>
        <w:t> </w:t>
      </w:r>
      <w:r>
        <w:rPr>
          <w:spacing w:val="-53"/>
        </w:rPr>
      </w:r>
      <w:r>
        <w:rPr>
          <w:spacing w:val="-2"/>
        </w:rPr>
        <w:t>福建省医保体制改革创新，为新一轮医改背景下的医保改革提供了建设样本，为福建省外业务市场开拓奠定良好的基础；省</w:t>
      </w:r>
      <w:r>
        <w:rPr>
          <w:spacing w:val="-63"/>
        </w:rPr>
        <w:t> </w:t>
      </w:r>
      <w:r>
        <w:rPr>
          <w:spacing w:val="-63"/>
        </w:rPr>
      </w:r>
      <w:r>
        <w:rPr>
          <w:spacing w:val="-2"/>
        </w:rPr>
        <w:t>外市场完成了汕头市金保工程（二期）系统建设上线工作及异地就医系统改造验收工作，正积极推进广东汕头医保三层系统</w:t>
      </w:r>
      <w:r>
        <w:rPr>
          <w:spacing w:val="-65"/>
        </w:rPr>
        <w:t> </w:t>
      </w:r>
      <w:r>
        <w:rPr>
          <w:spacing w:val="-65"/>
        </w:rPr>
      </w:r>
      <w:r>
        <w:rPr/>
        <w:t>改造、医保决策系统及城乡医疗救助</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项目建设，同时推进陕西榆林社保卡环境改造及跨省异地联网项目建设工作， 中标榆林医保智能稽核系统。此外，公司在国家卫生计生发展委员会发展研究中心的指导下，完成了</w:t>
      </w:r>
      <w:r>
        <w:rPr>
          <w:rFonts w:ascii="Times New Roman" w:hAnsi="Times New Roman" w:cs="Times New Roman" w:eastAsia="Times New Roman" w:hint="default"/>
        </w:rPr>
        <w:t>C-DRG</w:t>
      </w:r>
      <w:r>
        <w:rPr/>
        <w:t>收付费产品在</w:t>
      </w:r>
      <w:r>
        <w:rPr>
          <w:spacing w:val="-17"/>
        </w:rPr>
        <w:t> </w:t>
      </w:r>
      <w:r>
        <w:rPr>
          <w:spacing w:val="-17"/>
        </w:rPr>
      </w:r>
      <w:r>
        <w:rPr/>
        <w:t>三明的试点上线工作，并于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月中标福建省</w:t>
      </w:r>
      <w:r>
        <w:rPr>
          <w:rFonts w:ascii="Times New Roman" w:hAnsi="Times New Roman" w:cs="Times New Roman" w:eastAsia="Times New Roman" w:hint="default"/>
        </w:rPr>
        <w:t>C-DRG</w:t>
      </w:r>
      <w:r>
        <w:rPr/>
        <w:t>平台建设项目，目前已完成福建医保医疗服务价格监管产品设计</w:t>
      </w:r>
      <w:r>
        <w:rPr>
          <w:spacing w:val="-24"/>
        </w:rPr>
        <w:t> </w:t>
      </w:r>
      <w:r>
        <w:rPr>
          <w:spacing w:val="-24"/>
        </w:rPr>
      </w:r>
      <w:r>
        <w:rPr/>
        <w:t>工作；同时医保多点结算应用产品在省直、厦门、福州、三明等地市医院上线启用。</w:t>
      </w:r>
    </w:p>
    <w:p>
      <w:pPr>
        <w:pStyle w:val="BodyText"/>
        <w:spacing w:line="312" w:lineRule="auto" w:before="28"/>
        <w:ind w:right="1034" w:firstLine="360"/>
        <w:jc w:val="left"/>
      </w:pPr>
      <w:r>
        <w:rPr>
          <w:spacing w:val="-3"/>
        </w:rPr>
        <w:t>基层卫生和医联体改革信息化业务方面，报告期内，在公司创新研发了</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医疗健康</w:t>
      </w:r>
      <w:r>
        <w:rPr>
          <w:rFonts w:ascii="Times New Roman" w:hAnsi="Times New Roman" w:cs="Times New Roman" w:eastAsia="Times New Roman" w:hint="default"/>
          <w:spacing w:val="-3"/>
        </w:rPr>
        <w:t>”</w:t>
      </w:r>
      <w:r>
        <w:rPr>
          <w:spacing w:val="-3"/>
        </w:rPr>
        <w:t>便民惠民服务平台，并于</w:t>
      </w:r>
      <w:r>
        <w:rPr>
          <w:rFonts w:ascii="Times New Roman" w:hAnsi="Times New Roman" w:cs="Times New Roman" w:eastAsia="Times New Roman" w:hint="default"/>
          <w:spacing w:val="-3"/>
        </w:rPr>
        <w:t>2018</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月签订了漳州市卫计委漳州分级诊疗平台</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便民惠民项目拓展合同；在福建省全面铺开家庭医生签约</w:t>
      </w:r>
      <w:r>
        <w:rPr>
          <w:spacing w:val="-77"/>
        </w:rPr>
        <w:t> </w:t>
      </w:r>
      <w:r>
        <w:rPr>
          <w:spacing w:val="-77"/>
        </w:rPr>
      </w:r>
      <w:r>
        <w:rPr>
          <w:spacing w:val="-2"/>
        </w:rPr>
        <w:t>服务平台并于下半年正式投放配套硬件产品，推广效果显著；以家庭医生签约为切入点，拓展面向糖尿病、高血压等慢性病</w:t>
      </w:r>
      <w:r>
        <w:rPr>
          <w:spacing w:val="-64"/>
        </w:rPr>
        <w:t> </w:t>
      </w:r>
      <w:r>
        <w:rPr>
          <w:spacing w:val="-64"/>
        </w:rPr>
      </w:r>
      <w:r>
        <w:rPr>
          <w:spacing w:val="-2"/>
        </w:rPr>
        <w:t>人的长期健康管理服务</w:t>
      </w:r>
      <w:r>
        <w:rPr>
          <w:rFonts w:ascii="Times New Roman" w:hAnsi="Times New Roman" w:cs="Times New Roman" w:eastAsia="Times New Roman" w:hint="default"/>
          <w:spacing w:val="-2"/>
        </w:rPr>
        <w:t>“</w:t>
      </w:r>
      <w:r>
        <w:rPr>
          <w:spacing w:val="-2"/>
        </w:rPr>
        <w:t>医共体慢病三级共管</w:t>
      </w:r>
      <w:r>
        <w:rPr>
          <w:rFonts w:ascii="Times New Roman" w:hAnsi="Times New Roman" w:cs="Times New Roman" w:eastAsia="Times New Roman" w:hint="default"/>
          <w:spacing w:val="-2"/>
        </w:rPr>
        <w:t>”</w:t>
      </w:r>
      <w:r>
        <w:rPr>
          <w:spacing w:val="-2"/>
        </w:rPr>
        <w:t>模式，目前该慢病管理平台正在三明尤溪县试点应用；完成了福建省基层卫生</w:t>
      </w:r>
      <w:r>
        <w:rPr>
          <w:spacing w:val="-46"/>
        </w:rPr>
        <w:t> </w:t>
      </w:r>
      <w:r>
        <w:rPr>
          <w:spacing w:val="-46"/>
        </w:rPr>
      </w:r>
      <w:r>
        <w:rPr>
          <w:spacing w:val="-2"/>
        </w:rPr>
        <w:t>信息系统拓展医学影像诊断等应用项目（基层卫生系统拓展项目）的试点验收工作；中标厦门免疫规划接种全预约管理平台</w:t>
      </w:r>
      <w:r>
        <w:rPr>
          <w:spacing w:val="-64"/>
        </w:rPr>
        <w:t> </w:t>
      </w:r>
      <w:r>
        <w:rPr>
          <w:spacing w:val="-64"/>
        </w:rPr>
      </w:r>
      <w:r>
        <w:rPr>
          <w:spacing w:val="-2"/>
        </w:rPr>
        <w:t>项目并基本完成相关实施工作；为响应国家卫健委提出的</w:t>
      </w:r>
      <w:r>
        <w:rPr>
          <w:rFonts w:ascii="Times New Roman" w:hAnsi="Times New Roman" w:cs="Times New Roman" w:eastAsia="Times New Roman" w:hint="default"/>
          <w:spacing w:val="-2"/>
        </w:rPr>
        <w:t>“</w:t>
      </w:r>
      <w:r>
        <w:rPr>
          <w:spacing w:val="-2"/>
        </w:rPr>
        <w:t>进一步改善患者就医服务行动计划</w:t>
      </w:r>
      <w:r>
        <w:rPr>
          <w:rFonts w:ascii="Times New Roman" w:hAnsi="Times New Roman" w:cs="Times New Roman" w:eastAsia="Times New Roman" w:hint="default"/>
          <w:spacing w:val="-2"/>
        </w:rPr>
        <w:t>”</w:t>
      </w:r>
      <w:r>
        <w:rPr>
          <w:spacing w:val="-2"/>
        </w:rPr>
        <w:t>的政策，报告期内，公司自主</w:t>
      </w:r>
      <w:r>
        <w:rPr>
          <w:spacing w:val="-44"/>
        </w:rPr>
        <w:t> </w:t>
      </w:r>
      <w:r>
        <w:rPr>
          <w:spacing w:val="-44"/>
        </w:rPr>
      </w:r>
      <w:r>
        <w:rPr>
          <w:spacing w:val="-2"/>
        </w:rPr>
        <w:t>研发的智能医技预约平台，在中国人民解放军总医院、北京市朝阳医院及广东省中医院、广东省第二人民医院等大型公立医</w:t>
      </w:r>
      <w:r>
        <w:rPr>
          <w:spacing w:val="-63"/>
        </w:rPr>
        <w:t> </w:t>
      </w:r>
      <w:r>
        <w:rPr>
          <w:spacing w:val="-63"/>
        </w:rPr>
      </w:r>
      <w:r>
        <w:rPr>
          <w:spacing w:val="-2"/>
        </w:rPr>
        <w:t>院陆续建设交付，获得了良好的市场反馈和客户、患者的一致好评；公司借助在大湾区过往的业务积累，与大湾区内众多大</w:t>
      </w:r>
      <w:r>
        <w:rPr>
          <w:spacing w:val="-65"/>
        </w:rPr>
        <w:t> </w:t>
      </w:r>
      <w:r>
        <w:rPr>
          <w:spacing w:val="-65"/>
        </w:rPr>
      </w:r>
      <w:r>
        <w:rPr>
          <w:spacing w:val="-2"/>
        </w:rPr>
        <w:t>型公立医疗机构进行广泛合作，报告期内公司在广州、深圳、惠州、珠海等地的主要大型三甲医院落地相关医学影像、医联</w:t>
      </w:r>
      <w:r>
        <w:rPr>
          <w:spacing w:val="-67"/>
        </w:rPr>
        <w:t> </w:t>
      </w:r>
      <w:r>
        <w:rPr>
          <w:spacing w:val="-67"/>
        </w:rPr>
      </w:r>
      <w:r>
        <w:rPr>
          <w:spacing w:val="-2"/>
        </w:rPr>
        <w:t>体平台以及区域医疗平台等医疗信息化项目；同时公司借助三明医改和福建医改技术及经验积累，正积极参与和推进多个地</w:t>
      </w:r>
      <w:r>
        <w:rPr>
          <w:spacing w:val="-63"/>
        </w:rPr>
        <w:t> </w:t>
      </w:r>
      <w:r>
        <w:rPr>
          <w:spacing w:val="-63"/>
        </w:rPr>
      </w:r>
      <w:r>
        <w:rPr/>
        <w:t>市医改和县域紧密型医共体业务的落地。报告期内陆续中标并建设了福建省尤溪县总医院、长乐市总医院、山西省高平市、</w:t>
      </w:r>
      <w:r>
        <w:rPr/>
        <w:t> 沁源县等县乡一体化平台等类型丰富的县域医改的地区样板和创新模式，并积极推进创新模式在上述两省以及河北、安徽、 广东等地区的模式推广和市场落地。</w:t>
      </w:r>
    </w:p>
    <w:p>
      <w:pPr>
        <w:pStyle w:val="BodyText"/>
        <w:spacing w:line="307" w:lineRule="auto" w:before="22"/>
        <w:ind w:right="1132" w:firstLine="360"/>
        <w:jc w:val="both"/>
      </w:pPr>
      <w:r>
        <w:rPr>
          <w:spacing w:val="-2"/>
        </w:rPr>
        <w:t>支付业务方面，中标了国家级中国银联电子健康卡平台、厦门市电子健康卡项目、合肥市电子健康卡项目，电子健康卡</w:t>
      </w:r>
      <w:r>
        <w:rPr/>
        <w:t> </w:t>
      </w:r>
      <w:r>
        <w:rPr>
          <w:spacing w:val="-2"/>
        </w:rPr>
        <w:t>成为业务发展的重要突破口；在福州上线了医保移动支付应用，推进了多码融合的成功试点；形成了如</w:t>
      </w:r>
      <w:r>
        <w:rPr>
          <w:rFonts w:ascii="Times New Roman" w:hAnsi="Times New Roman" w:cs="Times New Roman" w:eastAsia="Times New Roman" w:hint="default"/>
          <w:spacing w:val="-2"/>
        </w:rPr>
        <w:t>“</w:t>
      </w:r>
      <w:r>
        <w:rPr>
          <w:spacing w:val="-2"/>
        </w:rPr>
        <w:t>榕医通</w:t>
      </w:r>
      <w:r>
        <w:rPr>
          <w:rFonts w:ascii="Times New Roman" w:hAnsi="Times New Roman" w:cs="Times New Roman" w:eastAsia="Times New Roman" w:hint="default"/>
          <w:spacing w:val="-2"/>
        </w:rPr>
        <w:t>”</w:t>
      </w:r>
      <w:r>
        <w:rPr>
          <w:spacing w:val="-2"/>
        </w:rPr>
        <w:t>等健康城市</w:t>
      </w:r>
      <w:r>
        <w:rPr>
          <w:spacing w:val="-44"/>
        </w:rPr>
        <w:t> </w:t>
      </w:r>
      <w:r>
        <w:rPr>
          <w:spacing w:val="-44"/>
        </w:rPr>
      </w:r>
      <w:r>
        <w:rPr/>
        <w:t>门户，完成覆盖福州市</w:t>
      </w:r>
      <w:r>
        <w:rPr>
          <w:rFonts w:ascii="Times New Roman" w:hAnsi="Times New Roman" w:cs="Times New Roman" w:eastAsia="Times New Roman" w:hint="default"/>
        </w:rPr>
        <w:t>40</w:t>
      </w:r>
      <w:r>
        <w:rPr/>
        <w:t>多家医院和近</w:t>
      </w:r>
      <w:r>
        <w:rPr>
          <w:rFonts w:ascii="Times New Roman" w:hAnsi="Times New Roman" w:cs="Times New Roman" w:eastAsia="Times New Roman" w:hint="default"/>
        </w:rPr>
        <w:t>200</w:t>
      </w:r>
      <w:r>
        <w:rPr/>
        <w:t>家基层社区医疗服务中心的</w:t>
      </w:r>
      <w:r>
        <w:rPr>
          <w:rFonts w:ascii="Times New Roman" w:hAnsi="Times New Roman" w:cs="Times New Roman" w:eastAsia="Times New Roman" w:hint="default"/>
        </w:rPr>
        <w:t>“</w:t>
      </w:r>
      <w:r>
        <w:rPr/>
        <w:t>榕医通</w:t>
      </w:r>
      <w:r>
        <w:rPr>
          <w:rFonts w:ascii="Times New Roman" w:hAnsi="Times New Roman" w:cs="Times New Roman" w:eastAsia="Times New Roman" w:hint="default"/>
        </w:rPr>
        <w:t>”</w:t>
      </w:r>
      <w:r>
        <w:rPr/>
        <w:t>项目建设；此外，医院支付平台、社保多渠</w:t>
      </w:r>
      <w:r>
        <w:rPr>
          <w:spacing w:val="-68"/>
        </w:rPr>
        <w:t> </w:t>
      </w:r>
      <w:r>
        <w:rPr>
          <w:spacing w:val="-68"/>
        </w:rPr>
      </w:r>
      <w:r>
        <w:rPr>
          <w:spacing w:val="-2"/>
        </w:rPr>
        <w:t>道缴费平台等多个支付产品也在福建、广东、广西、吉林、山东、山西、江苏、河北、江西等地顺利落地并推广。同时，公</w:t>
      </w:r>
    </w:p>
    <w:p>
      <w:pPr>
        <w:spacing w:after="0" w:line="307"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司在商业支付、智慧停车、智慧社区等方面也积极开展试点，探索商业支付的发展模式。</w:t>
      </w:r>
    </w:p>
    <w:p>
      <w:pPr>
        <w:pStyle w:val="BodyText"/>
        <w:spacing w:line="300" w:lineRule="auto" w:before="76"/>
        <w:ind w:left="513" w:right="0"/>
        <w:jc w:val="left"/>
      </w:pPr>
      <w:r>
        <w:rPr>
          <w:rFonts w:ascii="Times New Roman" w:hAnsi="Times New Roman" w:cs="Times New Roman" w:eastAsia="Times New Roman" w:hint="default"/>
          <w:b/>
          <w:bCs/>
        </w:rPr>
        <w:t>2.</w:t>
      </w:r>
      <w:r>
        <w:rPr>
          <w:rFonts w:ascii="宋体" w:hAnsi="宋体" w:cs="宋体" w:eastAsia="宋体" w:hint="default"/>
          <w:b/>
          <w:bCs/>
        </w:rPr>
        <w:t>公共服务业务</w:t>
      </w:r>
      <w:r>
        <w:rPr>
          <w:rFonts w:ascii="宋体" w:hAnsi="宋体" w:cs="宋体" w:eastAsia="宋体" w:hint="default"/>
          <w:b/>
          <w:bCs/>
          <w:w w:val="99"/>
        </w:rPr>
        <w:t> </w:t>
      </w:r>
      <w:r>
        <w:rPr>
          <w:spacing w:val="-2"/>
        </w:rPr>
        <w:t>报告期内，公司稳步推进公共服务业务发展，以人力资源和社会保障为核心，抓好政务根基，不断夯实公司人社公共服</w:t>
      </w:r>
    </w:p>
    <w:p>
      <w:pPr>
        <w:pStyle w:val="BodyText"/>
        <w:spacing w:line="316" w:lineRule="auto" w:before="31"/>
        <w:ind w:right="1049"/>
        <w:jc w:val="both"/>
      </w:pPr>
      <w:r>
        <w:rPr/>
        <w:t>务落地建设，打造易联众人社公共服务品牌，开展新的运营推广模式；加速拓展各类智能终端产品的市场扩张和客户覆盖， 推广以</w:t>
      </w:r>
      <w:r>
        <w:rPr>
          <w:rFonts w:ascii="Times New Roman" w:hAnsi="Times New Roman" w:cs="Times New Roman" w:eastAsia="Times New Roman" w:hint="default"/>
        </w:rPr>
        <w:t>“</w:t>
      </w:r>
      <w:r>
        <w:rPr/>
        <w:t>行业</w:t>
      </w:r>
      <w:r>
        <w:rPr>
          <w:rFonts w:ascii="Times New Roman" w:hAnsi="Times New Roman" w:cs="Times New Roman" w:eastAsia="Times New Roman" w:hint="default"/>
        </w:rPr>
        <w:t>+</w:t>
      </w:r>
      <w:r>
        <w:rPr/>
        <w:t>终端</w:t>
      </w:r>
      <w:r>
        <w:rPr>
          <w:rFonts w:ascii="Times New Roman" w:hAnsi="Times New Roman" w:cs="Times New Roman" w:eastAsia="Times New Roman" w:hint="default"/>
        </w:rPr>
        <w:t>”</w:t>
      </w:r>
      <w:r>
        <w:rPr/>
        <w:t>为核心的各项自助服务业务。</w:t>
      </w:r>
    </w:p>
    <w:p>
      <w:pPr>
        <w:pStyle w:val="BodyText"/>
        <w:spacing w:line="312" w:lineRule="auto"/>
        <w:ind w:right="1129" w:firstLine="360"/>
        <w:jc w:val="both"/>
      </w:pPr>
      <w:r>
        <w:rPr>
          <w:spacing w:val="-2"/>
        </w:rPr>
        <w:t>人社业务方面，公司在稳固人社应用软件等业务的基础上，稳步开展人社公共服务。目前公司省级人社公共服务市场已</w:t>
      </w:r>
      <w:r>
        <w:rPr/>
        <w:t> 覆盖</w:t>
      </w:r>
      <w:r>
        <w:rPr>
          <w:rFonts w:ascii="Times New Roman" w:hAnsi="Times New Roman" w:cs="Times New Roman" w:eastAsia="Times New Roman" w:hint="default"/>
        </w:rPr>
        <w:t>9</w:t>
      </w:r>
      <w:r>
        <w:rPr/>
        <w:t>个省份且均已上线运行，报告期内人力资源和社会保障部</w:t>
      </w:r>
      <w:r>
        <w:rPr>
          <w:rFonts w:ascii="Times New Roman" w:hAnsi="Times New Roman" w:cs="Times New Roman" w:eastAsia="Times New Roman" w:hint="default"/>
        </w:rPr>
        <w:t>“</w:t>
      </w:r>
      <w:r>
        <w:rPr/>
        <w:t>金保工程二期公共服务信息平台及信息服务渠道开发项目</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spacing w:val="-2"/>
        </w:rPr>
        <w:t>也已完成初步上线工作，这是人社部面向全国的统一公共服务平台项目，未来将联通全国各省人社公共服务平台，对公司在</w:t>
      </w:r>
      <w:r>
        <w:rPr>
          <w:spacing w:val="-63"/>
        </w:rPr>
        <w:t> </w:t>
      </w:r>
      <w:r>
        <w:rPr>
          <w:spacing w:val="-63"/>
        </w:rPr>
      </w:r>
      <w:r>
        <w:rPr>
          <w:spacing w:val="-2"/>
        </w:rPr>
        <w:t>开拓全国社保市场具有重大意义。公司将持续跟进增值服务产品的研发，深度挖掘人社公共服务领域不同服务对象多层次的</w:t>
      </w:r>
      <w:r>
        <w:rPr>
          <w:spacing w:val="-64"/>
        </w:rPr>
        <w:t> </w:t>
      </w:r>
      <w:r>
        <w:rPr>
          <w:spacing w:val="-64"/>
        </w:rPr>
      </w:r>
      <w:r>
        <w:rPr>
          <w:spacing w:val="-2"/>
        </w:rPr>
        <w:t>服务需求，打造互联互通多元共享的公共服务生态圈。除此之外，报告期内公司还承担多个人社部全国应用开发，包括全国</w:t>
      </w:r>
      <w:r>
        <w:rPr>
          <w:spacing w:val="-65"/>
        </w:rPr>
        <w:t> </w:t>
      </w:r>
      <w:r>
        <w:rPr>
          <w:spacing w:val="-65"/>
        </w:rPr>
      </w:r>
      <w:r>
        <w:rPr/>
        <w:t>养老三支柱平台、电子社保卡；积极探索政府服务（</w:t>
      </w:r>
      <w:r>
        <w:rPr>
          <w:rFonts w:ascii="Times New Roman" w:hAnsi="Times New Roman" w:cs="Times New Roman" w:eastAsia="Times New Roman" w:hint="default"/>
        </w:rPr>
        <w:t>G</w:t>
      </w:r>
      <w:r>
        <w:rPr/>
        <w:t>端）业务向运营转化的业务创新模式；在互联网端企业服务（</w:t>
      </w:r>
      <w:r>
        <w:rPr>
          <w:rFonts w:ascii="Times New Roman" w:hAnsi="Times New Roman" w:cs="Times New Roman" w:eastAsia="Times New Roman" w:hint="default"/>
        </w:rPr>
        <w:t>B</w:t>
      </w:r>
      <w:r>
        <w:rPr/>
        <w:t>端）</w:t>
      </w:r>
      <w:r>
        <w:rPr>
          <w:spacing w:val="-64"/>
        </w:rPr>
        <w:t> </w:t>
      </w:r>
      <w:r>
        <w:rPr/>
        <w:t>方面深化</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社保</w:t>
      </w:r>
      <w:r>
        <w:rPr>
          <w:rFonts w:ascii="Times New Roman" w:hAnsi="Times New Roman" w:cs="Times New Roman" w:eastAsia="Times New Roman" w:hint="default"/>
        </w:rPr>
        <w:t>”</w:t>
      </w:r>
      <w:r>
        <w:rPr/>
        <w:t>的产品线建设和用户服务并向全国扩展。</w:t>
      </w:r>
    </w:p>
    <w:p>
      <w:pPr>
        <w:pStyle w:val="BodyText"/>
        <w:spacing w:line="300" w:lineRule="auto" w:before="3"/>
        <w:ind w:right="1126" w:firstLine="360"/>
        <w:jc w:val="both"/>
      </w:pPr>
      <w:r>
        <w:rPr>
          <w:spacing w:val="-2"/>
        </w:rPr>
        <w:t>智能终端业务方面，报告期内，公司深度耕耘智能终端的前沿技术和应用领域，新增研发了</w:t>
      </w:r>
      <w:r>
        <w:rPr>
          <w:rFonts w:ascii="Times New Roman" w:hAnsi="Times New Roman" w:cs="Times New Roman" w:eastAsia="Times New Roman" w:hint="default"/>
          <w:spacing w:val="-2"/>
        </w:rPr>
        <w:t>4</w:t>
      </w:r>
      <w:r>
        <w:rPr>
          <w:spacing w:val="-2"/>
        </w:rPr>
        <w:t>款软件产品及</w:t>
      </w:r>
      <w:r>
        <w:rPr>
          <w:rFonts w:ascii="Times New Roman" w:hAnsi="Times New Roman" w:cs="Times New Roman" w:eastAsia="Times New Roman" w:hint="default"/>
          <w:spacing w:val="-2"/>
        </w:rPr>
        <w:t>3</w:t>
      </w:r>
      <w:r>
        <w:rPr>
          <w:spacing w:val="-2"/>
        </w:rPr>
        <w:t>款智能终端</w:t>
      </w:r>
      <w:r>
        <w:rPr/>
        <w:t> </w:t>
      </w:r>
      <w:r>
        <w:rPr>
          <w:spacing w:val="-2"/>
        </w:rPr>
        <w:t>产品，各类智能终端产品市场拓展有序推进，在多个行业取得新突破。</w:t>
      </w:r>
      <w:r>
        <w:rPr>
          <w:rFonts w:ascii="Times New Roman" w:hAnsi="Times New Roman" w:cs="Times New Roman" w:eastAsia="Times New Roman" w:hint="default"/>
          <w:spacing w:val="-2"/>
        </w:rPr>
        <w:t>2018</w:t>
      </w:r>
      <w:r>
        <w:rPr>
          <w:spacing w:val="-2"/>
        </w:rPr>
        <w:t>年新签合同中包括多款桌面智能终端、制发卡智</w:t>
      </w:r>
      <w:r>
        <w:rPr>
          <w:spacing w:val="-60"/>
        </w:rPr>
        <w:t> </w:t>
      </w:r>
      <w:r>
        <w:rPr>
          <w:spacing w:val="-60"/>
        </w:rPr>
      </w:r>
      <w:r>
        <w:rPr/>
        <w:t>能终端、移动智能终端等新产品，整体销售状况良好。</w:t>
      </w:r>
    </w:p>
    <w:p>
      <w:pPr>
        <w:pStyle w:val="BodyText"/>
        <w:spacing w:line="309" w:lineRule="auto" w:before="31"/>
        <w:ind w:right="1043" w:firstLine="360"/>
        <w:jc w:val="left"/>
      </w:pPr>
      <w:r>
        <w:rPr>
          <w:spacing w:val="-2"/>
        </w:rPr>
        <w:t>卡业务方面，在稳固社会保障、医疗卫生等现有市场领域的基础上，实现了一些新行业、新领域的突破，主要包括：中</w:t>
      </w:r>
      <w:r>
        <w:rPr/>
        <w:t> </w:t>
      </w:r>
      <w:r>
        <w:rPr>
          <w:spacing w:val="-4"/>
        </w:rPr>
        <w:t>标福建省道路运输证及从业资格证项目；中标家乐福全国</w:t>
      </w:r>
      <w:r>
        <w:rPr>
          <w:rFonts w:ascii="Times New Roman" w:hAnsi="Times New Roman" w:cs="Times New Roman" w:eastAsia="Times New Roman" w:hint="default"/>
          <w:spacing w:val="-4"/>
        </w:rPr>
        <w:t>2018</w:t>
      </w:r>
      <w:r>
        <w:rPr>
          <w:spacing w:val="-4"/>
        </w:rPr>
        <w:t>年全年的购物卡项目；完成了第三代社保卡在山西的首发工作；</w:t>
      </w:r>
      <w:r>
        <w:rPr>
          <w:spacing w:val="-36"/>
        </w:rPr>
        <w:t> </w:t>
      </w:r>
      <w:r>
        <w:rPr>
          <w:spacing w:val="-36"/>
        </w:rPr>
      </w:r>
      <w:r>
        <w:rPr>
          <w:spacing w:val="-2"/>
        </w:rPr>
        <w:t>与多家国内知名高校集成商合作发行高校校园卡；与国内知名地产商泰禾集团合作，发行具有公共交通功能的预付费卡；并</w:t>
      </w:r>
      <w:r>
        <w:rPr>
          <w:spacing w:val="-63"/>
        </w:rPr>
        <w:t> </w:t>
      </w:r>
      <w:r>
        <w:rPr>
          <w:spacing w:val="-63"/>
        </w:rPr>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日，再次中标</w:t>
      </w:r>
      <w:r>
        <w:rPr>
          <w:rFonts w:ascii="Times New Roman" w:hAnsi="Times New Roman" w:cs="Times New Roman" w:eastAsia="Times New Roman" w:hint="default"/>
        </w:rPr>
        <w:t>2019-2020</w:t>
      </w:r>
      <w:r>
        <w:rPr/>
        <w:t>年度福建省交通一卡通项目，为公司卡业务在交通领域的发展以及未来第三代社保卡</w:t>
      </w:r>
      <w:r>
        <w:rPr>
          <w:spacing w:val="-63"/>
        </w:rPr>
        <w:t> </w:t>
      </w:r>
      <w:r>
        <w:rPr>
          <w:spacing w:val="-63"/>
        </w:rPr>
      </w:r>
      <w:r>
        <w:rPr/>
        <w:t>增加交通功能做了有力的铺垫。</w:t>
      </w:r>
    </w:p>
    <w:p>
      <w:pPr>
        <w:pStyle w:val="BodyText"/>
        <w:spacing w:line="300" w:lineRule="auto" w:before="24"/>
        <w:ind w:left="513" w:right="0"/>
        <w:jc w:val="left"/>
      </w:pPr>
      <w:r>
        <w:rPr>
          <w:rFonts w:ascii="Times New Roman" w:hAnsi="Times New Roman" w:cs="Times New Roman" w:eastAsia="Times New Roman" w:hint="default"/>
          <w:b/>
          <w:bCs/>
        </w:rPr>
        <w:t>3.</w:t>
      </w:r>
      <w:r>
        <w:rPr>
          <w:rFonts w:ascii="宋体" w:hAnsi="宋体" w:cs="宋体" w:eastAsia="宋体" w:hint="default"/>
          <w:b/>
          <w:bCs/>
        </w:rPr>
        <w:t>产业金融领域业务</w:t>
      </w:r>
      <w:r>
        <w:rPr>
          <w:rFonts w:ascii="宋体" w:hAnsi="宋体" w:cs="宋体" w:eastAsia="宋体" w:hint="default"/>
          <w:b/>
          <w:bCs/>
          <w:w w:val="99"/>
        </w:rPr>
        <w:t> </w:t>
      </w:r>
      <w:r>
        <w:rPr>
          <w:spacing w:val="-2"/>
        </w:rPr>
        <w:t>报告期内，公司通过金融板块的子公司推进公司在商业保理、融资租赁、保险经纪等方面的金融业务，整体上采取稳扎</w:t>
      </w:r>
    </w:p>
    <w:p>
      <w:pPr>
        <w:pStyle w:val="BodyText"/>
        <w:spacing w:line="316" w:lineRule="auto" w:before="31"/>
        <w:ind w:right="1131"/>
        <w:jc w:val="both"/>
      </w:pPr>
      <w:r>
        <w:rPr>
          <w:spacing w:val="-2"/>
        </w:rPr>
        <w:t>稳打、稳中求进的战略。公司夯实资金来源渠道，在业务方向上努力尝试更加深入地融合到供应链条中，利用供应链中核心</w:t>
      </w:r>
      <w:r>
        <w:rPr>
          <w:spacing w:val="-64"/>
        </w:rPr>
        <w:t> </w:t>
      </w:r>
      <w:r>
        <w:rPr>
          <w:spacing w:val="-64"/>
        </w:rPr>
      </w:r>
      <w:r>
        <w:rPr>
          <w:spacing w:val="-2"/>
        </w:rPr>
        <w:t>企业的优质信用，降低项目风险；在业务模式上，设计、提供更加多样化的产品。公司作为发起人之一参与筹建的海保人寿</w:t>
      </w:r>
      <w:r>
        <w:rPr>
          <w:spacing w:val="-65"/>
        </w:rPr>
        <w:t> </w:t>
      </w:r>
      <w:r>
        <w:rPr>
          <w:spacing w:val="-65"/>
        </w:rPr>
      </w:r>
      <w:r>
        <w:rPr>
          <w:spacing w:val="-2"/>
        </w:rPr>
        <w:t>保险股份有限公司已在报告期内正式注册成立并开业运营。公司将积极打造线上线下金融平台，全方位开展保理、租赁、保</w:t>
      </w:r>
      <w:r>
        <w:rPr>
          <w:spacing w:val="-66"/>
        </w:rPr>
        <w:t> </w:t>
      </w:r>
      <w:r>
        <w:rPr>
          <w:spacing w:val="-66"/>
        </w:rPr>
      </w:r>
      <w:r>
        <w:rPr/>
        <w:t>险经纪等业务，从而优化公司经营结构，增强公司整体抗风险能力，提升综合竞争能力。</w:t>
      </w:r>
    </w:p>
    <w:p>
      <w:pPr>
        <w:pStyle w:val="BodyText"/>
        <w:spacing w:line="300" w:lineRule="auto" w:before="19"/>
        <w:ind w:left="513" w:right="1119"/>
        <w:jc w:val="left"/>
      </w:pPr>
      <w:r>
        <w:rPr>
          <w:rFonts w:ascii="Times New Roman" w:hAnsi="Times New Roman" w:cs="Times New Roman" w:eastAsia="Times New Roman" w:hint="default"/>
          <w:b/>
          <w:bCs/>
        </w:rPr>
        <w:t>4.</w:t>
      </w:r>
      <w:r>
        <w:rPr>
          <w:rFonts w:ascii="宋体" w:hAnsi="宋体" w:cs="宋体" w:eastAsia="宋体" w:hint="default"/>
          <w:b/>
          <w:bCs/>
        </w:rPr>
        <w:t>大数据业务</w:t>
      </w:r>
      <w:r>
        <w:rPr>
          <w:rFonts w:ascii="宋体" w:hAnsi="宋体" w:cs="宋体" w:eastAsia="宋体" w:hint="default"/>
          <w:b/>
          <w:bCs/>
          <w:w w:val="99"/>
        </w:rPr>
        <w:t> </w:t>
      </w:r>
      <w:r>
        <w:rPr>
          <w:spacing w:val="-2"/>
        </w:rPr>
        <w:t>公司积极推进大数据业务，把握行业发展先机，融合基础业务优势与大数据新业态，以健康医疗大数据和人力资源社会</w:t>
      </w:r>
    </w:p>
    <w:p>
      <w:pPr>
        <w:pStyle w:val="BodyText"/>
        <w:spacing w:line="314" w:lineRule="auto" w:before="31"/>
        <w:ind w:right="0"/>
        <w:jc w:val="left"/>
      </w:pPr>
      <w:r>
        <w:rPr>
          <w:spacing w:val="-2"/>
        </w:rPr>
        <w:t>保障大数据应用为业务发展方向，加强整体数据资源战略布局。经过三年来在大数据项目实践中积累的经验，公司研发并形</w:t>
      </w:r>
      <w:r>
        <w:rPr>
          <w:spacing w:val="-63"/>
        </w:rPr>
        <w:t> </w:t>
      </w:r>
      <w:r>
        <w:rPr>
          <w:spacing w:val="-63"/>
        </w:rPr>
      </w:r>
      <w:r>
        <w:rPr>
          <w:spacing w:val="-2"/>
        </w:rPr>
        <w:t>成了相对成熟的大数据基础平台多产品体系。报告期内，公司持续推进大数据平台支撑能力建设，提升大数据技术产品对外</w:t>
      </w:r>
      <w:r>
        <w:rPr>
          <w:spacing w:val="-66"/>
        </w:rPr>
        <w:t> </w:t>
      </w:r>
      <w:r>
        <w:rPr>
          <w:spacing w:val="-66"/>
        </w:rPr>
      </w:r>
      <w:r>
        <w:rPr>
          <w:spacing w:val="-2"/>
        </w:rPr>
        <w:t>服务的能力和质量。产品研发方面，自主研发了多源数据融合平台、数据治理平台、数据分析平台、数据可视化平台、数据</w:t>
      </w:r>
      <w:r>
        <w:rPr>
          <w:spacing w:val="-68"/>
        </w:rPr>
        <w:t> </w:t>
      </w:r>
      <w:r>
        <w:rPr>
          <w:spacing w:val="-68"/>
        </w:rPr>
      </w:r>
      <w:r>
        <w:rPr>
          <w:spacing w:val="-2"/>
        </w:rPr>
        <w:t>服务平台等大数据基础技术平台产品体系并持续优化；针对医保基金监控要求，在厦门研发应用了基于大数据的基金监察系</w:t>
      </w:r>
      <w:r>
        <w:rPr>
          <w:spacing w:val="-63"/>
        </w:rPr>
        <w:t> </w:t>
      </w:r>
      <w:r>
        <w:rPr>
          <w:spacing w:val="-63"/>
        </w:rPr>
      </w:r>
      <w:r>
        <w:rPr>
          <w:spacing w:val="-2"/>
        </w:rPr>
        <w:t>统，协助医保部门落实参保人真实就医行为和医保医师真实医疗行为分析，为医保的精细化管理提供基础；有效衔接商业健</w:t>
      </w:r>
      <w:r>
        <w:rPr>
          <w:spacing w:val="-63"/>
        </w:rPr>
        <w:t> </w:t>
      </w:r>
      <w:r>
        <w:rPr>
          <w:spacing w:val="-63"/>
        </w:rPr>
      </w:r>
      <w:r>
        <w:rPr>
          <w:spacing w:val="-4"/>
        </w:rPr>
        <w:t>康险产品，进一步优化现有的医保数据支撑架构，根据市场需求迭代开发与完善数据产品，探索医保数据产品与服务新模式；</w:t>
      </w:r>
      <w:r>
        <w:rPr>
          <w:spacing w:val="-44"/>
        </w:rPr>
        <w:t> </w:t>
      </w:r>
      <w:r>
        <w:rPr>
          <w:spacing w:val="-44"/>
        </w:rPr>
      </w:r>
      <w:r>
        <w:rPr>
          <w:spacing w:val="-2"/>
        </w:rPr>
        <w:t>推进大数据相关项目的实施和维护工作，包括根据已签订的福建省医疗保障大数据中心建设合作协议在监管和控费上开展基</w:t>
      </w:r>
      <w:r>
        <w:rPr>
          <w:spacing w:val="-64"/>
        </w:rPr>
        <w:t> </w:t>
      </w:r>
      <w:r>
        <w:rPr>
          <w:spacing w:val="-64"/>
        </w:rPr>
      </w:r>
      <w:r>
        <w:rPr/>
        <w:t>于大数据技术的应用，积极推进</w:t>
      </w:r>
      <w:r>
        <w:rPr>
          <w:rFonts w:ascii="Times New Roman" w:hAnsi="Times New Roman" w:cs="Times New Roman" w:eastAsia="Times New Roman" w:hint="default"/>
        </w:rPr>
        <w:t>“</w:t>
      </w:r>
      <w:r>
        <w:rPr/>
        <w:t>健康医疗大数据扩大采集数据挖掘与分析（基于健康医疗大数据的健康云公共服务平台一</w:t>
      </w:r>
      <w:r>
        <w:rPr>
          <w:spacing w:val="-76"/>
        </w:rPr>
        <w:t> </w:t>
      </w:r>
      <w:r>
        <w:rPr>
          <w:spacing w:val="-76"/>
        </w:rPr>
      </w:r>
      <w:r>
        <w:rPr/>
        <w:t>期工程）项目</w:t>
      </w:r>
      <w:r>
        <w:rPr>
          <w:rFonts w:ascii="Times New Roman" w:hAnsi="Times New Roman" w:cs="Times New Roman" w:eastAsia="Times New Roman" w:hint="default"/>
        </w:rPr>
        <w:t>”</w:t>
      </w:r>
      <w:r>
        <w:rPr/>
        <w:t>、深圳人社大数据平台项目、厦门市人社大数据平台（一期）项目、人社部基于人社数据的信用卡风险评估</w:t>
      </w:r>
      <w:r>
        <w:rPr>
          <w:spacing w:val="-74"/>
        </w:rPr>
        <w:t> </w:t>
      </w:r>
      <w:r>
        <w:rPr>
          <w:spacing w:val="-74"/>
        </w:rPr>
      </w:r>
      <w:r>
        <w:rPr/>
        <w:t>模型库构建及评分计算系统项目等。</w:t>
      </w:r>
    </w:p>
    <w:p>
      <w:pPr>
        <w:spacing w:line="316" w:lineRule="auto" w:before="20"/>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（二）持续推进管理架构调整</w:t>
      </w:r>
      <w:r>
        <w:rPr>
          <w:rFonts w:ascii="宋体" w:hAnsi="宋体" w:cs="宋体" w:eastAsia="宋体" w:hint="default"/>
          <w:b/>
          <w:bCs/>
          <w:w w:val="99"/>
          <w:sz w:val="18"/>
          <w:szCs w:val="18"/>
        </w:rPr>
        <w:t> </w:t>
      </w:r>
      <w:r>
        <w:rPr>
          <w:rFonts w:ascii="宋体" w:hAnsi="宋体" w:cs="宋体" w:eastAsia="宋体" w:hint="default"/>
          <w:spacing w:val="-4"/>
          <w:w w:val="100"/>
          <w:sz w:val="18"/>
          <w:szCs w:val="18"/>
        </w:rPr>
        <w:t>为加快落实公司战略升级目标，持续推进</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母公司职能中心</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区域子公司</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产品子公司</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管理架构的进一步调整。报告期内，</w:t>
      </w:r>
    </w:p>
    <w:p>
      <w:pPr>
        <w:pStyle w:val="BodyText"/>
        <w:spacing w:line="307" w:lineRule="auto"/>
        <w:ind w:right="1131"/>
        <w:jc w:val="both"/>
      </w:pPr>
      <w:r>
        <w:rPr/>
        <w:t>公司以</w:t>
      </w:r>
      <w:r>
        <w:rPr>
          <w:rFonts w:ascii="Times New Roman" w:hAnsi="Times New Roman" w:cs="Times New Roman" w:eastAsia="Times New Roman" w:hint="default"/>
        </w:rPr>
        <w:t>“</w:t>
      </w:r>
      <w:r>
        <w:rPr/>
        <w:t>公司控股</w:t>
      </w:r>
      <w:r>
        <w:rPr>
          <w:rFonts w:ascii="Times New Roman" w:hAnsi="Times New Roman" w:cs="Times New Roman" w:eastAsia="Times New Roman" w:hint="default"/>
        </w:rPr>
        <w:t>+</w:t>
      </w:r>
      <w:r>
        <w:rPr/>
        <w:t>核心骨干持股</w:t>
      </w:r>
      <w:r>
        <w:rPr>
          <w:rFonts w:ascii="Times New Roman" w:hAnsi="Times New Roman" w:cs="Times New Roman" w:eastAsia="Times New Roman" w:hint="default"/>
        </w:rPr>
        <w:t>”</w:t>
      </w:r>
      <w:r>
        <w:rPr/>
        <w:t>模式成立的创业产品子公司包括福建易联众医卫信息技术有限公司、厦门易联众长青科技</w:t>
      </w:r>
      <w:r>
        <w:rPr>
          <w:spacing w:val="-77"/>
        </w:rPr>
        <w:t> </w:t>
      </w:r>
      <w:r>
        <w:rPr>
          <w:spacing w:val="-77"/>
        </w:rPr>
      </w:r>
      <w:r>
        <w:rPr>
          <w:spacing w:val="-2"/>
        </w:rPr>
        <w:t>有限公司、福建易联众易达迅教育科技有限公司、保睿通（厦门）信息科技有限公司、易联众通达易（厦门）信息科技有限</w:t>
      </w:r>
      <w:r>
        <w:rPr>
          <w:spacing w:val="-73"/>
        </w:rPr>
        <w:t> </w:t>
      </w:r>
      <w:r>
        <w:rPr>
          <w:spacing w:val="-73"/>
        </w:rPr>
      </w:r>
      <w:r>
        <w:rPr>
          <w:spacing w:val="-2"/>
        </w:rPr>
        <w:t>公司等。目前，上述创业产品子公司发展情况基本较为稳定，其中厦门易联众长青科技有限公司</w:t>
      </w:r>
      <w:r>
        <w:rPr>
          <w:rFonts w:ascii="Times New Roman" w:hAnsi="Times New Roman" w:cs="Times New Roman" w:eastAsia="Times New Roman" w:hint="default"/>
          <w:spacing w:val="-2"/>
        </w:rPr>
        <w:t>2018</w:t>
      </w:r>
      <w:r>
        <w:rPr>
          <w:spacing w:val="-2"/>
        </w:rPr>
        <w:t>年度因新产品开发进度</w:t>
      </w:r>
      <w:r>
        <w:rPr>
          <w:spacing w:val="-62"/>
        </w:rPr>
        <w:t> </w:t>
      </w:r>
      <w:r>
        <w:rPr>
          <w:spacing w:val="-62"/>
        </w:rPr>
      </w:r>
      <w:r>
        <w:rPr>
          <w:spacing w:val="-2"/>
        </w:rPr>
        <w:t>不及预期，专业团队成长尚需一定周期，在业务完成情况上存在一定的压力，短期内存在一定的风险。母公司将从市场、业</w:t>
      </w:r>
    </w:p>
    <w:p>
      <w:pPr>
        <w:spacing w:after="0" w:line="307"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务、规模等方面加强支持与服务，重点关注和帮扶这类存在风险和亏损的子公司。接下来公司还将继续视实际经营需要对区</w:t>
      </w:r>
      <w:r>
        <w:rPr>
          <w:spacing w:val="-63"/>
        </w:rPr>
        <w:t> </w:t>
      </w:r>
      <w:r>
        <w:rPr>
          <w:spacing w:val="-63"/>
        </w:rPr>
      </w:r>
      <w:r>
        <w:rPr/>
        <w:t>域子公司及新的创业产品子公司进行调整。</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9"/>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974"/>
        <w:jc w:val="left"/>
      </w:pPr>
      <w:r>
        <w:rPr/>
        <w:t>公司是否需要遵守光伏产业链相关业的披露要求 否</w:t>
      </w:r>
    </w:p>
    <w:p>
      <w:pPr>
        <w:pStyle w:val="BodyText"/>
        <w:spacing w:line="340" w:lineRule="auto" w:before="25"/>
        <w:ind w:right="1395"/>
        <w:jc w:val="left"/>
      </w:pPr>
      <w:r>
        <w:rPr/>
        <w:t>公司是否需遵守《深圳证券交易所创业板行业信息披露指引第</w:t>
      </w:r>
      <w:r>
        <w:rPr>
          <w:spacing w:val="-46"/>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13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1"/>
        <w:ind w:right="1664"/>
        <w:jc w:val="left"/>
      </w:pPr>
      <w:r>
        <w:rPr/>
        <w:t>公司是否需遵守《深圳证券交易所行业信息披露指引第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0"/>
        <w:gridCol w:w="1008"/>
        <w:gridCol w:w="1009"/>
        <w:gridCol w:w="1013"/>
        <w:gridCol w:w="1011"/>
        <w:gridCol w:w="1003"/>
        <w:gridCol w:w="1006"/>
        <w:gridCol w:w="1001"/>
        <w:gridCol w:w="1003"/>
      </w:tblGrid>
      <w:tr>
        <w:trPr>
          <w:trHeight w:val="401" w:hRule="exact"/>
        </w:trPr>
        <w:tc>
          <w:tcPr>
            <w:tcW w:w="1520"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520"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3"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89,009,549.0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168,293,796.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180,644,547.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291,857,896.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55,901,365.5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140,601,136.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115,328,073.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313,709,549.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r>
      <w:tr>
        <w:trPr>
          <w:trHeight w:val="715"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-20,165,435.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-412,474.96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3,418,720.05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31,823,965.9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-24,553,950.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-16,504,016.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-11,472,500.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70,652,192.6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357" w:lineRule="auto" w:before="51"/>
        <w:ind w:left="513" w:right="0" w:hanging="361"/>
        <w:jc w:val="left"/>
      </w:pPr>
      <w:r>
        <w:rPr/>
        <w:t>说明经营季节性（或周期性）发生的原因及波动风险 </w:t>
      </w:r>
      <w:r>
        <w:rPr>
          <w:spacing w:val="-2"/>
        </w:rPr>
        <w:t>公司业务存在季节性特征，第一季度受春节因素影响，新签合同较少，存量项目推进速度较低，营业收入确认较少，成</w:t>
      </w:r>
    </w:p>
    <w:p>
      <w:pPr>
        <w:pStyle w:val="BodyText"/>
        <w:spacing w:line="224" w:lineRule="exact"/>
        <w:ind w:right="0"/>
        <w:jc w:val="left"/>
      </w:pPr>
      <w:r>
        <w:rPr/>
        <w:t>本费用支出较大，净利润为负值；第二季度，随着新签合同与存量项目陆续开工，推进速度加快，项目收入达到确认时点，</w:t>
      </w:r>
    </w:p>
    <w:p>
      <w:pPr>
        <w:pStyle w:val="BodyText"/>
        <w:spacing w:line="316" w:lineRule="auto" w:before="76"/>
        <w:ind w:right="1034"/>
        <w:jc w:val="left"/>
      </w:pPr>
      <w:r>
        <w:rPr/>
        <w:t>成本费用较为固定，因此净利润有所增长；第三季度，进入公司业务旺季，新签合同及存量项目进展加快，随着项目推进， </w:t>
      </w:r>
      <w:r>
        <w:rPr>
          <w:spacing w:val="-2"/>
        </w:rPr>
        <w:t>因此净利润有较快增长；第四季度，大量项目达到交付上线验收时点，因此营业收入确认最多，由于成本费用相对固定，因</w:t>
      </w:r>
      <w:r>
        <w:rPr>
          <w:spacing w:val="-67"/>
        </w:rPr>
        <w:t> </w:t>
      </w:r>
      <w:r>
        <w:rPr>
          <w:spacing w:val="-67"/>
        </w:rPr>
      </w:r>
      <w:r>
        <w:rPr/>
        <w:t>此净利润增长较大。主要波动风险：存量项目进度推进缓慢及新签合同较少会产生较大影响。</w:t>
      </w:r>
    </w:p>
    <w:p>
      <w:pPr>
        <w:pStyle w:val="BodyText"/>
        <w:spacing w:line="240" w:lineRule="auto" w:before="59"/>
        <w:ind w:right="0"/>
        <w:jc w:val="left"/>
      </w:pPr>
      <w:r>
        <w:rPr/>
        <w:t>营业收入整体情况</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3188"/>
        <w:gridCol w:w="3191"/>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9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729,805,790.24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625,540,124.27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16.67%</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民生服务行业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669,673,883.43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91.76%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572,618,107.31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16.95%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54,446,415.71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51,946,498.10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保险经纪行业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4,590,495.28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863,247.28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431.77%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1,094,995.82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112,271.58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875.31%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定制软件及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359,369,755.11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49.24%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179,825,198.34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28.75%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99.84%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122,484,425.26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16.78%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154,305,795.50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-20.62%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系统集成及硬件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187,138,425.05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237,695,665.22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-21.27%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融资服务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54,446,415.71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51,946,498.10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4.81%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保险经纪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4,590,495.28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863,247.28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431.77%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1,776,273.83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903,719.83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96.55%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379,839,930.45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52.05%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305,592,636.87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24.30%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70,485,684.87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56,438,124.08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24.89%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57,465,815.55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32,653,203.79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75.99%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28,276,592.78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32,405,266.11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-12.74%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15,239,483.56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4,379,874.27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247.94%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44,239,728.83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60,246,090.59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-26.57%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44,593,858.98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6.11%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45,931,076.73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-2.91%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2,545,135.62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13,098,395.81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-80.57%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12,502,188.35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13,053,170.00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-4.22%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9,327,222.27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2,093,419.64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6,886,144.60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-69.60%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15,476,084.99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12,457,072.75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24.24%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12,293,699.04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31,719,901.76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-61.24%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1,736,592.45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宁夏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4,738,679.24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704,802.16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2,802,033.19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-74.85%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774,701.78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2,647,167.40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10,961,298.19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1,270,598.29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762.69%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10,728,514.64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4,871,781.90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4,869,942.98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348" w:lineRule="auto" w:before="44"/>
        <w:ind w:right="58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是</w:t>
      </w:r>
    </w:p>
    <w:p>
      <w:pPr>
        <w:pStyle w:val="BodyText"/>
        <w:spacing w:line="240" w:lineRule="auto" w:before="36"/>
        <w:ind w:right="5833"/>
        <w:jc w:val="left"/>
      </w:pPr>
      <w:r>
        <w:rPr/>
        <w:t>软件与信息技术服务业</w:t>
      </w:r>
    </w:p>
    <w:p>
      <w:pPr>
        <w:pStyle w:val="BodyText"/>
        <w:spacing w:line="240" w:lineRule="auto" w:before="115"/>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民生服务行业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669,673,883.43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324,360,345.80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5.82%</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定制软件及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359,369,755.11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134,202,425.43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81.89%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122,484,425.26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37,306,358.97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系统集成及硬件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187,138,425.05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152,313,998.73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18.61%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-17.05%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-4.14%</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379,839,930.45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150,244,009.37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70,485,684.87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30,991,530.52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-2.91%</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397"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34"/>
              <w:jc w:val="left"/>
              <w:rPr>
                <w:rFonts w:ascii="宋体" w:hAnsi="宋体" w:cs="宋体" w:eastAsia="宋体" w:hint="default"/>
                <w:sz w:val="18"/>
                <w:szCs w:val="18"/>
              </w:rPr>
            </w:pPr>
            <w:r>
              <w:rPr>
                <w:rFonts w:ascii="宋体" w:hAnsi="宋体" w:cs="宋体" w:eastAsia="宋体" w:hint="default"/>
                <w:spacing w:val="-3"/>
                <w:sz w:val="18"/>
                <w:szCs w:val="18"/>
              </w:rPr>
              <w:t>信息机（自助终端）</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4,238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3,186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33.02%</w:t>
            </w:r>
          </w:p>
        </w:tc>
      </w:tr>
      <w:tr>
        <w:trPr>
          <w:trHeight w:val="402" w:hRule="exact"/>
        </w:trPr>
        <w:tc>
          <w:tcPr>
            <w:tcW w:w="1595" w:type="dxa"/>
            <w:vMerge/>
            <w:tcBorders>
              <w:left w:val="single" w:sz="4" w:space="0" w:color="000000"/>
              <w:right w:val="single" w:sz="4" w:space="0" w:color="000000"/>
            </w:tcBorders>
            <w:shd w:val="clear" w:color="auto" w:fill="CCE8CF"/>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51.57%</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CCE8CF"/>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9,171,193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6,531,246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40.42%</w:t>
            </w:r>
          </w:p>
        </w:tc>
      </w:tr>
      <w:tr>
        <w:trPr>
          <w:trHeight w:val="402" w:hRule="exact"/>
        </w:trPr>
        <w:tc>
          <w:tcPr>
            <w:tcW w:w="1595" w:type="dxa"/>
            <w:vMerge/>
            <w:tcBorders>
              <w:left w:val="single" w:sz="4" w:space="0" w:color="000000"/>
              <w:right w:val="single" w:sz="4" w:space="0" w:color="000000"/>
            </w:tcBorders>
            <w:shd w:val="clear" w:color="auto" w:fill="CCE8CF"/>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9,682,450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6,279,705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54.19%</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CCE8CF"/>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1,608,776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1,097,519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46.58%</w:t>
            </w:r>
          </w:p>
        </w:tc>
      </w:tr>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21.66%</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CCE8CF"/>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12.54%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2"/>
        <w:gridCol w:w="1596"/>
        <w:gridCol w:w="1594"/>
        <w:gridCol w:w="1596"/>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9,908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7,400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8" w:right="0"/>
              <w:jc w:val="left"/>
              <w:rPr>
                <w:rFonts w:ascii="Times New Roman" w:hAnsi="Times New Roman" w:cs="Times New Roman" w:eastAsia="Times New Roman" w:hint="default"/>
                <w:sz w:val="18"/>
                <w:szCs w:val="18"/>
              </w:rPr>
            </w:pPr>
            <w:r>
              <w:rPr>
                <w:rFonts w:ascii="Times New Roman"/>
                <w:sz w:val="18"/>
              </w:rPr>
              <w:t>33.89%</w:t>
            </w:r>
          </w:p>
        </w:tc>
      </w:tr>
    </w:tbl>
    <w:p>
      <w:pPr>
        <w:pStyle w:val="BodyText"/>
        <w:spacing w:line="240" w:lineRule="auto" w:before="51"/>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1"/>
        <w:ind w:left="513" w:right="10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报告期内信息机销量与产量同比增加：主要是安徽地区销售增加所致，</w:t>
      </w:r>
      <w:r>
        <w:rPr>
          <w:rFonts w:ascii="Times New Roman" w:hAnsi="Times New Roman" w:cs="Times New Roman" w:eastAsia="Times New Roman" w:hint="default"/>
        </w:rPr>
        <w:t>IC</w:t>
      </w:r>
      <w:r>
        <w:rPr/>
        <w:t>卡销量、产量、库存量同比增加主要是山西、</w:t>
      </w:r>
    </w:p>
    <w:p>
      <w:pPr>
        <w:pStyle w:val="BodyText"/>
        <w:spacing w:line="215" w:lineRule="exact"/>
        <w:ind w:right="0"/>
        <w:jc w:val="left"/>
      </w:pPr>
      <w:r>
        <w:rPr/>
        <w:t>广西地区发卡量增加所致，读卡器库存量同比增加主要是增加备货量所致。</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338" w:lineRule="auto" w:before="44"/>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民生信息服务</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190,000,068.32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196,286,073.94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民生信息服务</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人工成本及其他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134,360,277.48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114,395,778.83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融资服务</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人工成本及其他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19,466,378.62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11,482,733.15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69.53%</w:t>
            </w:r>
          </w:p>
        </w:tc>
      </w:tr>
    </w:tbl>
    <w:p>
      <w:pPr>
        <w:pStyle w:val="BodyText"/>
        <w:spacing w:line="360" w:lineRule="auto" w:before="51"/>
        <w:ind w:right="10394"/>
        <w:jc w:val="left"/>
      </w:pPr>
      <w:r>
        <w:rPr/>
        <w:t>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12" w:lineRule="auto" w:before="103"/>
        <w:ind w:right="1034" w:firstLine="360"/>
        <w:jc w:val="left"/>
      </w:pPr>
      <w:r>
        <w:rPr/>
        <w:t>本报告期内新设子公司</w:t>
      </w:r>
      <w:r>
        <w:rPr>
          <w:rFonts w:ascii="Times New Roman" w:hAnsi="Times New Roman" w:cs="Times New Roman" w:eastAsia="Times New Roman" w:hint="default"/>
        </w:rPr>
        <w:t>12</w:t>
      </w:r>
      <w:r>
        <w:rPr/>
        <w:t>家，包括：福建易联众易达迅教育科技有限公司、易联众通达易（厦门）信息科技有限公司、 </w:t>
      </w:r>
      <w:r>
        <w:rPr>
          <w:spacing w:val="-2"/>
        </w:rPr>
        <w:t>北京易联众智康科技有限公司、福建易联众医卫信息技术有限公司、山西无感付科技有限公司、安徽易惠天下软件科技有限</w:t>
      </w:r>
      <w:r>
        <w:rPr>
          <w:spacing w:val="-62"/>
        </w:rPr>
        <w:t> </w:t>
      </w:r>
      <w:r>
        <w:rPr>
          <w:spacing w:val="-62"/>
        </w:rPr>
      </w:r>
      <w:r>
        <w:rPr>
          <w:spacing w:val="-2"/>
        </w:rPr>
        <w:t>公司、保睿通（厦门）信息科技有限公司、厦门易联众长青科技有限公司、北京易联众民生科技有限公司、安徽易联众民生</w:t>
      </w:r>
      <w:r>
        <w:rPr>
          <w:spacing w:val="-70"/>
        </w:rPr>
        <w:t> </w:t>
      </w:r>
      <w:r>
        <w:rPr>
          <w:spacing w:val="-70"/>
        </w:rPr>
      </w:r>
      <w:r>
        <w:rPr/>
        <w:t>科技有限公司、福州欣贝康医药科技有限公司、三明易就医信息技术有限公司。</w:t>
      </w:r>
    </w:p>
    <w:p>
      <w:pPr>
        <w:pStyle w:val="BodyText"/>
        <w:spacing w:line="300" w:lineRule="auto" w:before="22"/>
        <w:ind w:right="0" w:firstLine="360"/>
        <w:jc w:val="left"/>
      </w:pPr>
      <w:r>
        <w:rPr/>
        <w:t>由全资子公司安徽易联众于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日注册成立的全资孙公司宿州易联众信息技术有限公司，注册资本</w:t>
      </w:r>
      <w:r>
        <w:rPr>
          <w:rFonts w:ascii="Times New Roman" w:hAnsi="Times New Roman" w:cs="Times New Roman" w:eastAsia="Times New Roman" w:hint="default"/>
        </w:rPr>
        <w:t>50</w:t>
      </w:r>
      <w:r>
        <w:rPr/>
        <w:t>万元。截 </w:t>
      </w:r>
      <w:r>
        <w:rPr>
          <w:spacing w:val="-2"/>
        </w:rPr>
        <w:t>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日，本集团尚未支付投资款，宿州易联众信息技术有限公司也尚未开展生产经营活动，已于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月注销。</w:t>
      </w:r>
    </w:p>
    <w:p>
      <w:pPr>
        <w:pStyle w:val="BodyText"/>
        <w:spacing w:line="240" w:lineRule="auto" w:before="13"/>
        <w:ind w:left="513" w:right="0"/>
        <w:jc w:val="left"/>
      </w:pPr>
      <w:r>
        <w:rPr/>
        <w:t>由控股子公司民生科技于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日注册成立的控股孙公司北京易联众民生科技有限公司，注册资本</w:t>
      </w:r>
      <w:r>
        <w:rPr>
          <w:rFonts w:ascii="Times New Roman" w:hAnsi="Times New Roman" w:cs="Times New Roman" w:eastAsia="Times New Roman" w:hint="default"/>
        </w:rPr>
        <w:t>500</w:t>
      </w:r>
      <w:r>
        <w:rPr/>
        <w:t>万元。截止</w:t>
      </w:r>
    </w:p>
    <w:p>
      <w:pPr>
        <w:pStyle w:val="BodyText"/>
        <w:spacing w:line="300" w:lineRule="auto" w:before="63"/>
        <w:ind w:left="513" w:right="0" w:hanging="361"/>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日，本集团尚未支付投资款，北京易联众民生科技有限公司也尚未开展生产经营活动。 </w:t>
      </w:r>
      <w:r>
        <w:rPr>
          <w:spacing w:val="-2"/>
        </w:rPr>
        <w:t>由控股子公司医疗信息于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日注册成立的全资孙公司三明易就医信息技术有限公司，注册资本</w:t>
      </w:r>
      <w:r>
        <w:rPr>
          <w:rFonts w:ascii="Times New Roman" w:hAnsi="Times New Roman" w:cs="Times New Roman" w:eastAsia="Times New Roman" w:hint="default"/>
          <w:spacing w:val="-2"/>
        </w:rPr>
        <w:t>50</w:t>
      </w:r>
      <w:r>
        <w:rPr>
          <w:spacing w:val="-2"/>
        </w:rPr>
        <w:t>万元。截止</w:t>
      </w:r>
    </w:p>
    <w:p>
      <w:pPr>
        <w:pStyle w:val="BodyText"/>
        <w:spacing w:line="240" w:lineRule="auto" w:before="13"/>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日，本集团尚未支付投资款，三明易就医信息技术有限公司也尚未开展生产经营活动。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108,425,294.99</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14.86%</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3"/>
        <w:gridCol w:w="3302"/>
        <w:gridCol w:w="2321"/>
        <w:gridCol w:w="3145"/>
      </w:tblGrid>
      <w:tr>
        <w:trPr>
          <w:trHeight w:val="398"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6"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4"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合肥市人力资源和社会保障局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8"/>
                <w:szCs w:val="18"/>
              </w:rPr>
            </w:pPr>
            <w:r>
              <w:rPr>
                <w:rFonts w:ascii="Times New Roman"/>
                <w:spacing w:val="-1"/>
                <w:sz w:val="18"/>
              </w:rPr>
              <w:t>32,056,434.06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8"/>
                <w:szCs w:val="18"/>
              </w:rPr>
            </w:pPr>
            <w:r>
              <w:rPr>
                <w:rFonts w:ascii="Times New Roman"/>
                <w:sz w:val="18"/>
              </w:rPr>
              <w:t>4.39%</w:t>
            </w:r>
          </w:p>
        </w:tc>
      </w:tr>
      <w:tr>
        <w:trPr>
          <w:trHeight w:val="403"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福建海峡银行股份有限公司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29,563,557.01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4.05%</w:t>
            </w:r>
          </w:p>
        </w:tc>
      </w:tr>
      <w:tr>
        <w:trPr>
          <w:trHeight w:val="401"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福建省城乡居民社会养老保险管理中心</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17,117,312.56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2.35%</w:t>
            </w:r>
          </w:p>
        </w:tc>
      </w:tr>
      <w:tr>
        <w:trPr>
          <w:trHeight w:val="403"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兴业银行股份有限公司莆田分行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15,971,681.85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2.19%</w:t>
            </w:r>
          </w:p>
        </w:tc>
      </w:tr>
      <w:tr>
        <w:trPr>
          <w:trHeight w:val="401"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厦门市社会保险管理中心</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13,716,309.51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1.88%</w:t>
            </w:r>
          </w:p>
        </w:tc>
      </w:tr>
      <w:tr>
        <w:trPr>
          <w:trHeight w:val="403"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108,425,294.99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14.86%</w:t>
            </w:r>
          </w:p>
        </w:tc>
      </w:tr>
    </w:tbl>
    <w:p>
      <w:pPr>
        <w:pStyle w:val="BodyText"/>
        <w:spacing w:line="240" w:lineRule="auto" w:before="51"/>
        <w:ind w:right="0"/>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69,660,357.57</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22.11%</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w:t>
            </w:r>
          </w:p>
        </w:tc>
      </w:tr>
    </w:tbl>
    <w:p>
      <w:pPr>
        <w:pStyle w:val="BodyText"/>
        <w:spacing w:line="240" w:lineRule="auto" w:before="51"/>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8"/>
        <w:gridCol w:w="2321"/>
        <w:gridCol w:w="3145"/>
      </w:tblGrid>
      <w:tr>
        <w:trPr>
          <w:trHeight w:val="396"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8"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北京中电华大电子设计有限责任公司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19,615,342.48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6.26%</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13,744,514.90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4.39%</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福建医联康护信息技术有限公司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12,454,825.83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3.98%</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福州守望者信息技术有限公司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11,852,000.00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3.78%</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深圳毅能达金融信息股份有限公司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11,602,474.36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69,660,357.57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22.11%</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70,925,094.80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63,091,100.95</w:t>
            </w:r>
          </w:p>
        </w:tc>
        <w:tc>
          <w:tcPr>
            <w:tcW w:w="1462" w:type="dxa"/>
            <w:tcBorders>
              <w:top w:val="single" w:sz="4" w:space="0" w:color="000000"/>
              <w:left w:val="single" w:sz="4" w:space="0" w:color="000000"/>
              <w:bottom w:val="single" w:sz="4" w:space="0" w:color="000000"/>
              <w:right w:val="single" w:sz="10" w:space="0" w:color="CCE8C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12.42%</w:t>
            </w:r>
          </w:p>
        </w:tc>
        <w:tc>
          <w:tcPr>
            <w:tcW w:w="29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主要是职工薪酬及租赁费的增加所 致。</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138,831,188.62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126,322,804.03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9.90%</w:t>
            </w:r>
          </w:p>
        </w:tc>
        <w:tc>
          <w:tcPr>
            <w:tcW w:w="29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主要是职工薪酬增长所致。</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18,162,681.55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16,516,985.89</w:t>
            </w:r>
          </w:p>
        </w:tc>
        <w:tc>
          <w:tcPr>
            <w:tcW w:w="1462" w:type="dxa"/>
            <w:tcBorders>
              <w:top w:val="single" w:sz="4" w:space="0" w:color="000000"/>
              <w:left w:val="single" w:sz="4" w:space="0" w:color="000000"/>
              <w:bottom w:val="single" w:sz="4" w:space="0" w:color="000000"/>
              <w:right w:val="single" w:sz="10" w:space="0" w:color="CCE8C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9.96%</w:t>
            </w:r>
          </w:p>
        </w:tc>
        <w:tc>
          <w:tcPr>
            <w:tcW w:w="29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主要是本年度短期借款利率上浮导 致利息费用的增加。</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105,432,970.39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94,978,524.41</w:t>
            </w:r>
          </w:p>
        </w:tc>
        <w:tc>
          <w:tcPr>
            <w:tcW w:w="14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11.01%</w:t>
            </w:r>
          </w:p>
        </w:tc>
        <w:tc>
          <w:tcPr>
            <w:tcW w:w="29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主要是研发人工费用增加所致。</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12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报告期内，公司的</w:t>
      </w:r>
      <w:r>
        <w:rPr>
          <w:rFonts w:ascii="宋体" w:hAnsi="宋体" w:cs="宋体" w:eastAsia="宋体" w:hint="default"/>
        </w:rPr>
        <w:t>4</w:t>
      </w:r>
      <w:r>
        <w:rPr/>
        <w:t>个资本化项目：大数据开发者平台，易联众个人健康云、家庭签约平台，易联众三医联动医改监测</w:t>
      </w:r>
    </w:p>
    <w:p>
      <w:pPr>
        <w:pStyle w:val="BodyText"/>
        <w:spacing w:line="304" w:lineRule="auto" w:before="2"/>
        <w:ind w:right="1119"/>
        <w:jc w:val="left"/>
      </w:pPr>
      <w:r>
        <w:rPr>
          <w:spacing w:val="-2"/>
        </w:rPr>
        <w:t>平台和易联众定点医疗机构医保服务软件项目均已完成验收，转为无形资产。同时，公司继续加大对家加社保二期项目，易</w:t>
      </w:r>
      <w:r>
        <w:rPr>
          <w:spacing w:val="-22"/>
        </w:rPr>
        <w:t> </w:t>
      </w:r>
      <w:r>
        <w:rPr>
          <w:spacing w:val="-2"/>
        </w:rPr>
        <w:t>联众医疗保险智能监察风控平台，易联众医卫公共卫生管理信息系统</w:t>
      </w:r>
      <w:r>
        <w:rPr>
          <w:rFonts w:ascii="Times New Roman" w:hAnsi="Times New Roman" w:cs="Times New Roman" w:eastAsia="Times New Roman" w:hint="default"/>
          <w:spacing w:val="-2"/>
        </w:rPr>
        <w:t>V3.0</w:t>
      </w:r>
      <w:r>
        <w:rPr>
          <w:spacing w:val="-2"/>
        </w:rPr>
        <w:t>，易联众运营决策分析平台</w:t>
      </w:r>
      <w:r>
        <w:rPr>
          <w:rFonts w:ascii="Times New Roman" w:hAnsi="Times New Roman" w:cs="Times New Roman" w:eastAsia="Times New Roman" w:hint="default"/>
          <w:spacing w:val="-2"/>
        </w:rPr>
        <w:t>V2.0</w:t>
      </w:r>
      <w:r>
        <w:rPr>
          <w:spacing w:val="-2"/>
        </w:rPr>
        <w:t>，易联众长青医养</w:t>
      </w:r>
      <w:r>
        <w:rPr>
          <w:spacing w:val="-51"/>
        </w:rPr>
        <w:t> </w:t>
      </w:r>
      <w:r>
        <w:rPr>
          <w:spacing w:val="-51"/>
        </w:rPr>
      </w:r>
      <w:r>
        <w:rPr>
          <w:spacing w:val="-1"/>
        </w:rPr>
        <w:t>软件平台</w:t>
      </w:r>
      <w:r>
        <w:rPr>
          <w:rFonts w:ascii="Times New Roman" w:hAnsi="Times New Roman" w:cs="Times New Roman" w:eastAsia="Times New Roman" w:hint="default"/>
          <w:spacing w:val="-1"/>
        </w:rPr>
        <w:t>V2.0</w:t>
      </w:r>
      <w:r>
        <w:rPr>
          <w:spacing w:val="-1"/>
        </w:rPr>
        <w:t>，福建省</w:t>
      </w:r>
      <w:r>
        <w:rPr>
          <w:rFonts w:ascii="Times New Roman" w:hAnsi="Times New Roman" w:cs="Times New Roman" w:eastAsia="Times New Roman" w:hint="default"/>
          <w:spacing w:val="-1"/>
        </w:rPr>
        <w:t>C</w:t>
      </w:r>
      <w:r>
        <w:rPr>
          <w:spacing w:val="-1"/>
        </w:rPr>
        <w:t>－</w:t>
      </w:r>
      <w:r>
        <w:rPr>
          <w:rFonts w:ascii="Times New Roman" w:hAnsi="Times New Roman" w:cs="Times New Roman" w:eastAsia="Times New Roman" w:hint="default"/>
          <w:spacing w:val="-1"/>
        </w:rPr>
        <w:t>DRG</w:t>
      </w:r>
      <w:r>
        <w:rPr>
          <w:spacing w:val="-1"/>
        </w:rPr>
        <w:t>疾病分组省级平台及医保结算支付系统和稽核改造项目的研发投入，以保障公司在行业内的</w:t>
      </w:r>
      <w:r>
        <w:rPr>
          <w:spacing w:val="-79"/>
        </w:rPr>
        <w:t> </w:t>
      </w:r>
      <w:r>
        <w:rPr>
          <w:spacing w:val="-79"/>
        </w:rPr>
      </w:r>
      <w:r>
        <w:rPr/>
        <w:t>技术领先地位。</w:t>
      </w:r>
      <w:r>
        <w:rPr>
          <w:rFonts w:ascii="Times New Roman" w:hAnsi="Times New Roman" w:cs="Times New Roman" w:eastAsia="Times New Roman" w:hint="default"/>
        </w:rPr>
        <w:t>2018</w:t>
      </w:r>
      <w:r>
        <w:rPr/>
        <w:t>年，研发投入金额</w:t>
      </w:r>
      <w:r>
        <w:rPr>
          <w:rFonts w:ascii="Times New Roman" w:hAnsi="Times New Roman" w:cs="Times New Roman" w:eastAsia="Times New Roman" w:hint="default"/>
        </w:rPr>
        <w:t>11,836.08</w:t>
      </w:r>
      <w:r>
        <w:rPr/>
        <w:t>万元，占营业收入的</w:t>
      </w:r>
      <w:r>
        <w:rPr>
          <w:rFonts w:ascii="Times New Roman" w:hAnsi="Times New Roman" w:cs="Times New Roman" w:eastAsia="Times New Roman" w:hint="default"/>
        </w:rPr>
        <w:t>16.22%</w:t>
      </w:r>
      <w:r>
        <w:rPr/>
        <w:t>，其中资本化金额</w:t>
      </w:r>
      <w:r>
        <w:rPr>
          <w:rFonts w:ascii="Times New Roman" w:hAnsi="Times New Roman" w:cs="Times New Roman" w:eastAsia="Times New Roman" w:hint="default"/>
        </w:rPr>
        <w:t>1,292.79</w:t>
      </w:r>
      <w:r>
        <w:rPr/>
        <w:t>万元，占研发投入 </w:t>
      </w:r>
      <w:r>
        <w:rPr>
          <w:rFonts w:ascii="Times New Roman" w:hAnsi="Times New Roman" w:cs="Times New Roman" w:eastAsia="Times New Roman" w:hint="default"/>
        </w:rPr>
        <w:t>10.92%</w:t>
      </w:r>
      <w:r>
        <w:rPr/>
        <w:t>。</w:t>
      </w:r>
    </w:p>
    <w:p>
      <w:pPr>
        <w:pStyle w:val="BodyText"/>
        <w:spacing w:line="240" w:lineRule="auto" w:before="50"/>
        <w:ind w:right="0"/>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53.26%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53.12%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118,360,835.88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106,626,903.16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86,558,644.01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16.82%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12,927,865.49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11,648,378.75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11,688,029.88</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13.50%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118.02%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1"/>
        <w:ind w:right="-17"/>
        <w:jc w:val="left"/>
      </w:pPr>
      <w:r>
        <w:rPr/>
        <w:t>研发投入总额占营业收入的比重较上年发生显著变化的原因</w:t>
      </w:r>
    </w:p>
    <w:p>
      <w:pPr>
        <w:pStyle w:val="BodyText"/>
        <w:spacing w:line="340" w:lineRule="auto" w:before="115"/>
        <w:ind w:right="4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58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39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718"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家加社保二期项目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1,990,609.48</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月开始资本化，截至</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95%</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w:t>
            </w:r>
          </w:p>
        </w:tc>
      </w:tr>
      <w:tr>
        <w:trPr>
          <w:trHeight w:val="1028"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z w:val="18"/>
                <w:szCs w:val="18"/>
              </w:rPr>
              <w:t>易联众个人健康云、家庭签约 平台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92,883.42</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月开始资本化，</w:t>
            </w:r>
            <w:r>
              <w:rPr>
                <w:rFonts w:ascii="Times New Roman" w:hAnsi="Times New Roman" w:cs="Times New Roman" w:eastAsia="Times New Roman" w:hint="default"/>
                <w:spacing w:val="-5"/>
                <w:sz w:val="18"/>
                <w:szCs w:val="18"/>
              </w:rPr>
              <w:t>2018</w:t>
            </w:r>
          </w:p>
          <w:p>
            <w:pPr>
              <w:pStyle w:val="TableParagraph"/>
              <w:spacing w:line="300" w:lineRule="auto" w:before="61"/>
              <w:ind w:left="22" w:right="19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月项目结项转入无形资 产。</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易联众医疗保险智能监察风 控平台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1,759,710.76</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月开始资本化，截至</w:t>
            </w:r>
            <w:r>
              <w:rPr>
                <w:rFonts w:ascii="宋体" w:hAnsi="宋体" w:cs="宋体" w:eastAsia="宋体" w:hint="default"/>
                <w:sz w:val="18"/>
                <w:szCs w:val="18"/>
              </w:rPr>
              <w:t> 期末项目进度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易联众医卫公共卫生管理信 息系统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1,658,328.44</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月开始资本化，截</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至期末项目进度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易联众运营决策分析平台</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z w:val="18"/>
              </w:rPr>
              <w:t>V2.0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1,450,826.03</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月开始资本化，截至</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40%</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易联众长青医养软件平台</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V2.0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263,602.14</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月开始资本化，截</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至期末项目进度</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70%</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r>
      <w:tr>
        <w:trPr>
          <w:trHeight w:val="1025"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福建省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r>
              <w:rPr>
                <w:rFonts w:ascii="Times New Roman" w:hAnsi="Times New Roman" w:cs="Times New Roman" w:eastAsia="Times New Roman" w:hint="default"/>
                <w:sz w:val="18"/>
                <w:szCs w:val="18"/>
              </w:rPr>
              <w:t>DRG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疾病分组省 级平台及医保结算支付系统 和稽核改造项目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2,617,502.62</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月开始资本化，截至</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2" w:right="197"/>
              <w:jc w:val="left"/>
              <w:rPr>
                <w:rFonts w:ascii="宋体" w:hAnsi="宋体" w:cs="宋体" w:eastAsia="宋体" w:hint="default"/>
                <w:sz w:val="18"/>
                <w:szCs w:val="18"/>
              </w:rPr>
            </w:pPr>
            <w:r>
              <w:rPr>
                <w:rFonts w:ascii="宋体" w:hAnsi="宋体" w:cs="宋体" w:eastAsia="宋体" w:hint="default"/>
                <w:sz w:val="18"/>
                <w:szCs w:val="18"/>
              </w:rPr>
              <w:t>易联众三医联动医改监测平 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月开始资本化，</w:t>
            </w:r>
            <w:r>
              <w:rPr>
                <w:rFonts w:ascii="Times New Roman" w:hAnsi="Times New Roman" w:cs="Times New Roman" w:eastAsia="Times New Roman" w:hint="default"/>
                <w:spacing w:val="-5"/>
                <w:sz w:val="18"/>
                <w:szCs w:val="18"/>
              </w:rPr>
              <w:t>2018</w:t>
            </w:r>
          </w:p>
          <w:p>
            <w:pPr>
              <w:pStyle w:val="TableParagraph"/>
              <w:spacing w:line="300" w:lineRule="auto" w:before="60"/>
              <w:ind w:left="22" w:right="19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月项目结项转入无形资 产。</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1025"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易联众定点医疗机构医保服 务软件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2,418,633.49</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月开始资本化，</w:t>
            </w:r>
            <w:r>
              <w:rPr>
                <w:rFonts w:ascii="Times New Roman" w:hAnsi="Times New Roman" w:cs="Times New Roman" w:eastAsia="Times New Roman" w:hint="default"/>
                <w:spacing w:val="-5"/>
                <w:sz w:val="18"/>
                <w:szCs w:val="18"/>
              </w:rPr>
              <w:t>2018</w:t>
            </w:r>
          </w:p>
          <w:p>
            <w:pPr>
              <w:pStyle w:val="TableParagraph"/>
              <w:spacing w:line="300" w:lineRule="auto" w:before="63"/>
              <w:ind w:left="22" w:right="19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月项目结项转入无形资 产。</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1028"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大数据开发者平台开发项目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675,769.11</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月开始资本化，</w:t>
            </w:r>
            <w:r>
              <w:rPr>
                <w:rFonts w:ascii="Times New Roman" w:hAnsi="Times New Roman" w:cs="Times New Roman" w:eastAsia="Times New Roman" w:hint="default"/>
                <w:spacing w:val="-5"/>
                <w:sz w:val="18"/>
                <w:szCs w:val="18"/>
              </w:rPr>
              <w:t>2018</w:t>
            </w:r>
          </w:p>
          <w:p>
            <w:pPr>
              <w:pStyle w:val="TableParagraph"/>
              <w:spacing w:line="300" w:lineRule="auto" w:before="60"/>
              <w:ind w:left="22" w:right="10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月项目结项转入无形资 产。</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12,927,865.49</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885,592,641.11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722,614,046.18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22.55%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828,818,275.02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723,550,366.53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14.55%</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56,774,366.09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-936,320.35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6,163.56%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2,804,034.37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103,174,954.27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-97.28%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23,842,894.88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399,195,696.87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-94.03%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-21,038,860.51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-296,020,742.60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92.89%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406,514,250.00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1,028,530,000.00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-60.48%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522,110,210.69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671,049,359.14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-22.19%</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-115,595,960.69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357,480,640.86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-132.34%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72" w:right="0"/>
              <w:jc w:val="left"/>
              <w:rPr>
                <w:rFonts w:ascii="Times New Roman" w:hAnsi="Times New Roman" w:cs="Times New Roman" w:eastAsia="Times New Roman" w:hint="default"/>
                <w:sz w:val="18"/>
                <w:szCs w:val="18"/>
              </w:rPr>
            </w:pPr>
            <w:r>
              <w:rPr>
                <w:rFonts w:ascii="Times New Roman"/>
                <w:sz w:val="18"/>
              </w:rPr>
              <w:t>-79,860,455.11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25" w:right="0"/>
              <w:jc w:val="left"/>
              <w:rPr>
                <w:rFonts w:ascii="Times New Roman" w:hAnsi="Times New Roman" w:cs="Times New Roman" w:eastAsia="Times New Roman" w:hint="default"/>
                <w:sz w:val="18"/>
                <w:szCs w:val="18"/>
              </w:rPr>
            </w:pPr>
            <w:r>
              <w:rPr>
                <w:rFonts w:ascii="Times New Roman"/>
                <w:sz w:val="18"/>
              </w:rPr>
              <w:t>60,523,577.91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-231.95%</w:t>
            </w:r>
          </w:p>
        </w:tc>
      </w:tr>
    </w:tbl>
    <w:p>
      <w:pPr>
        <w:pStyle w:val="BodyText"/>
        <w:spacing w:line="240" w:lineRule="auto" w:before="51"/>
        <w:ind w:right="0"/>
        <w:jc w:val="left"/>
      </w:pPr>
      <w:r>
        <w:rPr/>
        <w:t>相关数据同比发生重大变动的主要影响因素说明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0" w:firstLine="360"/>
        <w:jc w:val="left"/>
      </w:pPr>
      <w:r>
        <w:rPr>
          <w:rFonts w:ascii="Times New Roman" w:hAnsi="Times New Roman" w:cs="Times New Roman" w:eastAsia="Times New Roman" w:hint="default"/>
          <w:spacing w:val="-1"/>
        </w:rPr>
        <w:t>1</w:t>
      </w:r>
      <w:r>
        <w:rPr>
          <w:spacing w:val="-1"/>
        </w:rPr>
        <w:t>、经营活动产生的现金流量净额：本年度内公司经营活动现金流入较上年同期增加</w:t>
      </w:r>
      <w:r>
        <w:rPr>
          <w:rFonts w:ascii="Times New Roman" w:hAnsi="Times New Roman" w:cs="Times New Roman" w:eastAsia="Times New Roman" w:hint="default"/>
          <w:spacing w:val="-1"/>
        </w:rPr>
        <w:t>22.55%</w:t>
      </w:r>
      <w:r>
        <w:rPr>
          <w:spacing w:val="-1"/>
        </w:rPr>
        <w:t>，主要是营业收入增长及公</w:t>
      </w:r>
      <w:r>
        <w:rPr/>
        <w:t> 司加强回款管理所致。</w:t>
      </w:r>
    </w:p>
    <w:p>
      <w:pPr>
        <w:pStyle w:val="BodyText"/>
        <w:spacing w:line="300" w:lineRule="auto" w:before="31"/>
        <w:ind w:right="0" w:firstLine="360"/>
        <w:jc w:val="left"/>
      </w:pPr>
      <w:r>
        <w:rPr>
          <w:rFonts w:ascii="Times New Roman" w:hAnsi="Times New Roman" w:cs="Times New Roman" w:eastAsia="Times New Roman" w:hint="default"/>
          <w:spacing w:val="-1"/>
        </w:rPr>
        <w:t>2</w:t>
      </w:r>
      <w:r>
        <w:rPr>
          <w:spacing w:val="-1"/>
        </w:rPr>
        <w:t>、投资活动产生的现金流量净额：本年度内公司投资活动现金流入较上年同期减少</w:t>
      </w:r>
      <w:r>
        <w:rPr>
          <w:rFonts w:ascii="Times New Roman" w:hAnsi="Times New Roman" w:cs="Times New Roman" w:eastAsia="Times New Roman" w:hint="default"/>
          <w:spacing w:val="-1"/>
        </w:rPr>
        <w:t>97.28%</w:t>
      </w:r>
      <w:r>
        <w:rPr>
          <w:spacing w:val="-1"/>
        </w:rPr>
        <w:t>，主要是上年度收回投资及</w:t>
      </w:r>
      <w:r>
        <w:rPr/>
        <w:t> 处置子公司收到的现金数额较大所致；投资活动现金流出较上年同期减少</w:t>
      </w:r>
      <w:r>
        <w:rPr>
          <w:rFonts w:ascii="Times New Roman" w:hAnsi="Times New Roman" w:cs="Times New Roman" w:eastAsia="Times New Roman" w:hint="default"/>
        </w:rPr>
        <w:t>94.03%</w:t>
      </w:r>
      <w:r>
        <w:rPr/>
        <w:t>，主要是本年度对外投资减少所致。</w:t>
      </w:r>
    </w:p>
    <w:p>
      <w:pPr>
        <w:pStyle w:val="BodyText"/>
        <w:spacing w:line="319" w:lineRule="auto" w:before="13"/>
        <w:ind w:right="0" w:firstLine="360"/>
        <w:jc w:val="left"/>
      </w:pPr>
      <w:r>
        <w:rPr>
          <w:rFonts w:ascii="Times New Roman" w:hAnsi="Times New Roman" w:cs="Times New Roman" w:eastAsia="Times New Roman" w:hint="default"/>
          <w:spacing w:val="-1"/>
        </w:rPr>
        <w:t>3</w:t>
      </w:r>
      <w:r>
        <w:rPr>
          <w:spacing w:val="-1"/>
        </w:rPr>
        <w:t>、筹资活动产生的现金流量净额：本年度内公司筹资活动现金流入较上年同期减少</w:t>
      </w:r>
      <w:r>
        <w:rPr>
          <w:rFonts w:ascii="Times New Roman" w:hAnsi="Times New Roman" w:cs="Times New Roman" w:eastAsia="Times New Roman" w:hint="default"/>
          <w:spacing w:val="-1"/>
        </w:rPr>
        <w:t>60.48%</w:t>
      </w:r>
      <w:r>
        <w:rPr>
          <w:spacing w:val="-1"/>
        </w:rPr>
        <w:t>，主要是本年度短期借款减</w:t>
      </w:r>
      <w:r>
        <w:rPr/>
        <w:t> 少所致；本年度内筹资活动现金流出较上年同期减少</w:t>
      </w:r>
      <w:r>
        <w:rPr>
          <w:rFonts w:ascii="Times New Roman" w:hAnsi="Times New Roman" w:cs="Times New Roman" w:eastAsia="Times New Roman" w:hint="default"/>
        </w:rPr>
        <w:t>22.19%</w:t>
      </w:r>
      <w:r>
        <w:rPr/>
        <w:t>，主要是归还借款所致。 报告期内公司经营活动产生的现金净流量与本年度净利润存在重大差异的原因说明</w:t>
      </w:r>
    </w:p>
    <w:p>
      <w:pPr>
        <w:pStyle w:val="BodyText"/>
        <w:spacing w:line="240" w:lineRule="auto" w:before="5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4"/>
        <w:gridCol w:w="2166"/>
        <w:gridCol w:w="2340"/>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533,655.37</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w:t>
            </w:r>
          </w:p>
        </w:tc>
        <w:tc>
          <w:tcPr>
            <w:tcW w:w="21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153"/>
              <w:jc w:val="left"/>
              <w:rPr>
                <w:rFonts w:ascii="宋体" w:hAnsi="宋体" w:cs="宋体" w:eastAsia="宋体" w:hint="default"/>
                <w:sz w:val="18"/>
                <w:szCs w:val="18"/>
              </w:rPr>
            </w:pPr>
            <w:r>
              <w:rPr>
                <w:rFonts w:ascii="宋体" w:hAnsi="宋体" w:cs="宋体" w:eastAsia="宋体" w:hint="default"/>
                <w:sz w:val="18"/>
                <w:szCs w:val="18"/>
              </w:rPr>
              <w:t>权益法核算的长期股权投 资收益</w:t>
            </w:r>
          </w:p>
        </w:tc>
        <w:tc>
          <w:tcPr>
            <w:tcW w:w="23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24"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40"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22,425,124.49</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52.80%</w:t>
            </w:r>
          </w:p>
        </w:tc>
        <w:tc>
          <w:tcPr>
            <w:tcW w:w="21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计提应收账款坏账准备及 存货跌价准备</w:t>
            </w:r>
          </w:p>
        </w:tc>
        <w:tc>
          <w:tcPr>
            <w:tcW w:w="23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510,083.49</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w:t>
            </w:r>
          </w:p>
        </w:tc>
        <w:tc>
          <w:tcPr>
            <w:tcW w:w="21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主要是无需支付的应付款 项</w:t>
            </w:r>
          </w:p>
        </w:tc>
        <w:tc>
          <w:tcPr>
            <w:tcW w:w="23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560,245.73</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w:t>
            </w:r>
          </w:p>
        </w:tc>
        <w:tc>
          <w:tcPr>
            <w:tcW w:w="21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2" w:right="151"/>
              <w:jc w:val="left"/>
              <w:rPr>
                <w:rFonts w:ascii="宋体" w:hAnsi="宋体" w:cs="宋体" w:eastAsia="宋体" w:hint="default"/>
                <w:sz w:val="18"/>
                <w:szCs w:val="18"/>
              </w:rPr>
            </w:pPr>
            <w:r>
              <w:rPr>
                <w:rFonts w:ascii="宋体" w:hAnsi="宋体" w:cs="宋体" w:eastAsia="宋体" w:hint="default"/>
                <w:sz w:val="18"/>
                <w:szCs w:val="18"/>
              </w:rPr>
              <w:t>主要是非流动资产毁损报 废损失</w:t>
            </w:r>
          </w:p>
        </w:tc>
        <w:tc>
          <w:tcPr>
            <w:tcW w:w="23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20,879,770.75</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49.16%</w:t>
            </w:r>
          </w:p>
        </w:tc>
        <w:tc>
          <w:tcPr>
            <w:tcW w:w="21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软件退税及政府补助</w:t>
            </w:r>
          </w:p>
        </w:tc>
        <w:tc>
          <w:tcPr>
            <w:tcW w:w="23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-822,439.50</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-1.94%</w:t>
            </w:r>
          </w:p>
        </w:tc>
        <w:tc>
          <w:tcPr>
            <w:tcW w:w="21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出售固定资产产生的损失</w:t>
            </w:r>
          </w:p>
        </w:tc>
        <w:tc>
          <w:tcPr>
            <w:tcW w:w="23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4"/>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8"/>
        <w:gridCol w:w="2918"/>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right w:val="single" w:sz="4" w:space="0" w:color="000000"/>
            </w:tcBorders>
            <w:shd w:val="clear" w:color="auto" w:fill="D2D2D2"/>
          </w:tcPr>
          <w:p>
            <w:pPr/>
          </w:p>
        </w:tc>
        <w:tc>
          <w:tcPr>
            <w:tcW w:w="29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343,503,676.3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435,021,192.34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8" w:right="0"/>
              <w:jc w:val="left"/>
              <w:rPr>
                <w:rFonts w:ascii="Times New Roman" w:hAnsi="Times New Roman" w:cs="Times New Roman" w:eastAsia="Times New Roman" w:hint="default"/>
                <w:sz w:val="18"/>
                <w:szCs w:val="18"/>
              </w:rPr>
            </w:pPr>
            <w:r>
              <w:rPr>
                <w:rFonts w:ascii="Times New Roman"/>
                <w:sz w:val="18"/>
              </w:rPr>
              <w:t>739,844,880.1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683,185,951.26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35.76%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2.88%</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1367"/>
        <w:gridCol w:w="1164"/>
        <w:gridCol w:w="1064"/>
        <w:gridCol w:w="1195"/>
        <w:gridCol w:w="1064"/>
        <w:gridCol w:w="798"/>
        <w:gridCol w:w="2918"/>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106,481,939.0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98,217,415.51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0.42%</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380,972,704.9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378,360,476.85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72,949,527.30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84,036,164.30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-0.59%</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437,311.93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短期借款的归还</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3"/>
        <w:rPr>
          <w:rFonts w:ascii="宋体" w:hAnsi="宋体" w:cs="宋体" w:eastAsia="宋体" w:hint="default"/>
          <w:sz w:val="19"/>
          <w:szCs w:val="19"/>
        </w:rPr>
      </w:pPr>
    </w:p>
    <w:p>
      <w:pPr>
        <w:pStyle w:val="Heading3"/>
        <w:spacing w:line="240" w:lineRule="auto" w:before="36"/>
        <w:ind w:left="212" w:right="1124"/>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212" w:right="1124"/>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2105"/>
        <w:gridCol w:w="3536"/>
        <w:gridCol w:w="2727"/>
      </w:tblGrid>
      <w:tr>
        <w:trPr>
          <w:trHeight w:val="322"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b/>
                <w:bCs/>
                <w:w w:val="95"/>
                <w:sz w:val="18"/>
                <w:szCs w:val="18"/>
              </w:rPr>
              <w:t>年末账面价值</w:t>
            </w:r>
            <w:r>
              <w:rPr>
                <w:rFonts w:ascii="宋体" w:hAnsi="宋体" w:cs="宋体" w:eastAsia="宋体" w:hint="default"/>
                <w:sz w:val="18"/>
                <w:szCs w:val="18"/>
              </w:rPr>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b/>
                <w:bCs/>
                <w:w w:val="95"/>
                <w:sz w:val="18"/>
                <w:szCs w:val="18"/>
              </w:rPr>
              <w:t>受限原因</w:t>
            </w:r>
            <w:r>
              <w:rPr>
                <w:rFonts w:ascii="宋体" w:hAnsi="宋体" w:cs="宋体" w:eastAsia="宋体" w:hint="default"/>
                <w:sz w:val="18"/>
                <w:szCs w:val="18"/>
              </w:rPr>
            </w:r>
          </w:p>
        </w:tc>
      </w:tr>
      <w:tr>
        <w:trPr>
          <w:trHeight w:val="322"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17,722,430.27</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1</w:t>
            </w:r>
          </w:p>
        </w:tc>
      </w:tr>
      <w:tr>
        <w:trPr>
          <w:trHeight w:val="322"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45,000,000.00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2</w:t>
            </w:r>
          </w:p>
        </w:tc>
      </w:tr>
      <w:tr>
        <w:trPr>
          <w:trHeight w:val="322"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1,514,168.39</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3</w:t>
            </w:r>
          </w:p>
        </w:tc>
      </w:tr>
      <w:tr>
        <w:trPr>
          <w:trHeight w:val="322"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25,485,593.56</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4</w:t>
            </w:r>
          </w:p>
        </w:tc>
      </w:tr>
      <w:tr>
        <w:trPr>
          <w:trHeight w:val="324"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b/>
                <w:spacing w:val="-1"/>
                <w:sz w:val="18"/>
              </w:rPr>
              <w:t>89,722,192.22</w:t>
            </w:r>
            <w:r>
              <w:rPr>
                <w:rFonts w:ascii="Times New Roman"/>
                <w:spacing w:val="-1"/>
                <w:sz w:val="18"/>
              </w:rPr>
            </w:r>
          </w:p>
        </w:tc>
        <w:tc>
          <w:tcPr>
            <w:tcW w:w="27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6"/>
          <w:szCs w:val="6"/>
        </w:rPr>
      </w:pPr>
    </w:p>
    <w:p>
      <w:pPr>
        <w:pStyle w:val="BodyText"/>
        <w:spacing w:line="240" w:lineRule="auto" w:before="44"/>
        <w:ind w:left="212" w:right="1124"/>
        <w:jc w:val="left"/>
      </w:pPr>
      <w:r>
        <w:rPr/>
        <w:t>说明</w:t>
      </w: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日，本集团使用权受到限制的货币资金如下：</w:t>
      </w:r>
    </w:p>
    <w:p>
      <w:pPr>
        <w:spacing w:line="240" w:lineRule="auto" w:before="7"/>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5764"/>
        <w:gridCol w:w="3308"/>
      </w:tblGrid>
      <w:tr>
        <w:trPr>
          <w:trHeight w:val="322" w:hRule="exact"/>
        </w:trPr>
        <w:tc>
          <w:tcPr>
            <w:tcW w:w="5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款  项  内</w:t>
            </w:r>
            <w:r>
              <w:rPr>
                <w:rFonts w:ascii="宋体" w:hAnsi="宋体" w:cs="宋体" w:eastAsia="宋体" w:hint="default"/>
                <w:b/>
                <w:bCs/>
                <w:spacing w:val="6"/>
                <w:sz w:val="18"/>
                <w:szCs w:val="18"/>
              </w:rPr>
              <w:t> </w:t>
            </w:r>
            <w:r>
              <w:rPr>
                <w:rFonts w:ascii="宋体" w:hAnsi="宋体" w:cs="宋体" w:eastAsia="宋体" w:hint="default"/>
                <w:b/>
                <w:bCs/>
                <w:sz w:val="18"/>
                <w:szCs w:val="18"/>
              </w:rPr>
              <w:t>容</w:t>
            </w:r>
            <w:r>
              <w:rPr>
                <w:rFonts w:ascii="宋体" w:hAnsi="宋体" w:cs="宋体" w:eastAsia="宋体" w:hint="default"/>
                <w:sz w:val="18"/>
                <w:szCs w:val="18"/>
              </w:rPr>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22" w:hRule="exact"/>
        </w:trPr>
        <w:tc>
          <w:tcPr>
            <w:tcW w:w="5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根据保监会要求缴存的经营保证金及账户利息</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5,002,000.06</w:t>
            </w:r>
          </w:p>
        </w:tc>
      </w:tr>
      <w:tr>
        <w:trPr>
          <w:trHeight w:val="322" w:hRule="exact"/>
        </w:trPr>
        <w:tc>
          <w:tcPr>
            <w:tcW w:w="5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预收中国银行股份有限公司莆田分行货款</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725,325.08</w:t>
            </w:r>
          </w:p>
        </w:tc>
      </w:tr>
      <w:tr>
        <w:trPr>
          <w:trHeight w:val="322" w:hRule="exact"/>
        </w:trPr>
        <w:tc>
          <w:tcPr>
            <w:tcW w:w="5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预收中国建设股份有限公司宝鸡宝石钢支行货款</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18"/>
                <w:szCs w:val="18"/>
              </w:rPr>
            </w:pPr>
            <w:r>
              <w:rPr>
                <w:rFonts w:ascii="Times New Roman"/>
                <w:sz w:val="18"/>
              </w:rPr>
              <w:t>91.71</w:t>
            </w:r>
          </w:p>
        </w:tc>
      </w:tr>
      <w:tr>
        <w:trPr>
          <w:trHeight w:val="324" w:hRule="exact"/>
        </w:trPr>
        <w:tc>
          <w:tcPr>
            <w:tcW w:w="5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开通高速无需停车缴费服务的保证金</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322" w:hRule="exact"/>
        </w:trPr>
        <w:tc>
          <w:tcPr>
            <w:tcW w:w="5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11,994,513.42</w:t>
            </w:r>
          </w:p>
        </w:tc>
      </w:tr>
      <w:tr>
        <w:trPr>
          <w:trHeight w:val="322" w:hRule="exact"/>
        </w:trPr>
        <w:tc>
          <w:tcPr>
            <w:tcW w:w="5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b/>
                <w:spacing w:val="-1"/>
                <w:sz w:val="18"/>
              </w:rPr>
              <w:t>17,722,430.27</w:t>
            </w:r>
            <w:r>
              <w:rPr>
                <w:rFonts w:ascii="Times New Roman"/>
                <w:spacing w:val="-1"/>
                <w:sz w:val="18"/>
              </w:rPr>
            </w:r>
          </w:p>
        </w:tc>
      </w:tr>
    </w:tbl>
    <w:p>
      <w:pPr>
        <w:spacing w:line="240" w:lineRule="auto" w:before="8"/>
        <w:rPr>
          <w:rFonts w:ascii="宋体" w:hAnsi="宋体" w:cs="宋体" w:eastAsia="宋体" w:hint="default"/>
          <w:sz w:val="6"/>
          <w:szCs w:val="6"/>
        </w:rPr>
      </w:pPr>
    </w:p>
    <w:p>
      <w:pPr>
        <w:pStyle w:val="BodyText"/>
        <w:spacing w:line="300" w:lineRule="auto" w:before="44"/>
        <w:ind w:left="212" w:right="1124"/>
        <w:jc w:val="left"/>
      </w:pPr>
      <w:r>
        <w:rPr/>
        <w:t>说明</w:t>
      </w:r>
      <w:r>
        <w:rPr>
          <w:rFonts w:ascii="Times New Roman" w:hAnsi="Times New Roman" w:cs="Times New Roman" w:eastAsia="Times New Roman" w:hint="default"/>
        </w:rPr>
        <w:t>2</w:t>
      </w:r>
      <w:r>
        <w:rPr/>
        <w:t>：子公司融资租赁公司以其持有的厦门农商金融控股集团有限公司</w:t>
      </w:r>
      <w:r>
        <w:rPr>
          <w:rFonts w:ascii="Times New Roman" w:hAnsi="Times New Roman" w:cs="Times New Roman" w:eastAsia="Times New Roman" w:hint="default"/>
        </w:rPr>
        <w:t>2.93%</w:t>
      </w:r>
      <w:r>
        <w:rPr/>
        <w:t>股权（出资额</w:t>
      </w:r>
      <w:r>
        <w:rPr>
          <w:rFonts w:ascii="Times New Roman" w:hAnsi="Times New Roman" w:cs="Times New Roman" w:eastAsia="Times New Roman" w:hint="default"/>
        </w:rPr>
        <w:t>4,500</w:t>
      </w:r>
      <w:r>
        <w:rPr/>
        <w:t>万元）作为质押，向厦门</w:t>
      </w:r>
      <w:r>
        <w:rPr>
          <w:spacing w:val="-62"/>
        </w:rPr>
        <w:t> </w:t>
      </w:r>
      <w:r>
        <w:rPr>
          <w:spacing w:val="-62"/>
        </w:rPr>
      </w:r>
      <w:r>
        <w:rPr/>
        <w:t>农村商业银行厦门自贸试验区东渡支行借入短期借款</w:t>
      </w:r>
      <w:r>
        <w:rPr>
          <w:rFonts w:ascii="Times New Roman" w:hAnsi="Times New Roman" w:cs="Times New Roman" w:eastAsia="Times New Roman" w:hint="default"/>
        </w:rPr>
        <w:t>3,950</w:t>
      </w:r>
      <w:r>
        <w:rPr/>
        <w:t>万元；</w:t>
      </w:r>
    </w:p>
    <w:p>
      <w:pPr>
        <w:spacing w:line="240" w:lineRule="auto" w:before="7"/>
        <w:rPr>
          <w:rFonts w:ascii="宋体" w:hAnsi="宋体" w:cs="宋体" w:eastAsia="宋体" w:hint="default"/>
          <w:sz w:val="17"/>
          <w:szCs w:val="17"/>
        </w:rPr>
      </w:pPr>
    </w:p>
    <w:p>
      <w:pPr>
        <w:pStyle w:val="BodyText"/>
        <w:spacing w:line="300" w:lineRule="auto"/>
        <w:ind w:left="212" w:right="1124"/>
        <w:jc w:val="left"/>
      </w:pPr>
      <w:r>
        <w:rPr/>
        <w:t>说明</w:t>
      </w:r>
      <w:r>
        <w:rPr>
          <w:rFonts w:ascii="Times New Roman" w:hAnsi="Times New Roman" w:cs="Times New Roman" w:eastAsia="Times New Roman" w:hint="default"/>
        </w:rPr>
        <w:t>3</w:t>
      </w:r>
      <w:r>
        <w:rPr/>
        <w:t>：本公司与厦门弘信博格融资租赁有限公司签订《融资租赁合同》，通过售后回租的方式取得融资款，抵押的固定资</w:t>
      </w:r>
      <w:r>
        <w:rPr>
          <w:spacing w:val="-84"/>
        </w:rPr>
        <w:t> </w:t>
      </w:r>
      <w:r>
        <w:rPr>
          <w:spacing w:val="-84"/>
        </w:rPr>
      </w:r>
      <w:r>
        <w:rPr/>
        <w:t>产年末账面价值为</w:t>
      </w:r>
      <w:r>
        <w:rPr>
          <w:rFonts w:ascii="Times New Roman" w:hAnsi="Times New Roman" w:cs="Times New Roman" w:eastAsia="Times New Roman" w:hint="default"/>
        </w:rPr>
        <w:t>1,514,168.39</w:t>
      </w:r>
      <w:r>
        <w:rPr/>
        <w:t>元；</w:t>
      </w:r>
    </w:p>
    <w:p>
      <w:pPr>
        <w:spacing w:line="240" w:lineRule="auto" w:before="7"/>
        <w:rPr>
          <w:rFonts w:ascii="宋体" w:hAnsi="宋体" w:cs="宋体" w:eastAsia="宋体" w:hint="default"/>
          <w:sz w:val="17"/>
          <w:szCs w:val="17"/>
        </w:rPr>
      </w:pPr>
    </w:p>
    <w:p>
      <w:pPr>
        <w:pStyle w:val="BodyText"/>
        <w:spacing w:line="300" w:lineRule="auto"/>
        <w:ind w:left="212" w:right="1124"/>
        <w:jc w:val="left"/>
      </w:pPr>
      <w:r>
        <w:rPr/>
        <w:t>说明</w:t>
      </w:r>
      <w:r>
        <w:rPr>
          <w:rFonts w:ascii="Times New Roman" w:hAnsi="Times New Roman" w:cs="Times New Roman" w:eastAsia="Times New Roman" w:hint="default"/>
        </w:rPr>
        <w:t>4</w:t>
      </w:r>
      <w:r>
        <w:rPr/>
        <w:t>：本公司以位于思明区观日路</w:t>
      </w:r>
      <w:r>
        <w:rPr>
          <w:rFonts w:ascii="Times New Roman" w:hAnsi="Times New Roman" w:cs="Times New Roman" w:eastAsia="Times New Roman" w:hint="default"/>
        </w:rPr>
        <w:t>18</w:t>
      </w:r>
      <w:r>
        <w:rPr/>
        <w:t>号的房产（年末净值为</w:t>
      </w:r>
      <w:r>
        <w:rPr>
          <w:rFonts w:ascii="Times New Roman" w:hAnsi="Times New Roman" w:cs="Times New Roman" w:eastAsia="Times New Roman" w:hint="default"/>
        </w:rPr>
        <w:t>25,485,593.56</w:t>
      </w:r>
      <w:r>
        <w:rPr/>
        <w:t>元）作为抵押物，向兴业银行厦门分行借入短期</w:t>
      </w:r>
      <w:r>
        <w:rPr>
          <w:spacing w:val="-48"/>
        </w:rPr>
        <w:t> </w:t>
      </w:r>
      <w:r>
        <w:rPr>
          <w:spacing w:val="-48"/>
        </w:rPr>
      </w:r>
      <w:r>
        <w:rPr/>
        <w:t>借款</w:t>
      </w:r>
      <w:r>
        <w:rPr>
          <w:rFonts w:ascii="Times New Roman" w:hAnsi="Times New Roman" w:cs="Times New Roman" w:eastAsia="Times New Roman" w:hint="default"/>
        </w:rPr>
        <w:t>8,000</w:t>
      </w:r>
      <w:r>
        <w:rPr/>
        <w:t>万元。</w:t>
      </w:r>
    </w:p>
    <w:p>
      <w:pPr>
        <w:spacing w:after="0" w:line="300" w:lineRule="auto"/>
        <w:jc w:val="left"/>
        <w:sectPr>
          <w:pgSz w:w="11910" w:h="16840"/>
          <w:pgMar w:header="748" w:footer="974" w:top="1060" w:bottom="1160" w:left="92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11,391,900.00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560,200,000.00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8"/>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3"/>
              <w:ind w:right="118"/>
              <w:jc w:val="right"/>
              <w:rPr>
                <w:rFonts w:ascii="宋体" w:hAnsi="宋体" w:cs="宋体" w:eastAsia="宋体" w:hint="default"/>
                <w:sz w:val="18"/>
                <w:szCs w:val="18"/>
              </w:rPr>
            </w:pPr>
            <w:r>
              <w:rPr>
                <w:rFonts w:ascii="宋体" w:hAnsi="宋体" w:cs="宋体" w:eastAsia="宋体" w:hint="default"/>
                <w:sz w:val="18"/>
                <w:szCs w:val="18"/>
              </w:rPr>
              <w:t>安徽易联众</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3"/>
              <w:ind w:right="110"/>
              <w:jc w:val="right"/>
              <w:rPr>
                <w:rFonts w:ascii="宋体" w:hAnsi="宋体" w:cs="宋体" w:eastAsia="宋体" w:hint="default"/>
                <w:sz w:val="18"/>
                <w:szCs w:val="18"/>
              </w:rPr>
            </w:pPr>
            <w:r>
              <w:rPr>
                <w:rFonts w:ascii="宋体" w:hAnsi="宋体" w:cs="宋体" w:eastAsia="宋体" w:hint="default"/>
                <w:sz w:val="18"/>
                <w:szCs w:val="18"/>
              </w:rPr>
              <w:t>软件开发及</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right="38"/>
              <w:jc w:val="center"/>
              <w:rPr>
                <w:rFonts w:ascii="Times New Roman" w:hAnsi="Times New Roman" w:cs="Times New Roman" w:eastAsia="Times New Roman" w:hint="default"/>
                <w:sz w:val="18"/>
                <w:szCs w:val="18"/>
              </w:rPr>
            </w:pPr>
            <w:r>
              <w:rPr>
                <w:rFonts w:ascii="Times New Roman"/>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7" w:right="0"/>
              <w:jc w:val="center"/>
              <w:rPr>
                <w:rFonts w:ascii="Times New Roman" w:hAnsi="Times New Roman" w:cs="Times New Roman" w:eastAsia="Times New Roman" w:hint="default"/>
                <w:sz w:val="18"/>
                <w:szCs w:val="18"/>
              </w:rPr>
            </w:pPr>
            <w:r>
              <w:rPr>
                <w:rFonts w:ascii="Times New Roman"/>
                <w:sz w:val="18"/>
              </w:rPr>
              <w:t>55,304,153.1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0" w:right="0"/>
              <w:jc w:val="center"/>
              <w:rPr>
                <w:rFonts w:ascii="Times New Roman" w:hAnsi="Times New Roman" w:cs="Times New Roman" w:eastAsia="Times New Roman" w:hint="default"/>
                <w:sz w:val="18"/>
                <w:szCs w:val="18"/>
              </w:rPr>
            </w:pPr>
            <w:r>
              <w:rPr>
                <w:rFonts w:ascii="Times New Roman"/>
                <w:sz w:val="18"/>
              </w:rPr>
              <w:t>28,511,281.8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5" w:right="0"/>
              <w:jc w:val="center"/>
              <w:rPr>
                <w:rFonts w:ascii="Times New Roman" w:hAnsi="Times New Roman" w:cs="Times New Roman" w:eastAsia="Times New Roman" w:hint="default"/>
                <w:sz w:val="18"/>
                <w:szCs w:val="18"/>
              </w:rPr>
            </w:pPr>
            <w:r>
              <w:rPr>
                <w:rFonts w:ascii="Times New Roman"/>
                <w:sz w:val="18"/>
              </w:rPr>
              <w:t>44,280,362.3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2,327,207.41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2,337,248.94</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3"/>
        <w:gridCol w:w="1198"/>
        <w:gridCol w:w="1045"/>
        <w:gridCol w:w="1044"/>
        <w:gridCol w:w="1047"/>
        <w:gridCol w:w="1046"/>
        <w:gridCol w:w="1044"/>
        <w:gridCol w:w="1045"/>
        <w:gridCol w:w="1046"/>
      </w:tblGrid>
      <w:tr>
        <w:trPr>
          <w:trHeight w:val="67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2" w:right="118"/>
              <w:jc w:val="left"/>
              <w:rPr>
                <w:rFonts w:ascii="宋体" w:hAnsi="宋体" w:cs="宋体" w:eastAsia="宋体" w:hint="default"/>
                <w:sz w:val="18"/>
                <w:szCs w:val="18"/>
              </w:rPr>
            </w:pPr>
            <w:r>
              <w:rPr>
                <w:rFonts w:ascii="宋体" w:hAnsi="宋体" w:cs="宋体" w:eastAsia="宋体" w:hint="default"/>
                <w:sz w:val="18"/>
                <w:szCs w:val="18"/>
              </w:rPr>
              <w:t>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4" w:right="110"/>
              <w:jc w:val="left"/>
              <w:rPr>
                <w:rFonts w:ascii="宋体" w:hAnsi="宋体" w:cs="宋体" w:eastAsia="宋体" w:hint="default"/>
                <w:sz w:val="18"/>
                <w:szCs w:val="18"/>
              </w:rPr>
            </w:pPr>
            <w:r>
              <w:rPr>
                <w:rFonts w:ascii="宋体" w:hAnsi="宋体" w:cs="宋体" w:eastAsia="宋体" w:hint="default"/>
                <w:sz w:val="18"/>
                <w:szCs w:val="18"/>
              </w:rPr>
              <w:t>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山西易联众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105,977,001.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65,016,540.8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71,685,764.3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18,938,853.3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15,451,358.1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福建易联众 软件系统开 发有限公司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111,946,508.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46,296,845.6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49,399,049.5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-1,911,682.6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-2,873,288.8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福州易联众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97,850,676.2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68,084,699.5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14,488,589.8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-3,178,824.9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-4,292,064.0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r>
      <w:tr>
        <w:trPr>
          <w:trHeight w:val="1027"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北京易联众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35,525,861.7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19,201,197.6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14,766,177.7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-4,887,388.3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-4,082,786.1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湖南易联众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67,721,426.5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21,989,860.9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27,701,382.0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1,701,093.47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1,532,992.20</w:t>
            </w:r>
          </w:p>
        </w:tc>
      </w:tr>
      <w:tr>
        <w:trPr>
          <w:trHeight w:val="1028"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广西易联众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29,267,567.4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12,714,333.0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10,359,022.1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-1,810,038.1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-1,595,374.6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厦门易联众 金融控股有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27,259,590.0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27,232,331.9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-1,395,108.8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-1,395,108.8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1027"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厦门易联众 商业保理有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商业保理、 投资</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544,504,825.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111,125,121.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37,206,891.7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598,684.19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306,927.80</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易联众健康 医疗控股有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70,273,138.7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3,630,356.11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22,440,993.1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-6,678,110.9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-6,994,067.4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r>
        <w:trPr>
          <w:trHeight w:val="1028"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18"/>
              <w:jc w:val="both"/>
              <w:rPr>
                <w:rFonts w:ascii="宋体" w:hAnsi="宋体" w:cs="宋体" w:eastAsia="宋体" w:hint="default"/>
                <w:sz w:val="18"/>
                <w:szCs w:val="18"/>
              </w:rPr>
            </w:pPr>
            <w:r>
              <w:rPr>
                <w:rFonts w:ascii="宋体" w:hAnsi="宋体" w:cs="宋体" w:eastAsia="宋体" w:hint="default"/>
                <w:sz w:val="18"/>
                <w:szCs w:val="18"/>
              </w:rPr>
              <w:t>厦门易联众 融资租赁有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263,994,202.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174,329,456.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12,110,086.1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5,295,139.24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3,939,724.90</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易康吉保险 经纪有限责 任公司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保险经纪</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64,831,290.3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51,750,921.7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4,884,524.09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2,254,145.55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1,629,606.98</w:t>
            </w:r>
          </w:p>
        </w:tc>
      </w:tr>
      <w:tr>
        <w:trPr>
          <w:trHeight w:val="1027"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福建易联众 电子科技有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18,462,414.2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14,459,482.1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18,916,441.5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309,977.71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494,807.90</w:t>
            </w:r>
          </w:p>
        </w:tc>
      </w:tr>
      <w:tr>
        <w:trPr>
          <w:trHeight w:val="713"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1"/>
              <w:ind w:left="22" w:right="118"/>
              <w:jc w:val="left"/>
              <w:rPr>
                <w:rFonts w:ascii="宋体" w:hAnsi="宋体" w:cs="宋体" w:eastAsia="宋体" w:hint="default"/>
                <w:sz w:val="18"/>
                <w:szCs w:val="18"/>
              </w:rPr>
            </w:pPr>
            <w:r>
              <w:rPr>
                <w:rFonts w:ascii="宋体" w:hAnsi="宋体" w:cs="宋体" w:eastAsia="宋体" w:hint="default"/>
                <w:sz w:val="18"/>
                <w:szCs w:val="18"/>
              </w:rPr>
              <w:t>广东易联众 计算机技术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1"/>
              <w:ind w:left="24" w:right="110"/>
              <w:jc w:val="left"/>
              <w:rPr>
                <w:rFonts w:ascii="宋体" w:hAnsi="宋体" w:cs="宋体" w:eastAsia="宋体" w:hint="default"/>
                <w:sz w:val="18"/>
                <w:szCs w:val="18"/>
              </w:rPr>
            </w:pPr>
            <w:r>
              <w:rPr>
                <w:rFonts w:ascii="宋体" w:hAnsi="宋体" w:cs="宋体" w:eastAsia="宋体" w:hint="default"/>
                <w:sz w:val="18"/>
                <w:szCs w:val="18"/>
              </w:rPr>
              <w:t>软件开发及 应用系统集</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9,195,871.40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8,071,220.79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5,142,762.95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2,773,283.71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2,147,258.07</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3"/>
        <w:gridCol w:w="1198"/>
        <w:gridCol w:w="1045"/>
        <w:gridCol w:w="1044"/>
        <w:gridCol w:w="1047"/>
        <w:gridCol w:w="1046"/>
        <w:gridCol w:w="1044"/>
        <w:gridCol w:w="1045"/>
        <w:gridCol w:w="1046"/>
      </w:tblGrid>
      <w:tr>
        <w:trPr>
          <w:trHeight w:val="363"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厦门市纵达 科技有限公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6,000,000.00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9,000,967.81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8,160,157.46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1,788,065.28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299,735.92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335,657.72</w:t>
            </w:r>
          </w:p>
        </w:tc>
      </w:tr>
      <w:tr>
        <w:trPr>
          <w:trHeight w:val="1027"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易联众智能</w:t>
            </w:r>
          </w:p>
          <w:p>
            <w:pPr>
              <w:pStyle w:val="TableParagraph"/>
              <w:spacing w:line="316" w:lineRule="auto" w:before="76"/>
              <w:ind w:left="22" w:right="19"/>
              <w:jc w:val="left"/>
              <w:rPr>
                <w:rFonts w:ascii="宋体" w:hAnsi="宋体" w:cs="宋体" w:eastAsia="宋体" w:hint="default"/>
                <w:sz w:val="18"/>
                <w:szCs w:val="18"/>
              </w:rPr>
            </w:pPr>
            <w:r>
              <w:rPr>
                <w:rFonts w:ascii="宋体" w:hAnsi="宋体" w:cs="宋体" w:eastAsia="宋体" w:hint="default"/>
                <w:spacing w:val="-14"/>
                <w:sz w:val="18"/>
                <w:szCs w:val="18"/>
              </w:rPr>
              <w:t>（厦门）科技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38,523,065.8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17,303,419.4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42,689,986.1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5,037,356.61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5,064,664.05</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厦门市易联 众易惠科技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92,865,463.5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42,788,785.8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89,680,974.1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14,538,707.9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15,458,405.6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r>
        <w:trPr>
          <w:trHeight w:val="1028"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易联众民生</w:t>
            </w:r>
          </w:p>
          <w:p>
            <w:pPr>
              <w:pStyle w:val="TableParagraph"/>
              <w:spacing w:line="316" w:lineRule="auto" w:before="76"/>
              <w:ind w:left="22" w:right="19"/>
              <w:jc w:val="left"/>
              <w:rPr>
                <w:rFonts w:ascii="宋体" w:hAnsi="宋体" w:cs="宋体" w:eastAsia="宋体" w:hint="default"/>
                <w:sz w:val="18"/>
                <w:szCs w:val="18"/>
              </w:rPr>
            </w:pPr>
            <w:r>
              <w:rPr>
                <w:rFonts w:ascii="宋体" w:hAnsi="宋体" w:cs="宋体" w:eastAsia="宋体" w:hint="default"/>
                <w:spacing w:val="-14"/>
                <w:sz w:val="18"/>
                <w:szCs w:val="18"/>
              </w:rPr>
              <w:t>（厦门）科技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55,761,788.4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29,415,234.1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68,410,697.4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12,286,097.2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12,835,312.0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易联众（厦 </w:t>
            </w:r>
            <w:r>
              <w:rPr>
                <w:rFonts w:ascii="宋体" w:hAnsi="宋体" w:cs="宋体" w:eastAsia="宋体" w:hint="default"/>
                <w:spacing w:val="-14"/>
                <w:sz w:val="18"/>
                <w:szCs w:val="18"/>
              </w:rPr>
              <w:t>门）大数据科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13,588,404.6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7,136,363.39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12,155,190.0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1,559,140.88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1,639,203.66</w:t>
            </w:r>
          </w:p>
        </w:tc>
      </w:tr>
      <w:tr>
        <w:trPr>
          <w:trHeight w:val="1027"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陕西易联众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62"/>
              <w:jc w:val="right"/>
              <w:rPr>
                <w:rFonts w:ascii="Times New Roman" w:hAnsi="Times New Roman" w:cs="Times New Roman" w:eastAsia="Times New Roman" w:hint="default"/>
                <w:sz w:val="18"/>
                <w:szCs w:val="18"/>
              </w:rPr>
            </w:pPr>
            <w:r>
              <w:rPr>
                <w:rFonts w:ascii="Times New Roman"/>
                <w:spacing w:val="-1"/>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3,317,747.84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-3,540,526.7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1,680,745.44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-2,145,943.0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-1,962,367.5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吉林易联众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16,467,795.5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3" w:right="0"/>
              <w:jc w:val="center"/>
              <w:rPr>
                <w:rFonts w:ascii="Times New Roman" w:hAnsi="Times New Roman" w:cs="Times New Roman" w:eastAsia="Times New Roman" w:hint="default"/>
                <w:sz w:val="18"/>
                <w:szCs w:val="18"/>
              </w:rPr>
            </w:pPr>
            <w:r>
              <w:rPr>
                <w:rFonts w:ascii="Times New Roman"/>
                <w:sz w:val="18"/>
              </w:rPr>
              <w:t>7,864,683.33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12,438,700.6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-880,062.78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28" w:right="0"/>
              <w:jc w:val="center"/>
              <w:rPr>
                <w:rFonts w:ascii="Times New Roman" w:hAnsi="Times New Roman" w:cs="Times New Roman" w:eastAsia="Times New Roman" w:hint="default"/>
                <w:sz w:val="18"/>
                <w:szCs w:val="18"/>
              </w:rPr>
            </w:pPr>
            <w:r>
              <w:rPr>
                <w:rFonts w:ascii="Times New Roman"/>
                <w:sz w:val="18"/>
              </w:rPr>
              <w:t>-643,488.83</w:t>
            </w:r>
          </w:p>
        </w:tc>
      </w:tr>
      <w:tr>
        <w:trPr>
          <w:trHeight w:val="1027"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厦门易联众 易方科技有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7,282,927.90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3" w:right="0"/>
              <w:jc w:val="center"/>
              <w:rPr>
                <w:rFonts w:ascii="Times New Roman" w:hAnsi="Times New Roman" w:cs="Times New Roman" w:eastAsia="Times New Roman" w:hint="default"/>
                <w:sz w:val="18"/>
                <w:szCs w:val="18"/>
              </w:rPr>
            </w:pPr>
            <w:r>
              <w:rPr>
                <w:rFonts w:ascii="Times New Roman"/>
                <w:sz w:val="18"/>
              </w:rPr>
              <w:t>6,069,786.60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973,220.32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-4,169,713.1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-2,785,741.1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海南易联众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62"/>
              <w:jc w:val="right"/>
              <w:rPr>
                <w:rFonts w:ascii="Times New Roman" w:hAnsi="Times New Roman" w:cs="Times New Roman" w:eastAsia="Times New Roman" w:hint="default"/>
                <w:sz w:val="18"/>
                <w:szCs w:val="18"/>
              </w:rPr>
            </w:pPr>
            <w:r>
              <w:rPr>
                <w:rFonts w:ascii="Times New Roman"/>
                <w:spacing w:val="-1"/>
                <w:sz w:val="18"/>
              </w:rPr>
              <w:t>3,000,000.00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2,097,408.97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3" w:right="0"/>
              <w:jc w:val="center"/>
              <w:rPr>
                <w:rFonts w:ascii="Times New Roman" w:hAnsi="Times New Roman" w:cs="Times New Roman" w:eastAsia="Times New Roman" w:hint="default"/>
                <w:sz w:val="18"/>
                <w:szCs w:val="18"/>
              </w:rPr>
            </w:pPr>
            <w:r>
              <w:rPr>
                <w:rFonts w:ascii="Times New Roman"/>
                <w:sz w:val="18"/>
              </w:rPr>
              <w:t>1,836,813.42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1,146,275.62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-752,234.05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27" w:right="0"/>
              <w:jc w:val="center"/>
              <w:rPr>
                <w:rFonts w:ascii="Times New Roman" w:hAnsi="Times New Roman" w:cs="Times New Roman" w:eastAsia="Times New Roman" w:hint="default"/>
                <w:sz w:val="18"/>
                <w:szCs w:val="18"/>
              </w:rPr>
            </w:pPr>
            <w:r>
              <w:rPr>
                <w:rFonts w:ascii="Times New Roman"/>
                <w:sz w:val="18"/>
              </w:rPr>
              <w:t>-480,644.08</w:t>
            </w:r>
          </w:p>
        </w:tc>
      </w:tr>
      <w:tr>
        <w:trPr>
          <w:trHeight w:val="1028"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福建易联众 医疗信息系 统有限公司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47,826,860.5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31,757,263.0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42,759,423.6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9,489,256.15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10,421,246.9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广州易联众 睿图信息技 术有限公司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22,009,380.4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12,333,849.1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28,375,512.8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7,766,492.99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52" w:right="0"/>
              <w:jc w:val="center"/>
              <w:rPr>
                <w:rFonts w:ascii="Times New Roman" w:hAnsi="Times New Roman" w:cs="Times New Roman" w:eastAsia="Times New Roman" w:hint="default"/>
                <w:sz w:val="18"/>
                <w:szCs w:val="18"/>
              </w:rPr>
            </w:pPr>
            <w:r>
              <w:rPr>
                <w:rFonts w:ascii="Times New Roman"/>
                <w:sz w:val="18"/>
              </w:rPr>
              <w:t>6,581,663.13</w:t>
            </w:r>
          </w:p>
        </w:tc>
      </w:tr>
      <w:tr>
        <w:trPr>
          <w:trHeight w:val="1027"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湖州百路源 投资管理有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4,756,697.00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5" w:right="0"/>
              <w:jc w:val="center"/>
              <w:rPr>
                <w:rFonts w:ascii="Times New Roman" w:hAnsi="Times New Roman" w:cs="Times New Roman" w:eastAsia="Times New Roman" w:hint="default"/>
                <w:sz w:val="18"/>
                <w:szCs w:val="18"/>
              </w:rPr>
            </w:pPr>
            <w:r>
              <w:rPr>
                <w:rFonts w:ascii="Times New Roman"/>
                <w:sz w:val="18"/>
              </w:rPr>
              <w:t>4,318,011.48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5,189,398.67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5,097,981.55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52" w:right="0"/>
              <w:jc w:val="center"/>
              <w:rPr>
                <w:rFonts w:ascii="Times New Roman" w:hAnsi="Times New Roman" w:cs="Times New Roman" w:eastAsia="Times New Roman" w:hint="default"/>
                <w:sz w:val="18"/>
                <w:szCs w:val="18"/>
              </w:rPr>
            </w:pPr>
            <w:r>
              <w:rPr>
                <w:rFonts w:ascii="Times New Roman"/>
                <w:sz w:val="18"/>
              </w:rPr>
              <w:t>3,823,475.25</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保睿通（厦 </w:t>
            </w:r>
            <w:r>
              <w:rPr>
                <w:rFonts w:ascii="宋体" w:hAnsi="宋体" w:cs="宋体" w:eastAsia="宋体" w:hint="default"/>
                <w:spacing w:val="-14"/>
                <w:sz w:val="18"/>
                <w:szCs w:val="18"/>
              </w:rPr>
              <w:t>门）信息科技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62,095,913.9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37,136,516.3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54,420,212.5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24,528,464.5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19,136,516.3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3"/>
        <w:gridCol w:w="1198"/>
        <w:gridCol w:w="1045"/>
        <w:gridCol w:w="1044"/>
        <w:gridCol w:w="1047"/>
        <w:gridCol w:w="1046"/>
        <w:gridCol w:w="1044"/>
        <w:gridCol w:w="1045"/>
        <w:gridCol w:w="1046"/>
      </w:tblGrid>
      <w:tr>
        <w:trPr>
          <w:trHeight w:val="1026"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福建易联众 医卫信息技 术有限公司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14,962,659.9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11,537,692.3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14,541,243.1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1,537,492.07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52" w:right="0"/>
              <w:jc w:val="center"/>
              <w:rPr>
                <w:rFonts w:ascii="Times New Roman" w:hAnsi="Times New Roman" w:cs="Times New Roman" w:eastAsia="Times New Roman" w:hint="default"/>
                <w:sz w:val="18"/>
                <w:szCs w:val="18"/>
              </w:rPr>
            </w:pPr>
            <w:r>
              <w:rPr>
                <w:rFonts w:ascii="Times New Roman"/>
                <w:sz w:val="18"/>
              </w:rPr>
              <w:t>1,537,692.35</w:t>
            </w:r>
          </w:p>
        </w:tc>
      </w:tr>
      <w:tr>
        <w:trPr>
          <w:trHeight w:val="1338"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易联众通达 </w:t>
            </w:r>
            <w:r>
              <w:rPr>
                <w:rFonts w:ascii="宋体" w:hAnsi="宋体" w:cs="宋体" w:eastAsia="宋体" w:hint="default"/>
                <w:spacing w:val="-14"/>
                <w:sz w:val="18"/>
                <w:szCs w:val="18"/>
              </w:rPr>
              <w:t>易（厦门）信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6,606,148.83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5,347,423.38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2,902,976.58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284,162.63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347,423.38</w:t>
            </w:r>
          </w:p>
        </w:tc>
      </w:tr>
      <w:tr>
        <w:trPr>
          <w:trHeight w:val="1026"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北京易联众 智康科技有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579,467.63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17" w:right="0"/>
              <w:jc w:val="center"/>
              <w:rPr>
                <w:rFonts w:ascii="Times New Roman" w:hAnsi="Times New Roman" w:cs="Times New Roman" w:eastAsia="Times New Roman" w:hint="default"/>
                <w:sz w:val="18"/>
                <w:szCs w:val="18"/>
              </w:rPr>
            </w:pPr>
            <w:r>
              <w:rPr>
                <w:rFonts w:ascii="Times New Roman"/>
                <w:sz w:val="18"/>
              </w:rPr>
              <w:t>-129,562.89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-1,106,083.8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27" w:right="0"/>
              <w:jc w:val="center"/>
              <w:rPr>
                <w:rFonts w:ascii="Times New Roman" w:hAnsi="Times New Roman" w:cs="Times New Roman" w:eastAsia="Times New Roman" w:hint="default"/>
                <w:sz w:val="18"/>
                <w:szCs w:val="18"/>
              </w:rPr>
            </w:pPr>
            <w:r>
              <w:rPr>
                <w:rFonts w:ascii="Times New Roman"/>
                <w:sz w:val="18"/>
              </w:rPr>
              <w:t>-829,562.89</w:t>
            </w:r>
          </w:p>
        </w:tc>
      </w:tr>
      <w:tr>
        <w:trPr>
          <w:trHeight w:val="1339"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118"/>
              <w:jc w:val="both"/>
              <w:rPr>
                <w:rFonts w:ascii="宋体" w:hAnsi="宋体" w:cs="宋体" w:eastAsia="宋体" w:hint="default"/>
                <w:sz w:val="18"/>
                <w:szCs w:val="18"/>
              </w:rPr>
            </w:pPr>
            <w:r>
              <w:rPr>
                <w:rFonts w:ascii="宋体" w:hAnsi="宋体" w:cs="宋体" w:eastAsia="宋体" w:hint="default"/>
                <w:sz w:val="18"/>
                <w:szCs w:val="18"/>
              </w:rPr>
              <w:t>北京尚洋易 捷信息技术 股份有限公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3" w:right="0"/>
              <w:jc w:val="left"/>
              <w:rPr>
                <w:rFonts w:ascii="Times New Roman" w:hAnsi="Times New Roman" w:cs="Times New Roman" w:eastAsia="Times New Roman" w:hint="default"/>
                <w:sz w:val="18"/>
                <w:szCs w:val="18"/>
              </w:rPr>
            </w:pPr>
            <w:r>
              <w:rPr>
                <w:rFonts w:ascii="Times New Roman"/>
                <w:sz w:val="18"/>
              </w:rPr>
              <w:t>11,575,000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55,525,208.7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51,528,196.0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37,405,390.2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23,200,084.2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20,220,421.7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海保人寿保 险股份有限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保险业</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1,724,181,89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1,448,650,45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4.78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272,409,605.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-56,922,611.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-57,145,480.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50</w:t>
            </w:r>
          </w:p>
        </w:tc>
      </w:tr>
      <w:tr>
        <w:trPr>
          <w:trHeight w:val="1026"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18"/>
              <w:jc w:val="both"/>
              <w:rPr>
                <w:rFonts w:ascii="宋体" w:hAnsi="宋体" w:cs="宋体" w:eastAsia="宋体" w:hint="default"/>
                <w:sz w:val="18"/>
                <w:szCs w:val="18"/>
              </w:rPr>
            </w:pPr>
            <w:r>
              <w:rPr>
                <w:rFonts w:ascii="宋体" w:hAnsi="宋体" w:cs="宋体" w:eastAsia="宋体" w:hint="default"/>
                <w:sz w:val="18"/>
                <w:szCs w:val="18"/>
              </w:rPr>
              <w:t>福建医联康 护信息技术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4" w:lineRule="auto"/>
              <w:ind w:left="24" w:right="110"/>
              <w:jc w:val="left"/>
              <w:rPr>
                <w:rFonts w:ascii="宋体" w:hAnsi="宋体" w:cs="宋体" w:eastAsia="宋体" w:hint="default"/>
                <w:sz w:val="18"/>
                <w:szCs w:val="18"/>
              </w:rPr>
            </w:pPr>
            <w:r>
              <w:rPr>
                <w:rFonts w:ascii="宋体" w:hAnsi="宋体" w:cs="宋体" w:eastAsia="宋体" w:hint="default"/>
                <w:sz w:val="18"/>
                <w:szCs w:val="18"/>
              </w:rPr>
              <w:t>软件和信息 技术服务</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20,800,000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135,109,550.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60,753,976.3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116,597,720.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24,794,734.0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26,442,229.3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51"/>
        <w:ind w:right="0"/>
        <w:jc w:val="left"/>
      </w:pPr>
      <w:r>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福建易联众易达迅教育科技有限公司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易联众通达易（厦门）信息科技有限公 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北京易联众智康科技有限公司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福建易联众医卫信息技术有限公司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山西无感付科技有限公司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安徽易惠天下软件科技有限公司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保睿通（厦门）信息科技有限公司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厦门易联众长青科技有限公司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北京易联众民生科技有限公司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安徽易联众民生科技有限公司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福州欣贝康医药科技有限公司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三明易就医信息技术有限公司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影响净利润</w:t>
            </w:r>
          </w:p>
        </w:tc>
      </w:tr>
    </w:tbl>
    <w:p>
      <w:pPr>
        <w:pStyle w:val="BodyText"/>
        <w:spacing w:line="357" w:lineRule="auto" w:before="51"/>
        <w:ind w:right="8594"/>
        <w:jc w:val="left"/>
      </w:pPr>
      <w:r>
        <w:rPr/>
        <w:t>主要控股参股公司情况说明 无</w:t>
      </w:r>
    </w:p>
    <w:p>
      <w:pPr>
        <w:spacing w:after="0" w:line="357"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0"/>
        <w:jc w:val="left"/>
      </w:pPr>
      <w:r>
        <w:rPr/>
        <w:t>（一）行业格局和趋势 </w:t>
      </w:r>
      <w:r>
        <w:rPr>
          <w:spacing w:val="-2"/>
        </w:rPr>
        <w:t>从政策层面看，我国政府始终以人民为中心。《</w:t>
      </w:r>
      <w:r>
        <w:rPr>
          <w:rFonts w:ascii="Times New Roman" w:hAnsi="Times New Roman" w:cs="Times New Roman" w:eastAsia="Times New Roman" w:hint="default"/>
          <w:spacing w:val="-2"/>
        </w:rPr>
        <w:t>2018</w:t>
      </w:r>
      <w:r>
        <w:rPr>
          <w:spacing w:val="-2"/>
        </w:rPr>
        <w:t>年政府工作报告》多次强调要加强和改善民生，财政支出向民生等</w:t>
      </w:r>
    </w:p>
    <w:p>
      <w:pPr>
        <w:pStyle w:val="BodyText"/>
        <w:spacing w:line="300" w:lineRule="auto"/>
        <w:ind w:right="1135"/>
        <w:jc w:val="both"/>
      </w:pPr>
      <w:r>
        <w:rPr>
          <w:spacing w:val="-2"/>
        </w:rPr>
        <w:t>领域倾斜。《</w:t>
      </w:r>
      <w:r>
        <w:rPr>
          <w:rFonts w:ascii="Times New Roman" w:hAnsi="Times New Roman" w:cs="Times New Roman" w:eastAsia="Times New Roman" w:hint="default"/>
          <w:spacing w:val="-2"/>
        </w:rPr>
        <w:t>2019</w:t>
      </w:r>
      <w:r>
        <w:rPr>
          <w:spacing w:val="-2"/>
        </w:rPr>
        <w:t>年政府工作报告》再次强调，要坚持在发展中保障和改善民生，加大基本养老、基本医疗等保障力度，并</w:t>
      </w:r>
      <w:r>
        <w:rPr>
          <w:spacing w:val="-69"/>
        </w:rPr>
        <w:t> </w:t>
      </w:r>
      <w:r>
        <w:rPr>
          <w:spacing w:val="-69"/>
        </w:rPr>
      </w:r>
      <w:r>
        <w:rPr/>
        <w:t>深化</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。党的十九大报告中也提出，要加强社会保障体系建设，按照兜底线、织密网、建机制的要求，全 面建成覆盖全民、城乡统筹、权责清晰、保障适度、可持续的多层次社会保障体系。</w:t>
      </w:r>
    </w:p>
    <w:p>
      <w:pPr>
        <w:pStyle w:val="BodyText"/>
        <w:spacing w:line="309" w:lineRule="auto" w:before="32"/>
        <w:ind w:right="0" w:firstLine="360"/>
        <w:jc w:val="left"/>
      </w:pPr>
      <w:r>
        <w:rPr>
          <w:spacing w:val="-2"/>
        </w:rPr>
        <w:t>随着医改的实施及国家基本医疗卫生制度的建立，加快发展健康服务业成为健全全民医保体系、深化医药卫生体制改革</w:t>
      </w:r>
      <w:r>
        <w:rPr/>
        <w:t> </w:t>
      </w:r>
      <w:r>
        <w:rPr>
          <w:spacing w:val="-2"/>
        </w:rPr>
        <w:t>新阶段的重要任务。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日，十三届全国人大一次会议表决通过关于国务院机构改革方案，其中为深化推进</w:t>
      </w:r>
      <w:r>
        <w:rPr>
          <w:rFonts w:ascii="Times New Roman" w:hAnsi="Times New Roman" w:cs="Times New Roman" w:eastAsia="Times New Roman" w:hint="default"/>
          <w:spacing w:val="-2"/>
        </w:rPr>
        <w:t>“</w:t>
      </w:r>
      <w:r>
        <w:rPr>
          <w:spacing w:val="-2"/>
        </w:rPr>
        <w:t>三医联</w:t>
      </w:r>
      <w:r>
        <w:rPr>
          <w:spacing w:val="-49"/>
        </w:rPr>
        <w:t> </w:t>
      </w:r>
      <w:r>
        <w:rPr/>
        <w:t>动</w:t>
      </w:r>
      <w:r>
        <w:rPr>
          <w:rFonts w:ascii="Times New Roman" w:hAnsi="Times New Roman" w:cs="Times New Roman" w:eastAsia="Times New Roman" w:hint="default"/>
        </w:rPr>
        <w:t>”</w:t>
      </w:r>
      <w:r>
        <w:rPr/>
        <w:t>改革，确定新组建国家医疗保障局，这是对三明和福建省试点经验的肯定，也是总结、提升和推广。公司作为三明医改 </w:t>
      </w:r>
      <w:r>
        <w:rPr>
          <w:spacing w:val="-2"/>
        </w:rPr>
        <w:t>总集成商和福建省全省医保信息化总承建商，具备先发优势，将给公司医保信息化和大数据业务带来积极影响，把公司已经</w:t>
      </w:r>
      <w:r>
        <w:rPr>
          <w:spacing w:val="-63"/>
        </w:rPr>
        <w:t> </w:t>
      </w:r>
      <w:r>
        <w:rPr>
          <w:spacing w:val="-63"/>
        </w:rPr>
      </w:r>
      <w:r>
        <w:rPr>
          <w:spacing w:val="-4"/>
        </w:rPr>
        <w:t>形成的产品推广到其他省份和地区，在医保服务和监管上发挥作用。</w:t>
      </w:r>
      <w:r>
        <w:rPr>
          <w:rFonts w:ascii="Times New Roman" w:hAnsi="Times New Roman" w:cs="Times New Roman" w:eastAsia="Times New Roman" w:hint="default"/>
          <w:spacing w:val="-4"/>
        </w:rPr>
        <w:t>2018</w:t>
      </w:r>
      <w:r>
        <w:rPr>
          <w:spacing w:val="-4"/>
        </w:rPr>
        <w:t>年，公司担任了三明市医改信息化研究会会长单位，</w:t>
      </w:r>
      <w:r>
        <w:rPr>
          <w:spacing w:val="-37"/>
        </w:rPr>
        <w:t> </w:t>
      </w:r>
      <w:r>
        <w:rPr>
          <w:spacing w:val="-37"/>
        </w:rPr>
      </w:r>
      <w:r>
        <w:rPr>
          <w:spacing w:val="-2"/>
        </w:rPr>
        <w:t>各相关分子公司也加入并成为成员单位。研究会汇聚国家著名医改专家、学者，联合业内相关企业和合作伙伴，促进了政企</w:t>
      </w:r>
      <w:r>
        <w:rPr>
          <w:spacing w:val="-62"/>
        </w:rPr>
        <w:t> </w:t>
      </w:r>
      <w:r>
        <w:rPr>
          <w:spacing w:val="-62"/>
        </w:rPr>
      </w:r>
      <w:r>
        <w:rPr/>
        <w:t>学研的资源整合，公司借此平台也进一步扩大了品牌影响力。</w:t>
      </w:r>
    </w:p>
    <w:p>
      <w:pPr>
        <w:pStyle w:val="BodyText"/>
        <w:spacing w:line="307" w:lineRule="auto" w:before="24"/>
        <w:ind w:right="1133" w:firstLine="360"/>
        <w:jc w:val="both"/>
      </w:pPr>
      <w:r>
        <w:rPr>
          <w:spacing w:val="-2"/>
        </w:rPr>
        <w:t>党和政府的政策导向，与公司致力于成为</w:t>
      </w:r>
      <w:r>
        <w:rPr>
          <w:rFonts w:ascii="Times New Roman" w:hAnsi="Times New Roman" w:cs="Times New Roman" w:eastAsia="Times New Roman" w:hint="default"/>
          <w:spacing w:val="-2"/>
        </w:rPr>
        <w:t>“</w:t>
      </w:r>
      <w:r>
        <w:rPr>
          <w:spacing w:val="-2"/>
        </w:rPr>
        <w:t>以大数据为核心的民生信息服务综合运营商</w:t>
      </w:r>
      <w:r>
        <w:rPr>
          <w:rFonts w:ascii="Times New Roman" w:hAnsi="Times New Roman" w:cs="Times New Roman" w:eastAsia="Times New Roman" w:hint="default"/>
          <w:spacing w:val="-2"/>
        </w:rPr>
        <w:t>”</w:t>
      </w:r>
      <w:r>
        <w:rPr>
          <w:spacing w:val="-2"/>
        </w:rPr>
        <w:t>的发展理念相契合，对公司而言</w:t>
      </w:r>
      <w:r>
        <w:rPr/>
        <w:t> </w:t>
      </w:r>
      <w:r>
        <w:rPr>
          <w:spacing w:val="-2"/>
        </w:rPr>
        <w:t>是巨大的发展契机。通过多年的积累和创新，公司在服务范围、水平及深度上保持着领先优势。</w:t>
      </w:r>
      <w:r>
        <w:rPr>
          <w:rFonts w:ascii="Times New Roman" w:hAnsi="Times New Roman" w:cs="Times New Roman" w:eastAsia="Times New Roman" w:hint="default"/>
          <w:spacing w:val="-2"/>
        </w:rPr>
        <w:t>2019</w:t>
      </w:r>
      <w:r>
        <w:rPr>
          <w:spacing w:val="-2"/>
        </w:rPr>
        <w:t>年，政府在民生服务上</w:t>
      </w:r>
      <w:r>
        <w:rPr>
          <w:spacing w:val="-63"/>
        </w:rPr>
        <w:t> </w:t>
      </w:r>
      <w:r>
        <w:rPr>
          <w:spacing w:val="-63"/>
        </w:rPr>
      </w:r>
      <w:r>
        <w:rPr>
          <w:spacing w:val="-2"/>
        </w:rPr>
        <w:t>继续发力，公司在原有的技术优势下，将快速响应行业需求新变化，不断提升产品服务及质量，加大宣传，做好市场推广策</w:t>
      </w:r>
      <w:r>
        <w:rPr>
          <w:spacing w:val="-67"/>
        </w:rPr>
        <w:t> </w:t>
      </w:r>
      <w:r>
        <w:rPr>
          <w:spacing w:val="-67"/>
        </w:rPr>
      </w:r>
      <w:r>
        <w:rPr/>
        <w:t>略和行动方案以期占据竞争优势。</w:t>
      </w:r>
    </w:p>
    <w:p>
      <w:pPr>
        <w:pStyle w:val="BodyText"/>
        <w:spacing w:line="304" w:lineRule="auto" w:before="26"/>
        <w:ind w:right="1034" w:firstLine="360"/>
        <w:jc w:val="left"/>
      </w:pPr>
      <w:r>
        <w:rPr/>
        <w:t>从行业发展层面看，政府对行业发展的推进和部署持续加快。</w:t>
      </w:r>
      <w:r>
        <w:rPr>
          <w:rFonts w:ascii="Times New Roman" w:hAnsi="Times New Roman" w:cs="Times New Roman" w:eastAsia="Times New Roman" w:hint="default"/>
        </w:rPr>
        <w:t>2015</w:t>
      </w:r>
      <w:r>
        <w:rPr/>
        <w:t>年政府首次提出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行动计划。近几年，</w:t>
      </w:r>
      <w:r>
        <w:rPr>
          <w:rFonts w:ascii="Times New Roman" w:hAnsi="Times New Roman" w:cs="Times New Roman" w:eastAsia="Times New Roman" w:hint="default"/>
        </w:rPr>
        <w:t>“</w:t>
      </w:r>
      <w:r>
        <w:rPr/>
        <w:t>互联 </w:t>
      </w:r>
      <w:r>
        <w:rPr>
          <w:spacing w:val="-6"/>
          <w:w w:val="100"/>
        </w:rPr>
        <w:t>网</w:t>
      </w:r>
      <w:r>
        <w:rPr>
          <w:rFonts w:ascii="Times New Roman" w:hAnsi="Times New Roman" w:cs="Times New Roman" w:eastAsia="Times New Roman" w:hint="default"/>
          <w:spacing w:val="-6"/>
          <w:w w:val="100"/>
        </w:rPr>
        <w:t>+”</w:t>
      </w:r>
      <w:r>
        <w:rPr>
          <w:spacing w:val="-6"/>
          <w:w w:val="100"/>
        </w:rPr>
        <w:t>已经渗透到各个领域。</w:t>
      </w:r>
      <w:r>
        <w:rPr>
          <w:rFonts w:ascii="Times New Roman" w:hAnsi="Times New Roman" w:cs="Times New Roman" w:eastAsia="Times New Roman" w:hint="default"/>
          <w:spacing w:val="-6"/>
          <w:w w:val="100"/>
        </w:rPr>
        <w:t>2018</w:t>
      </w:r>
      <w:r>
        <w:rPr>
          <w:spacing w:val="-6"/>
          <w:w w:val="100"/>
        </w:rPr>
        <w:t>年</w:t>
      </w:r>
      <w:r>
        <w:rPr>
          <w:rFonts w:ascii="Times New Roman" w:hAnsi="Times New Roman" w:cs="Times New Roman" w:eastAsia="Times New Roman" w:hint="default"/>
          <w:spacing w:val="-6"/>
          <w:w w:val="100"/>
        </w:rPr>
        <w:t>4</w:t>
      </w:r>
      <w:r>
        <w:rPr>
          <w:spacing w:val="-6"/>
          <w:w w:val="100"/>
        </w:rPr>
        <w:t>月</w:t>
      </w:r>
      <w:r>
        <w:rPr>
          <w:rFonts w:ascii="Times New Roman" w:hAnsi="Times New Roman" w:cs="Times New Roman" w:eastAsia="Times New Roman" w:hint="default"/>
          <w:spacing w:val="-6"/>
          <w:w w:val="100"/>
        </w:rPr>
        <w:t>25</w:t>
      </w:r>
      <w:r>
        <w:rPr>
          <w:spacing w:val="-6"/>
          <w:w w:val="100"/>
        </w:rPr>
        <w:t>日，国务院办公厅下发了《关于促进</w:t>
      </w:r>
      <w:r>
        <w:rPr>
          <w:rFonts w:ascii="Times New Roman" w:hAnsi="Times New Roman" w:cs="Times New Roman" w:eastAsia="Times New Roman" w:hint="default"/>
          <w:spacing w:val="-6"/>
          <w:w w:val="100"/>
        </w:rPr>
        <w:t>“</w:t>
      </w:r>
      <w:r>
        <w:rPr>
          <w:spacing w:val="-6"/>
          <w:w w:val="100"/>
        </w:rPr>
        <w:t>互联网</w:t>
      </w:r>
      <w:r>
        <w:rPr>
          <w:rFonts w:ascii="Times New Roman" w:hAnsi="Times New Roman" w:cs="Times New Roman" w:eastAsia="Times New Roman" w:hint="default"/>
          <w:spacing w:val="-6"/>
          <w:w w:val="100"/>
        </w:rPr>
        <w:t>+</w:t>
      </w:r>
      <w:r>
        <w:rPr>
          <w:spacing w:val="-6"/>
          <w:w w:val="100"/>
        </w:rPr>
        <w:t>医疗健康</w:t>
      </w:r>
      <w:r>
        <w:rPr>
          <w:rFonts w:ascii="Times New Roman" w:hAnsi="Times New Roman" w:cs="Times New Roman" w:eastAsia="Times New Roman" w:hint="default"/>
          <w:spacing w:val="-6"/>
          <w:w w:val="100"/>
        </w:rPr>
        <w:t>”</w:t>
      </w:r>
      <w:r>
        <w:rPr>
          <w:spacing w:val="-6"/>
          <w:w w:val="100"/>
        </w:rPr>
        <w:t>发展的意见》（国办发〔</w:t>
      </w:r>
      <w:r>
        <w:rPr>
          <w:rFonts w:ascii="Times New Roman" w:hAnsi="Times New Roman" w:cs="Times New Roman" w:eastAsia="Times New Roman" w:hint="default"/>
          <w:spacing w:val="-6"/>
          <w:w w:val="100"/>
        </w:rPr>
        <w:t>2018</w:t>
      </w:r>
      <w:r>
        <w:rPr>
          <w:spacing w:val="-6"/>
          <w:w w:val="100"/>
        </w:rPr>
        <w:t>〕</w:t>
      </w:r>
      <w:r>
        <w:rPr>
          <w:spacing w:val="-57"/>
          <w:w w:val="100"/>
        </w:rPr>
        <w:t> </w:t>
      </w:r>
      <w:r>
        <w:rPr>
          <w:rFonts w:ascii="Times New Roman" w:hAnsi="Times New Roman" w:cs="Times New Roman" w:eastAsia="Times New Roman" w:hint="default"/>
        </w:rPr>
        <w:t>26</w:t>
      </w:r>
      <w:r>
        <w:rPr/>
        <w:t>号），要求健全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服务体系，完善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支撑体系，加强行业监管和安全保障，提升医疗卫 </w:t>
      </w:r>
      <w:r>
        <w:rPr>
          <w:spacing w:val="-2"/>
        </w:rPr>
        <w:t>生现代化管理水平，优化资源配置，创新服务模式，提高服务效率，降低服务成本，满足人民群众日益增长的医疗卫生健康</w:t>
      </w:r>
      <w:r>
        <w:rPr>
          <w:spacing w:val="-67"/>
        </w:rPr>
        <w:t> </w:t>
      </w:r>
      <w:r>
        <w:rPr>
          <w:spacing w:val="-67"/>
        </w:rPr>
      </w:r>
      <w:r>
        <w:rPr/>
        <w:t>需求。</w:t>
      </w:r>
    </w:p>
    <w:p>
      <w:pPr>
        <w:pStyle w:val="BodyText"/>
        <w:spacing w:line="304" w:lineRule="auto" w:before="28"/>
        <w:ind w:right="1129" w:firstLine="360"/>
        <w:jc w:val="both"/>
      </w:pPr>
      <w:r>
        <w:rPr>
          <w:spacing w:val="-2"/>
        </w:rPr>
        <w:t>经过多年积淀，公司已全面覆盖了医疗卫生传统基础业务，并积极拓展公众健康服务等互联网医疗领域，力图在互联网</w:t>
      </w:r>
      <w:r>
        <w:rPr/>
        <w:t> 医疗发展浪潮中占据有利竞争地位。医疗卫生业务方面，公司已经推出了</w:t>
      </w:r>
      <w:r>
        <w:rPr>
          <w:rFonts w:ascii="Times New Roman" w:hAnsi="Times New Roman" w:cs="Times New Roman" w:eastAsia="Times New Roman" w:hint="default"/>
        </w:rPr>
        <w:t>“</w:t>
      </w:r>
      <w:r>
        <w:rPr/>
        <w:t>基卫</w:t>
      </w:r>
      <w:r>
        <w:rPr>
          <w:rFonts w:ascii="Times New Roman" w:hAnsi="Times New Roman" w:cs="Times New Roman" w:eastAsia="Times New Roman" w:hint="default"/>
        </w:rPr>
        <w:t>+</w:t>
      </w:r>
      <w:r>
        <w:rPr/>
        <w:t>家签</w:t>
      </w:r>
      <w:r>
        <w:rPr>
          <w:rFonts w:ascii="Times New Roman" w:hAnsi="Times New Roman" w:cs="Times New Roman" w:eastAsia="Times New Roman" w:hint="default"/>
        </w:rPr>
        <w:t>”</w:t>
      </w:r>
      <w:r>
        <w:rPr/>
        <w:t>产品、大数据</w:t>
      </w:r>
      <w:r>
        <w:rPr>
          <w:rFonts w:ascii="Times New Roman" w:hAnsi="Times New Roman" w:cs="Times New Roman" w:eastAsia="Times New Roman" w:hint="default"/>
        </w:rPr>
        <w:t>+</w:t>
      </w:r>
      <w:r>
        <w:rPr/>
        <w:t>集成平台产品、</w:t>
      </w:r>
      <w:r>
        <w:rPr>
          <w:rFonts w:ascii="Times New Roman" w:hAnsi="Times New Roman" w:cs="Times New Roman" w:eastAsia="Times New Roman" w:hint="default"/>
        </w:rPr>
        <w:t>“</w:t>
      </w:r>
      <w:r>
        <w:rPr/>
        <w:t>互联</w:t>
      </w:r>
      <w:r>
        <w:rPr>
          <w:spacing w:val="-88"/>
        </w:rPr>
        <w:t> </w:t>
      </w:r>
      <w:r>
        <w:rPr/>
        <w:t>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便民惠民服务平台、健康云和人工智能等新型医疗服务产品，互联网医院、互联网</w:t>
      </w:r>
      <w:r>
        <w:rPr>
          <w:rFonts w:ascii="Times New Roman" w:hAnsi="Times New Roman" w:cs="Times New Roman" w:eastAsia="Times New Roman" w:hint="default"/>
        </w:rPr>
        <w:t>+</w:t>
      </w:r>
      <w:r>
        <w:rPr/>
        <w:t>医保监管、医保风控反欺 诈平台等也在持续开发上线中。在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人社</w:t>
      </w:r>
      <w:r>
        <w:rPr>
          <w:rFonts w:ascii="Times New Roman" w:hAnsi="Times New Roman" w:cs="Times New Roman" w:eastAsia="Times New Roman" w:hint="default"/>
        </w:rPr>
        <w:t>”</w:t>
      </w:r>
      <w:r>
        <w:rPr/>
        <w:t>领域，公司多次参与人社部金保工程相关系统的顶层设计以及全国统一软 件的开发，拥有完备的人社部软件实施技术授权书。公司参与了福建、广东、湖南等</w:t>
      </w:r>
      <w:r>
        <w:rPr>
          <w:rFonts w:ascii="Times New Roman" w:hAnsi="Times New Roman" w:cs="Times New Roman" w:eastAsia="Times New Roman" w:hint="default"/>
        </w:rPr>
        <w:t>20</w:t>
      </w:r>
      <w:r>
        <w:rPr/>
        <w:t>多个省、</w:t>
      </w:r>
      <w:r>
        <w:rPr>
          <w:rFonts w:ascii="Times New Roman" w:hAnsi="Times New Roman" w:cs="Times New Roman" w:eastAsia="Times New Roman" w:hint="default"/>
        </w:rPr>
        <w:t>100</w:t>
      </w:r>
      <w:r>
        <w:rPr/>
        <w:t>多个地市的人社信息化 </w:t>
      </w:r>
      <w:r>
        <w:rPr>
          <w:spacing w:val="-2"/>
        </w:rPr>
        <w:t>建设，是人社部全国公共服务平台承建商，承担多个人社部全国应用开发，近年来完成了福建、山西、广西、广东、宁夏等</w:t>
      </w:r>
      <w:r>
        <w:rPr>
          <w:spacing w:val="-70"/>
        </w:rPr>
        <w:t> </w:t>
      </w:r>
      <w:r>
        <w:rPr>
          <w:spacing w:val="-70"/>
        </w:rPr>
      </w:r>
      <w:r>
        <w:rPr>
          <w:rFonts w:ascii="Times New Roman" w:hAnsi="Times New Roman" w:cs="Times New Roman" w:eastAsia="Times New Roman" w:hint="default"/>
          <w:spacing w:val="-2"/>
        </w:rPr>
        <w:t>9</w:t>
      </w:r>
      <w:r>
        <w:rPr>
          <w:spacing w:val="-2"/>
        </w:rPr>
        <w:t>个省集中式公共服务系统建设，同时积极探索产品创新和全面向</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升级。大数据方面，公司牢牢把握住了大数据时</w:t>
      </w:r>
      <w:r>
        <w:rPr>
          <w:spacing w:val="-50"/>
        </w:rPr>
        <w:t> </w:t>
      </w:r>
      <w:r>
        <w:rPr>
          <w:spacing w:val="-50"/>
        </w:rPr>
      </w:r>
      <w:r>
        <w:rPr>
          <w:spacing w:val="-2"/>
        </w:rPr>
        <w:t>代发展方向，提出了</w:t>
      </w:r>
      <w:r>
        <w:rPr>
          <w:rFonts w:ascii="Times New Roman" w:hAnsi="Times New Roman" w:cs="Times New Roman" w:eastAsia="Times New Roman" w:hint="default"/>
          <w:spacing w:val="-2"/>
        </w:rPr>
        <w:t>“</w:t>
      </w:r>
      <w:r>
        <w:rPr>
          <w:spacing w:val="-2"/>
        </w:rPr>
        <w:t>一切业务数据化，一切数据业务化</w:t>
      </w:r>
      <w:r>
        <w:rPr>
          <w:rFonts w:ascii="Times New Roman" w:hAnsi="Times New Roman" w:cs="Times New Roman" w:eastAsia="Times New Roman" w:hint="default"/>
          <w:spacing w:val="-2"/>
        </w:rPr>
        <w:t>”</w:t>
      </w:r>
      <w:r>
        <w:rPr>
          <w:spacing w:val="-2"/>
        </w:rPr>
        <w:t>的目标，坚定不移地以大数据为核心，以创新为引领，以市场为导</w:t>
      </w:r>
      <w:r>
        <w:rPr>
          <w:spacing w:val="-47"/>
        </w:rPr>
        <w:t> </w:t>
      </w:r>
      <w:r>
        <w:rPr>
          <w:spacing w:val="-47"/>
        </w:rPr>
      </w:r>
      <w:r>
        <w:rPr>
          <w:spacing w:val="-2"/>
        </w:rPr>
        <w:t>向，推进数据资源整合与开放，建立大数据应用产品体系，实现创新业务和传统业务</w:t>
      </w:r>
      <w:r>
        <w:rPr>
          <w:rFonts w:ascii="Times New Roman" w:hAnsi="Times New Roman" w:cs="Times New Roman" w:eastAsia="Times New Roman" w:hint="default"/>
          <w:spacing w:val="-2"/>
        </w:rPr>
        <w:t>“</w:t>
      </w:r>
      <w:r>
        <w:rPr>
          <w:spacing w:val="-2"/>
        </w:rPr>
        <w:t>两翼齐飞</w:t>
      </w:r>
      <w:r>
        <w:rPr>
          <w:rFonts w:ascii="Times New Roman" w:hAnsi="Times New Roman" w:cs="Times New Roman" w:eastAsia="Times New Roman" w:hint="default"/>
          <w:spacing w:val="-2"/>
        </w:rPr>
        <w:t>”</w:t>
      </w:r>
      <w:r>
        <w:rPr>
          <w:spacing w:val="-2"/>
        </w:rPr>
        <w:t>，加快构建大数据业务的生</w:t>
      </w:r>
      <w:r>
        <w:rPr>
          <w:spacing w:val="-43"/>
        </w:rPr>
        <w:t> </w:t>
      </w:r>
      <w:r>
        <w:rPr>
          <w:spacing w:val="-43"/>
        </w:rPr>
      </w:r>
      <w:r>
        <w:rPr/>
        <w:t>态圈。</w:t>
      </w:r>
    </w:p>
    <w:p>
      <w:pPr>
        <w:pStyle w:val="BodyText"/>
        <w:spacing w:line="312" w:lineRule="auto" w:before="28"/>
        <w:ind w:right="1128" w:firstLine="360"/>
        <w:jc w:val="both"/>
      </w:pPr>
      <w:r>
        <w:rPr>
          <w:rFonts w:ascii="Times New Roman" w:hAnsi="Times New Roman" w:cs="Times New Roman" w:eastAsia="Times New Roman" w:hint="default"/>
          <w:spacing w:val="-3"/>
        </w:rPr>
        <w:t>2018</w:t>
      </w:r>
      <w:r>
        <w:rPr>
          <w:spacing w:val="-3"/>
        </w:rPr>
        <w:t>年度，公司分别与蚂蚁金服、国新健康签订了合作协议。公司与蚂蚁金服围绕</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人社</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医疗</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互</w:t>
      </w:r>
      <w:r>
        <w:rPr/>
        <w:t> 联网＋民生行业支付</w:t>
      </w:r>
      <w:r>
        <w:rPr>
          <w:rFonts w:ascii="Times New Roman" w:hAnsi="Times New Roman" w:cs="Times New Roman" w:eastAsia="Times New Roman" w:hint="default"/>
        </w:rPr>
        <w:t>”</w:t>
      </w:r>
      <w:r>
        <w:rPr/>
        <w:t>等领域共同建设领先的大数据生态体系。公司与国新健康的战略合作将共同合力助力医保基金管理建 </w:t>
      </w:r>
      <w:r>
        <w:rPr>
          <w:spacing w:val="-2"/>
        </w:rPr>
        <w:t>设，推动双方在健康保障领域的发展。公司希望通过与各合作伙伴进行多维度战略合作，更好地发挥各方的资源优势，展开</w:t>
      </w:r>
      <w:r>
        <w:rPr>
          <w:spacing w:val="-65"/>
        </w:rPr>
        <w:t> </w:t>
      </w:r>
      <w:r>
        <w:rPr>
          <w:spacing w:val="-65"/>
        </w:rPr>
      </w:r>
      <w:r>
        <w:rPr>
          <w:spacing w:val="-2"/>
        </w:rPr>
        <w:t>更广范围内的大数据业务合作与探索创新，充分发挥公司在健康医疗、公共服务领域的多年积累和专业力量，进一步优化客</w:t>
      </w:r>
      <w:r>
        <w:rPr>
          <w:spacing w:val="-63"/>
        </w:rPr>
        <w:t> </w:t>
      </w:r>
      <w:r>
        <w:rPr>
          <w:spacing w:val="-63"/>
        </w:rPr>
      </w:r>
      <w:r>
        <w:rPr>
          <w:spacing w:val="-2"/>
        </w:rPr>
        <w:t>户结构，扩展公司的业务版图，推动公司以大数据为驱动的健康医疗、公共服务、产业金融业务在广度、深度、规模以及平</w:t>
      </w:r>
      <w:r>
        <w:rPr>
          <w:spacing w:val="-68"/>
        </w:rPr>
        <w:t> </w:t>
      </w:r>
      <w:r>
        <w:rPr>
          <w:spacing w:val="-68"/>
        </w:rPr>
      </w:r>
      <w:r>
        <w:rPr>
          <w:spacing w:val="-2"/>
        </w:rPr>
        <w:t>台效应上的进一步发展，从而为政府、企事业单位和社会公众提供并优化包括健康医疗、人社公共服务、医保控费、医保移</w:t>
      </w:r>
      <w:r>
        <w:rPr>
          <w:spacing w:val="-67"/>
        </w:rPr>
        <w:t> </w:t>
      </w:r>
      <w:r>
        <w:rPr>
          <w:spacing w:val="-67"/>
        </w:rPr>
      </w:r>
      <w:r>
        <w:rPr>
          <w:spacing w:val="-2"/>
        </w:rPr>
        <w:t>动支付、商业保险服务等更多、更便捷、更实惠的各类民生信息服务，并促进公司成为以大数据为核心的民生信息服务综合</w:t>
      </w:r>
    </w:p>
    <w:p>
      <w:pPr>
        <w:spacing w:after="0" w:line="312"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运营商的战略目标的实现。</w:t>
      </w:r>
    </w:p>
    <w:p>
      <w:pPr>
        <w:pStyle w:val="BodyText"/>
        <w:spacing w:line="316" w:lineRule="auto" w:before="76"/>
        <w:ind w:left="513" w:right="1053"/>
        <w:jc w:val="left"/>
      </w:pPr>
      <w:r>
        <w:rPr/>
        <w:t>（二）公司发展战略 公司围绕</w:t>
      </w:r>
      <w:r>
        <w:rPr>
          <w:rFonts w:ascii="Times New Roman" w:hAnsi="Times New Roman" w:cs="Times New Roman" w:eastAsia="Times New Roman" w:hint="default"/>
        </w:rPr>
        <w:t>“</w:t>
      </w:r>
      <w:r>
        <w:rPr/>
        <w:t>医疗卫生、医疗保障、人力资源和社会保障</w:t>
      </w:r>
      <w:r>
        <w:rPr>
          <w:rFonts w:ascii="Times New Roman" w:hAnsi="Times New Roman" w:cs="Times New Roman" w:eastAsia="Times New Roman" w:hint="default"/>
        </w:rPr>
        <w:t>”</w:t>
      </w:r>
      <w:r>
        <w:rPr/>
        <w:t>等民生重要领域，提供全方位的整体解决方案和综合运营服务，</w:t>
      </w:r>
    </w:p>
    <w:p>
      <w:pPr>
        <w:pStyle w:val="BodyText"/>
        <w:spacing w:line="316" w:lineRule="auto"/>
        <w:ind w:right="0"/>
        <w:jc w:val="left"/>
      </w:pPr>
      <w:r>
        <w:rPr>
          <w:spacing w:val="-4"/>
        </w:rPr>
        <w:t>致力于成为以大数据为核心的民生信息服务综合运营商。公司深度整合政府、企业和社会大众不同层面的民生信息服务需求，</w:t>
      </w:r>
      <w:r>
        <w:rPr>
          <w:spacing w:val="-44"/>
        </w:rPr>
        <w:t> </w:t>
      </w:r>
      <w:r>
        <w:rPr>
          <w:spacing w:val="-44"/>
        </w:rPr>
      </w:r>
      <w:r>
        <w:rPr>
          <w:spacing w:val="-2"/>
        </w:rPr>
        <w:t>依托社保卡业务、民生行业应用软件、云平台、智能终端等全面的软硬件产品应用体系，逐步构建起线上线下一体化的综合</w:t>
      </w:r>
      <w:r>
        <w:rPr>
          <w:spacing w:val="-64"/>
        </w:rPr>
        <w:t> </w:t>
      </w:r>
      <w:r>
        <w:rPr>
          <w:spacing w:val="-64"/>
        </w:rPr>
      </w:r>
      <w:r>
        <w:rPr>
          <w:spacing w:val="-2"/>
        </w:rPr>
        <w:t>运营服务模式，形成应用、平台、渠道、运营的组合优势，以大数据为驱动，围绕健康医疗、公共服务、产业金融三大类服</w:t>
      </w:r>
      <w:r>
        <w:rPr>
          <w:spacing w:val="-63"/>
        </w:rPr>
        <w:t> </w:t>
      </w:r>
      <w:r>
        <w:rPr>
          <w:spacing w:val="-63"/>
        </w:rPr>
      </w:r>
      <w:r>
        <w:rPr>
          <w:spacing w:val="-2"/>
        </w:rPr>
        <w:t>务，致力于成为以大数据为核心的民生信息服务综合运营商，为政府、企业和社会公众提供并优化包括健康医疗、人社公共</w:t>
      </w:r>
      <w:r>
        <w:rPr>
          <w:spacing w:val="-64"/>
        </w:rPr>
        <w:t> </w:t>
      </w:r>
      <w:r>
        <w:rPr>
          <w:spacing w:val="-64"/>
        </w:rPr>
      </w:r>
      <w:r>
        <w:rPr/>
        <w:t>服务、医保控费、医保移动支付、商业保险服务、劳动就业、金融等更多、更便捷、更实惠的各类民生信息服务。</w:t>
      </w:r>
    </w:p>
    <w:p>
      <w:pPr>
        <w:pStyle w:val="BodyText"/>
        <w:spacing w:line="240" w:lineRule="auto" w:before="19"/>
        <w:ind w:left="513" w:right="0"/>
        <w:jc w:val="left"/>
      </w:pPr>
      <w:r>
        <w:rPr/>
        <w:t>（三）经营计划</w:t>
      </w:r>
    </w:p>
    <w:p>
      <w:pPr>
        <w:pStyle w:val="BodyText"/>
        <w:spacing w:line="300" w:lineRule="auto" w:before="76"/>
        <w:ind w:right="1133" w:firstLine="360"/>
        <w:jc w:val="both"/>
      </w:pPr>
      <w:r>
        <w:rPr>
          <w:rFonts w:ascii="Times New Roman" w:hAnsi="Times New Roman" w:cs="Times New Roman" w:eastAsia="Times New Roman" w:hint="default"/>
          <w:spacing w:val="-2"/>
        </w:rPr>
        <w:t>2019</w:t>
      </w:r>
      <w:r>
        <w:rPr>
          <w:spacing w:val="-2"/>
        </w:rPr>
        <w:t>年，公司将继续加快企业升级，提升核心竞争力，强化内部管理，加大研发投入，顺应市场发展趋势，争取新的业</w:t>
      </w:r>
      <w:r>
        <w:rPr/>
        <w:t> 务突破。重点做好以下工作（该经营计划并不构成公司对投资者的业绩承诺）：</w:t>
      </w:r>
    </w:p>
    <w:p>
      <w:pPr>
        <w:pStyle w:val="BodyText"/>
        <w:spacing w:line="300" w:lineRule="auto" w:before="32"/>
        <w:ind w:left="513" w:right="0"/>
        <w:jc w:val="left"/>
      </w:pPr>
      <w:r>
        <w:rPr>
          <w:rFonts w:ascii="Times New Roman" w:hAnsi="Times New Roman" w:cs="Times New Roman" w:eastAsia="Times New Roman" w:hint="default"/>
        </w:rPr>
        <w:t>1.</w:t>
      </w:r>
      <w:r>
        <w:rPr/>
        <w:t>继续加大研发投入，不断提升研发效能 </w:t>
      </w:r>
      <w:r>
        <w:rPr>
          <w:spacing w:val="-2"/>
        </w:rPr>
        <w:t>公司将通过优化升级现有产品功能、降低成本等方式进一步巩固竞争优势，并将在新产品研发上加大资金投入与研发力</w:t>
      </w:r>
    </w:p>
    <w:p>
      <w:pPr>
        <w:pStyle w:val="BodyText"/>
        <w:spacing w:line="316" w:lineRule="auto" w:before="31"/>
        <w:ind w:right="1131"/>
        <w:jc w:val="both"/>
      </w:pPr>
      <w:r>
        <w:rPr>
          <w:spacing w:val="-2"/>
        </w:rPr>
        <w:t>度。加强市场调研与分析，形成与决策部门、专家、用户的互动机制，强化市场化运作能力。通过后续培训教育，建立人才</w:t>
      </w:r>
      <w:r>
        <w:rPr>
          <w:spacing w:val="-73"/>
        </w:rPr>
        <w:t> </w:t>
      </w:r>
      <w:r>
        <w:rPr>
          <w:spacing w:val="-73"/>
        </w:rPr>
      </w:r>
      <w:r>
        <w:rPr>
          <w:spacing w:val="-2"/>
        </w:rPr>
        <w:t>培养的长效机制，完善创新环境等手段，建立更高水平的创新研发队伍。规范研发管理流程，逐步形成标准化的产品研发体</w:t>
      </w:r>
      <w:r>
        <w:rPr>
          <w:spacing w:val="-65"/>
        </w:rPr>
        <w:t> </w:t>
      </w:r>
      <w:r>
        <w:rPr>
          <w:spacing w:val="-65"/>
        </w:rPr>
      </w:r>
      <w:r>
        <w:rPr/>
        <w:t>系，进而提升研发效能，以坚实的研发实力构筑起市场竞争壁垒。</w:t>
      </w:r>
    </w:p>
    <w:p>
      <w:pPr>
        <w:pStyle w:val="BodyText"/>
        <w:spacing w:line="300" w:lineRule="auto" w:before="19"/>
        <w:ind w:left="513" w:right="0"/>
        <w:jc w:val="left"/>
      </w:pPr>
      <w:r>
        <w:rPr>
          <w:rFonts w:ascii="Times New Roman" w:hAnsi="Times New Roman" w:cs="Times New Roman" w:eastAsia="Times New Roman" w:hint="default"/>
        </w:rPr>
        <w:t>2.</w:t>
      </w:r>
      <w:r>
        <w:rPr/>
        <w:t>增强市场拓展的广度与深度，培育发展新业务 </w:t>
      </w:r>
      <w:r>
        <w:rPr>
          <w:spacing w:val="-2"/>
        </w:rPr>
        <w:t>公司将立足基础、平台、渠道、支付等组合的优势，持续深入扩展人力资源和社会保障基础业务，重点加快医疗卫生业</w:t>
      </w:r>
    </w:p>
    <w:p>
      <w:pPr>
        <w:pStyle w:val="BodyText"/>
        <w:spacing w:line="316" w:lineRule="auto" w:before="31"/>
        <w:ind w:right="1129"/>
        <w:jc w:val="both"/>
      </w:pPr>
      <w:r>
        <w:rPr>
          <w:spacing w:val="-2"/>
        </w:rPr>
        <w:t>务整合升级，不断探索并拓展智能卡应用，全面丰富智能终端渠道，鼓励基础业务微创新，为新兴业务的发展奠定坚实的业</w:t>
      </w:r>
      <w:r>
        <w:rPr>
          <w:spacing w:val="-64"/>
        </w:rPr>
        <w:t> </w:t>
      </w:r>
      <w:r>
        <w:rPr>
          <w:spacing w:val="-64"/>
        </w:rPr>
      </w:r>
      <w:r>
        <w:rPr>
          <w:spacing w:val="-2"/>
        </w:rPr>
        <w:t>务基础。此外，同步推进对数据资源开发利用的探索，培育互联网新业务，助推大数据和互联网的服务商业模式创新，形成</w:t>
      </w:r>
      <w:r>
        <w:rPr>
          <w:spacing w:val="-67"/>
        </w:rPr>
        <w:t> </w:t>
      </w:r>
      <w:r>
        <w:rPr>
          <w:spacing w:val="-67"/>
        </w:rPr>
      </w:r>
      <w:r>
        <w:rPr/>
        <w:t>基础业务与互联网服务互补的发展模式，以期实现运营模式智能互联化。</w:t>
      </w:r>
    </w:p>
    <w:p>
      <w:pPr>
        <w:pStyle w:val="BodyText"/>
        <w:spacing w:line="316" w:lineRule="auto" w:before="19"/>
        <w:ind w:right="1132" w:firstLine="360"/>
        <w:jc w:val="both"/>
      </w:pPr>
      <w:r>
        <w:rPr>
          <w:spacing w:val="-2"/>
        </w:rPr>
        <w:t>公司将继续通过市场战略及大商务事务部全面整合内外部优势资源，尤其是针对跨区域、跨多家子公司的高端资源、战</w:t>
      </w:r>
      <w:r>
        <w:rPr/>
        <w:t> </w:t>
      </w:r>
      <w:r>
        <w:rPr>
          <w:spacing w:val="-2"/>
        </w:rPr>
        <w:t>略资源以及区域战略市场、重大重要项目等的对接、开发、拓展并推动项目的落地，为分子公司衔接相关资源，对接外部合</w:t>
      </w:r>
      <w:r>
        <w:rPr>
          <w:spacing w:val="-66"/>
        </w:rPr>
        <w:t> </w:t>
      </w:r>
      <w:r>
        <w:rPr>
          <w:spacing w:val="-66"/>
        </w:rPr>
      </w:r>
      <w:r>
        <w:rPr/>
        <w:t>作伙伴，有效加大商务支持力度，不断增强市场拓展的广度与深度。</w:t>
      </w:r>
    </w:p>
    <w:p>
      <w:pPr>
        <w:pStyle w:val="BodyText"/>
        <w:spacing w:line="309" w:lineRule="auto" w:before="19"/>
        <w:ind w:right="1130" w:firstLine="360"/>
        <w:jc w:val="both"/>
      </w:pPr>
      <w:r>
        <w:rPr/>
        <w:t>公司将持续深入开展项目调研，并科学规划业务发展方向和决策资金投向，以</w:t>
      </w:r>
      <w:r>
        <w:rPr>
          <w:rFonts w:ascii="Times New Roman" w:hAnsi="Times New Roman" w:cs="Times New Roman" w:eastAsia="Times New Roman" w:hint="default"/>
        </w:rPr>
        <w:t>“</w:t>
      </w:r>
      <w:r>
        <w:rPr/>
        <w:t>公司控股</w:t>
      </w:r>
      <w:r>
        <w:rPr>
          <w:rFonts w:ascii="Times New Roman" w:hAnsi="Times New Roman" w:cs="Times New Roman" w:eastAsia="Times New Roman" w:hint="default"/>
        </w:rPr>
        <w:t>+</w:t>
      </w:r>
      <w:r>
        <w:rPr/>
        <w:t>核心骨干持股</w:t>
      </w:r>
      <w:r>
        <w:rPr>
          <w:rFonts w:ascii="Times New Roman" w:hAnsi="Times New Roman" w:cs="Times New Roman" w:eastAsia="Times New Roman" w:hint="default"/>
        </w:rPr>
        <w:t>”</w:t>
      </w:r>
      <w:r>
        <w:rPr/>
        <w:t>的模式成立创 </w:t>
      </w:r>
      <w:r>
        <w:rPr>
          <w:spacing w:val="-2"/>
        </w:rPr>
        <w:t>业产品子公司等方式培育发展新业务，持续深入探索新的业务模式，培育新的业绩增长点，提高公司抵御风险能力和综合实</w:t>
      </w:r>
      <w:r>
        <w:rPr>
          <w:spacing w:val="-63"/>
        </w:rPr>
        <w:t> </w:t>
      </w:r>
      <w:r>
        <w:rPr>
          <w:spacing w:val="-63"/>
        </w:rPr>
      </w:r>
      <w:r>
        <w:rPr/>
        <w:t>力。</w:t>
      </w:r>
    </w:p>
    <w:p>
      <w:pPr>
        <w:pStyle w:val="BodyText"/>
        <w:spacing w:line="300" w:lineRule="auto" w:before="24"/>
        <w:ind w:left="513" w:right="0"/>
        <w:jc w:val="left"/>
      </w:pPr>
      <w:r>
        <w:rPr>
          <w:rFonts w:ascii="Times New Roman" w:hAnsi="Times New Roman" w:cs="Times New Roman" w:eastAsia="Times New Roman" w:hint="default"/>
        </w:rPr>
        <w:t>3.</w:t>
      </w:r>
      <w:r>
        <w:rPr/>
        <w:t>完善制度建设，强化管理协作 </w:t>
      </w:r>
      <w:r>
        <w:rPr>
          <w:spacing w:val="-2"/>
        </w:rPr>
        <w:t>围绕公司未来发展规划，对组织管理进行适应性和战略性的调整。完善内部管控体制，强化外部风险防控机制，加大制</w:t>
      </w:r>
    </w:p>
    <w:p>
      <w:pPr>
        <w:pStyle w:val="BodyText"/>
        <w:spacing w:line="316" w:lineRule="auto" w:before="31"/>
        <w:ind w:right="1132"/>
        <w:jc w:val="both"/>
      </w:pPr>
      <w:r>
        <w:rPr>
          <w:spacing w:val="-2"/>
        </w:rPr>
        <w:t>度执行力度，在新的管理架构下，加强对战略规划和组织实施、业务督导、财务管理及重大事项规范等方面的管控，进一步</w:t>
      </w:r>
      <w:r>
        <w:rPr>
          <w:spacing w:val="-66"/>
        </w:rPr>
        <w:t> </w:t>
      </w:r>
      <w:r>
        <w:rPr>
          <w:spacing w:val="-66"/>
        </w:rPr>
      </w:r>
      <w:r>
        <w:rPr>
          <w:spacing w:val="-2"/>
        </w:rPr>
        <w:t>确保组织的稳定运行。加强母公司与子公司的业务沟通协作，形成更高效的协同机制，在应对新机遇和新挑战的过程中，推</w:t>
      </w:r>
      <w:r>
        <w:rPr>
          <w:spacing w:val="-65"/>
        </w:rPr>
        <w:t> </w:t>
      </w:r>
      <w:r>
        <w:rPr>
          <w:spacing w:val="-65"/>
        </w:rPr>
      </w:r>
      <w:r>
        <w:rPr/>
        <w:t>动企业整体价值的持续上升。</w:t>
      </w:r>
    </w:p>
    <w:p>
      <w:pPr>
        <w:pStyle w:val="BodyText"/>
        <w:spacing w:line="300" w:lineRule="auto" w:before="19"/>
        <w:ind w:left="513" w:right="0"/>
        <w:jc w:val="left"/>
      </w:pPr>
      <w:r>
        <w:rPr>
          <w:rFonts w:ascii="Times New Roman" w:hAnsi="Times New Roman" w:cs="Times New Roman" w:eastAsia="Times New Roman" w:hint="default"/>
        </w:rPr>
        <w:t>4.</w:t>
      </w:r>
      <w:r>
        <w:rPr/>
        <w:t>重视高端人才引进及团队培养 </w:t>
      </w:r>
      <w:r>
        <w:rPr>
          <w:spacing w:val="-2"/>
        </w:rPr>
        <w:t>随着公司业务不断增多，业务范围逐步扩大，人力资源管理越发重要。公司将继续丰富人才多元引进渠道，加快高素质</w:t>
      </w:r>
    </w:p>
    <w:p>
      <w:pPr>
        <w:pStyle w:val="BodyText"/>
        <w:spacing w:line="316" w:lineRule="auto" w:before="31"/>
        <w:ind w:right="1131"/>
        <w:jc w:val="both"/>
      </w:pPr>
      <w:r>
        <w:rPr>
          <w:spacing w:val="-2"/>
        </w:rPr>
        <w:t>人才引进速度，同时通过激活现有的关键人力资源，构建公司人才梯队，增强核心人才贮备力度，给予储备人才针对性的培</w:t>
      </w:r>
      <w:r>
        <w:rPr>
          <w:spacing w:val="-65"/>
        </w:rPr>
        <w:t> </w:t>
      </w:r>
      <w:r>
        <w:rPr>
          <w:spacing w:val="-65"/>
        </w:rPr>
      </w:r>
      <w:r>
        <w:rPr>
          <w:spacing w:val="-2"/>
        </w:rPr>
        <w:t>训与培养，组建更具创造力的专业团队，为企业发展战略提供可持续的人力支持；通过进一步明确职责权利，营造开放创新</w:t>
      </w:r>
      <w:r>
        <w:rPr>
          <w:spacing w:val="-65"/>
        </w:rPr>
        <w:t> </w:t>
      </w:r>
      <w:r>
        <w:rPr>
          <w:spacing w:val="-65"/>
        </w:rPr>
      </w:r>
      <w:r>
        <w:rPr>
          <w:spacing w:val="-2"/>
        </w:rPr>
        <w:t>环境，完善培养激励机制，创造团队业务和产品的领头羊效应；强化各团队高效协同合作，提升组合竞争优势，以新思维带</w:t>
      </w:r>
      <w:r>
        <w:rPr>
          <w:spacing w:val="-67"/>
        </w:rPr>
        <w:t> </w:t>
      </w:r>
      <w:r>
        <w:rPr>
          <w:spacing w:val="-67"/>
        </w:rPr>
      </w:r>
      <w:r>
        <w:rPr>
          <w:spacing w:val="-2"/>
        </w:rPr>
        <w:t>动公司业务和产品的提升，为公司发展提供持续的创新动力。目前，在公司新的管理架构下，通过持有子公司股权，有利于</w:t>
      </w:r>
      <w:r>
        <w:rPr>
          <w:spacing w:val="-67"/>
        </w:rPr>
        <w:t> </w:t>
      </w:r>
      <w:r>
        <w:rPr>
          <w:spacing w:val="-67"/>
        </w:rPr>
      </w:r>
      <w:r>
        <w:rPr/>
        <w:t>保持原有骨干团队的稳定性和积极性，也有利于吸引新的高端人才。</w:t>
      </w:r>
    </w:p>
    <w:p>
      <w:pPr>
        <w:pStyle w:val="BodyText"/>
        <w:spacing w:line="300" w:lineRule="auto" w:before="19"/>
        <w:ind w:left="513" w:right="0"/>
        <w:jc w:val="left"/>
      </w:pPr>
      <w:r>
        <w:rPr>
          <w:rFonts w:ascii="Times New Roman" w:hAnsi="Times New Roman" w:cs="Times New Roman" w:eastAsia="Times New Roman" w:hint="default"/>
        </w:rPr>
        <w:t>5.</w:t>
      </w:r>
      <w:r>
        <w:rPr/>
        <w:t>加强企业文化建设 </w:t>
      </w:r>
      <w:r>
        <w:rPr>
          <w:spacing w:val="-2"/>
        </w:rPr>
        <w:t>企业价值观是企业文化的核心，决定企业的命脉，关系企业的兴衰。公司将进一步加深企业文化建设，坚持以人为本的</w:t>
      </w:r>
    </w:p>
    <w:p>
      <w:pPr>
        <w:pStyle w:val="BodyText"/>
        <w:spacing w:line="319" w:lineRule="auto" w:before="31"/>
        <w:ind w:right="1135"/>
        <w:jc w:val="both"/>
      </w:pPr>
      <w:r>
        <w:rPr>
          <w:spacing w:val="-2"/>
        </w:rPr>
        <w:t>发展理念，完善薪资福利体系，加强员工人文关怀，将员工职业愿景与企业发展规划相结合，提高员工归属感和责任感，增</w:t>
      </w:r>
      <w:r>
        <w:rPr>
          <w:spacing w:val="-67"/>
        </w:rPr>
        <w:t> </w:t>
      </w:r>
      <w:r>
        <w:rPr>
          <w:spacing w:val="-67"/>
        </w:rPr>
      </w:r>
      <w:r>
        <w:rPr/>
        <w:t>强企业凝聚力。积极发挥企业社会价值，为推动中国民生领域发展不懈努力。</w:t>
      </w:r>
    </w:p>
    <w:p>
      <w:pPr>
        <w:pStyle w:val="BodyText"/>
        <w:spacing w:line="240" w:lineRule="auto" w:before="17"/>
        <w:ind w:left="513" w:right="0"/>
        <w:jc w:val="left"/>
      </w:pPr>
      <w:r>
        <w:rPr/>
        <w:t>（四）可能面对的风险</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left="513" w:right="1119"/>
        <w:jc w:val="left"/>
      </w:pPr>
      <w:r>
        <w:rPr>
          <w:rFonts w:ascii="Times New Roman" w:hAnsi="Times New Roman" w:cs="Times New Roman" w:eastAsia="Times New Roman" w:hint="default"/>
        </w:rPr>
        <w:t>1.</w:t>
      </w:r>
      <w:r>
        <w:rPr/>
        <w:t>技术风险 </w:t>
      </w:r>
      <w:r>
        <w:rPr>
          <w:spacing w:val="-2"/>
        </w:rPr>
        <w:t>持续的技术及产品开发是公司不断发展壮大的基础。由于软件等信息技术类产品具有技术更新快、产品生命周期短的特</w:t>
      </w:r>
    </w:p>
    <w:p>
      <w:pPr>
        <w:pStyle w:val="BodyText"/>
        <w:spacing w:line="316" w:lineRule="auto" w:before="31"/>
        <w:ind w:right="0"/>
        <w:jc w:val="left"/>
      </w:pPr>
      <w:r>
        <w:rPr>
          <w:spacing w:val="-2"/>
        </w:rPr>
        <w:t>点，用户对软件及相关产品的功能要求不断提高，公司需要不断进行新技术、新产品的研发和升级。如果公司不能准确把握</w:t>
      </w:r>
      <w:r>
        <w:rPr>
          <w:spacing w:val="-65"/>
        </w:rPr>
        <w:t> </w:t>
      </w:r>
      <w:r>
        <w:rPr>
          <w:spacing w:val="-65"/>
        </w:rPr>
      </w:r>
      <w:r>
        <w:rPr/>
        <w:t>技术、产品及市场的发展趋势，研发出符合市场需求的新产品，将面临丧失技术和市场优势导致发展速度减缓的风险。</w:t>
      </w:r>
    </w:p>
    <w:p>
      <w:pPr>
        <w:pStyle w:val="BodyText"/>
        <w:spacing w:line="316" w:lineRule="auto" w:before="19"/>
        <w:ind w:right="1129" w:firstLine="360"/>
        <w:jc w:val="both"/>
      </w:pPr>
      <w:r>
        <w:rPr>
          <w:spacing w:val="-2"/>
        </w:rPr>
        <w:t>公司拥有的系列核心技术在国内处于领先水平，是核心竞争力的关键构成要素。公司关键技术由相对独立的多个核心技</w:t>
      </w:r>
      <w:r>
        <w:rPr/>
        <w:t> </w:t>
      </w:r>
      <w:r>
        <w:rPr>
          <w:spacing w:val="-2"/>
        </w:rPr>
        <w:t>术研发小组掌握。公司已经采取了诸如核心技术人员持股、建立健全内部保密制度、申请专利及著作权保护、严格执行研发</w:t>
      </w:r>
      <w:r>
        <w:rPr>
          <w:spacing w:val="-64"/>
        </w:rPr>
        <w:t> </w:t>
      </w:r>
      <w:r>
        <w:rPr>
          <w:spacing w:val="-64"/>
        </w:rPr>
      </w:r>
      <w:r>
        <w:rPr>
          <w:spacing w:val="-2"/>
        </w:rPr>
        <w:t>全过程的规范化管理等措施防范技术风险，并且，公司核心技术体系完备，个别技术失密并不能造成公司核心技术体系的失</w:t>
      </w:r>
      <w:r>
        <w:rPr>
          <w:spacing w:val="-66"/>
        </w:rPr>
        <w:t> </w:t>
      </w:r>
      <w:r>
        <w:rPr>
          <w:spacing w:val="-66"/>
        </w:rPr>
      </w:r>
      <w:r>
        <w:rPr/>
        <w:t>密。</w:t>
      </w:r>
    </w:p>
    <w:p>
      <w:pPr>
        <w:pStyle w:val="BodyText"/>
        <w:spacing w:line="300" w:lineRule="auto" w:before="19"/>
        <w:ind w:left="513" w:right="1034"/>
        <w:jc w:val="left"/>
      </w:pPr>
      <w:r>
        <w:rPr>
          <w:rFonts w:ascii="Times New Roman" w:hAnsi="Times New Roman" w:cs="Times New Roman" w:eastAsia="Times New Roman" w:hint="default"/>
        </w:rPr>
        <w:t>2.</w:t>
      </w:r>
      <w:r>
        <w:rPr/>
        <w:t>运营风险 </w:t>
      </w:r>
      <w:r>
        <w:rPr>
          <w:spacing w:val="-4"/>
        </w:rPr>
        <w:t>随着公司业务的发展，公司的产品和服务类别更加丰富，客户范围不断扩大，这也对公司的运营能力提出了更大的挑战。</w:t>
      </w:r>
    </w:p>
    <w:p>
      <w:pPr>
        <w:pStyle w:val="BodyText"/>
        <w:spacing w:line="319" w:lineRule="auto" w:before="31"/>
        <w:ind w:right="1133"/>
        <w:jc w:val="both"/>
      </w:pPr>
      <w:r>
        <w:rPr>
          <w:spacing w:val="-2"/>
        </w:rPr>
        <w:t>若公司在产品销售或售后服务方面处理问题不到位或者不尽完善，可能给公司的声誉带来一定的不利影响。公司从产品销售</w:t>
      </w:r>
      <w:r>
        <w:rPr>
          <w:spacing w:val="-64"/>
        </w:rPr>
        <w:t> </w:t>
      </w:r>
      <w:r>
        <w:rPr>
          <w:spacing w:val="-64"/>
        </w:rPr>
      </w:r>
      <w:r>
        <w:rPr/>
        <w:t>到售后服务，已针对客户需求建立了较为完善的售后服务体系，树立了公司的品牌形象。</w:t>
      </w:r>
    </w:p>
    <w:p>
      <w:pPr>
        <w:pStyle w:val="BodyText"/>
        <w:spacing w:line="300" w:lineRule="auto" w:before="17"/>
        <w:ind w:left="513" w:right="1119"/>
        <w:jc w:val="left"/>
      </w:pPr>
      <w:r>
        <w:rPr>
          <w:rFonts w:ascii="Times New Roman" w:hAnsi="Times New Roman" w:cs="Times New Roman" w:eastAsia="Times New Roman" w:hint="default"/>
        </w:rPr>
        <w:t>3.</w:t>
      </w:r>
      <w:r>
        <w:rPr/>
        <w:t>市场风险 </w:t>
      </w:r>
      <w:r>
        <w:rPr>
          <w:spacing w:val="-2"/>
        </w:rPr>
        <w:t>互联网、云计算、大数据等新技术促使民生信息服务行业发展进入新阶段，这对公司的综合竞争力提出更高的要求。若</w:t>
      </w:r>
    </w:p>
    <w:p>
      <w:pPr>
        <w:pStyle w:val="BodyText"/>
        <w:spacing w:line="316" w:lineRule="auto" w:before="31"/>
        <w:ind w:right="1130"/>
        <w:jc w:val="both"/>
      </w:pPr>
      <w:r>
        <w:rPr>
          <w:spacing w:val="-2"/>
        </w:rPr>
        <w:t>公司不能准确把握行业发展趋势，迅速响应行业发展需求，业务发展将会受到不利影响。作为资深的行业先行者，公司对行</w:t>
      </w:r>
      <w:r>
        <w:rPr>
          <w:spacing w:val="-64"/>
        </w:rPr>
        <w:t> </w:t>
      </w:r>
      <w:r>
        <w:rPr>
          <w:spacing w:val="-64"/>
        </w:rPr>
      </w:r>
      <w:r>
        <w:rPr>
          <w:spacing w:val="-2"/>
        </w:rPr>
        <w:t>业发展具有深刻的理解及准确的把握，前瞻性地把握了行业发展新业态、新趋势进行行业战略部署，并融合基础业务创新发</w:t>
      </w:r>
      <w:r>
        <w:rPr>
          <w:spacing w:val="-63"/>
        </w:rPr>
        <w:t> </w:t>
      </w:r>
      <w:r>
        <w:rPr>
          <w:spacing w:val="-63"/>
        </w:rPr>
      </w:r>
      <w:r>
        <w:rPr/>
        <w:t>展，保持市场竞争优势。</w:t>
      </w:r>
    </w:p>
    <w:p>
      <w:pPr>
        <w:pStyle w:val="BodyText"/>
        <w:spacing w:line="316" w:lineRule="auto" w:before="19"/>
        <w:ind w:right="1129" w:firstLine="360"/>
        <w:jc w:val="both"/>
      </w:pPr>
      <w:r>
        <w:rPr>
          <w:spacing w:val="-2"/>
        </w:rPr>
        <w:t>互联网医疗受国家产业政策扶持及行业巨大发展前景趋势影响，国内外众多公司纷纷加大对医疗信息化、互联网医疗行</w:t>
      </w:r>
      <w:r>
        <w:rPr/>
        <w:t> </w:t>
      </w:r>
      <w:r>
        <w:rPr>
          <w:spacing w:val="-2"/>
        </w:rPr>
        <w:t>业的投入力度，行业竞争的日趋激烈，可能对公司业务发展产生不利影响。公司立足已有医疗卫生业务基础优势稳步推进互</w:t>
      </w:r>
      <w:r>
        <w:rPr>
          <w:spacing w:val="-62"/>
        </w:rPr>
        <w:t> </w:t>
      </w:r>
      <w:r>
        <w:rPr>
          <w:spacing w:val="-62"/>
        </w:rPr>
      </w:r>
      <w:r>
        <w:rPr/>
        <w:t>联网医疗业务发展，并通过不断增强核心竞争优势来降低市场风险。</w:t>
      </w:r>
    </w:p>
    <w:p>
      <w:pPr>
        <w:pStyle w:val="BodyText"/>
        <w:spacing w:line="300" w:lineRule="auto" w:before="19"/>
        <w:ind w:left="513" w:right="0"/>
        <w:jc w:val="left"/>
      </w:pPr>
      <w:r>
        <w:rPr>
          <w:rFonts w:ascii="Times New Roman" w:hAnsi="Times New Roman" w:cs="Times New Roman" w:eastAsia="Times New Roman" w:hint="default"/>
        </w:rPr>
        <w:t>4.</w:t>
      </w:r>
      <w:r>
        <w:rPr/>
        <w:t>人力资源风险 </w:t>
      </w:r>
      <w:r>
        <w:rPr>
          <w:spacing w:val="-2"/>
        </w:rPr>
        <w:t>软件企业一般都面临人员流动大、知识结构更新快的问题，行业内的市场竞争也越来越体现为高素质人才的竞争。若核</w:t>
      </w:r>
    </w:p>
    <w:p>
      <w:pPr>
        <w:pStyle w:val="BodyText"/>
        <w:spacing w:line="312" w:lineRule="auto" w:before="31"/>
        <w:ind w:right="1131"/>
        <w:jc w:val="both"/>
      </w:pPr>
      <w:r>
        <w:rPr>
          <w:spacing w:val="-2"/>
        </w:rPr>
        <w:t>心骨干人员流失、无法吸引新的优秀人才，将对公司生产经营带来一定的影响。为稳定公司人才队伍，保证公司持续发展的</w:t>
      </w:r>
      <w:r>
        <w:rPr>
          <w:spacing w:val="-65"/>
        </w:rPr>
        <w:t> </w:t>
      </w:r>
      <w:r>
        <w:rPr>
          <w:spacing w:val="-65"/>
        </w:rPr>
      </w:r>
      <w:r>
        <w:rPr>
          <w:spacing w:val="-2"/>
        </w:rPr>
        <w:t>动力，公司通过构建具有竞争力的薪酬福利体系、建立公平有序的竞争晋升机制、提供全面完善的培训计划、创造开放协作</w:t>
      </w:r>
      <w:r>
        <w:rPr>
          <w:spacing w:val="-65"/>
        </w:rPr>
        <w:t> </w:t>
      </w:r>
      <w:r>
        <w:rPr>
          <w:spacing w:val="-65"/>
        </w:rPr>
      </w:r>
      <w:r>
        <w:rPr>
          <w:spacing w:val="-2"/>
        </w:rPr>
        <w:t>的工作环境和提倡</w:t>
      </w:r>
      <w:r>
        <w:rPr>
          <w:rFonts w:ascii="Times New Roman" w:hAnsi="Times New Roman" w:cs="Times New Roman" w:eastAsia="Times New Roman" w:hint="default"/>
          <w:spacing w:val="-2"/>
        </w:rPr>
        <w:t>“</w:t>
      </w:r>
      <w:r>
        <w:rPr>
          <w:spacing w:val="-2"/>
        </w:rPr>
        <w:t>专注、创新</w:t>
      </w:r>
      <w:r>
        <w:rPr>
          <w:rFonts w:ascii="Times New Roman" w:hAnsi="Times New Roman" w:cs="Times New Roman" w:eastAsia="Times New Roman" w:hint="default"/>
          <w:spacing w:val="-2"/>
        </w:rPr>
        <w:t>”</w:t>
      </w:r>
      <w:r>
        <w:rPr>
          <w:spacing w:val="-2"/>
        </w:rPr>
        <w:t>的企业文化来吸引、培养人才。同时在新的管理架构下，通过公司核心骨干人员持有子公司</w:t>
      </w:r>
      <w:r>
        <w:rPr>
          <w:spacing w:val="-44"/>
        </w:rPr>
        <w:t> </w:t>
      </w:r>
      <w:r>
        <w:rPr>
          <w:spacing w:val="-44"/>
        </w:rPr>
      </w:r>
      <w:r>
        <w:rPr/>
        <w:t>股权保持原有骨干团队的稳定性和积极性，增强公司凝聚力，避免核心骨干人员的流失。</w:t>
      </w:r>
    </w:p>
    <w:p>
      <w:pPr>
        <w:pStyle w:val="BodyText"/>
        <w:spacing w:line="300" w:lineRule="auto" w:before="22"/>
        <w:ind w:left="513" w:right="0"/>
        <w:jc w:val="left"/>
      </w:pPr>
      <w:r>
        <w:rPr>
          <w:rFonts w:ascii="Times New Roman" w:hAnsi="Times New Roman" w:cs="Times New Roman" w:eastAsia="Times New Roman" w:hint="default"/>
        </w:rPr>
        <w:t>5.</w:t>
      </w:r>
      <w:r>
        <w:rPr/>
        <w:t>业务升级风险及其带来的管理风险 </w:t>
      </w:r>
      <w:r>
        <w:rPr>
          <w:spacing w:val="-2"/>
        </w:rPr>
        <w:t>互联网正在深刻变革行业发展，公司正积极向互联网运营型企业升级，以保持行业发展的领先地位。但互联网是行业发</w:t>
      </w:r>
    </w:p>
    <w:p>
      <w:pPr>
        <w:pStyle w:val="BodyText"/>
        <w:spacing w:line="319" w:lineRule="auto" w:before="31"/>
        <w:ind w:right="1128"/>
        <w:jc w:val="both"/>
      </w:pPr>
      <w:r>
        <w:rPr>
          <w:spacing w:val="-2"/>
        </w:rPr>
        <w:t>展新热点，从商业模式的探索、建立、成型以及业绩的释放需要较长周期和较大投入，且市场竞争十分激烈，人才技术要求</w:t>
      </w:r>
      <w:r>
        <w:rPr>
          <w:spacing w:val="-67"/>
        </w:rPr>
        <w:t> </w:t>
      </w:r>
      <w:r>
        <w:rPr>
          <w:spacing w:val="-67"/>
        </w:rPr>
      </w:r>
      <w:r>
        <w:rPr>
          <w:spacing w:val="-2"/>
        </w:rPr>
        <w:t>较高，发展存在较大的不确定性。公司通过深化基础业务发展为业务升级奠定坚实基础，并以创新为企业发展驱动力，持续</w:t>
      </w:r>
      <w:r>
        <w:rPr>
          <w:spacing w:val="-63"/>
        </w:rPr>
        <w:t> </w:t>
      </w:r>
      <w:r>
        <w:rPr>
          <w:spacing w:val="-63"/>
        </w:rPr>
      </w:r>
      <w:r>
        <w:rPr>
          <w:spacing w:val="-2"/>
        </w:rPr>
        <w:t>加大技术人才团队培养及研发投入，提升公司核心技术竞争力。公司从战略层面强化业务规划，结合行业发展探索适合的商</w:t>
      </w:r>
      <w:r>
        <w:rPr>
          <w:spacing w:val="-62"/>
        </w:rPr>
        <w:t> </w:t>
      </w:r>
      <w:r>
        <w:rPr>
          <w:spacing w:val="-62"/>
        </w:rPr>
      </w:r>
      <w:r>
        <w:rPr>
          <w:spacing w:val="-2"/>
        </w:rPr>
        <w:t>业运营模式，稳步推进业务升级。随着公司业务升级的不断深化，可能带来一系列管理风险。针对管理风险公司采取以下几</w:t>
      </w:r>
      <w:r>
        <w:rPr>
          <w:spacing w:val="-65"/>
        </w:rPr>
        <w:t> </w:t>
      </w:r>
      <w:r>
        <w:rPr>
          <w:spacing w:val="-65"/>
        </w:rPr>
      </w:r>
      <w:r>
        <w:rPr/>
        <w:t>个方面的措施：</w:t>
      </w:r>
    </w:p>
    <w:p>
      <w:pPr>
        <w:pStyle w:val="BodyText"/>
        <w:spacing w:line="300" w:lineRule="auto" w:before="17"/>
        <w:ind w:right="1139" w:firstLine="360"/>
        <w:jc w:val="both"/>
      </w:pPr>
      <w:r>
        <w:rPr>
          <w:rFonts w:ascii="Times New Roman" w:hAnsi="Times New Roman" w:cs="Times New Roman" w:eastAsia="Times New Roman" w:hint="default"/>
        </w:rPr>
        <w:t>1</w:t>
      </w:r>
      <w:r>
        <w:rPr/>
        <w:t>）完善法人管理结构，规范公司运作体系，加强内部控制体系的建设和执行。建立健全适应业务发展的组织模式，提 升组织管理的灵活性和适应性。</w:t>
      </w:r>
    </w:p>
    <w:p>
      <w:pPr>
        <w:pStyle w:val="BodyText"/>
        <w:spacing w:line="240" w:lineRule="auto" w:before="31"/>
        <w:ind w:left="513" w:right="0"/>
        <w:jc w:val="left"/>
      </w:pPr>
      <w:r>
        <w:rPr>
          <w:rFonts w:ascii="Times New Roman" w:hAnsi="Times New Roman" w:cs="Times New Roman" w:eastAsia="Times New Roman" w:hint="default"/>
        </w:rPr>
        <w:t>2</w:t>
      </w:r>
      <w:r>
        <w:rPr/>
        <w:t>）提高公司管理层特别是核心团队的管理素质和决策能力，并不断完善激励机制，吸引高素质的职业管理人才。</w:t>
      </w:r>
    </w:p>
    <w:p>
      <w:pPr>
        <w:pStyle w:val="BodyText"/>
        <w:spacing w:line="300" w:lineRule="auto" w:before="63"/>
        <w:ind w:right="1131" w:firstLine="360"/>
        <w:jc w:val="both"/>
      </w:pPr>
      <w:r>
        <w:rPr>
          <w:rFonts w:ascii="Times New Roman" w:hAnsi="Times New Roman" w:cs="Times New Roman" w:eastAsia="Times New Roman" w:hint="default"/>
          <w:spacing w:val="-2"/>
        </w:rPr>
        <w:t>3</w:t>
      </w:r>
      <w:r>
        <w:rPr>
          <w:spacing w:val="-2"/>
        </w:rPr>
        <w:t>）管理层积极探索有效的经营管理模式，以</w:t>
      </w:r>
      <w:r>
        <w:rPr>
          <w:rFonts w:ascii="Times New Roman" w:hAnsi="Times New Roman" w:cs="Times New Roman" w:eastAsia="Times New Roman" w:hint="default"/>
          <w:spacing w:val="-2"/>
        </w:rPr>
        <w:t>“</w:t>
      </w:r>
      <w:r>
        <w:rPr>
          <w:spacing w:val="-2"/>
        </w:rPr>
        <w:t>公司控股</w:t>
      </w:r>
      <w:r>
        <w:rPr>
          <w:rFonts w:ascii="Times New Roman" w:hAnsi="Times New Roman" w:cs="Times New Roman" w:eastAsia="Times New Roman" w:hint="default"/>
          <w:spacing w:val="-2"/>
        </w:rPr>
        <w:t>+</w:t>
      </w:r>
      <w:r>
        <w:rPr>
          <w:spacing w:val="-2"/>
        </w:rPr>
        <w:t>核心骨干持股</w:t>
      </w:r>
      <w:r>
        <w:rPr>
          <w:rFonts w:ascii="Times New Roman" w:hAnsi="Times New Roman" w:cs="Times New Roman" w:eastAsia="Times New Roman" w:hint="default"/>
          <w:spacing w:val="-2"/>
        </w:rPr>
        <w:t>”</w:t>
      </w:r>
      <w:r>
        <w:rPr>
          <w:spacing w:val="-2"/>
        </w:rPr>
        <w:t>的模式成立了一系列创业产品子公司，结合原有</w:t>
      </w:r>
      <w:r>
        <w:rPr/>
        <w:t> </w:t>
      </w:r>
      <w:r>
        <w:rPr>
          <w:spacing w:val="-2"/>
        </w:rPr>
        <w:t>区域子公司及产品子公司的架构，将主要业务下沉至各分子公司，形成了</w:t>
      </w:r>
      <w:r>
        <w:rPr>
          <w:rFonts w:ascii="Times New Roman" w:hAnsi="Times New Roman" w:cs="Times New Roman" w:eastAsia="Times New Roman" w:hint="default"/>
          <w:spacing w:val="-2"/>
        </w:rPr>
        <w:t>“</w:t>
      </w:r>
      <w:r>
        <w:rPr>
          <w:spacing w:val="-2"/>
        </w:rPr>
        <w:t>母公司职能中心</w:t>
      </w:r>
      <w:r>
        <w:rPr>
          <w:rFonts w:ascii="Times New Roman" w:hAnsi="Times New Roman" w:cs="Times New Roman" w:eastAsia="Times New Roman" w:hint="default"/>
          <w:spacing w:val="-2"/>
        </w:rPr>
        <w:t>+</w:t>
      </w:r>
      <w:r>
        <w:rPr>
          <w:spacing w:val="-2"/>
        </w:rPr>
        <w:t>区域子公司</w:t>
      </w:r>
      <w:r>
        <w:rPr>
          <w:rFonts w:ascii="Times New Roman" w:hAnsi="Times New Roman" w:cs="Times New Roman" w:eastAsia="Times New Roman" w:hint="default"/>
          <w:spacing w:val="-2"/>
        </w:rPr>
        <w:t>+</w:t>
      </w:r>
      <w:r>
        <w:rPr>
          <w:spacing w:val="-2"/>
        </w:rPr>
        <w:t>产品子公司</w:t>
      </w:r>
      <w:r>
        <w:rPr>
          <w:rFonts w:ascii="Times New Roman" w:hAnsi="Times New Roman" w:cs="Times New Roman" w:eastAsia="Times New Roman" w:hint="default"/>
          <w:spacing w:val="-2"/>
        </w:rPr>
        <w:t>”</w:t>
      </w:r>
      <w:r>
        <w:rPr>
          <w:spacing w:val="-2"/>
        </w:rPr>
        <w:t>的新的</w:t>
      </w:r>
      <w:r>
        <w:rPr>
          <w:spacing w:val="-65"/>
        </w:rPr>
        <w:t> </w:t>
      </w:r>
      <w:r>
        <w:rPr>
          <w:spacing w:val="-65"/>
        </w:rPr>
      </w:r>
      <w:r>
        <w:rPr/>
        <w:t>管理架构，既充分调动了管理团队及员工积极性和创造性，又使公司在战略方向、项目和风险上得到有效控制。</w:t>
      </w:r>
    </w:p>
    <w:p>
      <w:pPr>
        <w:spacing w:after="0" w:line="300" w:lineRule="auto"/>
        <w:jc w:val="both"/>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9"/>
              <w:jc w:val="both"/>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http://irm.p5w.net/ssgs/S300096/)</w:t>
              </w:r>
            </w:hyperlink>
            <w:r>
              <w:rPr>
                <w:rFonts w:ascii="宋体" w:hAnsi="宋体" w:cs="宋体" w:eastAsia="宋体" w:hint="default"/>
                <w:spacing w:val="-1"/>
                <w:sz w:val="18"/>
                <w:szCs w:val="18"/>
              </w:rPr>
              <w:t>《易</w:t>
            </w:r>
            <w:r>
              <w:rPr>
                <w:rFonts w:ascii="宋体" w:hAnsi="宋体" w:cs="宋体" w:eastAsia="宋体" w:hint="default"/>
                <w:spacing w:val="-71"/>
                <w:sz w:val="18"/>
                <w:szCs w:val="18"/>
              </w:rPr>
              <w:t> </w:t>
            </w: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日投资者关系活 动记录表》</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9"/>
              <w:jc w:val="both"/>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http://irm.p5w.net/ssgs/S300096/)</w:t>
              </w:r>
            </w:hyperlink>
            <w:r>
              <w:rPr>
                <w:rFonts w:ascii="宋体" w:hAnsi="宋体" w:cs="宋体" w:eastAsia="宋体" w:hint="default"/>
                <w:spacing w:val="-1"/>
                <w:sz w:val="18"/>
                <w:szCs w:val="18"/>
              </w:rPr>
              <w:t>《易</w:t>
            </w:r>
            <w:r>
              <w:rPr>
                <w:rFonts w:ascii="宋体" w:hAnsi="宋体" w:cs="宋体" w:eastAsia="宋体" w:hint="default"/>
                <w:spacing w:val="-71"/>
                <w:sz w:val="18"/>
                <w:szCs w:val="18"/>
              </w:rPr>
              <w:t> </w:t>
            </w:r>
            <w:r>
              <w:rPr>
                <w:rFonts w:ascii="宋体" w:hAnsi="宋体" w:cs="宋体" w:eastAsia="宋体" w:hint="default"/>
                <w:sz w:val="18"/>
                <w:szCs w:val="18"/>
              </w:rPr>
              <w:t>联众：</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日投资者关系活 动记录表》</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9"/>
              <w:jc w:val="both"/>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http://irm.p5w.net/ssgs/S300096/)</w:t>
              </w:r>
            </w:hyperlink>
            <w:r>
              <w:rPr>
                <w:rFonts w:ascii="宋体" w:hAnsi="宋体" w:cs="宋体" w:eastAsia="宋体" w:hint="default"/>
                <w:spacing w:val="-1"/>
                <w:sz w:val="18"/>
                <w:szCs w:val="18"/>
              </w:rPr>
              <w:t>《易</w:t>
            </w:r>
            <w:r>
              <w:rPr>
                <w:rFonts w:ascii="宋体" w:hAnsi="宋体" w:cs="宋体" w:eastAsia="宋体" w:hint="default"/>
                <w:spacing w:val="-71"/>
                <w:sz w:val="18"/>
                <w:szCs w:val="18"/>
              </w:rPr>
              <w:t> </w:t>
            </w:r>
            <w:r>
              <w:rPr>
                <w:rFonts w:ascii="宋体" w:hAnsi="宋体" w:cs="宋体" w:eastAsia="宋体" w:hint="default"/>
                <w:sz w:val="18"/>
                <w:szCs w:val="18"/>
              </w:rPr>
              <w:t>联众：</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日投资者关系活 动记录表》</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9"/>
              <w:jc w:val="both"/>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http://irm.p5w.net/ssgs/S300096/)</w:t>
              </w:r>
            </w:hyperlink>
            <w:r>
              <w:rPr>
                <w:rFonts w:ascii="宋体" w:hAnsi="宋体" w:cs="宋体" w:eastAsia="宋体" w:hint="default"/>
                <w:spacing w:val="-1"/>
                <w:sz w:val="18"/>
                <w:szCs w:val="18"/>
              </w:rPr>
              <w:t>《易</w:t>
            </w:r>
            <w:r>
              <w:rPr>
                <w:rFonts w:ascii="宋体" w:hAnsi="宋体" w:cs="宋体" w:eastAsia="宋体" w:hint="default"/>
                <w:spacing w:val="-71"/>
                <w:sz w:val="18"/>
                <w:szCs w:val="18"/>
              </w:rPr>
              <w:t> </w:t>
            </w: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日投资者关系活 动记录表》</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9"/>
              <w:jc w:val="both"/>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http://irm.p5w.net/ssgs/S300096/)</w:t>
              </w:r>
            </w:hyperlink>
            <w:r>
              <w:rPr>
                <w:rFonts w:ascii="宋体" w:hAnsi="宋体" w:cs="宋体" w:eastAsia="宋体" w:hint="default"/>
                <w:spacing w:val="-1"/>
                <w:sz w:val="18"/>
                <w:szCs w:val="18"/>
              </w:rPr>
              <w:t>《易</w:t>
            </w:r>
            <w:r>
              <w:rPr>
                <w:rFonts w:ascii="宋体" w:hAnsi="宋体" w:cs="宋体" w:eastAsia="宋体" w:hint="default"/>
                <w:spacing w:val="-71"/>
                <w:sz w:val="18"/>
                <w:szCs w:val="18"/>
              </w:rPr>
              <w:t> </w:t>
            </w: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日投资者关系活 动记录表》</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9"/>
              <w:jc w:val="both"/>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http://irm.p5w.net/ssgs/S300096/)</w:t>
              </w:r>
            </w:hyperlink>
            <w:r>
              <w:rPr>
                <w:rFonts w:ascii="宋体" w:hAnsi="宋体" w:cs="宋体" w:eastAsia="宋体" w:hint="default"/>
                <w:spacing w:val="-1"/>
                <w:sz w:val="18"/>
                <w:szCs w:val="18"/>
              </w:rPr>
              <w:t>《易</w:t>
            </w:r>
            <w:r>
              <w:rPr>
                <w:rFonts w:ascii="宋体" w:hAnsi="宋体" w:cs="宋体" w:eastAsia="宋体" w:hint="default"/>
                <w:spacing w:val="-71"/>
                <w:sz w:val="18"/>
                <w:szCs w:val="18"/>
              </w:rPr>
              <w:t> </w:t>
            </w: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日投资者关系活 动记录表》</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9"/>
              <w:jc w:val="both"/>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http://irm.p5w.net/ssgs/S300096/)</w:t>
              </w:r>
            </w:hyperlink>
            <w:r>
              <w:rPr>
                <w:rFonts w:ascii="宋体" w:hAnsi="宋体" w:cs="宋体" w:eastAsia="宋体" w:hint="default"/>
                <w:spacing w:val="-1"/>
                <w:sz w:val="18"/>
                <w:szCs w:val="18"/>
              </w:rPr>
              <w:t>《易</w:t>
            </w:r>
            <w:r>
              <w:rPr>
                <w:rFonts w:ascii="宋体" w:hAnsi="宋体" w:cs="宋体" w:eastAsia="宋体" w:hint="default"/>
                <w:spacing w:val="-71"/>
                <w:sz w:val="18"/>
                <w:szCs w:val="18"/>
              </w:rPr>
              <w:t> </w:t>
            </w:r>
            <w:r>
              <w:rPr>
                <w:rFonts w:ascii="宋体" w:hAnsi="宋体" w:cs="宋体" w:eastAsia="宋体" w:hint="default"/>
                <w:sz w:val="18"/>
                <w:szCs w:val="18"/>
              </w:rPr>
              <w:t>联众：</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日投资者关系活 动记录表》</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9"/>
              <w:jc w:val="both"/>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http://irm.p5w.net/ssgs/S300096/)</w:t>
              </w:r>
            </w:hyperlink>
            <w:r>
              <w:rPr>
                <w:rFonts w:ascii="宋体" w:hAnsi="宋体" w:cs="宋体" w:eastAsia="宋体" w:hint="default"/>
                <w:spacing w:val="-1"/>
                <w:sz w:val="18"/>
                <w:szCs w:val="18"/>
              </w:rPr>
              <w:t>《易</w:t>
            </w:r>
            <w:r>
              <w:rPr>
                <w:rFonts w:ascii="宋体" w:hAnsi="宋体" w:cs="宋体" w:eastAsia="宋体" w:hint="default"/>
                <w:spacing w:val="-71"/>
                <w:sz w:val="18"/>
                <w:szCs w:val="18"/>
              </w:rPr>
              <w:t> </w:t>
            </w: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 动记录表》</w:t>
            </w:r>
          </w:p>
        </w:tc>
      </w:tr>
      <w:tr>
        <w:trPr>
          <w:trHeight w:val="98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7"/>
              <w:ind w:left="23" w:right="19"/>
              <w:jc w:val="left"/>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http://irm.p5w.net/ssgs/S300096/)</w:t>
              </w:r>
            </w:hyperlink>
            <w:r>
              <w:rPr>
                <w:rFonts w:ascii="宋体" w:hAnsi="宋体" w:cs="宋体" w:eastAsia="宋体" w:hint="default"/>
                <w:spacing w:val="-1"/>
                <w:sz w:val="18"/>
                <w:szCs w:val="18"/>
              </w:rPr>
              <w:t>《易</w:t>
            </w:r>
            <w:r>
              <w:rPr>
                <w:rFonts w:ascii="宋体" w:hAnsi="宋体" w:cs="宋体" w:eastAsia="宋体" w:hint="default"/>
                <w:spacing w:val="-71"/>
                <w:sz w:val="18"/>
                <w:szCs w:val="18"/>
              </w:rPr>
              <w:t> </w:t>
            </w:r>
            <w:r>
              <w:rPr>
                <w:rFonts w:ascii="宋体" w:hAnsi="宋体" w:cs="宋体" w:eastAsia="宋体" w:hint="default"/>
                <w:sz w:val="18"/>
                <w:szCs w:val="18"/>
              </w:rPr>
              <w:t>联众：</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日投资者关系</w:t>
            </w:r>
          </w:p>
        </w:tc>
      </w:tr>
    </w:tbl>
    <w:p>
      <w:pPr>
        <w:spacing w:after="0" w:line="30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363"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活动记录表》</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9"/>
              <w:jc w:val="left"/>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http://irm.p5w.net/ssgs/S300096/)</w:t>
              </w:r>
            </w:hyperlink>
            <w:r>
              <w:rPr>
                <w:rFonts w:ascii="宋体" w:hAnsi="宋体" w:cs="宋体" w:eastAsia="宋体" w:hint="default"/>
                <w:spacing w:val="-1"/>
                <w:sz w:val="18"/>
                <w:szCs w:val="18"/>
              </w:rPr>
              <w:t>《易</w:t>
            </w:r>
            <w:r>
              <w:rPr>
                <w:rFonts w:ascii="宋体" w:hAnsi="宋体" w:cs="宋体" w:eastAsia="宋体" w:hint="default"/>
                <w:spacing w:val="-71"/>
                <w:sz w:val="18"/>
                <w:szCs w:val="18"/>
              </w:rPr>
              <w:t> </w:t>
            </w:r>
            <w:r>
              <w:rPr>
                <w:rFonts w:ascii="宋体" w:hAnsi="宋体" w:cs="宋体" w:eastAsia="宋体" w:hint="default"/>
                <w:sz w:val="18"/>
                <w:szCs w:val="18"/>
              </w:rPr>
              <w:t>联众：</w:t>
            </w:r>
            <w:r>
              <w:rPr>
                <w:rFonts w:ascii="Times New Roman" w:hAnsi="Times New Roman" w:cs="Times New Roman" w:eastAsia="Times New Roman" w:hint="default"/>
                <w:sz w:val="18"/>
                <w:szCs w:val="18"/>
              </w:rPr>
              <w:t>300096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易联众调研活动信息 </w:t>
            </w:r>
            <w:r>
              <w:rPr>
                <w:rFonts w:ascii="Times New Roman" w:hAnsi="Times New Roman" w:cs="Times New Roman" w:eastAsia="Times New Roman" w:hint="default"/>
                <w:sz w:val="18"/>
                <w:szCs w:val="18"/>
              </w:rPr>
              <w:t>20181206</w:t>
            </w:r>
            <w:r>
              <w:rPr>
                <w:rFonts w:ascii="宋体" w:hAnsi="宋体" w:cs="宋体" w:eastAsia="宋体" w:hint="default"/>
                <w:sz w:val="18"/>
                <w:szCs w:val="18"/>
              </w:rPr>
              <w:t>》</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9"/>
              <w:jc w:val="both"/>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http://irm.p5w.net/ssgs/S300096/)</w:t>
              </w:r>
            </w:hyperlink>
            <w:r>
              <w:rPr>
                <w:rFonts w:ascii="宋体" w:hAnsi="宋体" w:cs="宋体" w:eastAsia="宋体" w:hint="default"/>
                <w:spacing w:val="-1"/>
                <w:sz w:val="18"/>
                <w:szCs w:val="18"/>
              </w:rPr>
              <w:t>《易</w:t>
            </w:r>
            <w:r>
              <w:rPr>
                <w:rFonts w:ascii="宋体" w:hAnsi="宋体" w:cs="宋体" w:eastAsia="宋体" w:hint="default"/>
                <w:spacing w:val="-71"/>
                <w:sz w:val="18"/>
                <w:szCs w:val="18"/>
              </w:rPr>
              <w:t> </w:t>
            </w:r>
            <w:r>
              <w:rPr>
                <w:rFonts w:ascii="宋体" w:hAnsi="宋体" w:cs="宋体" w:eastAsia="宋体" w:hint="default"/>
                <w:sz w:val="18"/>
                <w:szCs w:val="18"/>
              </w:rPr>
              <w:t>联众：</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 活动记录表》</w:t>
            </w:r>
          </w:p>
        </w:tc>
      </w:tr>
    </w:tbl>
    <w:p>
      <w:pPr>
        <w:spacing w:after="0" w:line="300"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8.649002pt;margin-top:708.820007pt;width:316.3pt;height:19.6pt;mso-position-horizontal-relative:page;mso-position-vertical-relative:page;z-index:-1132192" type="#_x0000_t202" filled="false" stroked="false">
            <v:textbox inset="0,0,0,0">
              <w:txbxContent>
                <w:p>
                  <w:pPr>
                    <w:pStyle w:val="BodyText"/>
                    <w:spacing w:line="240" w:lineRule="auto" w:before="51"/>
                    <w:ind w:left="0" w:right="0"/>
                    <w:jc w:val="left"/>
                  </w:pPr>
                  <w:r>
                    <w:rPr/>
                    <w:t>（元）</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57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513" w:right="103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4"/>
        </w:rPr>
        <w:t>报告期内，公司严格按照《公司章程》相关利润分配政策和审议程序实施利润分配方案，分红标准和分红比例明确清晰，</w:t>
      </w:r>
    </w:p>
    <w:p>
      <w:pPr>
        <w:pStyle w:val="BodyText"/>
        <w:spacing w:line="319" w:lineRule="auto" w:before="2"/>
        <w:ind w:right="1130"/>
        <w:jc w:val="both"/>
      </w:pPr>
      <w:r>
        <w:rPr>
          <w:spacing w:val="-2"/>
        </w:rPr>
        <w:t>相关的审议程序和决策机制完备，公司利润分配预案拟定和决策时，独立董事尽职履责并发挥了应有的作用，公司也充分考</w:t>
      </w:r>
      <w:r>
        <w:rPr>
          <w:spacing w:val="-63"/>
        </w:rPr>
        <w:t> </w:t>
      </w:r>
      <w:r>
        <w:rPr>
          <w:spacing w:val="-63"/>
        </w:rPr>
      </w:r>
      <w:r>
        <w:rPr>
          <w:spacing w:val="-2"/>
        </w:rPr>
        <w:t>虑了中小股东的意见和诉求，相关的议案经董事会、监事会审议通过后提交股东大会审议，并由独立董事发表独立意见，审</w:t>
      </w:r>
      <w:r>
        <w:rPr>
          <w:spacing w:val="-64"/>
        </w:rPr>
        <w:t> </w:t>
      </w:r>
      <w:r>
        <w:rPr>
          <w:spacing w:val="-64"/>
        </w:rPr>
      </w:r>
      <w:r>
        <w:rPr/>
        <w:t>议通过后在规定时间内进行实施，切实保证了全体股东的利益。</w:t>
      </w:r>
    </w:p>
    <w:p>
      <w:pPr>
        <w:pStyle w:val="BodyText"/>
        <w:spacing w:line="240" w:lineRule="auto" w:before="17"/>
        <w:ind w:left="441"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日，公司第三届董事会第三十九次会议审议通过了《</w:t>
      </w:r>
      <w:r>
        <w:rPr>
          <w:rFonts w:ascii="Times New Roman" w:hAnsi="Times New Roman" w:cs="Times New Roman" w:eastAsia="Times New Roman" w:hint="default"/>
        </w:rPr>
        <w:t>2017</w:t>
      </w:r>
      <w:r>
        <w:rPr/>
        <w:t>年度利润分配预案》：以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p>
    <w:p>
      <w:pPr>
        <w:pStyle w:val="BodyText"/>
        <w:spacing w:line="300" w:lineRule="auto" w:before="63"/>
        <w:ind w:right="1138"/>
        <w:jc w:val="both"/>
      </w:pPr>
      <w:r>
        <w:rPr>
          <w:rFonts w:ascii="Times New Roman" w:hAnsi="Times New Roman" w:cs="Times New Roman" w:eastAsia="Times New Roman" w:hint="default"/>
        </w:rPr>
        <w:t>43,000</w:t>
      </w:r>
      <w:r>
        <w:rPr/>
        <w:t>万股为基数，向全体股东实施每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0.05</w:t>
      </w:r>
      <w:r>
        <w:rPr/>
        <w:t>元（含税），合计派发现金红利</w:t>
      </w:r>
      <w:r>
        <w:rPr>
          <w:rFonts w:ascii="Times New Roman" w:hAnsi="Times New Roman" w:cs="Times New Roman" w:eastAsia="Times New Roman" w:hint="default"/>
        </w:rPr>
        <w:t>2,150,000</w:t>
      </w:r>
      <w:r>
        <w:rPr/>
        <w:t>元，剩余未分配利润 结转至下一年度。公司独立董事对此发表了同意意见。</w:t>
      </w:r>
    </w:p>
    <w:p>
      <w:pPr>
        <w:pStyle w:val="BodyText"/>
        <w:spacing w:line="300" w:lineRule="auto" w:before="31"/>
        <w:ind w:right="1196" w:firstLine="288"/>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2017</w:t>
      </w:r>
      <w:r>
        <w:rPr/>
        <w:t>年年度股东大会审议通过了《</w:t>
      </w:r>
      <w:r>
        <w:rPr>
          <w:rFonts w:ascii="Times New Roman" w:hAnsi="Times New Roman" w:cs="Times New Roman" w:eastAsia="Times New Roman" w:hint="default"/>
        </w:rPr>
        <w:t>2017</w:t>
      </w:r>
      <w:r>
        <w:rPr/>
        <w:t>年度利润分配预案》，同意董事会提出的</w:t>
      </w:r>
      <w:r>
        <w:rPr>
          <w:rFonts w:ascii="Times New Roman" w:hAnsi="Times New Roman" w:cs="Times New Roman" w:eastAsia="Times New Roman" w:hint="default"/>
        </w:rPr>
        <w:t>2017</w:t>
      </w:r>
      <w:r>
        <w:rPr/>
        <w:t>年度利润分 配预案。</w:t>
      </w:r>
    </w:p>
    <w:p>
      <w:pPr>
        <w:pStyle w:val="BodyText"/>
        <w:spacing w:line="240" w:lineRule="auto" w:before="31"/>
        <w:ind w:left="441"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日，公司发布了《</w:t>
      </w:r>
      <w:r>
        <w:rPr>
          <w:rFonts w:ascii="Times New Roman" w:hAnsi="Times New Roman" w:cs="Times New Roman" w:eastAsia="Times New Roman" w:hint="default"/>
        </w:rPr>
        <w:t>2017</w:t>
      </w:r>
      <w:r>
        <w:rPr/>
        <w:t>年年度权益分派实施公告》，上述权益分派方案于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日实施完毕。</w:t>
      </w:r>
    </w:p>
    <w:p>
      <w:pPr>
        <w:spacing w:line="240" w:lineRule="auto" w:before="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4785"/>
        <w:gridCol w:w="4785"/>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5"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6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5"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公司报告期利润分配预案及资本公积金转增股本预案与公司章程和分红管理办法等的相关规定一致</w:t>
      </w:r>
    </w:p>
    <w:p>
      <w:pPr>
        <w:pStyle w:val="BodyText"/>
        <w:spacing w:line="350"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430,000,000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2,150,000.00</w:t>
            </w:r>
          </w:p>
        </w:tc>
      </w:tr>
      <w:tr>
        <w:trPr>
          <w:trHeight w:val="402" w:hRule="exact"/>
        </w:trPr>
        <w:tc>
          <w:tcPr>
            <w:tcW w:w="371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2"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Times New Roman" w:hAnsi="Times New Roman" w:cs="Times New Roman" w:eastAsia="Times New Roman" w:hint="default"/>
                <w:sz w:val="18"/>
                <w:szCs w:val="18"/>
              </w:rPr>
            </w:pPr>
            <w:r>
              <w:rPr>
                <w:rFonts w:ascii="Times New Roman"/>
                <w:spacing w:val="-1"/>
                <w:sz w:val="18"/>
              </w:rPr>
              <w:t>2,150,000.00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96,968,028.92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before="44"/>
        <w:ind w:left="0" w:right="1136"/>
        <w:jc w:val="right"/>
      </w:pPr>
      <w:r>
        <w:rPr/>
        <w:pict>
          <v:shape style="position:absolute;margin-left:56.459999pt;margin-top:-112.468292pt;width:479.2pt;height:212.2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7"/>
                    <w:gridCol w:w="5863"/>
                  </w:tblGrid>
                  <w:tr>
                    <w:trPr>
                      <w:trHeight w:val="714"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80</w:t>
                        </w:r>
                        <w:r>
                          <w:rPr>
                            <w:rFonts w:ascii="宋体" w:hAnsi="宋体" w:cs="宋体" w:eastAsia="宋体" w:hint="default"/>
                            <w:spacing w:val="-1"/>
                            <w:sz w:val="18"/>
                            <w:szCs w:val="18"/>
                          </w:rPr>
                          <w:t>％</w:t>
                        </w:r>
                      </w:p>
                    </w:tc>
                  </w:tr>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31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48" w:firstLine="346"/>
                          <w:jc w:val="both"/>
                          <w:rPr>
                            <w:rFonts w:ascii="Times New Roman" w:hAnsi="Times New Roman" w:cs="Times New Roman" w:eastAsia="Times New Roman" w:hint="default"/>
                            <w:sz w:val="18"/>
                            <w:szCs w:val="18"/>
                          </w:rPr>
                        </w:pPr>
                        <w:r>
                          <w:rPr>
                            <w:rFonts w:ascii="宋体" w:hAnsi="宋体" w:cs="宋体" w:eastAsia="宋体" w:hint="default"/>
                            <w:sz w:val="18"/>
                            <w:szCs w:val="18"/>
                          </w:rPr>
                          <w:t>经致同会计师事务所（特殊普通合伙）审计，公司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年度实现归属于上市公司股东的净利润为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14,664,775.38 </w:t>
                        </w:r>
                        <w:r>
                          <w:rPr>
                            <w:rFonts w:ascii="宋体" w:hAnsi="宋体" w:cs="宋体" w:eastAsia="宋体" w:hint="default"/>
                            <w:sz w:val="18"/>
                            <w:szCs w:val="18"/>
                          </w:rPr>
                          <w:t>元， 母公司实现净利润</w:t>
                        </w:r>
                        <w:r>
                          <w:rPr>
                            <w:rFonts w:ascii="Times New Roman" w:hAnsi="Times New Roman" w:cs="Times New Roman" w:eastAsia="Times New Roman" w:hint="default"/>
                            <w:sz w:val="18"/>
                            <w:szCs w:val="18"/>
                          </w:rPr>
                          <w:t>-38,167,073.23</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元，根据《公司法》和《公司章程》的有关规定，因母公司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年度实现净利润为负数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年度公司不提取法定盈余公积金，加上年初未分配利润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137,285,102.15 </w:t>
                        </w:r>
                        <w:r>
                          <w:rPr>
                            <w:rFonts w:ascii="宋体" w:hAnsi="宋体" w:cs="宋体" w:eastAsia="宋体" w:hint="default"/>
                            <w:sz w:val="18"/>
                            <w:szCs w:val="18"/>
                          </w:rPr>
                          <w:t>元，弥补母公司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38,167,073.23</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元，减去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年派发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日，母公司可供股东分配的利润为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96,968,028.92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2"/>
                          <w:ind w:left="368"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本年度利润分配预案为：以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万股为基数，向全体股东实施每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股派发现金红利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，合计派发现金</w:t>
                        </w:r>
                        <w:r>
                          <w:rPr>
                            <w:rFonts w:ascii="宋体" w:hAnsi="宋体" w:cs="宋体" w:eastAsia="宋体" w:hint="default"/>
                            <w:spacing w:val="2"/>
                            <w:sz w:val="18"/>
                            <w:szCs w:val="18"/>
                          </w:rPr>
                          <w:t>红</w:t>
                        </w:r>
                        <w:r>
                          <w:rPr>
                            <w:rFonts w:ascii="宋体" w:hAnsi="宋体" w:cs="宋体" w:eastAsia="宋体" w:hint="default"/>
                            <w:sz w:val="18"/>
                            <w:szCs w:val="18"/>
                          </w:rPr>
                          <w:t>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元，剩余未分配</w:t>
                        </w:r>
                        <w:r>
                          <w:rPr>
                            <w:rFonts w:ascii="宋体" w:hAnsi="宋体" w:cs="宋体" w:eastAsia="宋体" w:hint="default"/>
                            <w:spacing w:val="-3"/>
                            <w:sz w:val="18"/>
                            <w:szCs w:val="18"/>
                          </w:rPr>
                          <w:t>利</w:t>
                        </w:r>
                        <w:r>
                          <w:rPr>
                            <w:rFonts w:ascii="宋体" w:hAnsi="宋体" w:cs="宋体" w:eastAsia="宋体" w:hint="default"/>
                            <w:sz w:val="18"/>
                            <w:szCs w:val="18"/>
                          </w:rPr>
                          <w:t>润结转至下一年度。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0"/>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3"/>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年度利润分配方案为：以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43,000</w:t>
      </w:r>
      <w:r>
        <w:rPr/>
        <w:t>万股为基数，向全体股东实施每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0.05</w:t>
      </w:r>
    </w:p>
    <w:p>
      <w:pPr>
        <w:pStyle w:val="BodyText"/>
        <w:spacing w:line="240" w:lineRule="auto" w:before="63"/>
        <w:ind w:right="0"/>
        <w:jc w:val="left"/>
      </w:pPr>
      <w:r>
        <w:rPr/>
        <w:t>元（含税），合计派发现金红利</w:t>
      </w:r>
      <w:r>
        <w:rPr>
          <w:rFonts w:ascii="Times New Roman" w:hAnsi="Times New Roman" w:cs="Times New Roman" w:eastAsia="Times New Roman" w:hint="default"/>
        </w:rPr>
        <w:t>2,150,000</w:t>
      </w:r>
      <w:r>
        <w:rPr/>
        <w:t>元，剩余未分配利润结转至下一年度。</w:t>
      </w:r>
    </w:p>
    <w:p>
      <w:pPr>
        <w:pStyle w:val="BodyText"/>
        <w:spacing w:line="240" w:lineRule="auto" w:before="63"/>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年度利润分配预案为：以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43,000</w:t>
      </w:r>
      <w:r>
        <w:rPr/>
        <w:t>万股为基数，向全体股东实施每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0.05</w:t>
      </w:r>
    </w:p>
    <w:p>
      <w:pPr>
        <w:pStyle w:val="BodyText"/>
        <w:spacing w:line="240" w:lineRule="auto" w:before="63"/>
        <w:ind w:right="0"/>
        <w:jc w:val="left"/>
      </w:pPr>
      <w:r>
        <w:rPr/>
        <w:t>元（含税），合计派发现金红利</w:t>
      </w:r>
      <w:r>
        <w:rPr>
          <w:rFonts w:ascii="Times New Roman" w:hAnsi="Times New Roman" w:cs="Times New Roman" w:eastAsia="Times New Roman" w:hint="default"/>
        </w:rPr>
        <w:t>2,150,000</w:t>
      </w:r>
      <w:r>
        <w:rPr/>
        <w:t>元，剩余未分配利润结转至下一年度。</w:t>
      </w:r>
    </w:p>
    <w:p>
      <w:pPr>
        <w:pStyle w:val="BodyText"/>
        <w:spacing w:line="319" w:lineRule="auto" w:before="63"/>
        <w:ind w:right="1214"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年度利润分配预案为：以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43,000</w:t>
      </w:r>
      <w:r>
        <w:rPr/>
        <w:t>万股为基数，向全体股东实施每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0.05 </w:t>
      </w:r>
      <w:r>
        <w:rPr/>
        <w:t>元（含税），合计派发现金红利</w:t>
      </w:r>
      <w:r>
        <w:rPr>
          <w:rFonts w:ascii="Times New Roman" w:hAnsi="Times New Roman" w:cs="Times New Roman" w:eastAsia="Times New Roman" w:hint="default"/>
        </w:rPr>
        <w:t>2,150,000</w:t>
      </w:r>
      <w:r>
        <w:rPr/>
        <w:t>元，剩余未分配利润结转至下一年度。 公司近三年（包括本报告期）普通股现金分红情况表</w:t>
      </w:r>
    </w:p>
    <w:p>
      <w:pPr>
        <w:pStyle w:val="BodyText"/>
        <w:spacing w:line="240" w:lineRule="auto" w:before="5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14,664,775.38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14.66%</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18,121,725.29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11.86%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2,150,000.00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11.86%</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10,598,174.34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20.29%</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6"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2"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4"/>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331"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10"/>
              <w:jc w:val="left"/>
              <w:rPr>
                <w:rFonts w:ascii="宋体" w:hAnsi="宋体" w:cs="宋体" w:eastAsia="宋体" w:hint="default"/>
                <w:sz w:val="18"/>
                <w:szCs w:val="18"/>
              </w:rPr>
            </w:pPr>
            <w:r>
              <w:rPr>
                <w:rFonts w:ascii="宋体" w:hAnsi="宋体" w:cs="宋体" w:eastAsia="宋体" w:hint="default"/>
                <w:sz w:val="18"/>
                <w:szCs w:val="18"/>
              </w:rPr>
              <w:t>本人将严格 遵照《上市公 司收购管理 办法》等相关 规定，在本次 收购完成后 所持有的上 市公司股份， 自本次交易 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月内不转让。 对于上述股 份，待锁定期 满后本人将 严格按照有 关法律、法规 及中国证监 会、深圳交易 所的有关规 定执行。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264"/>
              <w:jc w:val="right"/>
              <w:rPr>
                <w:rFonts w:ascii="Times New Roman" w:hAnsi="Times New Roman" w:cs="Times New Roman" w:eastAsia="Times New Roman" w:hint="default"/>
                <w:sz w:val="18"/>
                <w:szCs w:val="18"/>
              </w:rPr>
            </w:pPr>
            <w:r>
              <w:rPr>
                <w:rFonts w:ascii="Times New Roman"/>
                <w:w w:val="95"/>
                <w:sz w:val="18"/>
              </w:rPr>
              <w:t>2018/12/18</w:t>
            </w:r>
          </w:p>
        </w:tc>
        <w:tc>
          <w:tcPr>
            <w:tcW w:w="11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0"/>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 该承诺已履 </w:t>
            </w:r>
            <w:r>
              <w:rPr>
                <w:rFonts w:ascii="宋体" w:hAnsi="宋体" w:cs="宋体" w:eastAsia="宋体" w:hint="default"/>
                <w:spacing w:val="-5"/>
                <w:sz w:val="18"/>
                <w:szCs w:val="18"/>
              </w:rPr>
              <w:t>行完毕。承诺</w:t>
            </w:r>
            <w:r>
              <w:rPr>
                <w:rFonts w:ascii="宋体" w:hAnsi="宋体" w:cs="宋体" w:eastAsia="宋体" w:hint="default"/>
                <w:sz w:val="18"/>
                <w:szCs w:val="18"/>
              </w:rPr>
              <w:t> </w:t>
            </w:r>
            <w:r>
              <w:rPr>
                <w:rFonts w:ascii="宋体" w:hAnsi="宋体" w:cs="宋体" w:eastAsia="宋体" w:hint="default"/>
                <w:spacing w:val="-5"/>
                <w:sz w:val="18"/>
                <w:szCs w:val="18"/>
              </w:rPr>
              <w:t>期间，承诺人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r>
        <w:trPr>
          <w:trHeight w:val="643"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关于关联交 易方面的承 诺</w:t>
            </w:r>
          </w:p>
        </w:tc>
        <w:tc>
          <w:tcPr>
            <w:tcW w:w="1126"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如本人及本 人所控制的 其他企业与 易联众不可 避免地出现 </w:t>
            </w:r>
            <w:r>
              <w:rPr>
                <w:rFonts w:ascii="宋体" w:hAnsi="宋体" w:cs="宋体" w:eastAsia="宋体" w:hint="default"/>
                <w:spacing w:val="-2"/>
                <w:sz w:val="18"/>
                <w:szCs w:val="18"/>
              </w:rPr>
              <w:t>关联交易，将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根据《公司 </w:t>
            </w:r>
            <w:r>
              <w:rPr>
                <w:rFonts w:ascii="宋体" w:hAnsi="宋体" w:cs="宋体" w:eastAsia="宋体" w:hint="default"/>
                <w:spacing w:val="-2"/>
                <w:sz w:val="18"/>
                <w:szCs w:val="18"/>
              </w:rPr>
              <w:t>法》等国家法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律、法规和</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《公司章程》 及易联众关 于关联交易 的有关制度 的规定，依照 市场规则，本 着一般商业 原则签订书 面协议，公平 合理地进行 交易，以维护 易联众及所 有股东的利</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0"/>
              <w:ind w:left="23"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r>
        <w:trPr>
          <w:trHeight w:val="6272"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shd w:val="clear" w:color="auto" w:fill="CCE8CF"/>
          </w:tcPr>
          <w:p>
            <w:pPr/>
          </w:p>
        </w:tc>
        <w:tc>
          <w:tcPr>
            <w:tcW w:w="1128" w:type="dxa"/>
            <w:vMerge/>
            <w:tcBorders>
              <w:left w:val="single" w:sz="4" w:space="0" w:color="000000"/>
              <w:bottom w:val="single" w:sz="4" w:space="0" w:color="000000"/>
              <w:right w:val="single" w:sz="4" w:space="0" w:color="000000"/>
            </w:tcBorders>
            <w:shd w:val="clear" w:color="auto" w:fill="CCE8CF"/>
          </w:tcPr>
          <w:p>
            <w:pPr/>
          </w:p>
        </w:tc>
        <w:tc>
          <w:tcPr>
            <w:tcW w:w="1126" w:type="dxa"/>
            <w:vMerge/>
            <w:tcBorders>
              <w:left w:val="single" w:sz="4" w:space="0" w:color="000000"/>
              <w:bottom w:val="single" w:sz="4" w:space="0" w:color="000000"/>
              <w:right w:val="single" w:sz="4" w:space="0" w:color="000000"/>
            </w:tcBorders>
            <w:shd w:val="clear" w:color="auto" w:fill="CCE8CF"/>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CE8CF"/>
          </w:tcPr>
          <w:p>
            <w:pPr/>
          </w:p>
        </w:tc>
        <w:tc>
          <w:tcPr>
            <w:tcW w:w="1106"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48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益，本人将不 利用在易联 众中的第一 大股东地位， 为本人及本 人所控制的 其他企业在 与易联众的 关联交易中 谋取不正当 利益。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34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在本人作为 易联众第一 大股东期间 不会从事与 易联众相同 或相似的业 务；不会直接 投资、收购与 易联众业务 相同或相似 的企业和项 目，不会以任 何方式为竞 争企业提供 帮助；如因任 何原因引起 与易联众发 生同业竞争， 将积极采取 有效措施，放 弃此类同业 竞争。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在做出该承 </w:t>
            </w:r>
            <w:r>
              <w:rPr>
                <w:rFonts w:ascii="宋体" w:hAnsi="宋体" w:cs="宋体" w:eastAsia="宋体" w:hint="default"/>
                <w:spacing w:val="-5"/>
                <w:sz w:val="18"/>
                <w:szCs w:val="18"/>
              </w:rPr>
              <w:t>诺以后，张曦</w:t>
            </w:r>
            <w:r>
              <w:rPr>
                <w:rFonts w:ascii="宋体" w:hAnsi="宋体" w:cs="宋体" w:eastAsia="宋体" w:hint="default"/>
                <w:sz w:val="18"/>
                <w:szCs w:val="18"/>
              </w:rPr>
              <w:t> 先生没有直 </w:t>
            </w:r>
            <w:r>
              <w:rPr>
                <w:rFonts w:ascii="宋体" w:hAnsi="宋体" w:cs="宋体" w:eastAsia="宋体" w:hint="default"/>
                <w:spacing w:val="-5"/>
                <w:sz w:val="18"/>
                <w:szCs w:val="18"/>
              </w:rPr>
              <w:t>接投资、收购</w:t>
            </w:r>
            <w:r>
              <w:rPr>
                <w:rFonts w:ascii="宋体" w:hAnsi="宋体" w:cs="宋体" w:eastAsia="宋体" w:hint="default"/>
                <w:sz w:val="18"/>
                <w:szCs w:val="18"/>
              </w:rPr>
              <w:t> 与易联众存 在竞争的企 </w:t>
            </w:r>
            <w:r>
              <w:rPr>
                <w:rFonts w:ascii="宋体" w:hAnsi="宋体" w:cs="宋体" w:eastAsia="宋体" w:hint="default"/>
                <w:spacing w:val="-5"/>
                <w:sz w:val="18"/>
                <w:szCs w:val="18"/>
              </w:rPr>
              <w:t>业和项目。在</w:t>
            </w:r>
            <w:r>
              <w:rPr>
                <w:rFonts w:ascii="宋体" w:hAnsi="宋体" w:cs="宋体" w:eastAsia="宋体" w:hint="default"/>
                <w:sz w:val="18"/>
                <w:szCs w:val="18"/>
              </w:rPr>
              <w:t> 做出该承诺 </w:t>
            </w:r>
            <w:r>
              <w:rPr>
                <w:rFonts w:ascii="宋体" w:hAnsi="宋体" w:cs="宋体" w:eastAsia="宋体" w:hint="default"/>
                <w:spacing w:val="-5"/>
                <w:sz w:val="18"/>
                <w:szCs w:val="18"/>
              </w:rPr>
              <w:t>之前，张曦先</w:t>
            </w:r>
            <w:r>
              <w:rPr>
                <w:rFonts w:ascii="宋体" w:hAnsi="宋体" w:cs="宋体" w:eastAsia="宋体" w:hint="default"/>
                <w:sz w:val="18"/>
                <w:szCs w:val="18"/>
              </w:rPr>
              <w:t> 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ind w:left="23"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月投资了南 京海泰医疗 信息系统有 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43"/>
                <w:sz w:val="18"/>
                <w:szCs w:val="18"/>
              </w:rPr>
              <w:t> </w:t>
            </w:r>
            <w:r>
              <w:rPr>
                <w:rFonts w:ascii="宋体" w:hAnsi="宋体" w:cs="宋体" w:eastAsia="宋体" w:hint="default"/>
                <w:spacing w:val="-5"/>
                <w:sz w:val="18"/>
                <w:szCs w:val="18"/>
              </w:rPr>
              <w:t>股权（以下简</w:t>
            </w:r>
            <w:r>
              <w:rPr>
                <w:rFonts w:ascii="宋体" w:hAnsi="宋体" w:cs="宋体" w:eastAsia="宋体" w:hint="default"/>
                <w:sz w:val="18"/>
                <w:szCs w:val="18"/>
              </w:rPr>
              <w:t> 称</w:t>
            </w:r>
            <w:r>
              <w:rPr>
                <w:rFonts w:ascii="Times New Roman" w:hAnsi="Times New Roman" w:cs="Times New Roman" w:eastAsia="Times New Roman" w:hint="default"/>
                <w:sz w:val="18"/>
                <w:szCs w:val="18"/>
              </w:rPr>
              <w:t>“</w:t>
            </w:r>
            <w:r>
              <w:rPr>
                <w:rFonts w:ascii="宋体" w:hAnsi="宋体" w:cs="宋体" w:eastAsia="宋体" w:hint="default"/>
                <w:sz w:val="18"/>
                <w:szCs w:val="18"/>
              </w:rPr>
              <w:t>海泰医 </w:t>
            </w:r>
            <w:r>
              <w:rPr>
                <w:rFonts w:ascii="宋体" w:hAnsi="宋体" w:cs="宋体" w:eastAsia="宋体" w:hint="default"/>
                <w:spacing w:val="-32"/>
                <w:w w:val="100"/>
                <w:sz w:val="18"/>
                <w:szCs w:val="18"/>
              </w:rPr>
              <w:t>疗</w:t>
            </w:r>
            <w:r>
              <w:rPr>
                <w:rFonts w:ascii="Times New Roman" w:hAnsi="Times New Roman" w:cs="Times New Roman" w:eastAsia="Times New Roman" w:hint="default"/>
                <w:spacing w:val="-32"/>
                <w:w w:val="100"/>
                <w:sz w:val="18"/>
                <w:szCs w:val="18"/>
              </w:rPr>
              <w:t>”</w:t>
            </w:r>
            <w:r>
              <w:rPr>
                <w:rFonts w:ascii="宋体" w:hAnsi="宋体" w:cs="宋体" w:eastAsia="宋体" w:hint="default"/>
                <w:spacing w:val="-32"/>
                <w:w w:val="100"/>
                <w:sz w:val="18"/>
                <w:szCs w:val="18"/>
              </w:rPr>
              <w:t>），于</w:t>
            </w:r>
            <w:r>
              <w:rPr>
                <w:rFonts w:ascii="宋体" w:hAnsi="宋体" w:cs="宋体" w:eastAsia="宋体" w:hint="default"/>
                <w:spacing w:val="-44"/>
                <w:w w:val="100"/>
                <w:sz w:val="18"/>
                <w:szCs w:val="18"/>
              </w:rPr>
              <w:t> </w:t>
            </w:r>
            <w:r>
              <w:rPr>
                <w:rFonts w:ascii="Times New Roman" w:hAnsi="Times New Roman" w:cs="Times New Roman" w:eastAsia="Times New Roman" w:hint="default"/>
                <w:spacing w:val="1"/>
                <w:sz w:val="18"/>
                <w:szCs w:val="18"/>
              </w:rPr>
              <w:t>2016</w:t>
            </w:r>
            <w:r>
              <w:rPr>
                <w:rFonts w:ascii="Times New Roman" w:hAnsi="Times New Roman" w:cs="Times New Roman" w:eastAsia="Times New Roman" w:hint="default"/>
                <w:sz w:val="18"/>
                <w:szCs w:val="18"/>
              </w:rPr>
            </w:r>
          </w:p>
          <w:p>
            <w:pPr>
              <w:pStyle w:val="TableParagraph"/>
              <w:spacing w:line="314" w:lineRule="auto" w:before="5"/>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月转让 海泰医疗全 部股权予以 无关联第三 </w:t>
            </w:r>
            <w:r>
              <w:rPr>
                <w:rFonts w:ascii="宋体" w:hAnsi="宋体" w:cs="宋体" w:eastAsia="宋体" w:hint="default"/>
                <w:spacing w:val="-5"/>
                <w:sz w:val="18"/>
                <w:szCs w:val="18"/>
              </w:rPr>
              <w:t>方。针对该事</w:t>
            </w:r>
            <w:r>
              <w:rPr>
                <w:rFonts w:ascii="宋体" w:hAnsi="宋体" w:cs="宋体" w:eastAsia="宋体" w:hint="default"/>
                <w:sz w:val="18"/>
                <w:szCs w:val="18"/>
              </w:rPr>
              <w:t> </w:t>
            </w:r>
            <w:r>
              <w:rPr>
                <w:rFonts w:ascii="宋体" w:hAnsi="宋体" w:cs="宋体" w:eastAsia="宋体" w:hint="default"/>
                <w:spacing w:val="-5"/>
                <w:sz w:val="18"/>
                <w:szCs w:val="18"/>
              </w:rPr>
              <w:t>项，厦门证监</w:t>
            </w:r>
            <w:r>
              <w:rPr>
                <w:rFonts w:ascii="宋体" w:hAnsi="宋体" w:cs="宋体" w:eastAsia="宋体" w:hint="default"/>
                <w:sz w:val="18"/>
                <w:szCs w:val="18"/>
              </w:rPr>
              <w:t> 局于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2" w:lineRule="auto" w:before="1"/>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日向张 曦先生出具 </w:t>
            </w:r>
            <w:r>
              <w:rPr>
                <w:rFonts w:ascii="宋体" w:hAnsi="宋体" w:cs="宋体" w:eastAsia="宋体" w:hint="default"/>
                <w:spacing w:val="-5"/>
                <w:sz w:val="18"/>
                <w:szCs w:val="18"/>
              </w:rPr>
              <w:t>了警示函，深</w:t>
            </w:r>
            <w:r>
              <w:rPr>
                <w:rFonts w:ascii="宋体" w:hAnsi="宋体" w:cs="宋体" w:eastAsia="宋体" w:hint="default"/>
                <w:sz w:val="18"/>
                <w:szCs w:val="18"/>
              </w:rPr>
              <w:t> 交所于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314" w:lineRule="auto" w:before="3"/>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向张曦先生 出具了监管 </w:t>
            </w:r>
            <w:r>
              <w:rPr>
                <w:rFonts w:ascii="宋体" w:hAnsi="宋体" w:cs="宋体" w:eastAsia="宋体" w:hint="default"/>
                <w:spacing w:val="-5"/>
                <w:sz w:val="18"/>
                <w:szCs w:val="18"/>
              </w:rPr>
              <w:t>函。张曦先生</w:t>
            </w:r>
            <w:r>
              <w:rPr>
                <w:rFonts w:ascii="宋体" w:hAnsi="宋体" w:cs="宋体" w:eastAsia="宋体" w:hint="default"/>
                <w:sz w:val="18"/>
                <w:szCs w:val="18"/>
              </w:rPr>
              <w:t>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bl>
    <w:p>
      <w:pPr>
        <w:spacing w:after="0" w:line="314"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54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11"/>
              <w:ind w:left="23" w:right="-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日向厦 门证监局提 交了整改报 </w:t>
            </w:r>
            <w:r>
              <w:rPr>
                <w:rFonts w:ascii="宋体" w:hAnsi="宋体" w:cs="宋体" w:eastAsia="宋体" w:hint="default"/>
                <w:spacing w:val="-5"/>
                <w:sz w:val="18"/>
                <w:szCs w:val="18"/>
              </w:rPr>
              <w:t>告书，表示将</w:t>
            </w:r>
            <w:r>
              <w:rPr>
                <w:rFonts w:ascii="宋体" w:hAnsi="宋体" w:cs="宋体" w:eastAsia="宋体" w:hint="default"/>
                <w:sz w:val="18"/>
                <w:szCs w:val="18"/>
              </w:rPr>
              <w:t> 加强法律法 </w:t>
            </w:r>
            <w:r>
              <w:rPr>
                <w:rFonts w:ascii="宋体" w:hAnsi="宋体" w:cs="宋体" w:eastAsia="宋体" w:hint="default"/>
                <w:spacing w:val="-5"/>
                <w:sz w:val="18"/>
                <w:szCs w:val="18"/>
              </w:rPr>
              <w:t>规学习，坚决</w:t>
            </w:r>
            <w:r>
              <w:rPr>
                <w:rFonts w:ascii="宋体" w:hAnsi="宋体" w:cs="宋体" w:eastAsia="宋体" w:hint="default"/>
                <w:sz w:val="18"/>
                <w:szCs w:val="18"/>
              </w:rPr>
              <w:t> 杜绝此类事 件再次发生。</w:t>
            </w:r>
          </w:p>
        </w:tc>
      </w:tr>
      <w:tr>
        <w:trPr>
          <w:trHeight w:val="1128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关于保持上 市公司独立 性的承诺</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关于保持上 市公司独立 性的承诺函： </w:t>
            </w:r>
            <w:r>
              <w:rPr>
                <w:rFonts w:ascii="Times New Roman" w:hAnsi="Times New Roman" w:cs="Times New Roman" w:eastAsia="Times New Roman" w:hint="default"/>
                <w:sz w:val="18"/>
                <w:szCs w:val="18"/>
              </w:rPr>
              <w:t>1</w:t>
            </w:r>
            <w:r>
              <w:rPr>
                <w:rFonts w:ascii="宋体" w:hAnsi="宋体" w:cs="宋体" w:eastAsia="宋体" w:hint="default"/>
                <w:sz w:val="18"/>
                <w:szCs w:val="18"/>
              </w:rPr>
              <w:t>、人员独立</w:t>
            </w: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）保证易 联众的总经 理、副总经 理、财务负责 人、董事会秘 书等高级管 理人员在易 联众专职工 作，不在本人 控制的其他 企业中担任 除董事、监事 以外的其他 职务，且不在 本人控制的 其他企业中 </w:t>
            </w:r>
            <w:r>
              <w:rPr>
                <w:rFonts w:ascii="宋体" w:hAnsi="宋体" w:cs="宋体" w:eastAsia="宋体" w:hint="default"/>
                <w:spacing w:val="-15"/>
                <w:sz w:val="18"/>
                <w:szCs w:val="18"/>
              </w:rPr>
              <w:t>领薪。（</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）保</w:t>
            </w:r>
            <w:r>
              <w:rPr>
                <w:rFonts w:ascii="宋体" w:hAnsi="宋体" w:cs="宋体" w:eastAsia="宋体" w:hint="default"/>
                <w:spacing w:val="-5"/>
                <w:sz w:val="18"/>
                <w:szCs w:val="18"/>
              </w:rPr>
              <w:t> </w:t>
            </w:r>
            <w:r>
              <w:rPr>
                <w:rFonts w:ascii="宋体" w:hAnsi="宋体" w:cs="宋体" w:eastAsia="宋体" w:hint="default"/>
                <w:sz w:val="18"/>
                <w:szCs w:val="18"/>
              </w:rPr>
              <w:t>证易联众的</w:t>
            </w:r>
            <w:r>
              <w:rPr>
                <w:rFonts w:ascii="宋体" w:hAnsi="宋体" w:cs="宋体" w:eastAsia="宋体" w:hint="default"/>
                <w:sz w:val="18"/>
                <w:szCs w:val="18"/>
              </w:rPr>
              <w:t> 财务人员独 立，不在本人 控制的其他 企业中兼职 或领取报酬。</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）保证易 联众拥有完 整独立的劳 动、人事及薪 酬管理体系， 该等体系和 本人控制的 其他企业之 间完全独立。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0"/>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51001pt;margin-top:72.47998pt;width:61.95pt;height:686.55pt;mso-position-horizontal-relative:page;mso-position-vertical-relative:page;z-index:-11321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1"/>
                      <w:szCs w:val="21"/>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2" w:right="0"/>
                    <w:jc w:val="left"/>
                  </w:pPr>
                  <w:r>
                    <w:rPr/>
                    <w:t>、</w:t>
                  </w:r>
                </w:p>
                <w:p>
                  <w:pPr>
                    <w:pStyle w:val="BodyText"/>
                    <w:spacing w:line="240" w:lineRule="auto" w:before="76"/>
                    <w:ind w:left="2" w:right="0"/>
                    <w:jc w:val="left"/>
                  </w:pPr>
                  <w:r>
                    <w:rPr/>
                    <w:t>）</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322" w:hRule="exact"/>
        </w:trPr>
        <w:tc>
          <w:tcPr>
            <w:tcW w:w="2838" w:type="dxa"/>
            <w:vMerge w:val="restart"/>
            <w:tcBorders>
              <w:top w:val="single" w:sz="4" w:space="0" w:color="000000"/>
              <w:left w:val="single" w:sz="4" w:space="0" w:color="000000"/>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shd w:val="clear" w:color="auto" w:fill="CCE8CF"/>
          </w:tcPr>
          <w:p>
            <w:pPr/>
          </w:p>
        </w:tc>
        <w:tc>
          <w:tcPr>
            <w:tcW w:w="1128" w:type="dxa"/>
            <w:vMerge w:val="restart"/>
            <w:tcBorders>
              <w:top w:val="single" w:sz="4" w:space="0" w:color="000000"/>
              <w:left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、资产独立</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shd w:val="clear" w:color="auto" w:fill="CCE8CF"/>
          </w:tcPr>
          <w:p>
            <w:pPr/>
          </w:p>
        </w:tc>
        <w:tc>
          <w:tcPr>
            <w:tcW w:w="1106" w:type="dxa"/>
            <w:vMerge w:val="restart"/>
            <w:tcBorders>
              <w:top w:val="single" w:sz="4" w:space="0" w:color="000000"/>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联众具有独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立完整的资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产，易联众的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资产全部处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于易联众的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控制之下，并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为易联众独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立拥有和运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其他企业不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以任何方式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违法违规占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用易联众资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宋体" w:hAnsi="宋体" w:cs="宋体" w:eastAsia="宋体" w:hint="default"/>
                <w:spacing w:val="-51"/>
                <w:sz w:val="18"/>
                <w:szCs w:val="18"/>
              </w:rPr>
              <w:t>、</w:t>
            </w:r>
            <w:r>
              <w:rPr>
                <w:rFonts w:ascii="宋体" w:hAnsi="宋体" w:cs="宋体" w:eastAsia="宋体" w:hint="default"/>
                <w:sz w:val="18"/>
                <w:szCs w:val="18"/>
              </w:rPr>
              <w:t>资产</w:t>
            </w:r>
            <w:r>
              <w:rPr>
                <w:rFonts w:ascii="宋体" w:hAnsi="宋体" w:cs="宋体" w:eastAsia="宋体" w:hint="default"/>
                <w:spacing w:val="-14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保证不以易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联众的资产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的债务违规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提供担保。</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财务独立（</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建立独立的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财务部门和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独立的财务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核算体系。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联众具有规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务会计制度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和对子公司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的财务管理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制度</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证易联众独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立在银行开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户，不与本人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企业共用银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行账户</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shd w:val="clear" w:color="auto" w:fill="CCE8CF"/>
          </w:tcPr>
          <w:p>
            <w:pPr/>
          </w:p>
        </w:tc>
        <w:tc>
          <w:tcPr>
            <w:tcW w:w="1128" w:type="dxa"/>
            <w:vMerge/>
            <w:tcBorders>
              <w:left w:val="single" w:sz="4" w:space="0" w:color="000000"/>
              <w:bottom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能够作出独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CE8CF"/>
          </w:tcPr>
          <w:p>
            <w:pPr/>
          </w:p>
        </w:tc>
        <w:tc>
          <w:tcPr>
            <w:tcW w:w="1106"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132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4"/>
                      <w:szCs w:val="14"/>
                    </w:rPr>
                  </w:pPr>
                </w:p>
                <w:p>
                  <w:pPr>
                    <w:pStyle w:val="BodyText"/>
                    <w:spacing w:line="240" w:lineRule="auto"/>
                    <w:ind w:left="0" w:right="0"/>
                    <w:jc w:val="left"/>
                  </w:pPr>
                  <w:r>
                    <w:rPr/>
                    <w:t>、</w:t>
                  </w:r>
                </w:p>
                <w:p>
                  <w:pPr>
                    <w:pStyle w:val="BodyText"/>
                    <w:spacing w:line="240" w:lineRule="auto" w:before="76"/>
                    <w:ind w:left="0" w:right="0"/>
                    <w:jc w:val="left"/>
                  </w:pPr>
                  <w:r>
                    <w:rPr/>
                    <w:t>）</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317" w:hRule="exact"/>
        </w:trPr>
        <w:tc>
          <w:tcPr>
            <w:tcW w:w="2838" w:type="dxa"/>
            <w:vMerge w:val="restart"/>
            <w:tcBorders>
              <w:top w:val="single" w:sz="4" w:space="0" w:color="000000"/>
              <w:left w:val="single" w:sz="4" w:space="0" w:color="000000"/>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shd w:val="clear" w:color="auto" w:fill="CCE8CF"/>
          </w:tcPr>
          <w:p>
            <w:pPr/>
          </w:p>
        </w:tc>
        <w:tc>
          <w:tcPr>
            <w:tcW w:w="1128" w:type="dxa"/>
            <w:vMerge w:val="restart"/>
            <w:tcBorders>
              <w:top w:val="single" w:sz="4" w:space="0" w:color="000000"/>
              <w:left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立的财务决</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shd w:val="clear" w:color="auto" w:fill="CCE8CF"/>
          </w:tcPr>
          <w:p>
            <w:pPr/>
          </w:p>
        </w:tc>
        <w:tc>
          <w:tcPr>
            <w:tcW w:w="1106" w:type="dxa"/>
            <w:vMerge w:val="restart"/>
            <w:tcBorders>
              <w:top w:val="single" w:sz="4" w:space="0" w:color="000000"/>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策，本人控制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不通过违法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违规的方式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干预易联众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的资金使用、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调度</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证易联众依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法独立纳税。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、机构独立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联众依法建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立健全股份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公司法人治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理结构，拥有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独立、完整的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组织机构。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联众的股东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员等依照法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律、法规和公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司章程独立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行使职权。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联众拥有独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立、完整的组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织机构，与本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他企业间不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存在机构混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同的情形。</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业务独立（</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拥有独立开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展经营活动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的资产、人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员、资质和能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力，具有面向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shd w:val="clear" w:color="auto" w:fill="CCE8CF"/>
          </w:tcPr>
          <w:p>
            <w:pPr/>
          </w:p>
        </w:tc>
        <w:tc>
          <w:tcPr>
            <w:tcW w:w="1128" w:type="dxa"/>
            <w:vMerge/>
            <w:tcBorders>
              <w:left w:val="single" w:sz="4" w:space="0" w:color="000000"/>
              <w:bottom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市场独立自</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CE8CF"/>
          </w:tcPr>
          <w:p>
            <w:pPr/>
          </w:p>
        </w:tc>
        <w:tc>
          <w:tcPr>
            <w:tcW w:w="1106"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7852" w:hRule="exact"/>
        </w:trPr>
        <w:tc>
          <w:tcPr>
            <w:tcW w:w="2838"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11"/>
              <w:ind w:left="23" w:right="11"/>
              <w:jc w:val="left"/>
              <w:rPr>
                <w:rFonts w:ascii="宋体" w:hAnsi="宋体" w:cs="宋体" w:eastAsia="宋体" w:hint="default"/>
                <w:sz w:val="18"/>
                <w:szCs w:val="18"/>
              </w:rPr>
            </w:pPr>
            <w:r>
              <w:rPr>
                <w:rFonts w:ascii="宋体" w:hAnsi="宋体" w:cs="宋体" w:eastAsia="宋体" w:hint="default"/>
                <w:sz w:val="18"/>
                <w:szCs w:val="18"/>
              </w:rPr>
              <w:t>主持续经营 </w:t>
            </w:r>
            <w:r>
              <w:rPr>
                <w:rFonts w:ascii="宋体" w:hAnsi="宋体" w:cs="宋体" w:eastAsia="宋体" w:hint="default"/>
                <w:spacing w:val="-13"/>
                <w:sz w:val="18"/>
                <w:szCs w:val="18"/>
              </w:rPr>
              <w:t>的能力。（</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保证尽量减 少本人控制 的其他企业 与易联众的 关联交易，无</w:t>
            </w:r>
            <w:r>
              <w:rPr>
                <w:rFonts w:ascii="宋体" w:hAnsi="宋体" w:cs="宋体" w:eastAsia="宋体" w:hint="default"/>
                <w:sz w:val="18"/>
                <w:szCs w:val="18"/>
              </w:rPr>
              <w:t> 法避免或有 合理原因的 关联交易则 </w:t>
            </w:r>
            <w:r>
              <w:rPr>
                <w:rFonts w:ascii="宋体" w:hAnsi="宋体" w:cs="宋体" w:eastAsia="宋体" w:hint="default"/>
                <w:spacing w:val="-13"/>
                <w:w w:val="100"/>
                <w:sz w:val="18"/>
                <w:szCs w:val="18"/>
              </w:rPr>
              <w:t>按照</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公开、公</w:t>
            </w:r>
            <w:r>
              <w:rPr>
                <w:rFonts w:ascii="宋体" w:hAnsi="宋体" w:cs="宋体" w:eastAsia="宋体" w:hint="default"/>
                <w:sz w:val="18"/>
                <w:szCs w:val="18"/>
              </w:rPr>
              <w:t> </w:t>
            </w:r>
            <w:r>
              <w:rPr>
                <w:rFonts w:ascii="宋体" w:hAnsi="宋体" w:cs="宋体" w:eastAsia="宋体" w:hint="default"/>
                <w:spacing w:val="-13"/>
                <w:w w:val="100"/>
                <w:sz w:val="18"/>
                <w:szCs w:val="18"/>
              </w:rPr>
              <w:t>平、公正</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的原</w:t>
            </w:r>
            <w:r>
              <w:rPr>
                <w:rFonts w:ascii="宋体" w:hAnsi="宋体" w:cs="宋体" w:eastAsia="宋体" w:hint="default"/>
                <w:sz w:val="18"/>
                <w:szCs w:val="18"/>
              </w:rPr>
              <w:t> 则依法进行。 </w:t>
            </w:r>
            <w:r>
              <w:rPr>
                <w:rFonts w:ascii="Times New Roman" w:hAnsi="Times New Roman" w:cs="Times New Roman" w:eastAsia="Times New Roman" w:hint="default"/>
                <w:sz w:val="18"/>
                <w:szCs w:val="18"/>
              </w:rPr>
              <w:t>6</w:t>
            </w:r>
            <w:r>
              <w:rPr>
                <w:rFonts w:ascii="宋体" w:hAnsi="宋体" w:cs="宋体" w:eastAsia="宋体" w:hint="default"/>
                <w:sz w:val="18"/>
                <w:szCs w:val="18"/>
              </w:rPr>
              <w:t>、保证易联 众在其他方 面与本人控 制的其他企 业保持独立。 如违反上述 承诺，并因此 给易联众造 成经济损失， 本人将向易 联众进行赔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667"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关于避免同 业竞争的承 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 将不从事与 易联众相同 或者相近的 业务，以避免 对易联众的 生产经营构 成直接或间 接的竞争；保 证将努力促 使本人的其 他控股企业 不直接或间 接从事、参与 或进行与易 联众的生产、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3"/>
              <w:ind w:left="23"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0972"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经营相竞争 的任何经营 活动。</w:t>
            </w:r>
            <w:r>
              <w:rPr>
                <w:rFonts w:ascii="Times New Roman" w:hAnsi="Times New Roman" w:cs="Times New Roman" w:eastAsia="Times New Roman" w:hint="default"/>
                <w:sz w:val="18"/>
                <w:szCs w:val="18"/>
              </w:rPr>
              <w:t>2</w:t>
            </w:r>
            <w:r>
              <w:rPr>
                <w:rFonts w:ascii="宋体" w:hAnsi="宋体" w:cs="宋体" w:eastAsia="宋体" w:hint="default"/>
                <w:sz w:val="18"/>
                <w:szCs w:val="18"/>
              </w:rPr>
              <w:t>、如 本人及除易 联众以外本 人的其他控 股企业与易 联众之间存 在有竞争性 同类业务，由 此在市场份 额、商业机会 及资源配置 等方面可能 对易联众带 来不公平的 影响时，本人 及其除易联 众以外本人 的其他控股 企业自愿放 弃与易联众 的业务竞争。 自本承诺出 具之日起，本 人承诺，赔偿 易联众因本 人违反本承 诺任何条款 而遭受或产 生的任何损 失或开支。本 承诺自出具 之日起不可 撤销。</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285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91"/>
              <w:jc w:val="both"/>
              <w:rPr>
                <w:rFonts w:ascii="宋体" w:hAnsi="宋体" w:cs="宋体" w:eastAsia="宋体" w:hint="default"/>
                <w:sz w:val="18"/>
                <w:szCs w:val="18"/>
              </w:rPr>
            </w:pPr>
            <w:r>
              <w:rPr>
                <w:rFonts w:ascii="宋体" w:hAnsi="宋体" w:cs="宋体" w:eastAsia="宋体" w:hint="default"/>
                <w:sz w:val="18"/>
                <w:szCs w:val="18"/>
              </w:rPr>
              <w:t>本人将不在 中国境内外 直接或间接 从事或参与 任何在商业 上对易联众 构成竞争的 业务及活动 或拥有与易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0"/>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1908"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联众存在竞 争关系的任 何经济实体、 机构、经济组 织的权益；或 以其他任何 形式取得该 经济实体、机 构、经济组织 的控制权；本 人如有出售 与易联众生 产、经营相关 的任何资产、 业务或权益， 易联众均享 有优先购买 权；且本人保 证在出售或 转让有关资 产或业务时 给予易联众 的条件不高 于本人或本 人控制的企 业向任何其 他第三人提 供的条件；本 人愿意承担 因违反上述 承诺而给易 联众造成的 全部经济损 失。本人在不 再担任易联 众副总经理 前，本承诺为 有效之承诺。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92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3" w:right="7"/>
              <w:jc w:val="both"/>
              <w:rPr>
                <w:rFonts w:ascii="宋体" w:hAnsi="宋体" w:cs="宋体" w:eastAsia="宋体" w:hint="default"/>
                <w:sz w:val="18"/>
                <w:szCs w:val="18"/>
              </w:rPr>
            </w:pPr>
            <w:r>
              <w:rPr>
                <w:rFonts w:ascii="宋体" w:hAnsi="宋体" w:cs="宋体" w:eastAsia="宋体" w:hint="default"/>
                <w:spacing w:val="-3"/>
                <w:sz w:val="18"/>
                <w:szCs w:val="18"/>
              </w:rPr>
              <w:t>陈江生；郭骁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昌；何军；江</w:t>
            </w:r>
            <w:r>
              <w:rPr>
                <w:rFonts w:ascii="宋体" w:hAnsi="宋体" w:cs="宋体" w:eastAsia="宋体" w:hint="default"/>
                <w:sz w:val="18"/>
                <w:szCs w:val="18"/>
              </w:rPr>
              <w:t> 敦忠；毛峰； </w:t>
            </w:r>
            <w:r>
              <w:rPr>
                <w:rFonts w:ascii="宋体" w:hAnsi="宋体" w:cs="宋体" w:eastAsia="宋体" w:hint="default"/>
                <w:spacing w:val="-3"/>
                <w:sz w:val="18"/>
                <w:szCs w:val="18"/>
              </w:rPr>
              <w:t>施建安；吴天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恩；游海涛</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90"/>
              <w:jc w:val="both"/>
              <w:rPr>
                <w:rFonts w:ascii="宋体" w:hAnsi="宋体" w:cs="宋体" w:eastAsia="宋体" w:hint="default"/>
                <w:sz w:val="18"/>
                <w:szCs w:val="18"/>
              </w:rPr>
            </w:pPr>
            <w:r>
              <w:rPr>
                <w:rFonts w:ascii="宋体" w:hAnsi="宋体" w:cs="宋体" w:eastAsia="宋体" w:hint="default"/>
                <w:sz w:val="18"/>
                <w:szCs w:val="18"/>
              </w:rPr>
              <w:t>本人将不在 中国境内外 直接或间接 从事或参与 任何在商业 上对易联众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3"/>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374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构成竞争的 业务及活动 或拥有与易 联众存在竞 争关系的任 何经济实体、 机构、经济组 织的权益；或 以其他任何 形式取得该 经济实体、机 构、经济组织 的控制权；本 人如有出售 与易联众生 产、经营相关 的任何资产、 业务或权益， 易联众均享 有优先购买 权；且本人保 证在出售或 转让有关资 产或业务时 给予易联众 的条件不高 于本人或本 人控制的企 业向任何其 他第三人提 供的条件；本 人愿意承担 因违反上述 承诺而给易 联众造成的 全部经济损 失。本人在不 再担任易联 众产品市场 发展部总经 理</w:t>
            </w:r>
            <w:r>
              <w:rPr>
                <w:rFonts w:ascii="Times New Roman" w:hAnsi="Times New Roman" w:cs="Times New Roman" w:eastAsia="Times New Roman" w:hint="default"/>
                <w:sz w:val="18"/>
                <w:szCs w:val="18"/>
              </w:rPr>
              <w:t>/</w:t>
            </w:r>
            <w:r>
              <w:rPr>
                <w:rFonts w:ascii="宋体" w:hAnsi="宋体" w:cs="宋体" w:eastAsia="宋体" w:hint="default"/>
                <w:sz w:val="18"/>
                <w:szCs w:val="18"/>
              </w:rPr>
              <w:t>山西易联 众信息技术 有限公司总 经理</w:t>
            </w:r>
            <w:r>
              <w:rPr>
                <w:rFonts w:ascii="Times New Roman" w:hAnsi="Times New Roman" w:cs="Times New Roman" w:eastAsia="Times New Roman" w:hint="default"/>
                <w:sz w:val="18"/>
                <w:szCs w:val="18"/>
              </w:rPr>
              <w:t>/</w:t>
            </w:r>
            <w:r>
              <w:rPr>
                <w:rFonts w:ascii="宋体" w:hAnsi="宋体" w:cs="宋体" w:eastAsia="宋体" w:hint="default"/>
                <w:sz w:val="18"/>
                <w:szCs w:val="18"/>
              </w:rPr>
              <w:t>易联众</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19"/>
              <w:jc w:val="left"/>
              <w:rPr>
                <w:rFonts w:ascii="宋体" w:hAnsi="宋体" w:cs="宋体" w:eastAsia="宋体" w:hint="default"/>
                <w:sz w:val="18"/>
                <w:szCs w:val="18"/>
              </w:rPr>
            </w:pPr>
            <w:r>
              <w:rPr>
                <w:rFonts w:ascii="宋体" w:hAnsi="宋体" w:cs="宋体" w:eastAsia="宋体" w:hint="default"/>
                <w:sz w:val="18"/>
                <w:szCs w:val="18"/>
              </w:rPr>
              <w:t>（随着公司 </w:t>
            </w:r>
            <w:r>
              <w:rPr>
                <w:rFonts w:ascii="宋体" w:hAnsi="宋体" w:cs="宋体" w:eastAsia="宋体" w:hint="default"/>
                <w:spacing w:val="-5"/>
                <w:sz w:val="18"/>
                <w:szCs w:val="18"/>
              </w:rPr>
              <w:t>的发展，部分</w:t>
            </w:r>
            <w:r>
              <w:rPr>
                <w:rFonts w:ascii="宋体" w:hAnsi="宋体" w:cs="宋体" w:eastAsia="宋体" w:hint="default"/>
                <w:sz w:val="18"/>
                <w:szCs w:val="18"/>
              </w:rPr>
              <w:t> 人员的工作 岗位发生了 </w:t>
            </w:r>
            <w:r>
              <w:rPr>
                <w:rFonts w:ascii="宋体" w:hAnsi="宋体" w:cs="宋体" w:eastAsia="宋体" w:hint="default"/>
                <w:spacing w:val="-5"/>
                <w:sz w:val="18"/>
                <w:szCs w:val="18"/>
              </w:rPr>
              <w:t>变动，上述承</w:t>
            </w:r>
            <w:r>
              <w:rPr>
                <w:rFonts w:ascii="宋体" w:hAnsi="宋体" w:cs="宋体" w:eastAsia="宋体" w:hint="default"/>
                <w:sz w:val="18"/>
                <w:szCs w:val="18"/>
              </w:rPr>
              <w:t> 诺人均继续 履行关于同 业竞争方面 </w:t>
            </w:r>
            <w:r>
              <w:rPr>
                <w:rFonts w:ascii="宋体" w:hAnsi="宋体" w:cs="宋体" w:eastAsia="宋体" w:hint="default"/>
                <w:spacing w:val="-19"/>
                <w:sz w:val="18"/>
                <w:szCs w:val="18"/>
              </w:rPr>
              <w:t>的承诺。）</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91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11"/>
              <w:ind w:left="23" w:right="19"/>
              <w:jc w:val="left"/>
              <w:rPr>
                <w:rFonts w:ascii="宋体" w:hAnsi="宋体" w:cs="宋体" w:eastAsia="宋体" w:hint="default"/>
                <w:sz w:val="18"/>
                <w:szCs w:val="18"/>
              </w:rPr>
            </w:pPr>
            <w:r>
              <w:rPr>
                <w:rFonts w:ascii="宋体" w:hAnsi="宋体" w:cs="宋体" w:eastAsia="宋体" w:hint="default"/>
                <w:sz w:val="18"/>
                <w:szCs w:val="18"/>
              </w:rPr>
              <w:t>社保事业部 常务副总经 理</w:t>
            </w:r>
            <w:r>
              <w:rPr>
                <w:rFonts w:ascii="Times New Roman" w:hAnsi="Times New Roman" w:cs="Times New Roman" w:eastAsia="Times New Roman" w:hint="default"/>
                <w:sz w:val="18"/>
                <w:szCs w:val="18"/>
              </w:rPr>
              <w:t>/</w:t>
            </w:r>
            <w:r>
              <w:rPr>
                <w:rFonts w:ascii="宋体" w:hAnsi="宋体" w:cs="宋体" w:eastAsia="宋体" w:hint="default"/>
                <w:sz w:val="18"/>
                <w:szCs w:val="18"/>
              </w:rPr>
              <w:t>易联众研 发管理部总 经理</w:t>
            </w:r>
            <w:r>
              <w:rPr>
                <w:rFonts w:ascii="Times New Roman" w:hAnsi="Times New Roman" w:cs="Times New Roman" w:eastAsia="Times New Roman" w:hint="default"/>
                <w:sz w:val="18"/>
                <w:szCs w:val="18"/>
              </w:rPr>
              <w:t>/</w:t>
            </w:r>
            <w:r>
              <w:rPr>
                <w:rFonts w:ascii="宋体" w:hAnsi="宋体" w:cs="宋体" w:eastAsia="宋体" w:hint="default"/>
                <w:sz w:val="18"/>
                <w:szCs w:val="18"/>
              </w:rPr>
              <w:t>易联众 社保事业部 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安 徽易联众信 息技术有限 公司总经理</w:t>
            </w:r>
            <w:r>
              <w:rPr>
                <w:rFonts w:ascii="Times New Roman" w:hAnsi="Times New Roman" w:cs="Times New Roman" w:eastAsia="Times New Roman" w:hint="default"/>
                <w:sz w:val="18"/>
                <w:szCs w:val="18"/>
              </w:rPr>
              <w:t>/ </w:t>
            </w:r>
            <w:r>
              <w:rPr>
                <w:rFonts w:ascii="宋体" w:hAnsi="宋体" w:cs="宋体" w:eastAsia="宋体" w:hint="default"/>
                <w:sz w:val="18"/>
                <w:szCs w:val="18"/>
              </w:rPr>
              <w:t>安徽易联众 信息技术有 限公司副总 经理</w:t>
            </w:r>
            <w:r>
              <w:rPr>
                <w:rFonts w:ascii="Times New Roman" w:hAnsi="Times New Roman" w:cs="Times New Roman" w:eastAsia="Times New Roman" w:hint="default"/>
                <w:sz w:val="18"/>
                <w:szCs w:val="18"/>
              </w:rPr>
              <w:t>/</w:t>
            </w:r>
            <w:r>
              <w:rPr>
                <w:rFonts w:ascii="宋体" w:hAnsi="宋体" w:cs="宋体" w:eastAsia="宋体" w:hint="default"/>
                <w:sz w:val="18"/>
                <w:szCs w:val="18"/>
              </w:rPr>
              <w:t>山西易 联众信息技 术有限公司 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易 联众研发管 理部副总经 </w:t>
            </w:r>
            <w:r>
              <w:rPr>
                <w:rFonts w:ascii="宋体" w:hAnsi="宋体" w:cs="宋体" w:eastAsia="宋体" w:hint="default"/>
                <w:spacing w:val="-2"/>
                <w:sz w:val="18"/>
                <w:szCs w:val="18"/>
              </w:rPr>
              <w:t>理前，本承诺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为有效之承 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695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柴世峰；陈 键；陈智勇； </w:t>
            </w:r>
            <w:r>
              <w:rPr>
                <w:rFonts w:ascii="宋体" w:hAnsi="宋体" w:cs="宋体" w:eastAsia="宋体" w:hint="default"/>
                <w:spacing w:val="-3"/>
                <w:sz w:val="18"/>
                <w:szCs w:val="18"/>
              </w:rPr>
              <w:t>程凌芳；丁德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明；丁志刚； </w:t>
            </w:r>
            <w:r>
              <w:rPr>
                <w:rFonts w:ascii="宋体" w:hAnsi="宋体" w:cs="宋体" w:eastAsia="宋体" w:hint="default"/>
                <w:spacing w:val="-3"/>
                <w:sz w:val="18"/>
                <w:szCs w:val="18"/>
              </w:rPr>
              <w:t>郜恩光；郭骁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昌；黄邦杰； 黄剑铭；林 强；毛峰；沈</w:t>
            </w:r>
            <w:r>
              <w:rPr>
                <w:rFonts w:ascii="宋体" w:hAnsi="宋体" w:cs="宋体" w:eastAsia="宋体" w:hint="default"/>
                <w:sz w:val="18"/>
                <w:szCs w:val="18"/>
              </w:rPr>
              <w:t> 晋安；吴天 恩；姚建彬； </w:t>
            </w:r>
            <w:r>
              <w:rPr>
                <w:rFonts w:ascii="宋体" w:hAnsi="宋体" w:cs="宋体" w:eastAsia="宋体" w:hint="default"/>
                <w:spacing w:val="-3"/>
                <w:sz w:val="18"/>
                <w:szCs w:val="18"/>
              </w:rPr>
              <w:t>尹拴亮；张和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平</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若本公司因 自成立之日 起至在深交 所上市之日 止为员工缴 纳的各项社 保及住房公 积金不符合 规定而承担 任何罚款或 损失，本人及 其他股东均 承诺承担相 关连带责任， 共同为本公 司补缴各项 社会保险及 住房公积金、 承担任何罚 款等一切可 能给本公司 造成的损失。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3"/>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33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7"/>
              <w:jc w:val="left"/>
              <w:rPr>
                <w:rFonts w:ascii="宋体" w:hAnsi="宋体" w:cs="宋体" w:eastAsia="宋体" w:hint="default"/>
                <w:sz w:val="18"/>
                <w:szCs w:val="18"/>
              </w:rPr>
            </w:pPr>
            <w:r>
              <w:rPr>
                <w:rFonts w:ascii="宋体" w:hAnsi="宋体" w:cs="宋体" w:eastAsia="宋体" w:hint="default"/>
                <w:spacing w:val="-3"/>
                <w:sz w:val="18"/>
                <w:szCs w:val="18"/>
              </w:rPr>
              <w:t>陈海燕；陈江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生；陈立志； </w:t>
            </w:r>
            <w:r>
              <w:rPr>
                <w:rFonts w:ascii="宋体" w:hAnsi="宋体" w:cs="宋体" w:eastAsia="宋体" w:hint="default"/>
                <w:spacing w:val="-3"/>
                <w:sz w:val="18"/>
                <w:szCs w:val="18"/>
              </w:rPr>
              <w:t>陈益刚；迟海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宁；高亚进； </w:t>
            </w:r>
            <w:r>
              <w:rPr>
                <w:rFonts w:ascii="宋体" w:hAnsi="宋体" w:cs="宋体" w:eastAsia="宋体" w:hint="default"/>
                <w:spacing w:val="-3"/>
                <w:sz w:val="18"/>
                <w:szCs w:val="18"/>
              </w:rPr>
              <w:t>古培坚；郝纪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清；何军；黄</w:t>
            </w:r>
            <w:r>
              <w:rPr>
                <w:rFonts w:ascii="宋体" w:hAnsi="宋体" w:cs="宋体" w:eastAsia="宋体" w:hint="default"/>
                <w:sz w:val="18"/>
                <w:szCs w:val="18"/>
              </w:rPr>
              <w:t> 文灿；黄晓 晖；黄勇华； 江敦忠；雷 彪；黎宗辉； </w:t>
            </w:r>
            <w:r>
              <w:rPr>
                <w:rFonts w:ascii="宋体" w:hAnsi="宋体" w:cs="宋体" w:eastAsia="宋体" w:hint="default"/>
                <w:spacing w:val="-3"/>
                <w:sz w:val="18"/>
                <w:szCs w:val="18"/>
              </w:rPr>
              <w:t>李其铿；刘晓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东；卢苗；罗</w:t>
            </w:r>
            <w:r>
              <w:rPr>
                <w:rFonts w:ascii="宋体" w:hAnsi="宋体" w:cs="宋体" w:eastAsia="宋体" w:hint="default"/>
                <w:sz w:val="18"/>
                <w:szCs w:val="18"/>
              </w:rPr>
              <w:t> 建森；牛平； 饶俊伟；邵 楠；施建安； </w:t>
            </w:r>
            <w:r>
              <w:rPr>
                <w:rFonts w:ascii="宋体" w:hAnsi="宋体" w:cs="宋体" w:eastAsia="宋体" w:hint="default"/>
                <w:spacing w:val="-3"/>
                <w:sz w:val="18"/>
                <w:szCs w:val="18"/>
              </w:rPr>
              <w:t>孙文松；吴文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飞；许永锋； 杨靖；游海 涛；张学勤； 郑仁贵</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若本公司因 员工缴纳的 各项社保及 住房公积金 不符合规定 而承担任何 罚款或损失， 本人及其他 股东均承诺 承担相关连 带责任，共同 为本公司补 缴各项社会 保险及住房 公积金、承担 任何罚款等 一切可能给 本公司造成 的损失。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3"/>
              <w:ind w:left="23"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68" w:firstLine="360"/>
        <w:jc w:val="both"/>
      </w:pPr>
      <w:r>
        <w:rPr>
          <w:rFonts w:ascii="Times New Roman" w:hAnsi="Times New Roman" w:cs="Times New Roman" w:eastAsia="Times New Roman" w:hint="default"/>
        </w:rPr>
        <w:t>1</w:t>
      </w:r>
      <w:r>
        <w:rPr/>
        <w:t>、公司于</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47"/>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日召开第三届董事会第三十九次会议、第三届监事会第二十五次会议审议通过了《关于会计 政策变更的议案》：</w:t>
      </w:r>
    </w:p>
    <w:p>
      <w:pPr>
        <w:pStyle w:val="BodyText"/>
        <w:spacing w:line="300" w:lineRule="auto" w:before="70"/>
        <w:ind w:right="0" w:firstLine="360"/>
        <w:jc w:val="left"/>
      </w:pPr>
      <w:r>
        <w:rPr/>
        <w:t>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日颁布了《关于印发</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&gt;</w:t>
      </w:r>
      <w:r>
        <w:rPr/>
        <w:t>的通 </w:t>
      </w:r>
      <w:r>
        <w:rPr>
          <w:spacing w:val="-2"/>
        </w:rPr>
        <w:t>知》（财会</w:t>
      </w:r>
      <w:r>
        <w:rPr>
          <w:rFonts w:ascii="Times New Roman" w:hAnsi="Times New Roman" w:cs="Times New Roman" w:eastAsia="Times New Roman" w:hint="default"/>
          <w:spacing w:val="-2"/>
        </w:rPr>
        <w:t>[2017]13</w:t>
      </w:r>
      <w:r>
        <w:rPr>
          <w:spacing w:val="-2"/>
        </w:rPr>
        <w:t>号），要求自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日起在所有执行会计准则的企业范围内施行；并于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日颁布了《关</w:t>
      </w:r>
      <w:r>
        <w:rPr>
          <w:spacing w:val="-83"/>
        </w:rPr>
        <w:t> </w:t>
      </w:r>
      <w:r>
        <w:rPr>
          <w:spacing w:val="-83"/>
        </w:rPr>
      </w:r>
      <w:r>
        <w:rPr/>
        <w:t>于修订印发一般企业财务报表格式的通知》（财会</w:t>
      </w:r>
      <w:r>
        <w:rPr>
          <w:rFonts w:ascii="Times New Roman" w:hAnsi="Times New Roman" w:cs="Times New Roman" w:eastAsia="Times New Roman" w:hint="default"/>
        </w:rPr>
        <w:t>[2017]30</w:t>
      </w:r>
      <w:r>
        <w:rPr/>
        <w:t>号），对一般企业财务报表格式进行了修订，适用于</w:t>
      </w:r>
      <w:r>
        <w:rPr>
          <w:rFonts w:ascii="Times New Roman" w:hAnsi="Times New Roman" w:cs="Times New Roman" w:eastAsia="Times New Roman" w:hint="default"/>
        </w:rPr>
        <w:t>2017</w:t>
      </w:r>
      <w:r>
        <w:rPr/>
        <w:t>年度及 以后期间的财务报表。按照上述通知及上述企业会计准则的规定和要求，公司在</w:t>
      </w:r>
      <w:r>
        <w:rPr>
          <w:rFonts w:ascii="Times New Roman" w:hAnsi="Times New Roman" w:cs="Times New Roman" w:eastAsia="Times New Roman" w:hint="default"/>
        </w:rPr>
        <w:t>2017</w:t>
      </w:r>
      <w:r>
        <w:rPr/>
        <w:t>年度利润表中，列示</w:t>
      </w:r>
      <w:r>
        <w:rPr>
          <w:rFonts w:ascii="Times New Roman" w:hAnsi="Times New Roman" w:cs="Times New Roman" w:eastAsia="Times New Roman" w:hint="default"/>
        </w:rPr>
        <w:t>“</w:t>
      </w:r>
      <w:r>
        <w:rPr/>
        <w:t>持续经营净利润</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本期金额</w:t>
      </w:r>
      <w:r>
        <w:rPr>
          <w:rFonts w:ascii="Times New Roman" w:hAnsi="Times New Roman" w:cs="Times New Roman" w:eastAsia="Times New Roman" w:hint="default"/>
        </w:rPr>
        <w:t>27,216,305.58</w:t>
      </w:r>
      <w:r>
        <w:rPr/>
        <w:t>元，列示</w:t>
      </w:r>
      <w:r>
        <w:rPr>
          <w:rFonts w:ascii="Times New Roman" w:hAnsi="Times New Roman" w:cs="Times New Roman" w:eastAsia="Times New Roman" w:hint="default"/>
        </w:rPr>
        <w:t>“</w:t>
      </w:r>
      <w:r>
        <w:rPr/>
        <w:t>终止经营净利润</w:t>
      </w:r>
      <w:r>
        <w:rPr>
          <w:rFonts w:ascii="Times New Roman" w:hAnsi="Times New Roman" w:cs="Times New Roman" w:eastAsia="Times New Roman" w:hint="default"/>
        </w:rPr>
        <w:t>”</w:t>
      </w:r>
      <w:r>
        <w:rPr/>
        <w:t>本期金额</w:t>
      </w:r>
      <w:r>
        <w:rPr>
          <w:rFonts w:ascii="Times New Roman" w:hAnsi="Times New Roman" w:cs="Times New Roman" w:eastAsia="Times New Roman" w:hint="default"/>
        </w:rPr>
        <w:t>0</w:t>
      </w:r>
      <w:r>
        <w:rPr/>
        <w:t>元；列示</w:t>
      </w:r>
      <w:r>
        <w:rPr>
          <w:rFonts w:ascii="Times New Roman" w:hAnsi="Times New Roman" w:cs="Times New Roman" w:eastAsia="Times New Roman" w:hint="default"/>
        </w:rPr>
        <w:t>“</w:t>
      </w:r>
      <w:r>
        <w:rPr/>
        <w:t>持续经营净利润</w:t>
      </w:r>
      <w:r>
        <w:rPr>
          <w:rFonts w:ascii="Times New Roman" w:hAnsi="Times New Roman" w:cs="Times New Roman" w:eastAsia="Times New Roman" w:hint="default"/>
        </w:rPr>
        <w:t>”</w:t>
      </w:r>
      <w:r>
        <w:rPr/>
        <w:t>上期金额</w:t>
      </w:r>
      <w:r>
        <w:rPr>
          <w:rFonts w:ascii="Times New Roman" w:hAnsi="Times New Roman" w:cs="Times New Roman" w:eastAsia="Times New Roman" w:hint="default"/>
        </w:rPr>
        <w:t>9,903,571.10</w:t>
      </w:r>
      <w:r>
        <w:rPr/>
        <w:t>元，列示</w:t>
      </w:r>
      <w:r>
        <w:rPr>
          <w:rFonts w:ascii="Times New Roman" w:hAnsi="Times New Roman" w:cs="Times New Roman" w:eastAsia="Times New Roman" w:hint="default"/>
        </w:rPr>
        <w:t>“</w:t>
      </w:r>
      <w:r>
        <w:rPr/>
        <w:t>终止 经营净利润</w:t>
      </w:r>
      <w:r>
        <w:rPr>
          <w:rFonts w:ascii="Times New Roman" w:hAnsi="Times New Roman" w:cs="Times New Roman" w:eastAsia="Times New Roman" w:hint="default"/>
        </w:rPr>
        <w:t>”</w:t>
      </w:r>
      <w:r>
        <w:rPr/>
        <w:t>上期金额</w:t>
      </w:r>
      <w:r>
        <w:rPr>
          <w:rFonts w:ascii="Times New Roman" w:hAnsi="Times New Roman" w:cs="Times New Roman" w:eastAsia="Times New Roman" w:hint="default"/>
        </w:rPr>
        <w:t>0</w:t>
      </w:r>
      <w:r>
        <w:rPr/>
        <w:t>元。列示</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本期金额</w:t>
      </w:r>
      <w:r>
        <w:rPr>
          <w:rFonts w:ascii="Times New Roman" w:hAnsi="Times New Roman" w:cs="Times New Roman" w:eastAsia="Times New Roman" w:hint="default"/>
        </w:rPr>
        <w:t>1,568,445.06</w:t>
      </w:r>
      <w:r>
        <w:rPr/>
        <w:t>元，</w:t>
      </w:r>
      <w:r>
        <w:rPr>
          <w:rFonts w:ascii="Times New Roman" w:hAnsi="Times New Roman" w:cs="Times New Roman" w:eastAsia="Times New Roman" w:hint="default"/>
        </w:rPr>
        <w:t>2016</w:t>
      </w:r>
      <w:r>
        <w:rPr/>
        <w:t>年度公司不存在需要调整至</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5"/>
        </w:rPr>
        <w:t>项目的非流动资产处置利得和损失。具体内容详见公司于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25</w:t>
      </w:r>
      <w:r>
        <w:rPr>
          <w:spacing w:val="-5"/>
        </w:rPr>
        <w:t>日在巨潮资讯网上发布的《关于会计政策变更的公告》。</w:t>
      </w:r>
    </w:p>
    <w:p>
      <w:pPr>
        <w:pStyle w:val="BodyText"/>
        <w:spacing w:line="300" w:lineRule="auto" w:before="13"/>
        <w:ind w:right="1130" w:firstLine="360"/>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日召开第四届董事会第九次会议、第四届监事会第八次会议审议通过了《关于会计政策变更的议</w:t>
      </w:r>
      <w:r>
        <w:rPr/>
        <w:t> 案》，其中涉及本报告期的会计政策变更事项如下：</w:t>
      </w:r>
    </w:p>
    <w:p>
      <w:pPr>
        <w:pStyle w:val="BodyText"/>
        <w:spacing w:line="300" w:lineRule="auto" w:before="72"/>
        <w:ind w:right="1131" w:firstLine="360"/>
        <w:jc w:val="both"/>
      </w:pPr>
      <w:r>
        <w:rPr/>
        <w:t>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日发布了《关于修订印发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16"/>
        </w:rPr>
        <w:t> </w:t>
      </w:r>
      <w:r>
        <w:rPr>
          <w:spacing w:val="-4"/>
        </w:rPr>
        <w:t>号），要求</w:t>
      </w:r>
      <w:r>
        <w:rPr/>
        <w:t> </w:t>
      </w:r>
      <w:r>
        <w:rPr>
          <w:spacing w:val="-2"/>
        </w:rPr>
        <w:t>执行企业会计准则的非金融企业按照修订后的一般企业财务报表格式编制财务报表。另外财政部于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7</w:t>
      </w:r>
      <w:r>
        <w:rPr>
          <w:spacing w:val="-2"/>
        </w:rPr>
        <w:t>日发布了《关</w:t>
      </w:r>
      <w:r>
        <w:rPr>
          <w:spacing w:val="-59"/>
        </w:rPr>
        <w:t> </w:t>
      </w:r>
      <w:r>
        <w:rPr>
          <w:spacing w:val="-59"/>
        </w:rPr>
      </w:r>
      <w:r>
        <w:rPr/>
        <w:t>于</w:t>
      </w:r>
      <w:r>
        <w:rPr>
          <w:rFonts w:ascii="Times New Roman" w:hAnsi="Times New Roman" w:cs="Times New Roman" w:eastAsia="Times New Roman" w:hint="default"/>
        </w:rPr>
        <w:t>2018</w:t>
      </w:r>
      <w:r>
        <w:rPr/>
        <w:t>年度一般企业财务报表格式有关问题的解读》，对财会〔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号通知中的相关问题等进行了明确。</w:t>
      </w:r>
    </w:p>
    <w:p>
      <w:pPr>
        <w:pStyle w:val="BodyText"/>
        <w:spacing w:line="309" w:lineRule="auto" w:before="54"/>
        <w:ind w:right="1131" w:firstLine="360"/>
        <w:jc w:val="both"/>
      </w:pPr>
      <w:r>
        <w:rPr>
          <w:spacing w:val="-2"/>
        </w:rPr>
        <w:t>按照上述通知及相关解读的规定和要求，公司对财务报表相关科目进行列报调整，并对可比会计期间的比较数据进行了</w:t>
      </w:r>
      <w:r>
        <w:rPr/>
        <w:t> 相应调整。上述会计政策变更对公司财务状况、经营成果和现金流量无重大影响。具体内容详见公司于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日在巨</w:t>
      </w:r>
      <w:r>
        <w:rPr>
          <w:spacing w:val="-85"/>
        </w:rPr>
        <w:t> </w:t>
      </w:r>
      <w:r>
        <w:rPr>
          <w:spacing w:val="-85"/>
        </w:rPr>
      </w:r>
      <w:r>
        <w:rPr/>
        <w:t>潮资讯网上发布的《关于会计政策变更的公告》。</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10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本报告期内新设子公司</w:t>
      </w:r>
      <w:r>
        <w:rPr>
          <w:rFonts w:ascii="Times New Roman" w:hAnsi="Times New Roman" w:cs="Times New Roman" w:eastAsia="Times New Roman" w:hint="default"/>
        </w:rPr>
        <w:t>12</w:t>
      </w:r>
      <w:r>
        <w:rPr/>
        <w:t>家，包括：福建易联众易达迅教育科技有限公司、易联众通达易（厦门）信息科技有限公司、</w:t>
      </w:r>
    </w:p>
    <w:p>
      <w:pPr>
        <w:pStyle w:val="BodyText"/>
        <w:spacing w:line="215" w:lineRule="exact"/>
        <w:ind w:right="0"/>
        <w:jc w:val="left"/>
      </w:pPr>
      <w:r>
        <w:rPr/>
        <w:t>北京易联众智康科技有限公司、福建易联众医卫信息技术有限公司、山西无感付科技有限公司、安徽易惠天下软件科技有限</w:t>
      </w:r>
    </w:p>
    <w:p>
      <w:pPr>
        <w:pStyle w:val="BodyText"/>
        <w:spacing w:line="319" w:lineRule="auto" w:before="76"/>
        <w:ind w:right="0"/>
        <w:jc w:val="left"/>
      </w:pPr>
      <w:r>
        <w:rPr>
          <w:spacing w:val="-2"/>
        </w:rPr>
        <w:t>公司、保睿通（厦门）信息科技有限公司、厦门易联众长青科技有限公司、北京易联众民生科技有限公司、安徽易联众民生</w:t>
      </w:r>
      <w:r>
        <w:rPr>
          <w:spacing w:val="-70"/>
        </w:rPr>
        <w:t> </w:t>
      </w:r>
      <w:r>
        <w:rPr>
          <w:spacing w:val="-70"/>
        </w:rPr>
      </w:r>
      <w:r>
        <w:rPr/>
        <w:t>科技有限公司、福州欣贝康医药科技有限公司、三明易就医信息技术有限公司。</w:t>
      </w:r>
    </w:p>
    <w:p>
      <w:pPr>
        <w:pStyle w:val="BodyText"/>
        <w:spacing w:line="300" w:lineRule="auto" w:before="17"/>
        <w:ind w:right="1039" w:firstLine="360"/>
        <w:jc w:val="both"/>
      </w:pPr>
      <w:r>
        <w:rPr/>
        <w:t>由全资子公司安徽易联众于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日注册成立的全资孙公司宿州易联众信息技术有限公司，注册资本</w:t>
      </w:r>
      <w:r>
        <w:rPr>
          <w:rFonts w:ascii="Times New Roman" w:hAnsi="Times New Roman" w:cs="Times New Roman" w:eastAsia="Times New Roman" w:hint="default"/>
        </w:rPr>
        <w:t>50</w:t>
      </w:r>
      <w:r>
        <w:rPr/>
        <w:t>万元。截 </w:t>
      </w:r>
      <w:r>
        <w:rPr>
          <w:spacing w:val="-2"/>
        </w:rPr>
        <w:t>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日，本集团尚未支付投资款，宿州易联众信息技术有限公司也尚未开展生产经营活动，已于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月注销。</w:t>
      </w:r>
    </w:p>
    <w:p>
      <w:pPr>
        <w:pStyle w:val="BodyText"/>
        <w:spacing w:line="240" w:lineRule="auto" w:before="13"/>
        <w:ind w:left="513" w:right="0"/>
        <w:jc w:val="left"/>
      </w:pPr>
      <w:r>
        <w:rPr/>
        <w:t>由控股子公司民生科技于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日注册成立的控股孙公司北京易联众民生科技有限公司，注册资本</w:t>
      </w:r>
      <w:r>
        <w:rPr>
          <w:rFonts w:ascii="Times New Roman" w:hAnsi="Times New Roman" w:cs="Times New Roman" w:eastAsia="Times New Roman" w:hint="default"/>
        </w:rPr>
        <w:t>500</w:t>
      </w:r>
      <w:r>
        <w:rPr/>
        <w:t>万元。截止</w:t>
      </w:r>
    </w:p>
    <w:p>
      <w:pPr>
        <w:pStyle w:val="BodyText"/>
        <w:spacing w:line="300" w:lineRule="auto" w:before="63"/>
        <w:ind w:left="513" w:right="0" w:hanging="361"/>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日，本集团尚未支付投资款，北京易联众民生科技有限公司也尚未开展生产经营活动。 </w:t>
      </w:r>
      <w:r>
        <w:rPr>
          <w:spacing w:val="-2"/>
        </w:rPr>
        <w:t>由控股子公司医疗信息于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日注册成立的全资孙公司三明易就医信息技术有限公司，注册资本</w:t>
      </w:r>
      <w:r>
        <w:rPr>
          <w:rFonts w:ascii="Times New Roman" w:hAnsi="Times New Roman" w:cs="Times New Roman" w:eastAsia="Times New Roman" w:hint="default"/>
          <w:spacing w:val="-2"/>
        </w:rPr>
        <w:t>50</w:t>
      </w:r>
      <w:r>
        <w:rPr>
          <w:spacing w:val="-2"/>
        </w:rPr>
        <w:t>万元。截止</w:t>
      </w:r>
    </w:p>
    <w:p>
      <w:pPr>
        <w:pStyle w:val="BodyText"/>
        <w:spacing w:line="240" w:lineRule="auto" w:before="13"/>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日，本集团尚未支付投资款，三明易就医信息技术有限公司也尚未开展生产经营活动。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1"/>
        <w:gridCol w:w="4778"/>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94</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李仕谦、郭清艺</w:t>
            </w:r>
          </w:p>
        </w:tc>
      </w:tr>
      <w:tr>
        <w:trPr>
          <w:trHeight w:val="71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李仕谦审计服务的连续年限为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年；郭清艺审计服务的连续</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年限为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38" w:lineRule="auto" w:before="103"/>
        <w:ind w:right="1844"/>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公司报告期无股权激励计划、员工持股计划或其他员工激励措施及其实施情况。</w:t>
      </w:r>
    </w:p>
    <w:p>
      <w:pPr>
        <w:spacing w:after="0" w:line="338"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0"/>
        <w:jc w:val="left"/>
      </w:pPr>
      <w:r>
        <w:rPr/>
        <w:t>（</w:t>
      </w:r>
      <w:r>
        <w:rPr>
          <w:rFonts w:ascii="Times New Roman" w:hAnsi="Times New Roman" w:cs="Times New Roman" w:eastAsia="Times New Roman" w:hint="default"/>
        </w:rPr>
        <w:t>1</w:t>
      </w:r>
      <w:r>
        <w:rPr/>
        <w:t>）关于对外投资设立福建易联众易达迅教育科技有限公司暨关联交易事项</w:t>
      </w:r>
    </w:p>
    <w:p>
      <w:pPr>
        <w:pStyle w:val="BodyText"/>
        <w:spacing w:line="307" w:lineRule="auto" w:before="101"/>
        <w:ind w:right="1120"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日，公司第三届董事会第三十八次会议审议通过了《关于对外投资设立福建易联众易达迅教育科技有限 </w:t>
      </w:r>
      <w:r>
        <w:rPr>
          <w:spacing w:val="-2"/>
        </w:rPr>
        <w:t>公司暨关联交易的议案》，同意公司与副总经理吴一禹先生共同对外投资设立福建易联众易达迅教育科技有限公司（以下简</w:t>
      </w:r>
      <w:r>
        <w:rPr>
          <w:spacing w:val="-66"/>
        </w:rPr>
        <w:t> </w:t>
      </w:r>
      <w:r>
        <w:rPr>
          <w:spacing w:val="-66"/>
        </w:rPr>
      </w:r>
      <w:r>
        <w:rPr/>
        <w:t>称</w:t>
      </w:r>
      <w:r>
        <w:rPr>
          <w:rFonts w:ascii="Times New Roman" w:hAnsi="Times New Roman" w:cs="Times New Roman" w:eastAsia="Times New Roman" w:hint="default"/>
        </w:rPr>
        <w:t>“</w:t>
      </w:r>
      <w:r>
        <w:rPr/>
        <w:t>易达迅教育科技</w:t>
      </w:r>
      <w:r>
        <w:rPr>
          <w:rFonts w:ascii="Times New Roman" w:hAnsi="Times New Roman" w:cs="Times New Roman" w:eastAsia="Times New Roman" w:hint="default"/>
        </w:rPr>
        <w:t>”</w:t>
      </w:r>
      <w:r>
        <w:rPr/>
        <w:t>），注册资本为</w:t>
      </w:r>
      <w:r>
        <w:rPr>
          <w:spacing w:val="-47"/>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0"/>
        </w:rPr>
        <w:t> </w:t>
      </w:r>
      <w:r>
        <w:rPr/>
        <w:t>万元（人民币，下同），其中公司以自有货币资金出资</w:t>
      </w:r>
      <w:r>
        <w:rPr>
          <w:spacing w:val="-47"/>
        </w:rPr>
        <w:t> </w:t>
      </w:r>
      <w:r>
        <w:rPr>
          <w:rFonts w:ascii="Times New Roman" w:hAnsi="Times New Roman" w:cs="Times New Roman" w:eastAsia="Times New Roman" w:hint="default"/>
        </w:rPr>
        <w:t>3,250</w:t>
      </w:r>
      <w:r>
        <w:rPr>
          <w:rFonts w:ascii="Times New Roman" w:hAnsi="Times New Roman" w:cs="Times New Roman" w:eastAsia="Times New Roman" w:hint="default"/>
          <w:spacing w:val="-9"/>
        </w:rPr>
        <w:t> </w:t>
      </w:r>
      <w:r>
        <w:rPr/>
        <w:t>万元，占注册资本 的</w:t>
      </w:r>
      <w:r>
        <w:rPr>
          <w:spacing w:val="-61"/>
        </w:rPr>
        <w:t> </w:t>
      </w:r>
      <w:r>
        <w:rPr>
          <w:rFonts w:ascii="Times New Roman" w:hAnsi="Times New Roman" w:cs="Times New Roman" w:eastAsia="Times New Roman" w:hint="default"/>
        </w:rPr>
        <w:t>65%</w:t>
      </w:r>
      <w:r>
        <w:rPr/>
        <w:t>，吴一禹先生以自有货币资金出资</w:t>
      </w:r>
      <w:r>
        <w:rPr>
          <w:spacing w:val="-61"/>
        </w:rPr>
        <w:t> </w:t>
      </w:r>
      <w:r>
        <w:rPr>
          <w:rFonts w:ascii="Times New Roman" w:hAnsi="Times New Roman" w:cs="Times New Roman" w:eastAsia="Times New Roman" w:hint="default"/>
        </w:rPr>
        <w:t>1,750</w:t>
      </w:r>
      <w:r>
        <w:rPr>
          <w:rFonts w:ascii="Times New Roman" w:hAnsi="Times New Roman" w:cs="Times New Roman" w:eastAsia="Times New Roman" w:hint="default"/>
          <w:spacing w:val="-22"/>
        </w:rPr>
        <w:t> </w:t>
      </w:r>
      <w:r>
        <w:rPr/>
        <w:t>万元，占注册资本的</w:t>
      </w:r>
      <w:r>
        <w:rPr>
          <w:spacing w:val="-62"/>
        </w:rPr>
        <w:t> </w:t>
      </w:r>
      <w:r>
        <w:rPr>
          <w:rFonts w:ascii="Times New Roman" w:hAnsi="Times New Roman" w:cs="Times New Roman" w:eastAsia="Times New Roman" w:hint="default"/>
        </w:rPr>
        <w:t>35%</w:t>
      </w:r>
      <w:r>
        <w:rPr/>
        <w:t>。同时，公司同意吴一禹先生根据易达迅教育科技 </w:t>
      </w:r>
      <w:r>
        <w:rPr>
          <w:spacing w:val="-2"/>
        </w:rPr>
        <w:t>未来发展的情况，适时将其所持有的易达迅教育科技的部分股权转让给易达迅教育科技核心骨干或新引进的人才，公司放弃</w:t>
      </w:r>
      <w:r>
        <w:rPr>
          <w:spacing w:val="-64"/>
        </w:rPr>
        <w:t> </w:t>
      </w:r>
      <w:r>
        <w:rPr>
          <w:spacing w:val="-64"/>
        </w:rPr>
      </w:r>
      <w:r>
        <w:rPr/>
        <w:t>优先认购权。该议案已于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日经公司</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年第一次临时股东大会审议通过。</w:t>
      </w:r>
    </w:p>
    <w:p>
      <w:pPr>
        <w:pStyle w:val="BodyText"/>
        <w:spacing w:line="316" w:lineRule="auto" w:before="48"/>
        <w:ind w:right="1119" w:firstLine="360"/>
        <w:jc w:val="left"/>
      </w:pPr>
      <w:r>
        <w:rPr>
          <w:spacing w:val="-2"/>
        </w:rPr>
        <w:t>截止本报告披露日，易达迅教育科技已完成了相关工商注册登记手续，并获得了福州市市场监督管理局颁发的《营业执</w:t>
      </w:r>
      <w:r>
        <w:rPr/>
        <w:t> 照》。</w:t>
      </w:r>
    </w:p>
    <w:p>
      <w:pPr>
        <w:pStyle w:val="BodyText"/>
        <w:spacing w:line="240" w:lineRule="auto" w:before="59"/>
        <w:ind w:left="513" w:right="0"/>
        <w:jc w:val="left"/>
      </w:pPr>
      <w:r>
        <w:rPr/>
        <w:t>（</w:t>
      </w:r>
      <w:r>
        <w:rPr>
          <w:rFonts w:ascii="Times New Roman" w:hAnsi="Times New Roman" w:cs="Times New Roman" w:eastAsia="Times New Roman" w:hint="default"/>
        </w:rPr>
        <w:t>2</w:t>
      </w:r>
      <w:r>
        <w:rPr/>
        <w:t>）关于对外投资设立易联众联康（厦门）信息技术有限公司暨关联交易的事项</w:t>
      </w:r>
    </w:p>
    <w:p>
      <w:pPr>
        <w:pStyle w:val="BodyText"/>
        <w:spacing w:line="307" w:lineRule="auto" w:before="101"/>
        <w:ind w:right="1034" w:firstLine="432"/>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日，公司第三届董事会第三十八次会议审议通过了《关于对外投资设立易联众联康（厦门）信息技术有 </w:t>
      </w:r>
      <w:r>
        <w:rPr>
          <w:spacing w:val="-2"/>
        </w:rPr>
        <w:t>限公司暨关联交易的议案》，同意公司与副总经理孙中海先生共同对外投资设立易联众联康（厦门）信息技术有限公司（暂</w:t>
      </w:r>
      <w:r>
        <w:rPr>
          <w:spacing w:val="-67"/>
        </w:rPr>
        <w:t> </w:t>
      </w:r>
      <w:r>
        <w:rPr>
          <w:spacing w:val="-67"/>
        </w:rPr>
      </w:r>
      <w:r>
        <w:rPr/>
        <w:t>定名，以工商注册登记核准为准，以下简称</w:t>
      </w:r>
      <w:r>
        <w:rPr>
          <w:rFonts w:ascii="Times New Roman" w:hAnsi="Times New Roman" w:cs="Times New Roman" w:eastAsia="Times New Roman" w:hint="default"/>
        </w:rPr>
        <w:t>“</w:t>
      </w:r>
      <w:r>
        <w:rPr/>
        <w:t>联康信息</w:t>
      </w:r>
      <w:r>
        <w:rPr>
          <w:rFonts w:ascii="Times New Roman" w:hAnsi="Times New Roman" w:cs="Times New Roman" w:eastAsia="Times New Roman" w:hint="default"/>
        </w:rPr>
        <w:t>”</w:t>
      </w:r>
      <w:r>
        <w:rPr/>
        <w:t>），注册资本为</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0"/>
        </w:rPr>
        <w:t> </w:t>
      </w:r>
      <w:r>
        <w:rPr/>
        <w:t>万元，其中公司以自有货币资金出资</w:t>
      </w:r>
      <w:r>
        <w:rPr>
          <w:spacing w:val="-46"/>
        </w:rPr>
        <w:t> </w:t>
      </w:r>
      <w:r>
        <w:rPr>
          <w:rFonts w:ascii="Times New Roman" w:hAnsi="Times New Roman" w:cs="Times New Roman" w:eastAsia="Times New Roman" w:hint="default"/>
        </w:rPr>
        <w:t>325</w:t>
      </w:r>
      <w:r>
        <w:rPr>
          <w:rFonts w:ascii="Times New Roman" w:hAnsi="Times New Roman" w:cs="Times New Roman" w:eastAsia="Times New Roman" w:hint="default"/>
          <w:spacing w:val="-10"/>
        </w:rPr>
        <w:t> </w:t>
      </w:r>
      <w:r>
        <w:rPr/>
        <w:t>万元， 占注册资本的</w:t>
      </w:r>
      <w:r>
        <w:rPr>
          <w:spacing w:val="-46"/>
        </w:rPr>
        <w:t> </w:t>
      </w:r>
      <w:r>
        <w:rPr>
          <w:rFonts w:ascii="Times New Roman" w:hAnsi="Times New Roman" w:cs="Times New Roman" w:eastAsia="Times New Roman" w:hint="default"/>
        </w:rPr>
        <w:t>65%</w:t>
      </w:r>
      <w:r>
        <w:rPr/>
        <w:t>，孙中海先生以自有货币资金出资</w:t>
      </w:r>
      <w:r>
        <w:rPr>
          <w:spacing w:val="-46"/>
        </w:rPr>
        <w:t> </w:t>
      </w:r>
      <w:r>
        <w:rPr>
          <w:rFonts w:ascii="Times New Roman" w:hAnsi="Times New Roman" w:cs="Times New Roman" w:eastAsia="Times New Roman" w:hint="default"/>
        </w:rPr>
        <w:t>175</w:t>
      </w:r>
      <w:r>
        <w:rPr>
          <w:rFonts w:ascii="Times New Roman" w:hAnsi="Times New Roman" w:cs="Times New Roman" w:eastAsia="Times New Roman" w:hint="default"/>
          <w:spacing w:val="-10"/>
        </w:rPr>
        <w:t> </w:t>
      </w:r>
      <w:r>
        <w:rPr/>
        <w:t>万元，占注册资本的</w:t>
      </w:r>
      <w:r>
        <w:rPr>
          <w:spacing w:val="-47"/>
        </w:rPr>
        <w:t> </w:t>
      </w:r>
      <w:r>
        <w:rPr>
          <w:rFonts w:ascii="Times New Roman" w:hAnsi="Times New Roman" w:cs="Times New Roman" w:eastAsia="Times New Roman" w:hint="default"/>
        </w:rPr>
        <w:t>35%</w:t>
      </w:r>
      <w:r>
        <w:rPr/>
        <w:t>。同时，公司同意孙中海先生根据联康 信息未来发展的情况，适时将其所持联康信息的部分股权转让给联康信息核心骨干或新引进的人才，公司放弃优先认购权。 该议案已于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日经公司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年第一次临时股东大会审议通过。</w:t>
      </w:r>
    </w:p>
    <w:p>
      <w:pPr>
        <w:pStyle w:val="BodyText"/>
        <w:spacing w:line="240" w:lineRule="auto" w:before="48"/>
        <w:ind w:left="513" w:right="0"/>
        <w:jc w:val="left"/>
      </w:pPr>
      <w:r>
        <w:rPr/>
        <w:t>（</w:t>
      </w:r>
      <w:r>
        <w:rPr>
          <w:rFonts w:ascii="Times New Roman" w:hAnsi="Times New Roman" w:cs="Times New Roman" w:eastAsia="Times New Roman" w:hint="default"/>
        </w:rPr>
        <w:t>3</w:t>
      </w:r>
      <w:r>
        <w:rPr/>
        <w:t>）关于全资子公司对外投资设立保睿通（厦门）信息科技有限公司暨关联交易事项</w:t>
      </w:r>
    </w:p>
    <w:p>
      <w:pPr>
        <w:pStyle w:val="BodyText"/>
        <w:spacing w:line="240" w:lineRule="auto" w:before="103"/>
        <w:ind w:left="51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日，公司第三届董事会第三十八次会议审议通过了《关于全资子公司对外投资设立保睿通（厦门）信息</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4" w:lineRule="auto" w:before="44"/>
        <w:ind w:right="1039"/>
        <w:jc w:val="left"/>
      </w:pPr>
      <w:r>
        <w:rPr/>
        <w:t>科技有限公司暨关联交易的议案》，同意公司全资子公司易康吉保险经济有限责任公司（以下简称</w:t>
      </w:r>
      <w:r>
        <w:rPr>
          <w:rFonts w:ascii="Times New Roman" w:hAnsi="Times New Roman" w:cs="Times New Roman" w:eastAsia="Times New Roman" w:hint="default"/>
        </w:rPr>
        <w:t>“</w:t>
      </w:r>
      <w:r>
        <w:rPr/>
        <w:t>易康吉</w:t>
      </w:r>
      <w:r>
        <w:rPr>
          <w:rFonts w:ascii="Times New Roman" w:hAnsi="Times New Roman" w:cs="Times New Roman" w:eastAsia="Times New Roman" w:hint="default"/>
        </w:rPr>
        <w:t>”)</w:t>
      </w:r>
      <w:r>
        <w:rPr/>
        <w:t>与职工代表监</w:t>
      </w:r>
      <w:r>
        <w:rPr>
          <w:spacing w:val="-88"/>
        </w:rPr>
        <w:t> </w:t>
      </w:r>
      <w:r>
        <w:rPr>
          <w:spacing w:val="-88"/>
        </w:rPr>
      </w:r>
      <w:r>
        <w:rPr/>
        <w:t>事郭骁昌先生共同对外投资设立保睿通（厦门）信息科技有限公司（以下简称</w:t>
      </w:r>
      <w:r>
        <w:rPr>
          <w:rFonts w:ascii="Times New Roman" w:hAnsi="Times New Roman" w:cs="Times New Roman" w:eastAsia="Times New Roman" w:hint="default"/>
        </w:rPr>
        <w:t>“</w:t>
      </w:r>
      <w:r>
        <w:rPr/>
        <w:t>保睿通</w:t>
      </w:r>
      <w:r>
        <w:rPr>
          <w:rFonts w:ascii="Times New Roman" w:hAnsi="Times New Roman" w:cs="Times New Roman" w:eastAsia="Times New Roman" w:hint="default"/>
        </w:rPr>
        <w:t>”</w:t>
      </w:r>
      <w:r>
        <w:rPr/>
        <w:t>），注册资本为</w:t>
      </w:r>
      <w:r>
        <w:rPr>
          <w:spacing w:val="-47"/>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万元，其中易 康吉以自有货币资金出资</w:t>
      </w:r>
      <w:r>
        <w:rPr>
          <w:spacing w:val="-42"/>
        </w:rPr>
        <w:t> </w:t>
      </w:r>
      <w:r>
        <w:rPr>
          <w:rFonts w:ascii="Times New Roman" w:hAnsi="Times New Roman" w:cs="Times New Roman" w:eastAsia="Times New Roman" w:hint="default"/>
        </w:rPr>
        <w:t>1,300</w:t>
      </w:r>
      <w:r>
        <w:rPr>
          <w:rFonts w:ascii="Times New Roman" w:hAnsi="Times New Roman" w:cs="Times New Roman" w:eastAsia="Times New Roman" w:hint="default"/>
          <w:spacing w:val="-7"/>
        </w:rPr>
        <w:t> </w:t>
      </w:r>
      <w:r>
        <w:rPr>
          <w:spacing w:val="-4"/>
        </w:rPr>
        <w:t>万元，占注册资本的</w:t>
      </w:r>
      <w:r>
        <w:rPr>
          <w:spacing w:val="-45"/>
        </w:rPr>
        <w:t> </w:t>
      </w:r>
      <w:r>
        <w:rPr>
          <w:rFonts w:ascii="Times New Roman" w:hAnsi="Times New Roman" w:cs="Times New Roman" w:eastAsia="Times New Roman" w:hint="default"/>
          <w:spacing w:val="-3"/>
        </w:rPr>
        <w:t>65%</w:t>
      </w:r>
      <w:r>
        <w:rPr>
          <w:spacing w:val="-3"/>
        </w:rPr>
        <w:t>，郭骁昌以自有货币资金出资</w:t>
      </w:r>
      <w:r>
        <w:rPr>
          <w:spacing w:val="-42"/>
        </w:rPr>
        <w:t> </w:t>
      </w:r>
      <w:r>
        <w:rPr>
          <w:rFonts w:ascii="Times New Roman" w:hAnsi="Times New Roman" w:cs="Times New Roman" w:eastAsia="Times New Roman" w:hint="default"/>
        </w:rPr>
        <w:t>700</w:t>
      </w:r>
      <w:r>
        <w:rPr>
          <w:rFonts w:ascii="Times New Roman" w:hAnsi="Times New Roman" w:cs="Times New Roman" w:eastAsia="Times New Roman" w:hint="default"/>
          <w:spacing w:val="-10"/>
        </w:rPr>
        <w:t> </w:t>
      </w:r>
      <w:r>
        <w:rPr>
          <w:spacing w:val="-4"/>
        </w:rPr>
        <w:t>万元，占注册资本的</w:t>
      </w:r>
      <w:r>
        <w:rPr>
          <w:spacing w:val="-42"/>
        </w:rPr>
        <w:t> </w:t>
      </w:r>
      <w:r>
        <w:rPr>
          <w:rFonts w:ascii="Times New Roman" w:hAnsi="Times New Roman" w:cs="Times New Roman" w:eastAsia="Times New Roman" w:hint="default"/>
          <w:spacing w:val="-6"/>
        </w:rPr>
        <w:t>35%</w:t>
      </w:r>
      <w:r>
        <w:rPr>
          <w:spacing w:val="-6"/>
        </w:rPr>
        <w:t>。同时，</w:t>
      </w:r>
      <w:r>
        <w:rPr/>
        <w:t> </w:t>
      </w:r>
      <w:r>
        <w:rPr>
          <w:spacing w:val="-2"/>
        </w:rPr>
        <w:t>公司同意郭骁昌先生根据保睿通未来发展的情况，适时将其所持有的保睿通部分股权转让给保睿通的管理团队，公司放弃优</w:t>
      </w:r>
      <w:r>
        <w:rPr>
          <w:spacing w:val="-64"/>
        </w:rPr>
        <w:t> </w:t>
      </w:r>
      <w:r>
        <w:rPr>
          <w:spacing w:val="-64"/>
        </w:rPr>
      </w:r>
      <w:r>
        <w:rPr/>
        <w:t>先认购权。该议案已于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日经公司</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年第一次临时股东大会审议通过。</w:t>
      </w:r>
    </w:p>
    <w:p>
      <w:pPr>
        <w:pStyle w:val="BodyText"/>
        <w:spacing w:line="240" w:lineRule="auto" w:before="50"/>
        <w:ind w:left="513" w:right="0"/>
        <w:jc w:val="left"/>
      </w:pPr>
      <w:r>
        <w:rPr/>
        <w:t>截止本报告披露日，保睿通已完成了相关工商注册登记手续，并获得了厦门市市场监督管理局颁发的《营业执照》。</w:t>
      </w:r>
    </w:p>
    <w:p>
      <w:pPr>
        <w:pStyle w:val="BodyText"/>
        <w:spacing w:line="240" w:lineRule="auto" w:before="115"/>
        <w:ind w:left="513" w:right="0"/>
        <w:jc w:val="left"/>
      </w:pPr>
      <w:r>
        <w:rPr/>
        <w:t>（</w:t>
      </w:r>
      <w:r>
        <w:rPr>
          <w:rFonts w:ascii="Times New Roman" w:hAnsi="Times New Roman" w:cs="Times New Roman" w:eastAsia="Times New Roman" w:hint="default"/>
        </w:rPr>
        <w:t>4</w:t>
      </w:r>
      <w:r>
        <w:rPr/>
        <w:t>）关于放弃控股子公司股权优先购买权暨关联交易事项</w:t>
      </w:r>
    </w:p>
    <w:p>
      <w:pPr>
        <w:pStyle w:val="BodyText"/>
        <w:spacing w:line="304" w:lineRule="auto" w:before="103"/>
        <w:ind w:right="0"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日，公司第三届董事会第三十八次会议审议通过了《关于放弃控股子公司股权优先购买权暨关联交易的 </w:t>
      </w:r>
      <w:r>
        <w:rPr>
          <w:spacing w:val="-2"/>
        </w:rPr>
        <w:t>议案》，公司控股子公司易联众（厦门）大数据科技有限公司（以下简称</w:t>
      </w:r>
      <w:r>
        <w:rPr>
          <w:rFonts w:ascii="Times New Roman" w:hAnsi="Times New Roman" w:cs="Times New Roman" w:eastAsia="Times New Roman" w:hint="default"/>
          <w:spacing w:val="-2"/>
        </w:rPr>
        <w:t>“</w:t>
      </w:r>
      <w:r>
        <w:rPr>
          <w:spacing w:val="-2"/>
        </w:rPr>
        <w:t>大数据公司</w:t>
      </w:r>
      <w:r>
        <w:rPr>
          <w:rFonts w:ascii="Times New Roman" w:hAnsi="Times New Roman" w:cs="Times New Roman" w:eastAsia="Times New Roman" w:hint="default"/>
          <w:spacing w:val="-2"/>
        </w:rPr>
        <w:t>”</w:t>
      </w:r>
      <w:r>
        <w:rPr>
          <w:spacing w:val="-2"/>
        </w:rPr>
        <w:t>）的股东易康投资管理有限公司有意</w:t>
      </w:r>
      <w:r>
        <w:rPr>
          <w:spacing w:val="-48"/>
        </w:rPr>
        <w:t> </w:t>
      </w:r>
      <w:r>
        <w:rPr>
          <w:spacing w:val="-48"/>
        </w:rPr>
      </w:r>
      <w:r>
        <w:rPr/>
        <w:t>将其持有的大数据公司</w:t>
      </w:r>
      <w:r>
        <w:rPr>
          <w:spacing w:val="-45"/>
        </w:rPr>
        <w:t> </w:t>
      </w:r>
      <w:r>
        <w:rPr>
          <w:rFonts w:ascii="Times New Roman" w:hAnsi="Times New Roman" w:cs="Times New Roman" w:eastAsia="Times New Roman" w:hint="default"/>
        </w:rPr>
        <w:t>20%</w:t>
      </w:r>
      <w:r>
        <w:rPr/>
        <w:t>的股权转让给公司副总经理、大数据公司董事兼总经理吴梁斌先生。为了在大数据公司形成有 </w:t>
      </w:r>
      <w:r>
        <w:rPr>
          <w:spacing w:val="-2"/>
        </w:rPr>
        <w:t>效的激励机制，吴梁斌先生将根据大数据公司未来发展的情况适时将其所持有的大数据公司部分股权转让给大数据公司核心</w:t>
      </w:r>
      <w:r>
        <w:rPr>
          <w:spacing w:val="-64"/>
        </w:rPr>
        <w:t> </w:t>
      </w:r>
      <w:r>
        <w:rPr>
          <w:spacing w:val="-64"/>
        </w:rPr>
      </w:r>
      <w:r>
        <w:rPr>
          <w:spacing w:val="-2"/>
        </w:rPr>
        <w:t>骨干，公司将放弃优先购买权。考虑到公司已是大数据公司绝对控股股东，同时为形成有效的激励机制，推动大数据公司未</w:t>
      </w:r>
      <w:r>
        <w:rPr>
          <w:spacing w:val="-64"/>
        </w:rPr>
        <w:t> </w:t>
      </w:r>
      <w:r>
        <w:rPr>
          <w:spacing w:val="-64"/>
        </w:rPr>
      </w:r>
      <w:r>
        <w:rPr/>
        <w:t>来的发展，公司同意本次股权转让且放弃优先购买权。本次股权转让后，公司持有大数据公司股权比例仍为</w:t>
      </w:r>
      <w:r>
        <w:rPr>
          <w:spacing w:val="-44"/>
        </w:rPr>
        <w:t> </w:t>
      </w:r>
      <w:r>
        <w:rPr>
          <w:rFonts w:ascii="Times New Roman" w:hAnsi="Times New Roman" w:cs="Times New Roman" w:eastAsia="Times New Roman" w:hint="default"/>
        </w:rPr>
        <w:t>80%</w:t>
      </w:r>
      <w:r>
        <w:rPr/>
        <w:t>，公司对 大数据公司仍具有绝对控制权，持股比例及合并报表范围未发生改变。该议案已于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日经公司</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年第一次 临时股东大会审议通过。</w:t>
      </w:r>
    </w:p>
    <w:p>
      <w:pPr>
        <w:pStyle w:val="BodyText"/>
        <w:spacing w:line="240" w:lineRule="auto" w:before="68"/>
        <w:ind w:left="513" w:right="0"/>
        <w:jc w:val="left"/>
      </w:pPr>
      <w:r>
        <w:rPr/>
        <w:t>截止本报告披露日，大数据公司已完成了相关的工商变更登记手续。</w:t>
      </w:r>
    </w:p>
    <w:p>
      <w:pPr>
        <w:pStyle w:val="BodyText"/>
        <w:spacing w:line="240" w:lineRule="auto" w:before="115"/>
        <w:ind w:left="513" w:right="0"/>
        <w:jc w:val="left"/>
      </w:pPr>
      <w:r>
        <w:rPr/>
        <w:t>（</w:t>
      </w:r>
      <w:r>
        <w:rPr>
          <w:rFonts w:ascii="Times New Roman" w:hAnsi="Times New Roman" w:cs="Times New Roman" w:eastAsia="Times New Roman" w:hint="default"/>
        </w:rPr>
        <w:t>5</w:t>
      </w:r>
      <w:r>
        <w:rPr/>
        <w:t>）关于全资子公司放弃孙公司股权优先购买权及对其同比例增资暨关联交易事项</w:t>
      </w:r>
    </w:p>
    <w:p>
      <w:pPr>
        <w:pStyle w:val="BodyText"/>
        <w:spacing w:line="304" w:lineRule="auto" w:before="103"/>
        <w:ind w:right="1116"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日，公司第三届董事会第四十二次会议审议通过了《关于全资子公司放弃孙公司股权优先购买权及对其 </w:t>
      </w:r>
      <w:r>
        <w:rPr>
          <w:spacing w:val="-2"/>
        </w:rPr>
        <w:t>同比例增资暨关联交易的议案》，公司现任职工代表监事、公司控股子公司保睿通公司股东郭骁昌先生拟将其持有的保睿通</w:t>
      </w:r>
      <w:r>
        <w:rPr>
          <w:spacing w:val="-65"/>
        </w:rPr>
        <w:t> </w:t>
      </w:r>
      <w:r>
        <w:rPr>
          <w:spacing w:val="-65"/>
        </w:rPr>
      </w:r>
      <w:r>
        <w:rPr>
          <w:rFonts w:ascii="Times New Roman" w:hAnsi="Times New Roman" w:cs="Times New Roman" w:eastAsia="Times New Roman" w:hint="default"/>
          <w:spacing w:val="-1"/>
        </w:rPr>
        <w:t>15%</w:t>
      </w:r>
      <w:r>
        <w:rPr>
          <w:spacing w:val="-1"/>
        </w:rPr>
        <w:t>股权分别转让给庄毅先生、公司副总经理陈江生先生及公司关联法人厦门易之众投资管理合伙企业（有限合伙），转让</w:t>
      </w:r>
      <w:r>
        <w:rPr>
          <w:spacing w:val="-88"/>
        </w:rPr>
        <w:t> </w:t>
      </w:r>
      <w:r>
        <w:rPr>
          <w:spacing w:val="-88"/>
        </w:rPr>
      </w:r>
      <w:r>
        <w:rPr/>
        <w:t>比例均为</w:t>
      </w:r>
      <w:r>
        <w:rPr>
          <w:spacing w:val="-52"/>
        </w:rPr>
        <w:t> </w:t>
      </w:r>
      <w:r>
        <w:rPr>
          <w:rFonts w:ascii="Times New Roman" w:hAnsi="Times New Roman" w:cs="Times New Roman" w:eastAsia="Times New Roman" w:hint="default"/>
        </w:rPr>
        <w:t>5%</w:t>
      </w:r>
      <w:r>
        <w:rPr/>
        <w:t>。公司同意本次股权转让并放弃优先购买权，同时为支持保睿通商业模式构建和业务发展，公司同意易康吉按 出资比例以货币方式与其他股东同比例向保睿通增资</w:t>
      </w:r>
      <w:r>
        <w:rPr>
          <w:spacing w:val="-45"/>
        </w:rPr>
        <w:t> </w:t>
      </w:r>
      <w:r>
        <w:rPr>
          <w:rFonts w:ascii="Times New Roman" w:hAnsi="Times New Roman" w:cs="Times New Roman" w:eastAsia="Times New Roman" w:hint="default"/>
        </w:rPr>
        <w:t>1,600</w:t>
      </w:r>
      <w:r>
        <w:rPr>
          <w:rFonts w:ascii="Times New Roman" w:hAnsi="Times New Roman" w:cs="Times New Roman" w:eastAsia="Times New Roman" w:hint="default"/>
          <w:spacing w:val="-11"/>
        </w:rPr>
        <w:t> </w:t>
      </w:r>
      <w:r>
        <w:rPr/>
        <w:t>万元，易康吉按出资比例应增资</w:t>
      </w:r>
      <w:r>
        <w:rPr>
          <w:spacing w:val="-45"/>
        </w:rPr>
        <w:t> </w:t>
      </w:r>
      <w:r>
        <w:rPr>
          <w:rFonts w:ascii="Times New Roman" w:hAnsi="Times New Roman" w:cs="Times New Roman" w:eastAsia="Times New Roman" w:hint="default"/>
        </w:rPr>
        <w:t>1,040</w:t>
      </w:r>
      <w:r>
        <w:rPr>
          <w:rFonts w:ascii="Times New Roman" w:hAnsi="Times New Roman" w:cs="Times New Roman" w:eastAsia="Times New Roman" w:hint="default"/>
          <w:spacing w:val="-9"/>
        </w:rPr>
        <w:t> </w:t>
      </w:r>
      <w:r>
        <w:rPr/>
        <w:t>万元，此次增资完成后，</w:t>
      </w:r>
    </w:p>
    <w:p>
      <w:pPr>
        <w:pStyle w:val="BodyText"/>
        <w:spacing w:line="300" w:lineRule="auto" w:before="9"/>
        <w:ind w:right="1155"/>
        <w:jc w:val="left"/>
      </w:pPr>
      <w:r>
        <w:rPr/>
        <w:t>易康吉持有的保睿通股权比例保持不变，仍为</w:t>
      </w:r>
      <w:r>
        <w:rPr>
          <w:spacing w:val="-45"/>
        </w:rPr>
        <w:t> </w:t>
      </w:r>
      <w:r>
        <w:rPr>
          <w:rFonts w:ascii="Times New Roman" w:hAnsi="Times New Roman" w:cs="Times New Roman" w:eastAsia="Times New Roman" w:hint="default"/>
        </w:rPr>
        <w:t>65%</w:t>
      </w:r>
      <w:r>
        <w:rPr/>
        <w:t>。该议案已于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日经公司</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年第二次临时股东大会审议 通过。</w:t>
      </w:r>
    </w:p>
    <w:p>
      <w:pPr>
        <w:pStyle w:val="BodyText"/>
        <w:spacing w:line="240" w:lineRule="auto" w:before="72"/>
        <w:ind w:left="513" w:right="0"/>
        <w:jc w:val="left"/>
      </w:pPr>
      <w:r>
        <w:rPr/>
        <w:t>截止本报告披露日，保睿通已完成了相关的工商变更登记手续。</w:t>
      </w:r>
    </w:p>
    <w:p>
      <w:pPr>
        <w:pStyle w:val="BodyText"/>
        <w:spacing w:line="240" w:lineRule="auto" w:before="115"/>
        <w:ind w:left="513" w:right="0"/>
        <w:jc w:val="left"/>
      </w:pPr>
      <w:r>
        <w:rPr/>
        <w:t>（</w:t>
      </w:r>
      <w:r>
        <w:rPr>
          <w:rFonts w:ascii="Times New Roman" w:hAnsi="Times New Roman" w:cs="Times New Roman" w:eastAsia="Times New Roman" w:hint="default"/>
        </w:rPr>
        <w:t>6</w:t>
      </w:r>
      <w:r>
        <w:rPr/>
        <w:t>）关于与同一关联人发生关联交易的事项</w:t>
      </w:r>
    </w:p>
    <w:p>
      <w:pPr>
        <w:pStyle w:val="BodyText"/>
        <w:spacing w:line="240" w:lineRule="auto" w:before="103"/>
        <w:ind w:left="51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日，公司第三届董事会第四十二次会议审议通过了《关于与同一关联人发生关联交易的议案》，福建易</w:t>
      </w:r>
    </w:p>
    <w:p>
      <w:pPr>
        <w:pStyle w:val="BodyText"/>
        <w:spacing w:line="240" w:lineRule="auto" w:before="63"/>
        <w:ind w:right="0"/>
        <w:jc w:val="left"/>
      </w:pPr>
      <w:r>
        <w:rPr/>
        <w:t>联众医联信息技术有限公司（现已更名为福建医联康护信息技术有限公司，以下简称</w:t>
      </w:r>
      <w:r>
        <w:rPr>
          <w:rFonts w:ascii="Times New Roman" w:hAnsi="Times New Roman" w:cs="Times New Roman" w:eastAsia="Times New Roman" w:hint="default"/>
        </w:rPr>
        <w:t>“</w:t>
      </w:r>
      <w:r>
        <w:rPr/>
        <w:t>医联康护</w:t>
      </w:r>
      <w:r>
        <w:rPr>
          <w:rFonts w:ascii="Times New Roman" w:hAnsi="Times New Roman" w:cs="Times New Roman" w:eastAsia="Times New Roman" w:hint="default"/>
        </w:rPr>
        <w:t>”</w:t>
      </w:r>
      <w:r>
        <w:rPr/>
        <w:t>）在</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spacing w:val="-3"/>
        </w:rPr>
        <w:t>日成</w:t>
      </w:r>
      <w:r>
        <w:rPr/>
      </w:r>
    </w:p>
    <w:p>
      <w:pPr>
        <w:pStyle w:val="BodyText"/>
        <w:spacing w:line="240" w:lineRule="auto" w:before="63"/>
        <w:ind w:right="0"/>
        <w:jc w:val="left"/>
        <w:rPr>
          <w:rFonts w:ascii="Times New Roman" w:hAnsi="Times New Roman" w:cs="Times New Roman" w:eastAsia="Times New Roman" w:hint="default"/>
        </w:rPr>
      </w:pPr>
      <w:r>
        <w:rPr/>
        <w:t>为公司的关联方，基于业务的延续性，公司及控股子公司与医联康护发生采购和销售等业务。自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t>日至</w:t>
      </w:r>
      <w:r>
        <w:rPr>
          <w:spacing w:val="-49"/>
        </w:rPr>
        <w:t> </w:t>
      </w:r>
      <w:r>
        <w:rPr>
          <w:rFonts w:ascii="Times New Roman" w:hAnsi="Times New Roman" w:cs="Times New Roman" w:eastAsia="Times New Roman" w:hint="default"/>
        </w:rPr>
        <w:t>2018</w:t>
      </w:r>
    </w:p>
    <w:p>
      <w:pPr>
        <w:pStyle w:val="BodyText"/>
        <w:spacing w:line="300" w:lineRule="auto" w:before="63"/>
        <w:ind w:right="1120"/>
        <w:jc w:val="left"/>
      </w:pP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日，公司及控股子公司与同一关联人，即医联康护，已发生的关联交易累计金额为</w:t>
      </w:r>
      <w:r>
        <w:rPr>
          <w:spacing w:val="-45"/>
        </w:rPr>
        <w:t> </w:t>
      </w:r>
      <w:r>
        <w:rPr>
          <w:rFonts w:ascii="Times New Roman" w:hAnsi="Times New Roman" w:cs="Times New Roman" w:eastAsia="Times New Roman" w:hint="default"/>
        </w:rPr>
        <w:t>283.89</w:t>
      </w:r>
      <w:r>
        <w:rPr>
          <w:rFonts w:ascii="Times New Roman" w:hAnsi="Times New Roman" w:cs="Times New Roman" w:eastAsia="Times New Roman" w:hint="default"/>
          <w:spacing w:val="-8"/>
        </w:rPr>
        <w:t> </w:t>
      </w:r>
      <w:r>
        <w:rPr/>
        <w:t>万元，占公司</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年度 经审计净资产的</w:t>
      </w:r>
      <w:r>
        <w:rPr>
          <w:spacing w:val="-46"/>
        </w:rPr>
        <w:t> </w:t>
      </w:r>
      <w:r>
        <w:rPr>
          <w:rFonts w:ascii="Times New Roman" w:hAnsi="Times New Roman" w:cs="Times New Roman" w:eastAsia="Times New Roman" w:hint="default"/>
        </w:rPr>
        <w:t>0.39%</w:t>
      </w:r>
      <w:r>
        <w:rPr/>
        <w:t>，已发生和拟发生的关联交易累计金额为</w:t>
      </w:r>
      <w:r>
        <w:rPr>
          <w:spacing w:val="-46"/>
        </w:rPr>
        <w:t> </w:t>
      </w:r>
      <w:r>
        <w:rPr>
          <w:rFonts w:ascii="Times New Roman" w:hAnsi="Times New Roman" w:cs="Times New Roman" w:eastAsia="Times New Roman" w:hint="default"/>
        </w:rPr>
        <w:t>853.29</w:t>
      </w:r>
      <w:r>
        <w:rPr>
          <w:rFonts w:ascii="Times New Roman" w:hAnsi="Times New Roman" w:cs="Times New Roman" w:eastAsia="Times New Roman" w:hint="default"/>
          <w:spacing w:val="-8"/>
        </w:rPr>
        <w:t> </w:t>
      </w:r>
      <w:r>
        <w:rPr/>
        <w:t>万元，占公司</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年度经审计净资产的</w:t>
      </w:r>
      <w:r>
        <w:rPr>
          <w:spacing w:val="-46"/>
        </w:rPr>
        <w:t> </w:t>
      </w:r>
      <w:r>
        <w:rPr>
          <w:rFonts w:ascii="Times New Roman" w:hAnsi="Times New Roman" w:cs="Times New Roman" w:eastAsia="Times New Roman" w:hint="default"/>
        </w:rPr>
        <w:t>1.17%</w:t>
      </w:r>
      <w:r>
        <w:rPr/>
        <w:t>。</w:t>
      </w:r>
    </w:p>
    <w:p>
      <w:pPr>
        <w:pStyle w:val="BodyText"/>
        <w:spacing w:line="240" w:lineRule="auto" w:before="54"/>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15"/>
        </w:rPr>
        <w:t> </w:t>
      </w:r>
      <w:r>
        <w:rPr/>
        <w:t>日，公司第四届董事会第二次会议审议通过了《关于与同一关联人发生关联交易的议案》。自</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5"/>
        </w:rPr>
        <w:t> </w:t>
      </w:r>
      <w:r>
        <w:rPr>
          <w:rFonts w:ascii="Times New Roman" w:hAnsi="Times New Roman" w:cs="Times New Roman" w:eastAsia="Times New Roman" w:hint="default"/>
        </w:rPr>
        <w:t>6</w:t>
      </w:r>
    </w:p>
    <w:p>
      <w:pPr>
        <w:pStyle w:val="BodyText"/>
        <w:spacing w:line="240" w:lineRule="auto" w:before="63"/>
        <w:ind w:right="0"/>
        <w:jc w:val="left"/>
      </w:pPr>
      <w:r>
        <w:rPr/>
        <w:t>月</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日至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15"/>
        </w:rPr>
        <w:t> </w:t>
      </w:r>
      <w:r>
        <w:rPr/>
        <w:t>日，公司及控股子公司与同一关联人，即医联康护，已发生的关联交易累计金额为</w:t>
      </w:r>
      <w:r>
        <w:rPr>
          <w:spacing w:val="-51"/>
        </w:rPr>
        <w:t> </w:t>
      </w:r>
      <w:r>
        <w:rPr>
          <w:rFonts w:ascii="Times New Roman" w:hAnsi="Times New Roman" w:cs="Times New Roman" w:eastAsia="Times New Roman" w:hint="default"/>
        </w:rPr>
        <w:t>117.46</w:t>
      </w:r>
      <w:r>
        <w:rPr>
          <w:rFonts w:ascii="Times New Roman" w:hAnsi="Times New Roman" w:cs="Times New Roman" w:eastAsia="Times New Roman" w:hint="default"/>
          <w:spacing w:val="-15"/>
        </w:rPr>
        <w:t> </w:t>
      </w:r>
      <w:r>
        <w:rPr>
          <w:spacing w:val="-7"/>
        </w:rPr>
        <w:t>万元，占</w:t>
      </w:r>
    </w:p>
    <w:p>
      <w:pPr>
        <w:pStyle w:val="BodyText"/>
        <w:spacing w:line="300" w:lineRule="auto" w:before="63"/>
        <w:ind w:right="1125"/>
        <w:jc w:val="left"/>
      </w:pPr>
      <w:r>
        <w:rPr/>
        <w:t>公司</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年度经审计净资产的</w:t>
      </w:r>
      <w:r>
        <w:rPr>
          <w:spacing w:val="-52"/>
        </w:rPr>
        <w:t> </w:t>
      </w:r>
      <w:r>
        <w:rPr>
          <w:rFonts w:ascii="Times New Roman" w:hAnsi="Times New Roman" w:cs="Times New Roman" w:eastAsia="Times New Roman" w:hint="default"/>
        </w:rPr>
        <w:t>0.16%</w:t>
      </w:r>
      <w:r>
        <w:rPr/>
        <w:t>，已发生和拟发生的关联交易累计金额为</w:t>
      </w:r>
      <w:r>
        <w:rPr>
          <w:spacing w:val="-51"/>
        </w:rPr>
        <w:t> </w:t>
      </w:r>
      <w:r>
        <w:rPr>
          <w:rFonts w:ascii="Times New Roman" w:hAnsi="Times New Roman" w:cs="Times New Roman" w:eastAsia="Times New Roman" w:hint="default"/>
        </w:rPr>
        <w:t>450.51</w:t>
      </w:r>
      <w:r>
        <w:rPr>
          <w:rFonts w:ascii="Times New Roman" w:hAnsi="Times New Roman" w:cs="Times New Roman" w:eastAsia="Times New Roman" w:hint="default"/>
          <w:spacing w:val="-13"/>
        </w:rPr>
        <w:t> </w:t>
      </w:r>
      <w:r>
        <w:rPr>
          <w:spacing w:val="-7"/>
        </w:rPr>
        <w:t>万元，占公司</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年度经审计净资产 的</w:t>
      </w:r>
      <w:r>
        <w:rPr>
          <w:spacing w:val="-45"/>
        </w:rPr>
        <w:t> </w:t>
      </w:r>
      <w:r>
        <w:rPr>
          <w:rFonts w:ascii="Times New Roman" w:hAnsi="Times New Roman" w:cs="Times New Roman" w:eastAsia="Times New Roman" w:hint="default"/>
        </w:rPr>
        <w:t>0.62%</w:t>
      </w:r>
      <w:r>
        <w:rPr/>
        <w:t>。</w:t>
      </w:r>
    </w:p>
    <w:p>
      <w:pPr>
        <w:pStyle w:val="BodyText"/>
        <w:spacing w:line="240" w:lineRule="auto" w:before="51"/>
        <w:ind w:right="0"/>
        <w:jc w:val="left"/>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1"/>
        <w:gridCol w:w="3460"/>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7"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5"/>
              <w:jc w:val="left"/>
              <w:rPr>
                <w:rFonts w:ascii="宋体" w:hAnsi="宋体" w:cs="宋体" w:eastAsia="宋体" w:hint="default"/>
                <w:sz w:val="18"/>
                <w:szCs w:val="18"/>
              </w:rPr>
            </w:pPr>
            <w:r>
              <w:rPr>
                <w:rFonts w:ascii="宋体" w:hAnsi="宋体" w:cs="宋体" w:eastAsia="宋体" w:hint="default"/>
                <w:sz w:val="18"/>
                <w:szCs w:val="18"/>
              </w:rPr>
              <w:t>《关于对外投资设立福建易联众易达迅教 </w:t>
            </w:r>
            <w:r>
              <w:rPr>
                <w:rFonts w:ascii="宋体" w:hAnsi="宋体" w:cs="宋体" w:eastAsia="宋体" w:hint="default"/>
                <w:spacing w:val="-5"/>
                <w:sz w:val="18"/>
                <w:szCs w:val="18"/>
              </w:rPr>
              <w:t>育科技有限公司暨关联交易的公告》（公告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2018-012</w:t>
            </w:r>
            <w:r>
              <w:rPr>
                <w:rFonts w:ascii="宋体" w:hAnsi="宋体" w:cs="宋体" w:eastAsia="宋体" w:hint="default"/>
                <w:sz w:val="18"/>
                <w:szCs w:val="18"/>
              </w:rPr>
              <w:t>）</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67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2"/>
                <w:sz w:val="18"/>
                <w:szCs w:val="18"/>
              </w:rPr>
              <w:t>《关于对外投资设立易联众联康（厦门）信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息技术有限公司暨关联交易的公告》（公告</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59"/>
        <w:gridCol w:w="2651"/>
        <w:gridCol w:w="3460"/>
      </w:tblGrid>
      <w:tr>
        <w:trPr>
          <w:trHeight w:val="36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编号：</w:t>
            </w:r>
            <w:r>
              <w:rPr>
                <w:rFonts w:ascii="Times New Roman" w:hAnsi="Times New Roman" w:cs="Times New Roman" w:eastAsia="Times New Roman" w:hint="default"/>
                <w:sz w:val="18"/>
                <w:szCs w:val="18"/>
              </w:rPr>
              <w:t>2018-013</w:t>
            </w:r>
            <w:r>
              <w:rPr>
                <w:rFonts w:ascii="宋体" w:hAnsi="宋体" w:cs="宋体" w:eastAsia="宋体" w:hint="default"/>
                <w:sz w:val="18"/>
                <w:szCs w:val="18"/>
              </w:rPr>
              <w:t>）</w:t>
            </w:r>
          </w:p>
        </w:tc>
        <w:tc>
          <w:tcPr>
            <w:tcW w:w="2651" w:type="dxa"/>
            <w:tcBorders>
              <w:top w:val="single" w:sz="4" w:space="0" w:color="000000"/>
              <w:left w:val="single" w:sz="4" w:space="0" w:color="000000"/>
              <w:bottom w:val="single" w:sz="4" w:space="0" w:color="000000"/>
              <w:right w:val="single" w:sz="4" w:space="0" w:color="000000"/>
            </w:tcBorders>
          </w:tcPr>
          <w:p>
            <w:pPr/>
          </w:p>
        </w:tc>
        <w:tc>
          <w:tcPr>
            <w:tcW w:w="3460"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
              <w:jc w:val="left"/>
              <w:rPr>
                <w:rFonts w:ascii="宋体" w:hAnsi="宋体" w:cs="宋体" w:eastAsia="宋体" w:hint="default"/>
                <w:sz w:val="18"/>
                <w:szCs w:val="18"/>
              </w:rPr>
            </w:pPr>
            <w:r>
              <w:rPr>
                <w:rFonts w:ascii="宋体" w:hAnsi="宋体" w:cs="宋体" w:eastAsia="宋体" w:hint="default"/>
                <w:sz w:val="18"/>
                <w:szCs w:val="18"/>
              </w:rPr>
              <w:t>《关于全资子公司对外投资设立保睿通（厦 门）信息科技有限公司暨关联交易的公告》</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2018-014</w:t>
            </w:r>
            <w:r>
              <w:rPr>
                <w:rFonts w:ascii="宋体" w:hAnsi="宋体" w:cs="宋体" w:eastAsia="宋体" w:hint="default"/>
                <w:sz w:val="18"/>
                <w:szCs w:val="18"/>
              </w:rPr>
              <w:t>）</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《关于放弃控股子公司股权优先购买权暨 </w:t>
            </w:r>
            <w:r>
              <w:rPr>
                <w:rFonts w:ascii="宋体" w:hAnsi="宋体" w:cs="宋体" w:eastAsia="宋体" w:hint="default"/>
                <w:spacing w:val="-4"/>
                <w:sz w:val="18"/>
                <w:szCs w:val="18"/>
              </w:rPr>
              <w:t>关联交易的公告》（公告编号：</w:t>
            </w:r>
            <w:r>
              <w:rPr>
                <w:rFonts w:ascii="Times New Roman" w:hAnsi="Times New Roman" w:cs="Times New Roman" w:eastAsia="Times New Roman" w:hint="default"/>
                <w:spacing w:val="-4"/>
                <w:sz w:val="18"/>
                <w:szCs w:val="18"/>
              </w:rPr>
              <w:t>2018-015</w:t>
            </w:r>
            <w:r>
              <w:rPr>
                <w:rFonts w:ascii="宋体" w:hAnsi="宋体" w:cs="宋体" w:eastAsia="宋体" w:hint="default"/>
                <w:spacing w:val="-4"/>
                <w:sz w:val="18"/>
                <w:szCs w:val="18"/>
              </w:rPr>
              <w:t>）</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102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
              <w:jc w:val="left"/>
              <w:rPr>
                <w:rFonts w:ascii="宋体" w:hAnsi="宋体" w:cs="宋体" w:eastAsia="宋体" w:hint="default"/>
                <w:sz w:val="18"/>
                <w:szCs w:val="18"/>
              </w:rPr>
            </w:pPr>
            <w:r>
              <w:rPr>
                <w:rFonts w:ascii="宋体" w:hAnsi="宋体" w:cs="宋体" w:eastAsia="宋体" w:hint="default"/>
                <w:sz w:val="18"/>
                <w:szCs w:val="18"/>
              </w:rPr>
              <w:t>《关于全资子公司放弃孙公司股权优先购 买权及对其同比例增资暨关联交易的公告》</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2018-040</w:t>
            </w:r>
            <w:r>
              <w:rPr>
                <w:rFonts w:ascii="宋体" w:hAnsi="宋体" w:cs="宋体" w:eastAsia="宋体" w:hint="default"/>
                <w:sz w:val="18"/>
                <w:szCs w:val="18"/>
              </w:rPr>
              <w:t>）</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716"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《关于与同一关联人发生关联交易的公告》</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2018-041</w:t>
            </w:r>
            <w:r>
              <w:rPr>
                <w:rFonts w:ascii="宋体" w:hAnsi="宋体" w:cs="宋体" w:eastAsia="宋体" w:hint="default"/>
                <w:sz w:val="18"/>
                <w:szCs w:val="18"/>
              </w:rPr>
              <w:t>）</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《关于与同一关联人发生关联交易的公告》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2018-064</w:t>
            </w:r>
            <w:r>
              <w:rPr>
                <w:rFonts w:ascii="宋体" w:hAnsi="宋体" w:cs="宋体" w:eastAsia="宋体" w:hint="default"/>
                <w:sz w:val="18"/>
                <w:szCs w:val="18"/>
              </w:rPr>
              <w:t>）</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240" w:lineRule="auto" w:before="43"/>
        <w:ind w:left="585" w:right="0"/>
        <w:jc w:val="left"/>
      </w:pPr>
      <w:r>
        <w:rPr>
          <w:rFonts w:ascii="Times New Roman" w:hAnsi="Times New Roman" w:cs="Times New Roman" w:eastAsia="Times New Roman" w:hint="default"/>
        </w:rPr>
        <w:t>1</w:t>
      </w:r>
      <w:r>
        <w:rPr/>
        <w:t>）关于办理固定资产售后回租融资租赁业务的事项</w:t>
      </w:r>
    </w:p>
    <w:p>
      <w:pPr>
        <w:pStyle w:val="BodyText"/>
        <w:spacing w:line="307" w:lineRule="auto" w:before="63"/>
        <w:ind w:right="0" w:firstLine="432"/>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w:t>
      </w:r>
      <w:r>
        <w:rPr>
          <w:spacing w:val="-19"/>
        </w:rPr>
        <w:t> </w:t>
      </w:r>
      <w:r>
        <w:rPr/>
        <w:t>公司第三届董事会第三十一次会议审议通过了《关于公司办理固定资产售后回租融资租赁业务的议</w:t>
      </w:r>
      <w:r>
        <w:rPr/>
        <w:t> </w:t>
      </w:r>
      <w:r>
        <w:rPr>
          <w:spacing w:val="-4"/>
        </w:rPr>
        <w:t>案》。公司向厦门弘信博格融资租赁有限公司申请固定资产售后回租融资租赁业务，租赁物为公司部分机器设备及运输设备，</w:t>
      </w:r>
      <w:r>
        <w:rPr>
          <w:spacing w:val="-44"/>
        </w:rPr>
        <w:t> </w:t>
      </w:r>
      <w:r>
        <w:rPr>
          <w:spacing w:val="-44"/>
        </w:rPr>
      </w:r>
      <w:r>
        <w:rPr/>
        <w:t>公司将上述租赁物出售给厦门弘信博格融资租赁有限公司，并回租使用，融资额度</w:t>
      </w:r>
      <w:r>
        <w:rPr>
          <w:rFonts w:ascii="Times New Roman" w:hAnsi="Times New Roman" w:cs="Times New Roman" w:eastAsia="Times New Roman" w:hint="default"/>
        </w:rPr>
        <w:t>800</w:t>
      </w:r>
      <w:r>
        <w:rPr/>
        <w:t>万元，期限二年。</w:t>
      </w:r>
      <w:r>
        <w:rPr>
          <w:rFonts w:ascii="Times New Roman" w:hAnsi="Times New Roman" w:cs="Times New Roman" w:eastAsia="Times New Roman" w:hint="default"/>
        </w:rPr>
        <w:t>2018</w:t>
      </w:r>
      <w:r>
        <w:rPr/>
        <w:t>年度公司共支 付租金</w:t>
      </w:r>
      <w:r>
        <w:rPr>
          <w:rFonts w:ascii="Times New Roman" w:hAnsi="Times New Roman" w:cs="Times New Roman" w:eastAsia="Times New Roman" w:hint="default"/>
        </w:rPr>
        <w:t>4,216,692</w:t>
      </w:r>
      <w:r>
        <w:rPr/>
        <w:t>元。</w:t>
      </w:r>
    </w:p>
    <w:p>
      <w:pPr>
        <w:pStyle w:val="BodyText"/>
        <w:spacing w:line="240" w:lineRule="auto" w:before="7"/>
        <w:ind w:left="585" w:right="0"/>
        <w:jc w:val="left"/>
      </w:pPr>
      <w:r>
        <w:rPr>
          <w:rFonts w:ascii="Times New Roman" w:hAnsi="Times New Roman" w:cs="Times New Roman" w:eastAsia="Times New Roman" w:hint="default"/>
        </w:rPr>
        <w:t>2</w:t>
      </w:r>
      <w:r>
        <w:rPr/>
        <w:t>）关于全资子公司房屋租赁暨关联交易的事项</w:t>
      </w:r>
    </w:p>
    <w:p>
      <w:pPr>
        <w:pStyle w:val="BodyText"/>
        <w:spacing w:line="307" w:lineRule="auto" w:before="63"/>
        <w:ind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日，公司第三届董事会第三十二次会议审议通过了《关于全资子公司房屋租赁暨关联交易的议案》，公司 </w:t>
      </w:r>
      <w:r>
        <w:rPr>
          <w:spacing w:val="-2"/>
        </w:rPr>
        <w:t>全资子公司厦门易联众商业保理有限公司与北京喜盟资产管理有限公司（其控股股东、实际控制人为公司控股股东、董事长</w:t>
      </w:r>
      <w:r>
        <w:rPr>
          <w:spacing w:val="-66"/>
        </w:rPr>
        <w:t> </w:t>
      </w:r>
      <w:r>
        <w:rPr>
          <w:spacing w:val="-66"/>
        </w:rPr>
      </w:r>
      <w:r>
        <w:rPr/>
        <w:t>张曦先生）签订《写字楼租赁合同》，向其租赁位于北京市朝阳区朝阳公园南路 </w:t>
      </w:r>
      <w:r>
        <w:rPr>
          <w:rFonts w:ascii="Times New Roman" w:hAnsi="Times New Roman" w:cs="Times New Roman" w:eastAsia="Times New Roman" w:hint="default"/>
        </w:rPr>
        <w:t>10 </w:t>
      </w:r>
      <w:r>
        <w:rPr/>
        <w:t>号院 </w:t>
      </w:r>
      <w:r>
        <w:rPr>
          <w:rFonts w:ascii="Times New Roman" w:hAnsi="Times New Roman" w:cs="Times New Roman" w:eastAsia="Times New Roman" w:hint="default"/>
        </w:rPr>
        <w:t>1 </w:t>
      </w:r>
      <w:r>
        <w:rPr/>
        <w:t>号楼 </w:t>
      </w:r>
      <w:r>
        <w:rPr>
          <w:rFonts w:ascii="Times New Roman" w:hAnsi="Times New Roman" w:cs="Times New Roman" w:eastAsia="Times New Roman" w:hint="default"/>
        </w:rPr>
        <w:t>11 </w:t>
      </w:r>
      <w:r>
        <w:rPr/>
        <w:t>层 </w:t>
      </w:r>
      <w:r>
        <w:rPr>
          <w:rFonts w:ascii="Times New Roman" w:hAnsi="Times New Roman" w:cs="Times New Roman" w:eastAsia="Times New Roman" w:hint="default"/>
        </w:rPr>
        <w:t>1101</w:t>
      </w:r>
      <w:r>
        <w:rPr/>
        <w:t>、</w:t>
      </w:r>
      <w:r>
        <w:rPr>
          <w:rFonts w:ascii="Times New Roman" w:hAnsi="Times New Roman" w:cs="Times New Roman" w:eastAsia="Times New Roman" w:hint="default"/>
        </w:rPr>
        <w:t>1102</w:t>
      </w:r>
      <w:r>
        <w:rPr>
          <w:rFonts w:ascii="Times New Roman" w:hAnsi="Times New Roman" w:cs="Times New Roman" w:eastAsia="Times New Roman" w:hint="default"/>
          <w:spacing w:val="11"/>
        </w:rPr>
        <w:t> </w:t>
      </w:r>
      <w:r>
        <w:rPr>
          <w:spacing w:val="-3"/>
        </w:rPr>
        <w:t>室，租</w:t>
      </w:r>
      <w:r>
        <w:rPr/>
        <w:t> 赁期限为</w:t>
      </w:r>
      <w:r>
        <w:rPr>
          <w:rFonts w:ascii="Times New Roman" w:hAnsi="Times New Roman" w:cs="Times New Roman" w:eastAsia="Times New Roman" w:hint="default"/>
        </w:rPr>
        <w:t>3</w:t>
      </w:r>
      <w:r>
        <w:rPr/>
        <w:t>年，自 </w:t>
      </w:r>
      <w:r>
        <w:rPr>
          <w:rFonts w:ascii="Times New Roman" w:hAnsi="Times New Roman" w:cs="Times New Roman" w:eastAsia="Times New Roman" w:hint="default"/>
        </w:rPr>
        <w:t>2017</w:t>
      </w:r>
      <w:r>
        <w:rPr/>
        <w:t>年 </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日至</w:t>
      </w:r>
      <w:r>
        <w:rPr>
          <w:spacing w:val="-61"/>
        </w:rPr>
        <w:t>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日止。</w:t>
      </w:r>
      <w:r>
        <w:rPr>
          <w:rFonts w:ascii="Times New Roman" w:hAnsi="Times New Roman" w:cs="Times New Roman" w:eastAsia="Times New Roman" w:hint="default"/>
        </w:rPr>
        <w:t>2018</w:t>
      </w:r>
      <w:r>
        <w:rPr/>
        <w:t>年度保理公司共支付租金及物业费</w:t>
      </w:r>
      <w:r>
        <w:rPr>
          <w:rFonts w:ascii="Times New Roman" w:hAnsi="Times New Roman" w:cs="Times New Roman" w:eastAsia="Times New Roman" w:hint="default"/>
        </w:rPr>
        <w:t>3,512,498.81</w:t>
      </w:r>
      <w:r>
        <w:rPr/>
        <w:t>元。</w:t>
      </w:r>
    </w:p>
    <w:p>
      <w:pPr>
        <w:spacing w:after="0" w:line="307"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0"/>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2"/>
        <w:gridCol w:w="923"/>
        <w:gridCol w:w="1299"/>
        <w:gridCol w:w="1059"/>
        <w:gridCol w:w="1041"/>
        <w:gridCol w:w="1049"/>
        <w:gridCol w:w="790"/>
        <w:gridCol w:w="783"/>
      </w:tblGrid>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9"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4" w:right="2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5"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9"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1"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29" w:right="7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07"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厦门易联众融资租赁 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3,950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3,950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3,950</w:t>
            </w:r>
          </w:p>
        </w:tc>
        <w:tc>
          <w:tcPr>
            <w:tcW w:w="21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6"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3,950</w:t>
            </w:r>
          </w:p>
        </w:tc>
      </w:tr>
      <w:tr>
        <w:trPr>
          <w:trHeight w:val="720"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3,950</w:t>
            </w:r>
          </w:p>
        </w:tc>
        <w:tc>
          <w:tcPr>
            <w:tcW w:w="21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3,950</w:t>
            </w:r>
          </w:p>
        </w:tc>
      </w:tr>
      <w:tr>
        <w:trPr>
          <w:trHeight w:val="39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3,950</w:t>
            </w:r>
          </w:p>
        </w:tc>
        <w:tc>
          <w:tcPr>
            <w:tcW w:w="21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6"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3,950</w:t>
            </w:r>
          </w:p>
        </w:tc>
      </w:tr>
      <w:tr>
        <w:trPr>
          <w:trHeight w:val="713"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3,950</w:t>
            </w:r>
          </w:p>
        </w:tc>
        <w:tc>
          <w:tcPr>
            <w:tcW w:w="21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6"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3,950</w:t>
            </w:r>
          </w:p>
        </w:tc>
      </w:tr>
      <w:tr>
        <w:trPr>
          <w:trHeight w:val="408" w:hRule="exact"/>
        </w:trPr>
        <w:tc>
          <w:tcPr>
            <w:tcW w:w="4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5.33%</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4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2"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855"/>
        <w:gridCol w:w="4719"/>
      </w:tblGrid>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十七、社会责任情况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2" w:firstLine="288"/>
        <w:jc w:val="left"/>
      </w:pPr>
      <w:r>
        <w:rPr>
          <w:spacing w:val="-2"/>
        </w:rPr>
        <w:t>公司积极履行应尽的社会义务，在不断为股东创造价值的同时，积极承担对员工、客户、社会等其他利益相关者的责任。</w:t>
      </w:r>
      <w:r>
        <w:rPr/>
        <w:t> </w:t>
      </w:r>
      <w:r>
        <w:rPr>
          <w:spacing w:val="-4"/>
        </w:rPr>
        <w:t>通过建立健全公司内部管理和控制制度，组织协调各职能部门工作，持续深入开展公司治理活动。公司严格按照《公司章程》</w:t>
      </w:r>
      <w:r>
        <w:rPr>
          <w:spacing w:val="-46"/>
        </w:rPr>
        <w:t> </w:t>
      </w:r>
      <w:r>
        <w:rPr>
          <w:spacing w:val="-46"/>
        </w:rPr>
      </w:r>
      <w:r>
        <w:rPr>
          <w:spacing w:val="-2"/>
        </w:rPr>
        <w:t>的规定和要求，规范股东大会的召集、召开及表决程序，通过现场、网络等合法有效的方式，让更多的股东特别是中小股东</w:t>
      </w:r>
      <w:r>
        <w:rPr>
          <w:spacing w:val="-67"/>
        </w:rPr>
        <w:t> </w:t>
      </w:r>
      <w:r>
        <w:rPr>
          <w:spacing w:val="-67"/>
        </w:rPr>
      </w:r>
      <w:r>
        <w:rPr>
          <w:spacing w:val="-2"/>
        </w:rPr>
        <w:t>能够参加股东大会，确保股东对公司重大事项的知情权、参与权和表决权。公司严格按照《公司法》、《深圳证券交易所创</w:t>
      </w:r>
      <w:r>
        <w:rPr>
          <w:spacing w:val="-69"/>
        </w:rPr>
        <w:t> </w:t>
      </w:r>
      <w:r>
        <w:rPr>
          <w:spacing w:val="-69"/>
        </w:rPr>
      </w:r>
      <w:r>
        <w:rPr>
          <w:spacing w:val="-2"/>
        </w:rPr>
        <w:t>业板股票上市规则》、《上市公司信息披露管理办法》等相关法律法规及规范性文件的要求，及时、准确、真实、完整地进</w:t>
      </w:r>
      <w:r>
        <w:rPr>
          <w:spacing w:val="-68"/>
        </w:rPr>
        <w:t> </w:t>
      </w:r>
      <w:r>
        <w:rPr>
          <w:spacing w:val="-68"/>
        </w:rPr>
      </w:r>
      <w:r>
        <w:rPr>
          <w:spacing w:val="-2"/>
        </w:rPr>
        <w:t>行信息披露，通过投资者电话、电子邮箱、公司网站和投资者关系互动平台等多种方式与投资者进行沟通交流，提高公司的</w:t>
      </w:r>
      <w:r>
        <w:rPr>
          <w:spacing w:val="-64"/>
        </w:rPr>
        <w:t> </w:t>
      </w:r>
      <w:r>
        <w:rPr>
          <w:spacing w:val="-64"/>
        </w:rPr>
      </w:r>
      <w:r>
        <w:rPr/>
        <w:t>透明度。公司非常重视对投资者的合理回报，制定了相对稳定的利润分配政策和分红方案以回报股东。</w:t>
      </w:r>
    </w:p>
    <w:p>
      <w:pPr>
        <w:pStyle w:val="BodyText"/>
        <w:spacing w:line="319" w:lineRule="auto" w:before="19"/>
        <w:ind w:right="1034" w:firstLine="288"/>
        <w:jc w:val="left"/>
      </w:pPr>
      <w:r>
        <w:rPr/>
        <w:t>公司一直坚持以人为本的人才理念，重视员工的未来职业发展规划，严格遵守《劳动法》、《劳动合同法》等相关法律 法规，注重员工的安全、劳动保护和身心健康，尊重和维护员工的个人权益；坚持以内部培训为主，委外培训为辅的原则， </w:t>
      </w:r>
      <w:r>
        <w:rPr>
          <w:spacing w:val="-2"/>
        </w:rPr>
        <w:t>通过项目经理培训、新员工培训、核心干部培训、高级管理人员培训、业务培训、技术沙龙等内容丰富、形式灵活的培训活</w:t>
      </w:r>
    </w:p>
    <w:p>
      <w:pPr>
        <w:spacing w:after="0" w:line="319"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动使员工得到切实的提高和发展；建立了较为完善的薪酬福利、绩效考核体系，为员工提供了良好的劳动环境，重视人才培</w:t>
      </w:r>
      <w:r>
        <w:rPr>
          <w:spacing w:val="-64"/>
        </w:rPr>
        <w:t> </w:t>
      </w:r>
      <w:r>
        <w:rPr>
          <w:spacing w:val="-64"/>
        </w:rPr>
      </w:r>
      <w:r>
        <w:rPr/>
        <w:t>养，实现员工与企业的共同成长。</w:t>
      </w:r>
    </w:p>
    <w:p>
      <w:pPr>
        <w:pStyle w:val="BodyText"/>
        <w:spacing w:line="316" w:lineRule="auto" w:before="19"/>
        <w:ind w:right="0" w:firstLine="288"/>
        <w:jc w:val="left"/>
      </w:pPr>
      <w:r>
        <w:rPr/>
        <w:t>公司通过持续的技术创新来满足客户的需求，通过加强产品质量来提升客户服务满意度，从而塑造良好的口碑。公司始 </w:t>
      </w:r>
      <w:r>
        <w:rPr>
          <w:spacing w:val="-4"/>
        </w:rPr>
        <w:t>终将依法经营作为公司运行的基本原则，注重企业经济效益与社会效益的共赢。公司严格遵守国家法律、法规、政策的规定，</w:t>
      </w:r>
      <w:r>
        <w:rPr>
          <w:spacing w:val="-45"/>
        </w:rPr>
        <w:t> </w:t>
      </w:r>
      <w:r>
        <w:rPr>
          <w:spacing w:val="-45"/>
        </w:rPr>
      </w:r>
      <w:r>
        <w:rPr/>
        <w:t>始终依法经营，积极纳税，发展就业岗位，支持地方经济的发展。</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1" w:right="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316" w:lineRule="auto" w:before="25"/>
        <w:ind w:right="1133" w:firstLine="288"/>
        <w:jc w:val="both"/>
      </w:pPr>
      <w:r>
        <w:rPr>
          <w:spacing w:val="-1"/>
        </w:rPr>
        <w:t>公司及子公司在日常生产经营中认真执行《中华人民共和国环境保护法》、《中华人民共和国水污染防治法》、《中华</w:t>
      </w:r>
      <w:r>
        <w:rPr/>
        <w:t> </w:t>
      </w:r>
      <w:r>
        <w:rPr>
          <w:spacing w:val="-2"/>
        </w:rPr>
        <w:t>人民共和国大气污染防治法》、《中华人民共和国环境噪声污染防治法》、《中华人民共和国固体废物污染防治法》等环保</w:t>
      </w:r>
      <w:r>
        <w:rPr>
          <w:spacing w:val="-68"/>
        </w:rPr>
        <w:t> </w:t>
      </w:r>
      <w:r>
        <w:rPr>
          <w:spacing w:val="-68"/>
        </w:rPr>
      </w:r>
      <w:r>
        <w:rPr/>
        <w:t>方面的法律法规，报告期内未出现因违法违规而受到处罚的情况。</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513" w:right="0"/>
        <w:jc w:val="left"/>
      </w:pPr>
      <w:r>
        <w:rPr>
          <w:rFonts w:ascii="Times New Roman" w:hAnsi="Times New Roman" w:cs="Times New Roman" w:eastAsia="Times New Roman" w:hint="default"/>
        </w:rPr>
        <w:t>1</w:t>
      </w:r>
      <w:r>
        <w:rPr/>
        <w:t>、关于向银行申请综合授信额度并提供担保的事项</w:t>
      </w:r>
    </w:p>
    <w:p>
      <w:pPr>
        <w:pStyle w:val="BodyText"/>
        <w:spacing w:line="240" w:lineRule="auto" w:before="101"/>
        <w:ind w:left="513" w:right="0"/>
        <w:jc w:val="left"/>
      </w:pPr>
      <w:r>
        <w:rPr/>
        <w:t>（</w:t>
      </w:r>
      <w:r>
        <w:rPr>
          <w:rFonts w:ascii="Times New Roman" w:hAnsi="Times New Roman" w:cs="Times New Roman" w:eastAsia="Times New Roman" w:hint="default"/>
        </w:rPr>
        <w:t>1</w:t>
      </w:r>
      <w:r>
        <w:rPr/>
        <w:t>）关于向兴业银行股份有限公司厦门分行申请综合授信额度并提供担保的进展事项</w:t>
      </w:r>
    </w:p>
    <w:p>
      <w:pPr>
        <w:pStyle w:val="BodyText"/>
        <w:spacing w:line="304" w:lineRule="auto" w:before="103"/>
        <w:ind w:right="1130" w:firstLine="3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日，公司第三届董事会第三十五次会议审议通过了《关于向兴业银行股份有限公司厦门分行申请</w:t>
      </w:r>
      <w:r>
        <w:rPr>
          <w:rFonts w:ascii="Times New Roman" w:hAnsi="Times New Roman" w:cs="Times New Roman" w:eastAsia="Times New Roman" w:hint="default"/>
          <w:spacing w:val="-1"/>
        </w:rPr>
        <w:t>10,000</w:t>
      </w:r>
      <w:r>
        <w:rPr>
          <w:spacing w:val="-1"/>
        </w:rPr>
        <w:t>万元</w:t>
      </w:r>
      <w:r>
        <w:rPr/>
        <w:t> 人民币综合授信额度并提供抵押担保的议案》，同意公司以名下位于厦门市思明区观日路</w:t>
      </w:r>
      <w:r>
        <w:rPr>
          <w:rFonts w:ascii="Times New Roman" w:hAnsi="Times New Roman" w:cs="Times New Roman" w:eastAsia="Times New Roman" w:hint="default"/>
        </w:rPr>
        <w:t>18</w:t>
      </w:r>
      <w:r>
        <w:rPr/>
        <w:t>号</w:t>
      </w:r>
      <w:r>
        <w:rPr>
          <w:rFonts w:ascii="Times New Roman" w:hAnsi="Times New Roman" w:cs="Times New Roman" w:eastAsia="Times New Roman" w:hint="default"/>
        </w:rPr>
        <w:t>8</w:t>
      </w:r>
      <w:r>
        <w:rPr/>
        <w:t>套房屋做抵押，并由公司全 </w:t>
      </w:r>
      <w:r>
        <w:rPr>
          <w:spacing w:val="-2"/>
        </w:rPr>
        <w:t>资子公司福州易联众信息技术有限公司及公司第一大股东张曦先生提供连带责任担保，向兴业银行股份有限公司厦门分行申</w:t>
      </w:r>
      <w:r>
        <w:rPr>
          <w:spacing w:val="-64"/>
        </w:rPr>
        <w:t> </w:t>
      </w:r>
      <w:r>
        <w:rPr>
          <w:spacing w:val="-64"/>
        </w:rPr>
      </w:r>
      <w:r>
        <w:rPr>
          <w:spacing w:val="-3"/>
        </w:rPr>
        <w:t>请人民币</w:t>
      </w:r>
      <w:r>
        <w:rPr>
          <w:rFonts w:ascii="Times New Roman" w:hAnsi="Times New Roman" w:cs="Times New Roman" w:eastAsia="Times New Roman" w:hint="default"/>
          <w:spacing w:val="-3"/>
        </w:rPr>
        <w:t>10,000</w:t>
      </w:r>
      <w:r>
        <w:rPr>
          <w:spacing w:val="-3"/>
        </w:rPr>
        <w:t>万元的综合授信额度。</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23</w:t>
      </w:r>
      <w:r>
        <w:rPr>
          <w:spacing w:val="-3"/>
        </w:rPr>
        <w:t>日，公司与兴业银行股份有限公司厦门分行签署了最高限额为</w:t>
      </w:r>
      <w:r>
        <w:rPr>
          <w:rFonts w:ascii="Times New Roman" w:hAnsi="Times New Roman" w:cs="Times New Roman" w:eastAsia="Times New Roman" w:hint="default"/>
          <w:spacing w:val="-3"/>
        </w:rPr>
        <w:t>16,191,200</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元的《最高额抵押合同》。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日，公司接到兴业银行股份有限公司厦门分行通知已收到厦门市国土资源与房产管 理局出具的《不动产登记证明（抵押权）》。</w:t>
      </w:r>
    </w:p>
    <w:p>
      <w:pPr>
        <w:pStyle w:val="BodyText"/>
        <w:spacing w:line="240" w:lineRule="auto" w:before="68"/>
        <w:ind w:left="513"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日，上述抵押手续已办理完成。</w:t>
      </w:r>
    </w:p>
    <w:p>
      <w:pPr>
        <w:pStyle w:val="BodyText"/>
        <w:spacing w:line="240" w:lineRule="auto" w:before="101"/>
        <w:ind w:left="513" w:right="0"/>
        <w:jc w:val="left"/>
      </w:pPr>
      <w:r>
        <w:rPr/>
        <w:t>（</w:t>
      </w:r>
      <w:r>
        <w:rPr>
          <w:rFonts w:ascii="Times New Roman" w:hAnsi="Times New Roman" w:cs="Times New Roman" w:eastAsia="Times New Roman" w:hint="default"/>
        </w:rPr>
        <w:t>2</w:t>
      </w:r>
      <w:r>
        <w:rPr/>
        <w:t>）关于向厦门国际银行股份有限公司厦门分行申请综合授信额度并提供担保的事项</w:t>
      </w:r>
    </w:p>
    <w:p>
      <w:pPr>
        <w:pStyle w:val="BodyText"/>
        <w:spacing w:line="300" w:lineRule="auto" w:before="63"/>
        <w:ind w:right="114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日，公司第三届董事会第三十八次会议审议通过了《关于向厦门国际银行股份有限公司厦门分行申请</w:t>
      </w:r>
      <w:r>
        <w:rPr>
          <w:rFonts w:ascii="Times New Roman" w:hAnsi="Times New Roman" w:cs="Times New Roman" w:eastAsia="Times New Roman" w:hint="default"/>
        </w:rPr>
        <w:t>2,400 </w:t>
      </w:r>
      <w:r>
        <w:rPr/>
        <w:t>万元人民币综合授信额度并提供担保的议案》，同意公司向厦门国际银行股份有限公司厦门分行申请</w:t>
      </w:r>
      <w:r>
        <w:rPr>
          <w:rFonts w:ascii="Times New Roman" w:hAnsi="Times New Roman" w:cs="Times New Roman" w:eastAsia="Times New Roman" w:hint="default"/>
        </w:rPr>
        <w:t>2,400</w:t>
      </w:r>
      <w:r>
        <w:rPr/>
        <w:t>万元人民币综合 授信额度，授信期限</w:t>
      </w:r>
      <w:r>
        <w:rPr>
          <w:rFonts w:ascii="Times New Roman" w:hAnsi="Times New Roman" w:cs="Times New Roman" w:eastAsia="Times New Roman" w:hint="default"/>
        </w:rPr>
        <w:t>1</w:t>
      </w:r>
      <w:r>
        <w:rPr/>
        <w:t>年，并由公司控股股东、实际控制人张曦先生提供连带责任担保，担保的主债权发生期间与综合授信 期限一致，免于支付担保费用。</w:t>
      </w:r>
    </w:p>
    <w:p>
      <w:pPr>
        <w:pStyle w:val="BodyText"/>
        <w:spacing w:line="240" w:lineRule="auto" w:before="31"/>
        <w:ind w:left="513" w:right="0"/>
        <w:jc w:val="left"/>
      </w:pPr>
      <w:r>
        <w:rPr/>
        <w:t>（</w:t>
      </w:r>
      <w:r>
        <w:rPr>
          <w:rFonts w:ascii="Times New Roman" w:hAnsi="Times New Roman" w:cs="Times New Roman" w:eastAsia="Times New Roman" w:hint="default"/>
        </w:rPr>
        <w:t>3</w:t>
      </w:r>
      <w:r>
        <w:rPr/>
        <w:t>）关于向招商银行股份有限公司厦门分行申请综合授信额度并提供担保的事项</w:t>
      </w:r>
    </w:p>
    <w:p>
      <w:pPr>
        <w:pStyle w:val="BodyText"/>
        <w:spacing w:line="300" w:lineRule="auto" w:before="63"/>
        <w:ind w:right="1128" w:firstLine="36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日，公司第三届董事会第三十九次会议审议通过了《关于向招商银行股份有限公司厦门分行申请</w:t>
      </w:r>
      <w:r>
        <w:rPr>
          <w:rFonts w:ascii="Times New Roman" w:hAnsi="Times New Roman" w:cs="Times New Roman" w:eastAsia="Times New Roman" w:hint="default"/>
          <w:spacing w:val="-1"/>
        </w:rPr>
        <w:t>5,000</w:t>
      </w:r>
      <w:r>
        <w:rPr>
          <w:spacing w:val="-1"/>
        </w:rPr>
        <w:t>万元</w:t>
      </w:r>
      <w:r>
        <w:rPr/>
        <w:t> 人民币综合授信额度并提供担保的议案》，同意公司向招商银行股份有限公司厦门分行申请</w:t>
      </w:r>
      <w:r>
        <w:rPr>
          <w:rFonts w:ascii="Times New Roman" w:hAnsi="Times New Roman" w:cs="Times New Roman" w:eastAsia="Times New Roman" w:hint="default"/>
        </w:rPr>
        <w:t>5,000</w:t>
      </w:r>
      <w:r>
        <w:rPr/>
        <w:t>万元人民币的综合授信额 度，授信期限</w:t>
      </w:r>
      <w:r>
        <w:rPr>
          <w:rFonts w:ascii="Times New Roman" w:hAnsi="Times New Roman" w:cs="Times New Roman" w:eastAsia="Times New Roman" w:hint="default"/>
        </w:rPr>
        <w:t>1</w:t>
      </w:r>
      <w:r>
        <w:rPr/>
        <w:t>年，并由公司控股股东、实际控制人张曦先生提供连带责任担保，担保的主债权发生期间与综合授信期限一 致，免于支付担保费用。</w:t>
      </w:r>
    </w:p>
    <w:p>
      <w:pPr>
        <w:pStyle w:val="BodyText"/>
        <w:spacing w:line="240" w:lineRule="auto" w:before="31"/>
        <w:ind w:left="513" w:right="0"/>
        <w:jc w:val="left"/>
      </w:pPr>
      <w:r>
        <w:rPr/>
        <w:t>（</w:t>
      </w:r>
      <w:r>
        <w:rPr>
          <w:rFonts w:ascii="Times New Roman" w:hAnsi="Times New Roman" w:cs="Times New Roman" w:eastAsia="Times New Roman" w:hint="default"/>
        </w:rPr>
        <w:t>4</w:t>
      </w:r>
      <w:r>
        <w:rPr/>
        <w:t>）关于向中国工商银行股份有限公司厦门分行申请综合授信额度并提供担保的事项</w:t>
      </w:r>
    </w:p>
    <w:p>
      <w:pPr>
        <w:pStyle w:val="BodyText"/>
        <w:spacing w:line="300" w:lineRule="auto" w:before="63"/>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16</w:t>
      </w:r>
      <w:r>
        <w:rPr>
          <w:spacing w:val="-2"/>
        </w:rPr>
        <w:t>日，公司第四届董事会第三次会议审议通过了《关于向中国工商银行股份有限公司厦门分行申请综合授信</w:t>
      </w:r>
      <w:r>
        <w:rPr/>
        <w:t> </w:t>
      </w:r>
      <w:r>
        <w:rPr>
          <w:spacing w:val="-1"/>
        </w:rPr>
        <w:t>额度并提供担保的议案》，同意公司向中国工商银行股份有限公司厦门分行申请</w:t>
      </w:r>
      <w:r>
        <w:rPr>
          <w:rFonts w:ascii="Times New Roman" w:hAnsi="Times New Roman" w:cs="Times New Roman" w:eastAsia="Times New Roman" w:hint="default"/>
          <w:spacing w:val="-1"/>
        </w:rPr>
        <w:t>10,000</w:t>
      </w:r>
      <w:r>
        <w:rPr>
          <w:spacing w:val="-1"/>
        </w:rPr>
        <w:t>万元人民币的综合授信额度，授信期</w:t>
      </w:r>
      <w:r>
        <w:rPr>
          <w:spacing w:val="-74"/>
        </w:rPr>
        <w:t> </w:t>
      </w:r>
      <w:r>
        <w:rPr>
          <w:spacing w:val="-74"/>
        </w:rPr>
      </w:r>
      <w:r>
        <w:rPr/>
        <w:t>限</w:t>
      </w:r>
      <w:r>
        <w:rPr>
          <w:rFonts w:ascii="Times New Roman" w:hAnsi="Times New Roman" w:cs="Times New Roman" w:eastAsia="Times New Roman" w:hint="default"/>
        </w:rPr>
        <w:t>1</w:t>
      </w:r>
      <w:r>
        <w:rPr/>
        <w:t>年，并由公司控股股东、实际控制人张曦先生提供连带责任担保，担保期限以实际签署合同为准，免于支付担保费用。</w:t>
      </w:r>
    </w:p>
    <w:p>
      <w:pPr>
        <w:spacing w:after="0" w:line="300"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0"/>
        <w:jc w:val="left"/>
      </w:pPr>
      <w:r>
        <w:rPr/>
        <w:t>（</w:t>
      </w:r>
      <w:r>
        <w:rPr>
          <w:rFonts w:ascii="Times New Roman" w:hAnsi="Times New Roman" w:cs="Times New Roman" w:eastAsia="Times New Roman" w:hint="default"/>
        </w:rPr>
        <w:t>5</w:t>
      </w:r>
      <w:r>
        <w:rPr/>
        <w:t>）关于向中国民生银行股份有限公司厦门分行申请综合授信额度并由控股股东提供担保的事项</w:t>
      </w:r>
    </w:p>
    <w:p>
      <w:pPr>
        <w:pStyle w:val="BodyText"/>
        <w:spacing w:line="300" w:lineRule="auto" w:before="63"/>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日，公司第四届董事会第五次会议审议通过了《关于向中国民生银行股份有限公司厦门分行申请综合授信</w:t>
      </w:r>
      <w:r>
        <w:rPr/>
        <w:t> </w:t>
      </w:r>
      <w:r>
        <w:rPr>
          <w:spacing w:val="-1"/>
        </w:rPr>
        <w:t>额度并由控股股东提供担保的议案》，同意公司向中国民生银行股份有限公司厦门分行申请</w:t>
      </w:r>
      <w:r>
        <w:rPr>
          <w:rFonts w:ascii="Times New Roman" w:hAnsi="Times New Roman" w:cs="Times New Roman" w:eastAsia="Times New Roman" w:hint="default"/>
          <w:spacing w:val="-1"/>
        </w:rPr>
        <w:t>10,000</w:t>
      </w:r>
      <w:r>
        <w:rPr>
          <w:spacing w:val="-1"/>
        </w:rPr>
        <w:t>万元人民币的综合授信额</w:t>
      </w:r>
      <w:r>
        <w:rPr>
          <w:spacing w:val="-73"/>
        </w:rPr>
        <w:t> </w:t>
      </w:r>
      <w:r>
        <w:rPr>
          <w:spacing w:val="-73"/>
        </w:rPr>
      </w:r>
      <w:r>
        <w:rPr/>
        <w:t>度，授信期限</w:t>
      </w:r>
      <w:r>
        <w:rPr>
          <w:rFonts w:ascii="Times New Roman" w:hAnsi="Times New Roman" w:cs="Times New Roman" w:eastAsia="Times New Roman" w:hint="default"/>
        </w:rPr>
        <w:t>1</w:t>
      </w:r>
      <w:r>
        <w:rPr/>
        <w:t>年，并由公司控股股东、实际控制人张曦先生提供连带责任担保，担保的主债权发生期间与综合授信期限一 致，免于支付担保费用。</w:t>
      </w:r>
    </w:p>
    <w:p>
      <w:pPr>
        <w:pStyle w:val="BodyText"/>
        <w:spacing w:line="240" w:lineRule="auto" w:before="31"/>
        <w:ind w:left="513" w:right="0"/>
        <w:jc w:val="left"/>
      </w:pPr>
      <w:r>
        <w:rPr/>
        <w:t>具体内容详见公司披露在巨潮资讯网上的相关公告。</w:t>
      </w:r>
    </w:p>
    <w:p>
      <w:pPr>
        <w:pStyle w:val="BodyText"/>
        <w:spacing w:line="240" w:lineRule="auto" w:before="76"/>
        <w:ind w:left="513" w:right="0"/>
        <w:jc w:val="left"/>
      </w:pPr>
      <w:r>
        <w:rPr>
          <w:rFonts w:ascii="Times New Roman" w:hAnsi="Times New Roman" w:cs="Times New Roman" w:eastAsia="Times New Roman" w:hint="default"/>
        </w:rPr>
        <w:t>2</w:t>
      </w:r>
      <w:r>
        <w:rPr/>
        <w:t>、关于控股股东、实际控制人增持公司股份的事项</w:t>
      </w:r>
    </w:p>
    <w:p>
      <w:pPr>
        <w:pStyle w:val="BodyText"/>
        <w:spacing w:line="300" w:lineRule="auto" w:before="63"/>
        <w:ind w:right="1138"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日，公司披露《关于控股股东、实际控制人增持公司股份的公告》（公告编号：</w:t>
      </w:r>
      <w:r>
        <w:rPr>
          <w:rFonts w:ascii="Times New Roman" w:hAnsi="Times New Roman" w:cs="Times New Roman" w:eastAsia="Times New Roman" w:hint="default"/>
        </w:rPr>
        <w:t>2017-089</w:t>
      </w:r>
      <w:r>
        <w:rPr/>
        <w:t>），公司 控股股东、实际控制人、董事长张曦先生计划自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日起</w:t>
      </w:r>
      <w:r>
        <w:rPr>
          <w:rFonts w:ascii="Times New Roman" w:hAnsi="Times New Roman" w:cs="Times New Roman" w:eastAsia="Times New Roman" w:hint="default"/>
        </w:rPr>
        <w:t>6</w:t>
      </w:r>
      <w:r>
        <w:rPr/>
        <w:t>个月内以自有资金及合法筹集资金通过法律法规允许的 方式（包括但不限于通过证券账户或证券、信托等资产管理计划）择机以集中竞价或大宗交易等方式，以不高于</w:t>
      </w:r>
      <w:r>
        <w:rPr>
          <w:rFonts w:ascii="Times New Roman" w:hAnsi="Times New Roman" w:cs="Times New Roman" w:eastAsia="Times New Roman" w:hint="default"/>
        </w:rPr>
        <w:t>20</w:t>
      </w:r>
      <w:r>
        <w:rPr/>
        <w:t>元</w:t>
      </w:r>
      <w:r>
        <w:rPr>
          <w:rFonts w:ascii="Times New Roman" w:hAnsi="Times New Roman" w:cs="Times New Roman" w:eastAsia="Times New Roman" w:hint="default"/>
        </w:rPr>
        <w:t>/</w:t>
      </w:r>
      <w:r>
        <w:rPr/>
        <w:t>股的</w:t>
      </w:r>
      <w:r>
        <w:rPr>
          <w:spacing w:val="-3"/>
        </w:rPr>
        <w:t> </w:t>
      </w:r>
      <w:r>
        <w:rPr/>
        <w:t>价格，累计增持不超过</w:t>
      </w:r>
      <w:r>
        <w:rPr>
          <w:rFonts w:ascii="Times New Roman" w:hAnsi="Times New Roman" w:cs="Times New Roman" w:eastAsia="Times New Roman" w:hint="default"/>
        </w:rPr>
        <w:t>25,800,000</w:t>
      </w:r>
      <w:r>
        <w:rPr/>
        <w:t>股（占公司总股本的</w:t>
      </w:r>
      <w:r>
        <w:rPr>
          <w:rFonts w:ascii="Times New Roman" w:hAnsi="Times New Roman" w:cs="Times New Roman" w:eastAsia="Times New Roman" w:hint="default"/>
        </w:rPr>
        <w:t>6%</w:t>
      </w:r>
      <w:r>
        <w:rPr/>
        <w:t>）。</w:t>
      </w:r>
    </w:p>
    <w:p>
      <w:pPr>
        <w:pStyle w:val="BodyText"/>
        <w:spacing w:line="300" w:lineRule="auto" w:before="13"/>
        <w:ind w:right="1131" w:firstLine="360"/>
        <w:jc w:val="both"/>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5</w:t>
      </w:r>
      <w:r>
        <w:rPr>
          <w:spacing w:val="-4"/>
        </w:rPr>
        <w:t>日，公司披露《详式权益变动报告书》及《关于控股股东权益变动暨增持计划进展的提示性公告》（公</w:t>
      </w:r>
      <w:r>
        <w:rPr/>
        <w:t> </w:t>
      </w:r>
      <w:r>
        <w:rPr>
          <w:spacing w:val="-1"/>
        </w:rPr>
        <w:t>告编号：</w:t>
      </w:r>
      <w:r>
        <w:rPr>
          <w:rFonts w:ascii="Times New Roman" w:hAnsi="Times New Roman" w:cs="Times New Roman" w:eastAsia="Times New Roman" w:hint="default"/>
          <w:spacing w:val="-1"/>
        </w:rPr>
        <w:t>2018-005</w:t>
      </w:r>
      <w:r>
        <w:rPr>
          <w:spacing w:val="-1"/>
        </w:rPr>
        <w:t>），张曦先生于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21</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w:t>
      </w:r>
      <w:r>
        <w:rPr>
          <w:spacing w:val="-1"/>
        </w:rPr>
        <w:t>日，通过其委托兴业国际信托有限公司设立的</w:t>
      </w:r>
      <w:r>
        <w:rPr>
          <w:rFonts w:ascii="Times New Roman" w:hAnsi="Times New Roman" w:cs="Times New Roman" w:eastAsia="Times New Roman" w:hint="default"/>
          <w:spacing w:val="-1"/>
        </w:rPr>
        <w:t>“</w:t>
      </w:r>
      <w:r>
        <w:rPr>
          <w:spacing w:val="-1"/>
        </w:rPr>
        <w:t>兴业信托</w:t>
      </w:r>
      <w:r>
        <w:rPr>
          <w:rFonts w:ascii="Times New Roman" w:hAnsi="Times New Roman" w:cs="Times New Roman" w:eastAsia="Times New Roman" w:hint="default"/>
          <w:spacing w:val="-1"/>
        </w:rPr>
        <w:t>-</w:t>
      </w:r>
      <w:r>
        <w:rPr>
          <w:spacing w:val="-1"/>
        </w:rPr>
        <w:t>兴</w:t>
      </w:r>
      <w:r>
        <w:rPr>
          <w:spacing w:val="-48"/>
        </w:rPr>
        <w:t> </w:t>
      </w:r>
      <w:r>
        <w:rPr>
          <w:spacing w:val="-1"/>
        </w:rPr>
        <w:t>运扶摇</w:t>
      </w:r>
      <w:r>
        <w:rPr>
          <w:rFonts w:ascii="Times New Roman" w:hAnsi="Times New Roman" w:cs="Times New Roman" w:eastAsia="Times New Roman" w:hint="default"/>
          <w:spacing w:val="-1"/>
        </w:rPr>
        <w:t>6</w:t>
      </w:r>
      <w:r>
        <w:rPr>
          <w:spacing w:val="-1"/>
        </w:rPr>
        <w:t>号集合资金信托计划</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信托计划</w:t>
      </w:r>
      <w:r>
        <w:rPr>
          <w:rFonts w:ascii="Times New Roman" w:hAnsi="Times New Roman" w:cs="Times New Roman" w:eastAsia="Times New Roman" w:hint="default"/>
          <w:spacing w:val="-1"/>
        </w:rPr>
        <w:t>”</w:t>
      </w:r>
      <w:r>
        <w:rPr>
          <w:spacing w:val="-1"/>
        </w:rPr>
        <w:t>）及其全资控股的厦门麟真贸易有限公司（以下简称</w:t>
      </w:r>
      <w:r>
        <w:rPr>
          <w:rFonts w:ascii="Times New Roman" w:hAnsi="Times New Roman" w:cs="Times New Roman" w:eastAsia="Times New Roman" w:hint="default"/>
          <w:spacing w:val="-1"/>
        </w:rPr>
        <w:t>“</w:t>
      </w:r>
      <w:r>
        <w:rPr>
          <w:spacing w:val="-1"/>
        </w:rPr>
        <w:t>厦门麟真</w:t>
      </w:r>
      <w:r>
        <w:rPr>
          <w:rFonts w:ascii="Times New Roman" w:hAnsi="Times New Roman" w:cs="Times New Roman" w:eastAsia="Times New Roman" w:hint="default"/>
          <w:spacing w:val="-1"/>
        </w:rPr>
        <w:t>”</w:t>
      </w:r>
      <w:r>
        <w:rPr>
          <w:spacing w:val="-1"/>
        </w:rPr>
        <w:t>）在二</w:t>
      </w:r>
      <w:r>
        <w:rPr>
          <w:spacing w:val="-68"/>
        </w:rPr>
        <w:t> </w:t>
      </w:r>
      <w:r>
        <w:rPr>
          <w:spacing w:val="-68"/>
        </w:rPr>
      </w:r>
      <w:r>
        <w:rPr/>
        <w:t>级市场增持易联众股份共计</w:t>
      </w:r>
      <w:r>
        <w:rPr>
          <w:rFonts w:ascii="Times New Roman" w:hAnsi="Times New Roman" w:cs="Times New Roman" w:eastAsia="Times New Roman" w:hint="default"/>
        </w:rPr>
        <w:t>21,500,718</w:t>
      </w:r>
      <w:r>
        <w:rPr/>
        <w:t>股，占公司总股本的</w:t>
      </w:r>
      <w:r>
        <w:rPr>
          <w:rFonts w:ascii="Times New Roman" w:hAnsi="Times New Roman" w:cs="Times New Roman" w:eastAsia="Times New Roman" w:hint="default"/>
        </w:rPr>
        <w:t>5%</w:t>
      </w:r>
      <w:r>
        <w:rPr/>
        <w:t>。</w:t>
      </w:r>
    </w:p>
    <w:p>
      <w:pPr>
        <w:pStyle w:val="BodyText"/>
        <w:spacing w:line="300" w:lineRule="auto" w:before="13"/>
        <w:ind w:right="1043" w:firstLine="360"/>
        <w:jc w:val="both"/>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9</w:t>
      </w:r>
      <w:r>
        <w:rPr>
          <w:spacing w:val="-3"/>
        </w:rPr>
        <w:t>日，公司披露《关于控股股东、实际控制人增持公司股份达到</w:t>
      </w:r>
      <w:r>
        <w:rPr>
          <w:rFonts w:ascii="Times New Roman" w:hAnsi="Times New Roman" w:cs="Times New Roman" w:eastAsia="Times New Roman" w:hint="default"/>
          <w:spacing w:val="-3"/>
        </w:rPr>
        <w:t>1%</w:t>
      </w:r>
      <w:r>
        <w:rPr>
          <w:spacing w:val="-3"/>
        </w:rPr>
        <w:t>暨增持计划进展的公告》（公告编号：</w:t>
      </w:r>
      <w:r>
        <w:rPr/>
        <w:t> </w:t>
      </w:r>
      <w:r>
        <w:rPr>
          <w:rFonts w:ascii="Times New Roman" w:hAnsi="Times New Roman" w:cs="Times New Roman" w:eastAsia="Times New Roman" w:hint="default"/>
        </w:rPr>
        <w:t>2018-006</w:t>
      </w:r>
      <w:r>
        <w:rPr/>
        <w:t>），张曦先生于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日通过其全资控股的厦门麟真在二级市场共增持公司股份</w:t>
      </w:r>
      <w:r>
        <w:rPr>
          <w:rFonts w:ascii="Times New Roman" w:hAnsi="Times New Roman" w:cs="Times New Roman" w:eastAsia="Times New Roman" w:hint="default"/>
        </w:rPr>
        <w:t>4,941,800</w:t>
      </w:r>
      <w:r>
        <w:rPr/>
        <w:t>股， 占公司总股本的</w:t>
      </w:r>
      <w:r>
        <w:rPr>
          <w:rFonts w:ascii="Times New Roman" w:hAnsi="Times New Roman" w:cs="Times New Roman" w:eastAsia="Times New Roman" w:hint="default"/>
        </w:rPr>
        <w:t>1.149%</w:t>
      </w:r>
      <w:r>
        <w:rPr/>
        <w:t>。</w:t>
      </w:r>
    </w:p>
    <w:p>
      <w:pPr>
        <w:pStyle w:val="BodyText"/>
        <w:spacing w:line="304" w:lineRule="auto" w:before="13"/>
        <w:ind w:right="1124" w:firstLine="36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日，公司披露《关于控股股东增持计划完成及再次实施增持计划的公告》（公告编号：</w:t>
      </w:r>
      <w:r>
        <w:rPr>
          <w:rFonts w:ascii="Times New Roman" w:hAnsi="Times New Roman" w:cs="Times New Roman" w:eastAsia="Times New Roman" w:hint="default"/>
        </w:rPr>
        <w:t>2018-032</w:t>
      </w:r>
      <w:r>
        <w:rPr/>
        <w:t>）， 张曦先生于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日，通过其全资控股的厦门麟真在二级市场共增持公司股份</w:t>
      </w:r>
      <w:r>
        <w:rPr>
          <w:rFonts w:ascii="Times New Roman" w:hAnsi="Times New Roman" w:cs="Times New Roman" w:eastAsia="Times New Roman" w:hint="default"/>
        </w:rPr>
        <w:t>2,255,700</w:t>
      </w:r>
      <w:r>
        <w:rPr/>
        <w:t>股，占公司总 股本的</w:t>
      </w:r>
      <w:r>
        <w:rPr>
          <w:rFonts w:ascii="Times New Roman" w:hAnsi="Times New Roman" w:cs="Times New Roman" w:eastAsia="Times New Roman" w:hint="default"/>
        </w:rPr>
        <w:t>0.525%</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日，张曦先生于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日披露的增持计划已完成。基于对公司未来发展前景的信心 及对公司价值的认可，同时为提升投资者信心、维护中小股东利益，张曦先生计划自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日起</w:t>
      </w:r>
      <w:r>
        <w:rPr>
          <w:rFonts w:ascii="Times New Roman" w:hAnsi="Times New Roman" w:cs="Times New Roman" w:eastAsia="Times New Roman" w:hint="default"/>
        </w:rPr>
        <w:t>6</w:t>
      </w:r>
      <w:r>
        <w:rPr/>
        <w:t>个月内以自有资金及 </w:t>
      </w:r>
      <w:r>
        <w:rPr>
          <w:spacing w:val="-2"/>
        </w:rPr>
        <w:t>合法筹集资金通过法律法规允许的方式（包括但不限于通过证券账户或证券、信托等资产管理计划）择机以集中竞价或大宗</w:t>
      </w:r>
      <w:r>
        <w:rPr>
          <w:spacing w:val="-63"/>
        </w:rPr>
        <w:t> </w:t>
      </w:r>
      <w:r>
        <w:rPr>
          <w:spacing w:val="-63"/>
        </w:rPr>
      </w:r>
      <w:r>
        <w:rPr/>
        <w:t>交易等方式，以不高于</w:t>
      </w:r>
      <w:r>
        <w:rPr>
          <w:rFonts w:ascii="Times New Roman" w:hAnsi="Times New Roman" w:cs="Times New Roman" w:eastAsia="Times New Roman" w:hint="default"/>
        </w:rPr>
        <w:t>20</w:t>
      </w:r>
      <w:r>
        <w:rPr/>
        <w:t>元</w:t>
      </w:r>
      <w:r>
        <w:rPr>
          <w:rFonts w:ascii="Times New Roman" w:hAnsi="Times New Roman" w:cs="Times New Roman" w:eastAsia="Times New Roman" w:hint="default"/>
        </w:rPr>
        <w:t>/</w:t>
      </w:r>
      <w:r>
        <w:rPr/>
        <w:t>股的价格，累计增持不超过</w:t>
      </w:r>
      <w:r>
        <w:rPr>
          <w:rFonts w:ascii="Times New Roman" w:hAnsi="Times New Roman" w:cs="Times New Roman" w:eastAsia="Times New Roman" w:hint="default"/>
        </w:rPr>
        <w:t>2,215,600</w:t>
      </w:r>
      <w:r>
        <w:rPr/>
        <w:t>股（占公司总股本的</w:t>
      </w:r>
      <w:r>
        <w:rPr>
          <w:rFonts w:ascii="Times New Roman" w:hAnsi="Times New Roman" w:cs="Times New Roman" w:eastAsia="Times New Roman" w:hint="default"/>
        </w:rPr>
        <w:t>0.515%</w:t>
      </w:r>
      <w:r>
        <w:rPr/>
        <w:t>）。</w:t>
      </w:r>
    </w:p>
    <w:p>
      <w:pPr>
        <w:pStyle w:val="BodyText"/>
        <w:spacing w:line="300" w:lineRule="auto" w:before="9"/>
        <w:ind w:right="1107" w:firstLine="360"/>
        <w:jc w:val="both"/>
      </w:pPr>
      <w:r>
        <w:rPr>
          <w:spacing w:val="-9"/>
        </w:rPr>
        <w:t>（</w:t>
      </w:r>
      <w:r>
        <w:rPr>
          <w:rFonts w:ascii="Times New Roman" w:hAnsi="Times New Roman" w:cs="Times New Roman" w:eastAsia="Times New Roman" w:hint="default"/>
          <w:spacing w:val="-9"/>
        </w:rPr>
        <w:t>5</w:t>
      </w:r>
      <w:r>
        <w:rPr>
          <w:spacing w:val="-9"/>
        </w:rPr>
        <w:t>）</w:t>
      </w:r>
      <w:r>
        <w:rPr>
          <w:rFonts w:ascii="Times New Roman" w:hAnsi="Times New Roman" w:cs="Times New Roman" w:eastAsia="Times New Roman" w:hint="default"/>
          <w:spacing w:val="-9"/>
        </w:rPr>
        <w:t>2018</w:t>
      </w:r>
      <w:r>
        <w:rPr>
          <w:spacing w:val="-9"/>
        </w:rPr>
        <w:t>年</w:t>
      </w:r>
      <w:r>
        <w:rPr>
          <w:rFonts w:ascii="Times New Roman" w:hAnsi="Times New Roman" w:cs="Times New Roman" w:eastAsia="Times New Roman" w:hint="default"/>
          <w:spacing w:val="-9"/>
        </w:rPr>
        <w:t>6</w:t>
      </w:r>
      <w:r>
        <w:rPr>
          <w:spacing w:val="-9"/>
        </w:rPr>
        <w:t>月</w:t>
      </w:r>
      <w:r>
        <w:rPr>
          <w:rFonts w:ascii="Times New Roman" w:hAnsi="Times New Roman" w:cs="Times New Roman" w:eastAsia="Times New Roman" w:hint="default"/>
          <w:spacing w:val="-9"/>
        </w:rPr>
        <w:t>4</w:t>
      </w:r>
      <w:r>
        <w:rPr>
          <w:spacing w:val="-9"/>
        </w:rPr>
        <w:t>日，公司披露《关于控股股东累计增持公司股份达到</w:t>
      </w:r>
      <w:r>
        <w:rPr>
          <w:rFonts w:ascii="Times New Roman" w:hAnsi="Times New Roman" w:cs="Times New Roman" w:eastAsia="Times New Roman" w:hint="default"/>
          <w:spacing w:val="-9"/>
        </w:rPr>
        <w:t>1%</w:t>
      </w:r>
      <w:r>
        <w:rPr>
          <w:spacing w:val="-9"/>
        </w:rPr>
        <w:t>暨增持计划进展的公告》（公告编号：</w:t>
      </w:r>
      <w:r>
        <w:rPr>
          <w:rFonts w:ascii="Times New Roman" w:hAnsi="Times New Roman" w:cs="Times New Roman" w:eastAsia="Times New Roman" w:hint="default"/>
          <w:spacing w:val="-9"/>
        </w:rPr>
        <w:t>2018-045</w:t>
      </w:r>
      <w:r>
        <w:rPr>
          <w:spacing w:val="-9"/>
        </w:rPr>
        <w:t>），</w:t>
      </w:r>
      <w:r>
        <w:rPr>
          <w:spacing w:val="-68"/>
        </w:rPr>
        <w:t> </w:t>
      </w:r>
      <w:r>
        <w:rPr/>
        <w:t>张曦先生于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日，通过其全资控股的厦门麟真在二级市场共增持公司股份</w:t>
      </w:r>
      <w:r>
        <w:rPr>
          <w:rFonts w:ascii="Times New Roman" w:hAnsi="Times New Roman" w:cs="Times New Roman" w:eastAsia="Times New Roman" w:hint="default"/>
        </w:rPr>
        <w:t>4,433,300</w:t>
      </w:r>
      <w:r>
        <w:rPr/>
        <w:t>股，占公司总 股本的</w:t>
      </w:r>
      <w:r>
        <w:rPr>
          <w:rFonts w:ascii="Times New Roman" w:hAnsi="Times New Roman" w:cs="Times New Roman" w:eastAsia="Times New Roman" w:hint="default"/>
        </w:rPr>
        <w:t>1.031%</w:t>
      </w:r>
      <w:r>
        <w:rPr/>
        <w:t>。</w:t>
      </w:r>
    </w:p>
    <w:p>
      <w:pPr>
        <w:pStyle w:val="BodyText"/>
        <w:spacing w:line="300" w:lineRule="auto" w:before="13"/>
        <w:ind w:right="1168" w:firstLine="36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日，公司披露《关于控股股东增持计划完成的公告》（公告编号：</w:t>
      </w:r>
      <w:r>
        <w:rPr>
          <w:rFonts w:ascii="Times New Roman" w:hAnsi="Times New Roman" w:cs="Times New Roman" w:eastAsia="Times New Roman" w:hint="default"/>
        </w:rPr>
        <w:t>2018-071</w:t>
      </w:r>
      <w:r>
        <w:rPr/>
        <w:t>），张曦先生于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日，通过其全资控股的厦门麟真在二级市场共增持公司股份</w:t>
      </w:r>
      <w:r>
        <w:rPr>
          <w:rFonts w:ascii="Times New Roman" w:hAnsi="Times New Roman" w:cs="Times New Roman" w:eastAsia="Times New Roman" w:hint="default"/>
        </w:rPr>
        <w:t>2,177,600</w:t>
      </w:r>
      <w:r>
        <w:rPr/>
        <w:t>股，占公司总股本的</w:t>
      </w:r>
      <w:r>
        <w:rPr>
          <w:rFonts w:ascii="Times New Roman" w:hAnsi="Times New Roman" w:cs="Times New Roman" w:eastAsia="Times New Roman" w:hint="default"/>
        </w:rPr>
        <w:t>0.506%</w:t>
      </w:r>
      <w:r>
        <w:rPr/>
        <w:t>。截</w:t>
      </w:r>
      <w:r>
        <w:rPr>
          <w:spacing w:val="-3"/>
        </w:rPr>
        <w:t> </w:t>
      </w:r>
      <w:r>
        <w:rPr/>
        <w:t>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日，张曦先生于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日披露的增持计划实施期限已满，增持计划实施完毕。</w:t>
      </w:r>
    </w:p>
    <w:p>
      <w:pPr>
        <w:pStyle w:val="BodyText"/>
        <w:spacing w:line="300" w:lineRule="auto" w:before="13"/>
        <w:ind w:right="0" w:firstLine="36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日，张曦先生共持有公司股份</w:t>
      </w:r>
      <w:r>
        <w:rPr>
          <w:rFonts w:ascii="Times New Roman" w:hAnsi="Times New Roman" w:cs="Times New Roman" w:eastAsia="Times New Roman" w:hint="default"/>
        </w:rPr>
        <w:t>128,875,867</w:t>
      </w:r>
      <w:r>
        <w:rPr/>
        <w:t>股，占公司总股本的</w:t>
      </w:r>
      <w:r>
        <w:rPr>
          <w:rFonts w:ascii="Times New Roman" w:hAnsi="Times New Roman" w:cs="Times New Roman" w:eastAsia="Times New Roman" w:hint="default"/>
        </w:rPr>
        <w:t>29.971%</w:t>
      </w:r>
      <w:r>
        <w:rPr/>
        <w:t>。其中，张曦先生通过个人普 </w:t>
      </w:r>
      <w:r>
        <w:rPr>
          <w:spacing w:val="-2"/>
        </w:rPr>
        <w:t>通股份证券账户直接持有</w:t>
      </w:r>
      <w:r>
        <w:rPr>
          <w:rFonts w:ascii="Times New Roman" w:hAnsi="Times New Roman" w:cs="Times New Roman" w:eastAsia="Times New Roman" w:hint="default"/>
          <w:spacing w:val="-2"/>
        </w:rPr>
        <w:t>69,681,649</w:t>
      </w:r>
      <w:r>
        <w:rPr>
          <w:spacing w:val="-2"/>
        </w:rPr>
        <w:t>股，占公司总股本的</w:t>
      </w:r>
      <w:r>
        <w:rPr>
          <w:rFonts w:ascii="Times New Roman" w:hAnsi="Times New Roman" w:cs="Times New Roman" w:eastAsia="Times New Roman" w:hint="default"/>
          <w:spacing w:val="-2"/>
        </w:rPr>
        <w:t>16.205%</w:t>
      </w:r>
      <w:r>
        <w:rPr>
          <w:spacing w:val="-2"/>
        </w:rPr>
        <w:t>；通过信托计划持有</w:t>
      </w:r>
      <w:r>
        <w:rPr>
          <w:rFonts w:ascii="Times New Roman" w:hAnsi="Times New Roman" w:cs="Times New Roman" w:eastAsia="Times New Roman" w:hint="default"/>
          <w:spacing w:val="-2"/>
        </w:rPr>
        <w:t>36,775,000</w:t>
      </w:r>
      <w:r>
        <w:rPr>
          <w:spacing w:val="-2"/>
        </w:rPr>
        <w:t>股，占公司总股本的</w:t>
      </w:r>
      <w:r>
        <w:rPr>
          <w:rFonts w:ascii="Times New Roman" w:hAnsi="Times New Roman" w:cs="Times New Roman" w:eastAsia="Times New Roman" w:hint="default"/>
          <w:spacing w:val="-2"/>
        </w:rPr>
        <w:t>8.552%</w:t>
      </w:r>
      <w:r>
        <w:rPr>
          <w:spacing w:val="-2"/>
        </w:rPr>
        <w:t>；</w:t>
      </w:r>
      <w:r>
        <w:rPr>
          <w:spacing w:val="-69"/>
        </w:rPr>
        <w:t> </w:t>
      </w:r>
      <w:r>
        <w:rPr/>
        <w:t>通过厦门麟真持有</w:t>
      </w:r>
      <w:r>
        <w:rPr>
          <w:rFonts w:ascii="Times New Roman" w:hAnsi="Times New Roman" w:cs="Times New Roman" w:eastAsia="Times New Roman" w:hint="default"/>
        </w:rPr>
        <w:t>22,419,218</w:t>
      </w:r>
      <w:r>
        <w:rPr/>
        <w:t>股，占公司总股本的</w:t>
      </w:r>
      <w:r>
        <w:rPr>
          <w:rFonts w:ascii="Times New Roman" w:hAnsi="Times New Roman" w:cs="Times New Roman" w:eastAsia="Times New Roman" w:hint="default"/>
        </w:rPr>
        <w:t>5.214%</w:t>
      </w:r>
      <w:r>
        <w:rPr/>
        <w:t>。</w:t>
      </w:r>
    </w:p>
    <w:p>
      <w:pPr>
        <w:pStyle w:val="BodyText"/>
        <w:spacing w:line="240" w:lineRule="auto" w:before="13"/>
        <w:ind w:left="513" w:right="0"/>
        <w:jc w:val="left"/>
      </w:pPr>
      <w:r>
        <w:rPr/>
        <w:t>具体内容详见公司刊登在巨潮资讯网上的相关公告。</w:t>
      </w:r>
    </w:p>
    <w:p>
      <w:pPr>
        <w:pStyle w:val="BodyText"/>
        <w:spacing w:line="240" w:lineRule="auto" w:before="76"/>
        <w:ind w:left="513" w:right="0"/>
        <w:jc w:val="left"/>
      </w:pPr>
      <w:r>
        <w:rPr>
          <w:rFonts w:ascii="Times New Roman" w:hAnsi="Times New Roman" w:cs="Times New Roman" w:eastAsia="Times New Roman" w:hint="default"/>
        </w:rPr>
        <w:t>3</w:t>
      </w:r>
      <w:r>
        <w:rPr/>
        <w:t>、关于控股股东、实际控制人部分股权质押及进行股票质押式回购交易补充质押、延期购回的事项</w:t>
      </w:r>
    </w:p>
    <w:p>
      <w:pPr>
        <w:pStyle w:val="BodyText"/>
        <w:spacing w:line="300" w:lineRule="auto" w:before="63"/>
        <w:ind w:right="1129"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日，公司控股股东张曦先生与湖州恒澜投资管理合伙企业（有限合伙）就其通过全资控股的厦门麟真</w:t>
      </w:r>
      <w:r>
        <w:rPr/>
        <w:t> </w:t>
      </w:r>
      <w:r>
        <w:rPr>
          <w:spacing w:val="-2"/>
        </w:rPr>
        <w:t>持有的本公司</w:t>
      </w:r>
      <w:r>
        <w:rPr>
          <w:rFonts w:ascii="Times New Roman" w:hAnsi="Times New Roman" w:cs="Times New Roman" w:eastAsia="Times New Roman" w:hint="default"/>
          <w:spacing w:val="-2"/>
        </w:rPr>
        <w:t>19,410,318</w:t>
      </w:r>
      <w:r>
        <w:rPr>
          <w:spacing w:val="-2"/>
        </w:rPr>
        <w:t>股股份办理了股权质押手续。具体内容详见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日公司披露在巨潮资讯网上的《关于控股股</w:t>
      </w:r>
      <w:r>
        <w:rPr>
          <w:spacing w:val="-49"/>
        </w:rPr>
        <w:t> </w:t>
      </w:r>
      <w:r>
        <w:rPr>
          <w:spacing w:val="-49"/>
        </w:rPr>
      </w:r>
      <w:r>
        <w:rPr/>
        <w:t>东部分股权质押的公告》（公告编号：</w:t>
      </w:r>
      <w:r>
        <w:rPr>
          <w:rFonts w:ascii="Times New Roman" w:hAnsi="Times New Roman" w:cs="Times New Roman" w:eastAsia="Times New Roman" w:hint="default"/>
        </w:rPr>
        <w:t>2018-008</w:t>
      </w:r>
      <w:r>
        <w:rPr/>
        <w:t>）。</w:t>
      </w:r>
    </w:p>
    <w:p>
      <w:pPr>
        <w:pStyle w:val="BodyText"/>
        <w:spacing w:line="300" w:lineRule="auto" w:before="13"/>
        <w:ind w:right="1139"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日，公司控股股东张曦先生与东吴证券股份有限公司就其持有的本公司</w:t>
      </w:r>
      <w:r>
        <w:rPr>
          <w:rFonts w:ascii="Times New Roman" w:hAnsi="Times New Roman" w:cs="Times New Roman" w:eastAsia="Times New Roman" w:hint="default"/>
        </w:rPr>
        <w:t>1,000</w:t>
      </w:r>
      <w:r>
        <w:rPr/>
        <w:t>万股股份办理了股票质 押式回购补充质押交易，具体内容详见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日公司披露在巨潮资讯网上的《关于控股股东进行股票质押式回购交易 补充质押的公告》（公告编号：</w:t>
      </w:r>
      <w:r>
        <w:rPr>
          <w:rFonts w:ascii="Times New Roman" w:hAnsi="Times New Roman" w:cs="Times New Roman" w:eastAsia="Times New Roman" w:hint="default"/>
        </w:rPr>
        <w:t>2018-054</w:t>
      </w:r>
      <w:r>
        <w:rPr/>
        <w:t>）。</w:t>
      </w:r>
    </w:p>
    <w:p>
      <w:pPr>
        <w:pStyle w:val="BodyText"/>
        <w:spacing w:line="300" w:lineRule="auto" w:before="13"/>
        <w:ind w:right="1132"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spacing w:val="-2"/>
        </w:rPr>
        <w:t>日，公司控股股东张曦先生与湖州恒澜投资管理合伙企业（有限合伙）就其通过全资控股的厦门麟真</w:t>
      </w:r>
      <w:r>
        <w:rPr/>
        <w:t> 持有的本公司</w:t>
      </w:r>
      <w:r>
        <w:rPr>
          <w:rFonts w:ascii="Times New Roman" w:hAnsi="Times New Roman" w:cs="Times New Roman" w:eastAsia="Times New Roman" w:hint="default"/>
        </w:rPr>
        <w:t>3,008,900</w:t>
      </w:r>
      <w:r>
        <w:rPr/>
        <w:t>股股份办理了股权质押手续。具体内容详见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日公司披露在巨潮资讯网上的《关于控股股 东部分股权质押的公告》（公告编号：</w:t>
      </w:r>
      <w:r>
        <w:rPr>
          <w:rFonts w:ascii="Times New Roman" w:hAnsi="Times New Roman" w:cs="Times New Roman" w:eastAsia="Times New Roman" w:hint="default"/>
        </w:rPr>
        <w:t>2018-059</w:t>
      </w:r>
      <w:r>
        <w:rPr/>
        <w:t>）。</w:t>
      </w:r>
    </w:p>
    <w:p>
      <w:pPr>
        <w:spacing w:after="0" w:line="300"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6" w:firstLine="360"/>
        <w:jc w:val="both"/>
      </w:pPr>
      <w:r>
        <w:rPr>
          <w:spacing w:val="-1"/>
        </w:rPr>
        <w:t>（</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w:t>
      </w:r>
      <w:r>
        <w:rPr>
          <w:spacing w:val="-1"/>
        </w:rPr>
        <w:t>日，公司控股股东张曦先生与东吴证券股份有限公司就其持有的本公司</w:t>
      </w:r>
      <w:r>
        <w:rPr>
          <w:rFonts w:ascii="Times New Roman" w:hAnsi="Times New Roman" w:cs="Times New Roman" w:eastAsia="Times New Roman" w:hint="default"/>
          <w:spacing w:val="-1"/>
        </w:rPr>
        <w:t>477.8249</w:t>
      </w:r>
      <w:r>
        <w:rPr>
          <w:spacing w:val="-1"/>
        </w:rPr>
        <w:t>万股股份办理了股票</w:t>
      </w:r>
      <w:r>
        <w:rPr/>
        <w:t> 质押式回购补充交易。具体内容详见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日公司披露在巨潮资讯网上的《关于控股股东进行股票质押式回购交易补 充质押的公告》（公告编号：</w:t>
      </w:r>
      <w:r>
        <w:rPr>
          <w:rFonts w:ascii="Times New Roman" w:hAnsi="Times New Roman" w:cs="Times New Roman" w:eastAsia="Times New Roman" w:hint="default"/>
        </w:rPr>
        <w:t>2018-065</w:t>
      </w:r>
      <w:r>
        <w:rPr/>
        <w:t>），</w:t>
      </w:r>
    </w:p>
    <w:p>
      <w:pPr>
        <w:pStyle w:val="BodyText"/>
        <w:spacing w:line="300" w:lineRule="auto" w:before="13"/>
        <w:ind w:right="1129" w:firstLine="360"/>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日，公司控股股东张曦先生与东吴证券股份有限公司就其持有的本公司</w:t>
      </w:r>
      <w:r>
        <w:rPr>
          <w:rFonts w:ascii="Times New Roman" w:hAnsi="Times New Roman" w:cs="Times New Roman" w:eastAsia="Times New Roman" w:hint="default"/>
          <w:spacing w:val="-2"/>
        </w:rPr>
        <w:t>200</w:t>
      </w:r>
      <w:r>
        <w:rPr>
          <w:spacing w:val="-2"/>
        </w:rPr>
        <w:t>股股份办理了解除质押手</w:t>
      </w:r>
      <w:r>
        <w:rPr/>
        <w:t> 续，并就其直接持有的本公司</w:t>
      </w:r>
      <w:r>
        <w:rPr>
          <w:rFonts w:ascii="Times New Roman" w:hAnsi="Times New Roman" w:cs="Times New Roman" w:eastAsia="Times New Roman" w:hint="default"/>
        </w:rPr>
        <w:t>69,606,549</w:t>
      </w:r>
      <w:r>
        <w:rPr/>
        <w:t>股股份办理了股票质押式回购延期购回交易。具体内容详见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日公司披露 在巨潮资讯网上的《关于控股股东部分股份解除质押及延期购回的公告》（公告编号：</w:t>
      </w:r>
      <w:r>
        <w:rPr>
          <w:rFonts w:ascii="Times New Roman" w:hAnsi="Times New Roman" w:cs="Times New Roman" w:eastAsia="Times New Roman" w:hint="default"/>
        </w:rPr>
        <w:t>2019-001</w:t>
      </w:r>
      <w:r>
        <w:rPr/>
        <w:t>）。</w:t>
      </w:r>
    </w:p>
    <w:p>
      <w:pPr>
        <w:pStyle w:val="BodyText"/>
        <w:spacing w:line="300" w:lineRule="auto" w:before="13"/>
        <w:ind w:right="1138" w:firstLine="36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日，公司控股股东张曦先生与湖州恒澜投资管理合伙企业（有限合伙）就其通过全资控股的厦门麟真 持有的本公司</w:t>
      </w:r>
      <w:r>
        <w:rPr>
          <w:rFonts w:ascii="Times New Roman" w:hAnsi="Times New Roman" w:cs="Times New Roman" w:eastAsia="Times New Roman" w:hint="default"/>
        </w:rPr>
        <w:t>36,775,000</w:t>
      </w:r>
      <w:r>
        <w:rPr/>
        <w:t>股股份办理了股权质押手续。具体内容详见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日公司披露在巨潮资讯网上的《关于控股股 东部分股权质押的公告》（公告编号：</w:t>
      </w:r>
      <w:r>
        <w:rPr>
          <w:rFonts w:ascii="Times New Roman" w:hAnsi="Times New Roman" w:cs="Times New Roman" w:eastAsia="Times New Roman" w:hint="default"/>
        </w:rPr>
        <w:t>2019-023</w:t>
      </w:r>
      <w:r>
        <w:rPr/>
        <w:t>）。</w:t>
      </w:r>
    </w:p>
    <w:p>
      <w:pPr>
        <w:pStyle w:val="BodyText"/>
        <w:spacing w:line="300" w:lineRule="auto" w:before="13"/>
        <w:ind w:right="1133" w:firstLine="360"/>
        <w:jc w:val="both"/>
      </w:pPr>
      <w:r>
        <w:rPr>
          <w:spacing w:val="-1"/>
        </w:rPr>
        <w:t>截至本报告披露日，张曦先生直接和间接持有的公司股份累计被质押</w:t>
      </w:r>
      <w:r>
        <w:rPr>
          <w:rFonts w:ascii="Times New Roman" w:hAnsi="Times New Roman" w:cs="Times New Roman" w:eastAsia="Times New Roman" w:hint="default"/>
          <w:spacing w:val="-1"/>
        </w:rPr>
        <w:t>128,800,767</w:t>
      </w:r>
      <w:r>
        <w:rPr>
          <w:spacing w:val="-1"/>
        </w:rPr>
        <w:t>股，占其持有股份总数的</w:t>
      </w:r>
      <w:r>
        <w:rPr>
          <w:rFonts w:ascii="Times New Roman" w:hAnsi="Times New Roman" w:cs="Times New Roman" w:eastAsia="Times New Roman" w:hint="default"/>
          <w:spacing w:val="-1"/>
        </w:rPr>
        <w:t>99.942%</w:t>
      </w:r>
      <w:r>
        <w:rPr>
          <w:spacing w:val="-1"/>
        </w:rPr>
        <w:t>，占</w:t>
      </w:r>
      <w:r>
        <w:rPr>
          <w:spacing w:val="-3"/>
        </w:rPr>
        <w:t> </w:t>
      </w:r>
      <w:r>
        <w:rPr/>
        <w:t>公司总股本的</w:t>
      </w:r>
      <w:r>
        <w:rPr>
          <w:rFonts w:ascii="Times New Roman" w:hAnsi="Times New Roman" w:cs="Times New Roman" w:eastAsia="Times New Roman" w:hint="default"/>
        </w:rPr>
        <w:t>29.954%</w:t>
      </w:r>
      <w:r>
        <w:rPr/>
        <w:t>。</w:t>
      </w:r>
    </w:p>
    <w:p>
      <w:pPr>
        <w:pStyle w:val="BodyText"/>
        <w:spacing w:line="240" w:lineRule="auto" w:before="13"/>
        <w:ind w:left="513" w:right="0"/>
        <w:jc w:val="left"/>
      </w:pPr>
      <w:r>
        <w:rPr>
          <w:rFonts w:ascii="Times New Roman" w:hAnsi="Times New Roman" w:cs="Times New Roman" w:eastAsia="Times New Roman" w:hint="default"/>
        </w:rPr>
        <w:t>4</w:t>
      </w:r>
      <w:r>
        <w:rPr/>
        <w:t>、关于通过高新技术企业重新认定的事项</w:t>
      </w:r>
    </w:p>
    <w:p>
      <w:pPr>
        <w:pStyle w:val="BodyText"/>
        <w:spacing w:line="300" w:lineRule="auto" w:before="63"/>
        <w:ind w:right="1129" w:firstLine="36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5</w:t>
      </w:r>
      <w:r>
        <w:rPr>
          <w:spacing w:val="-1"/>
        </w:rPr>
        <w:t>日，公司披露《关于通过高新技术企业重新认定的公告》（公告编号：</w:t>
      </w:r>
      <w:r>
        <w:rPr>
          <w:rFonts w:ascii="Times New Roman" w:hAnsi="Times New Roman" w:cs="Times New Roman" w:eastAsia="Times New Roman" w:hint="default"/>
          <w:spacing w:val="-1"/>
        </w:rPr>
        <w:t>2018-017</w:t>
      </w:r>
      <w:r>
        <w:rPr>
          <w:spacing w:val="-1"/>
        </w:rPr>
        <w:t>），公司收到了由厦门科学</w:t>
      </w:r>
      <w:r>
        <w:rPr/>
        <w:t> 技术局、厦门市财政局、厦门市国家税务局、福建省厦门市地方税务局联合颁发的《高新技术企业证书》。</w:t>
      </w:r>
    </w:p>
    <w:p>
      <w:pPr>
        <w:pStyle w:val="BodyText"/>
        <w:spacing w:line="240" w:lineRule="auto" w:before="31"/>
        <w:ind w:left="513" w:right="0"/>
        <w:jc w:val="left"/>
      </w:pPr>
      <w:r>
        <w:rPr/>
        <w:t>具体内容详见公司刊登在巨潮资讯网上的相关公告。</w:t>
      </w:r>
    </w:p>
    <w:p>
      <w:pPr>
        <w:pStyle w:val="BodyText"/>
        <w:spacing w:line="240" w:lineRule="auto" w:before="76"/>
        <w:ind w:left="513" w:right="0"/>
        <w:jc w:val="left"/>
      </w:pPr>
      <w:r>
        <w:rPr>
          <w:rFonts w:ascii="Times New Roman" w:hAnsi="Times New Roman" w:cs="Times New Roman" w:eastAsia="Times New Roman" w:hint="default"/>
        </w:rPr>
        <w:t>5</w:t>
      </w:r>
      <w:r>
        <w:rPr/>
        <w:t>、关于与浙江蚂蚁小微金融服务集团股份有限公司签订《合作框架协议》的事项</w:t>
      </w:r>
    </w:p>
    <w:p>
      <w:pPr>
        <w:pStyle w:val="BodyText"/>
        <w:spacing w:line="300" w:lineRule="auto" w:before="63"/>
        <w:ind w:right="1043"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日，公司与浙江蚂蚁小微金融服务集团股份有限公司签订了《合作框架协议》，一致同意在促进人社行业、</w:t>
      </w:r>
      <w:r>
        <w:rPr/>
        <w:t> </w:t>
      </w:r>
      <w:r>
        <w:rPr>
          <w:spacing w:val="-2"/>
        </w:rPr>
        <w:t>医疗行业信息化水平提升和大数据应用、区块链、人工智能等领域，以及优化便民等方面开展紧密合作。具体内容详见</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2"/>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日公司披露在巨潮资讯网上的《关于与浙江蚂蚁小微金融服务集团股份有限公司签订</w:t>
      </w:r>
      <w:r>
        <w:rPr>
          <w:rFonts w:ascii="Times New Roman" w:hAnsi="Times New Roman" w:cs="Times New Roman" w:eastAsia="Times New Roman" w:hint="default"/>
        </w:rPr>
        <w:t>&lt;</w:t>
      </w:r>
      <w:r>
        <w:rPr/>
        <w:t>合作框架协议</w:t>
      </w:r>
      <w:r>
        <w:rPr>
          <w:rFonts w:ascii="Times New Roman" w:hAnsi="Times New Roman" w:cs="Times New Roman" w:eastAsia="Times New Roman" w:hint="default"/>
        </w:rPr>
        <w:t>&gt;</w:t>
      </w:r>
      <w:r>
        <w:rPr/>
        <w:t>的公告》（公 告编号：</w:t>
      </w:r>
      <w:r>
        <w:rPr>
          <w:rFonts w:ascii="Times New Roman" w:hAnsi="Times New Roman" w:cs="Times New Roman" w:eastAsia="Times New Roman" w:hint="default"/>
        </w:rPr>
        <w:t>2018-018</w:t>
      </w:r>
      <w:r>
        <w:rPr/>
        <w:t>）。</w:t>
      </w:r>
    </w:p>
    <w:p>
      <w:pPr>
        <w:pStyle w:val="BodyText"/>
        <w:spacing w:line="240" w:lineRule="auto" w:before="13"/>
        <w:ind w:left="513" w:right="0"/>
        <w:jc w:val="left"/>
      </w:pPr>
      <w:r>
        <w:rPr>
          <w:rFonts w:ascii="Times New Roman" w:hAnsi="Times New Roman" w:cs="Times New Roman" w:eastAsia="Times New Roman" w:hint="default"/>
        </w:rPr>
        <w:t>6</w:t>
      </w:r>
      <w:r>
        <w:rPr/>
        <w:t>、关于与海虹企业（控股）股份有限公司签订《战略合作协议》的事项</w:t>
      </w:r>
    </w:p>
    <w:p>
      <w:pPr>
        <w:pStyle w:val="BodyText"/>
        <w:spacing w:line="300" w:lineRule="auto" w:before="63"/>
        <w:ind w:right="1049"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w:t>
      </w:r>
      <w:r>
        <w:rPr>
          <w:spacing w:val="-2"/>
        </w:rPr>
        <w:t>日，公司与海虹企业（控股）股份有限公司（现已更名为</w:t>
      </w:r>
      <w:r>
        <w:rPr>
          <w:rFonts w:ascii="Times New Roman" w:hAnsi="Times New Roman" w:cs="Times New Roman" w:eastAsia="Times New Roman" w:hint="default"/>
          <w:spacing w:val="-2"/>
        </w:rPr>
        <w:t>“</w:t>
      </w:r>
      <w:r>
        <w:rPr>
          <w:spacing w:val="-2"/>
        </w:rPr>
        <w:t>国新健康保障服务集团股份有限公司</w:t>
      </w:r>
      <w:r>
        <w:rPr>
          <w:rFonts w:ascii="Times New Roman" w:hAnsi="Times New Roman" w:cs="Times New Roman" w:eastAsia="Times New Roman" w:hint="default"/>
          <w:spacing w:val="-2"/>
        </w:rPr>
        <w:t>”</w:t>
      </w:r>
      <w:r>
        <w:rPr>
          <w:spacing w:val="-2"/>
        </w:rPr>
        <w:t>）签订《战</w:t>
      </w:r>
      <w:r>
        <w:rPr/>
        <w:t> 略合作协议》，决定开展全面战略合作。具体内容详见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日公司披露在巨潮资讯网上的《关于与海虹企业（控股） 股份有限公司签订</w:t>
      </w:r>
      <w:r>
        <w:rPr>
          <w:rFonts w:ascii="Times New Roman" w:hAnsi="Times New Roman" w:cs="Times New Roman" w:eastAsia="Times New Roman" w:hint="default"/>
        </w:rPr>
        <w:t>&lt;</w:t>
      </w:r>
      <w:r>
        <w:rPr/>
        <w:t>战略合作协议</w:t>
      </w:r>
      <w:r>
        <w:rPr>
          <w:rFonts w:ascii="Times New Roman" w:hAnsi="Times New Roman" w:cs="Times New Roman" w:eastAsia="Times New Roman" w:hint="default"/>
        </w:rPr>
        <w:t>&gt;</w:t>
      </w:r>
      <w:r>
        <w:rPr/>
        <w:t>的公告》（公告编号：</w:t>
      </w:r>
      <w:r>
        <w:rPr>
          <w:rFonts w:ascii="Times New Roman" w:hAnsi="Times New Roman" w:cs="Times New Roman" w:eastAsia="Times New Roman" w:hint="default"/>
        </w:rPr>
        <w:t>2018-031</w:t>
      </w:r>
      <w:r>
        <w:rPr/>
        <w:t>）。</w:t>
      </w:r>
    </w:p>
    <w:p>
      <w:pPr>
        <w:pStyle w:val="BodyText"/>
        <w:spacing w:line="240" w:lineRule="auto" w:before="13"/>
        <w:ind w:left="513" w:right="0"/>
        <w:jc w:val="left"/>
      </w:pPr>
      <w:r>
        <w:rPr>
          <w:rFonts w:ascii="Times New Roman" w:hAnsi="Times New Roman" w:cs="Times New Roman" w:eastAsia="Times New Roman" w:hint="default"/>
        </w:rPr>
        <w:t>7</w:t>
      </w:r>
      <w:r>
        <w:rPr/>
        <w:t>、关于参与发起设立海保人寿保险股份有限公司获中国银保监会开业批复的事项</w:t>
      </w:r>
    </w:p>
    <w:p>
      <w:pPr>
        <w:pStyle w:val="BodyText"/>
        <w:spacing w:line="300" w:lineRule="auto" w:before="63"/>
        <w:ind w:right="1132"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日，公司参与发起设立的海保人寿保险股份有限公司（以下简称</w:t>
      </w:r>
      <w:r>
        <w:rPr>
          <w:rFonts w:ascii="Times New Roman" w:hAnsi="Times New Roman" w:cs="Times New Roman" w:eastAsia="Times New Roman" w:hint="default"/>
        </w:rPr>
        <w:t>“</w:t>
      </w:r>
      <w:r>
        <w:rPr/>
        <w:t>海保人寿</w:t>
      </w:r>
      <w:r>
        <w:rPr>
          <w:rFonts w:ascii="Times New Roman" w:hAnsi="Times New Roman" w:cs="Times New Roman" w:eastAsia="Times New Roman" w:hint="default"/>
        </w:rPr>
        <w:t>”</w:t>
      </w:r>
      <w:r>
        <w:rPr/>
        <w:t>）筹备组收到了中国银行保险 </w:t>
      </w:r>
      <w:r>
        <w:rPr>
          <w:spacing w:val="-3"/>
        </w:rPr>
        <w:t>监督管理委员会（原</w:t>
      </w:r>
      <w:r>
        <w:rPr>
          <w:rFonts w:ascii="Times New Roman" w:hAnsi="Times New Roman" w:cs="Times New Roman" w:eastAsia="Times New Roman" w:hint="default"/>
          <w:spacing w:val="-3"/>
        </w:rPr>
        <w:t>“</w:t>
      </w:r>
      <w:r>
        <w:rPr>
          <w:spacing w:val="-3"/>
        </w:rPr>
        <w:t>中国保险监督管理委员会</w:t>
      </w:r>
      <w:r>
        <w:rPr>
          <w:rFonts w:ascii="Times New Roman" w:hAnsi="Times New Roman" w:cs="Times New Roman" w:eastAsia="Times New Roman" w:hint="default"/>
          <w:spacing w:val="-3"/>
        </w:rPr>
        <w:t>”</w:t>
      </w:r>
      <w:r>
        <w:rPr>
          <w:spacing w:val="-3"/>
        </w:rPr>
        <w:t>）《关于海保人寿保险股份有限公司开业的批复》（银保监许可〔</w:t>
      </w:r>
      <w:r>
        <w:rPr>
          <w:rFonts w:ascii="Times New Roman" w:hAnsi="Times New Roman" w:cs="Times New Roman" w:eastAsia="Times New Roman" w:hint="default"/>
          <w:spacing w:val="-3"/>
        </w:rPr>
        <w:t>2018</w:t>
      </w:r>
      <w:r>
        <w:rPr>
          <w:spacing w:val="-3"/>
        </w:rPr>
        <w:t>〕</w:t>
      </w:r>
      <w:r>
        <w:rPr>
          <w:rFonts w:ascii="Times New Roman" w:hAnsi="Times New Roman" w:cs="Times New Roman" w:eastAsia="Times New Roman" w:hint="default"/>
          <w:spacing w:val="-3"/>
        </w:rPr>
        <w:t>313</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号）。具体内容详见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日公司披露在巨潮资讯网上的《关于参与发起设立海保人寿保险股份有限公司获中国银保 监会开业批复的公告》（公告编号：</w:t>
      </w:r>
      <w:r>
        <w:rPr>
          <w:rFonts w:ascii="Times New Roman" w:hAnsi="Times New Roman" w:cs="Times New Roman" w:eastAsia="Times New Roman" w:hint="default"/>
        </w:rPr>
        <w:t>2018-038</w:t>
      </w:r>
      <w:r>
        <w:rPr/>
        <w:t>）。</w:t>
      </w:r>
    </w:p>
    <w:p>
      <w:pPr>
        <w:pStyle w:val="BodyText"/>
        <w:spacing w:line="300" w:lineRule="auto" w:before="13"/>
        <w:ind w:right="113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日，海保人寿已凭上述批复文件和中国银保监会颁发的《保险机构法人许可证》完成了相关工商注册登记 手续，并获得了海口市工商行政管理局颁发的《营业执照》。</w:t>
      </w:r>
    </w:p>
    <w:p>
      <w:pPr>
        <w:pStyle w:val="BodyText"/>
        <w:spacing w:line="240" w:lineRule="auto" w:before="31"/>
        <w:ind w:left="513" w:right="0"/>
        <w:jc w:val="left"/>
      </w:pPr>
      <w:r>
        <w:rPr>
          <w:rFonts w:ascii="Times New Roman" w:hAnsi="Times New Roman" w:cs="Times New Roman" w:eastAsia="Times New Roman" w:hint="default"/>
        </w:rPr>
        <w:t>8</w:t>
      </w:r>
      <w:r>
        <w:rPr/>
        <w:t>、关于获得政府补助的事项</w:t>
      </w:r>
    </w:p>
    <w:p>
      <w:pPr>
        <w:pStyle w:val="BodyText"/>
        <w:spacing w:line="300" w:lineRule="auto" w:before="63"/>
        <w:ind w:right="117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日，公司收到厦门市思明区科技和信息化局下发的软件信息企业增产增速奖励</w:t>
      </w:r>
      <w:r>
        <w:rPr>
          <w:rFonts w:ascii="Times New Roman" w:hAnsi="Times New Roman" w:cs="Times New Roman" w:eastAsia="Times New Roman" w:hint="default"/>
        </w:rPr>
        <w:t>725,000</w:t>
      </w:r>
      <w:r>
        <w:rPr/>
        <w:t>元，自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 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日，公司及控股子公司累计获得各项政府补助资金共计人民币</w:t>
      </w:r>
      <w:r>
        <w:rPr>
          <w:rFonts w:ascii="Times New Roman" w:hAnsi="Times New Roman" w:cs="Times New Roman" w:eastAsia="Times New Roman" w:hint="default"/>
        </w:rPr>
        <w:t>3,816,789.88</w:t>
      </w:r>
      <w:r>
        <w:rPr/>
        <w:t>元。具体内容详见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日公司披露在巨潮资讯网上的《关于获得政府补助的公告》（公告编号：</w:t>
      </w:r>
      <w:r>
        <w:rPr>
          <w:rFonts w:ascii="Times New Roman" w:hAnsi="Times New Roman" w:cs="Times New Roman" w:eastAsia="Times New Roman" w:hint="default"/>
        </w:rPr>
        <w:t>2018-047</w:t>
      </w:r>
      <w:r>
        <w:rPr/>
        <w:t>）。</w:t>
      </w:r>
    </w:p>
    <w:p>
      <w:pPr>
        <w:pStyle w:val="BodyText"/>
        <w:spacing w:line="300" w:lineRule="auto" w:before="13"/>
        <w:ind w:right="1128" w:firstLine="36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8</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日，公司及全资、控股子公司累计收到各项政府补助资金共计人民币</w:t>
      </w:r>
      <w:r>
        <w:rPr>
          <w:rFonts w:ascii="Times New Roman" w:hAnsi="Times New Roman" w:cs="Times New Roman" w:eastAsia="Times New Roman" w:hint="default"/>
          <w:spacing w:val="-1"/>
        </w:rPr>
        <w:t>15,980,565.48</w:t>
      </w:r>
      <w:r>
        <w:rPr>
          <w:spacing w:val="-1"/>
        </w:rPr>
        <w:t>元，其</w:t>
      </w:r>
      <w:r>
        <w:rPr/>
        <w:t> 中增值税软件退税政府补助资金为人民币</w:t>
      </w:r>
      <w:r>
        <w:rPr>
          <w:rFonts w:ascii="Times New Roman" w:hAnsi="Times New Roman" w:cs="Times New Roman" w:eastAsia="Times New Roman" w:hint="default"/>
        </w:rPr>
        <w:t>7,821,266.67</w:t>
      </w:r>
      <w:r>
        <w:rPr/>
        <w:t>元，政府企业研发补助资金及其他政府补助资金为人民币</w:t>
      </w:r>
      <w:r>
        <w:rPr>
          <w:rFonts w:ascii="Times New Roman" w:hAnsi="Times New Roman" w:cs="Times New Roman" w:eastAsia="Times New Roman" w:hint="default"/>
        </w:rPr>
        <w:t>8,159,298.81 </w:t>
      </w:r>
      <w:r>
        <w:rPr/>
        <w:t>元。具体内容详见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日公司披露在巨潮资讯网上的《关于获得政府补助的公告》（公告编号：</w:t>
      </w:r>
      <w:r>
        <w:rPr>
          <w:rFonts w:ascii="Times New Roman" w:hAnsi="Times New Roman" w:cs="Times New Roman" w:eastAsia="Times New Roman" w:hint="default"/>
        </w:rPr>
        <w:t>2018-076</w:t>
      </w:r>
      <w:r>
        <w:rPr/>
        <w:t>）。</w:t>
      </w:r>
    </w:p>
    <w:p>
      <w:pPr>
        <w:pStyle w:val="BodyText"/>
        <w:spacing w:line="240" w:lineRule="auto" w:before="13"/>
        <w:ind w:left="513" w:right="0"/>
        <w:jc w:val="left"/>
      </w:pPr>
      <w:r>
        <w:rPr>
          <w:rFonts w:ascii="Times New Roman" w:hAnsi="Times New Roman" w:cs="Times New Roman" w:eastAsia="Times New Roman" w:hint="default"/>
        </w:rPr>
        <w:t>9</w:t>
      </w:r>
      <w:r>
        <w:rPr/>
        <w:t>、关于董事会、监事会任期届满换届选举及董事、高管变更的事项</w:t>
      </w:r>
    </w:p>
    <w:p>
      <w:pPr>
        <w:pStyle w:val="BodyText"/>
        <w:spacing w:line="309" w:lineRule="auto" w:before="63"/>
        <w:ind w:right="1049" w:firstLine="360"/>
        <w:jc w:val="both"/>
      </w:pPr>
      <w:r>
        <w:rPr>
          <w:spacing w:val="-2"/>
        </w:rPr>
        <w:t>（</w:t>
      </w:r>
      <w:r>
        <w:rPr>
          <w:rFonts w:ascii="Times New Roman" w:hAnsi="Times New Roman" w:cs="Times New Roman" w:eastAsia="Times New Roman" w:hint="default"/>
          <w:spacing w:val="-2"/>
        </w:rPr>
        <w:t>1</w:t>
      </w:r>
      <w:r>
        <w:rPr>
          <w:spacing w:val="-2"/>
        </w:rPr>
        <w:t>）公司第三届董事会、第三届监事会于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日任期届满。公司于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日召开第三届董事会第四十二次</w:t>
      </w:r>
      <w:r>
        <w:rPr/>
        <w:t> 会议和第三届监事会第二十八次会议，于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日召开</w:t>
      </w:r>
      <w:r>
        <w:rPr>
          <w:rFonts w:ascii="Times New Roman" w:hAnsi="Times New Roman" w:cs="Times New Roman" w:eastAsia="Times New Roman" w:hint="default"/>
        </w:rPr>
        <w:t>2018</w:t>
      </w:r>
      <w:r>
        <w:rPr/>
        <w:t>年第二次临时股东大会，审议通过《关于董事会换届选举 </w:t>
      </w:r>
      <w:r>
        <w:rPr>
          <w:spacing w:val="-2"/>
        </w:rPr>
        <w:t>暨提名第四届董事会董事候选人的议案》、《关于监事会换届选举暨提名第四届监事会非职工代表监事候选人的议案》，选</w:t>
      </w:r>
      <w:r>
        <w:rPr>
          <w:spacing w:val="-65"/>
        </w:rPr>
        <w:t> </w:t>
      </w:r>
      <w:r>
        <w:rPr>
          <w:spacing w:val="-65"/>
        </w:rPr>
      </w:r>
      <w:r>
        <w:rPr>
          <w:spacing w:val="-2"/>
        </w:rPr>
        <w:t>举产生了公司第四届董事会、第四届监事会，任期自股东大会通过之日起三年。公司第四届董事会由十一名成员组成，分别</w:t>
      </w:r>
      <w:r>
        <w:rPr>
          <w:spacing w:val="-65"/>
        </w:rPr>
        <w:t> </w:t>
      </w:r>
      <w:r>
        <w:rPr>
          <w:spacing w:val="-65"/>
        </w:rPr>
      </w:r>
      <w:r>
        <w:rPr/>
        <w:t>为：张曦先生、黄文灿先生、应亚珍女士、吴一禹先生、李虹海先生、张昱女士、邱晓华先生、詹亦文女士、苏伟斌先生、</w:t>
      </w:r>
    </w:p>
    <w:p>
      <w:pPr>
        <w:spacing w:after="0" w:line="309"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034"/>
        <w:jc w:val="left"/>
      </w:pPr>
      <w:r>
        <w:rPr>
          <w:spacing w:val="-2"/>
        </w:rPr>
        <w:t>陈菡女士、何锐先生，其中邱晓华先生、詹亦文女士、苏伟斌先生、陈菡女士、何锐先生为独立董事。张曦先生、黄文灿先</w:t>
      </w:r>
      <w:r>
        <w:rPr>
          <w:spacing w:val="-65"/>
        </w:rPr>
        <w:t> </w:t>
      </w:r>
      <w:r>
        <w:rPr>
          <w:spacing w:val="-65"/>
        </w:rPr>
      </w:r>
      <w:r>
        <w:rPr>
          <w:spacing w:val="-2"/>
        </w:rPr>
        <w:t>生、应亚珍女士、李虹海先生、张昱女士、邱晓华先生、苏伟斌先生、陈菡女士为续聘董事，吴一禹先生、詹亦文女士、何</w:t>
      </w:r>
      <w:r>
        <w:rPr>
          <w:spacing w:val="-70"/>
        </w:rPr>
        <w:t> </w:t>
      </w:r>
      <w:r>
        <w:rPr>
          <w:spacing w:val="-70"/>
        </w:rPr>
      </w:r>
      <w:r>
        <w:rPr/>
        <w:t>锐先生为新聘董事。公司第四届监事会由三名成员组成，分别为：江敦忠先生、许丽美女士、郭骁昌先生，均为续聘监事。 郭骁昌先生为职工代表监事，由公司职工代表大会于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日选举产生。</w:t>
      </w:r>
    </w:p>
    <w:p>
      <w:pPr>
        <w:pStyle w:val="BodyText"/>
        <w:spacing w:line="316" w:lineRule="auto"/>
        <w:ind w:right="1131" w:firstLine="360"/>
        <w:jc w:val="both"/>
      </w:pPr>
      <w:r>
        <w:rPr>
          <w:spacing w:val="-2"/>
        </w:rPr>
        <w:t>公司第三届董事会董事童斌先生、独立董事邢文祥先生、唐予华先生于任期届满后不再在公司担任相应的董事、独立董</w:t>
      </w:r>
      <w:r>
        <w:rPr/>
        <w:t> 事职务，且不担任公司其他职务。</w:t>
      </w:r>
    </w:p>
    <w:p>
      <w:pPr>
        <w:pStyle w:val="BodyText"/>
        <w:spacing w:line="314" w:lineRule="auto" w:before="19"/>
        <w:ind w:right="1131"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日，公司第四届董事会第一次会议召开，会议选举张曦先生担任公司第四届董事会董事长，选举黄文</w:t>
      </w:r>
      <w:r>
        <w:rPr/>
        <w:t> </w:t>
      </w:r>
      <w:r>
        <w:rPr>
          <w:spacing w:val="-2"/>
        </w:rPr>
        <w:t>灿先生担任公司第四届董事会副董事长，聘任应亚珍女士担任公司总经理，聘任黄文灿先生、吴一禹先生、吴梁斌先生、李</w:t>
      </w:r>
      <w:r>
        <w:rPr>
          <w:spacing w:val="-67"/>
        </w:rPr>
        <w:t> </w:t>
      </w:r>
      <w:r>
        <w:rPr>
          <w:spacing w:val="-67"/>
        </w:rPr>
      </w:r>
      <w:r>
        <w:rPr>
          <w:spacing w:val="-2"/>
        </w:rPr>
        <w:t>虹海先生、陈江生先生、施建安先生、孙中海先生、游海涛先生担任公司副总经理，聘任陈东红先生担任公司财务总监，聘</w:t>
      </w:r>
      <w:r>
        <w:rPr>
          <w:spacing w:val="-68"/>
        </w:rPr>
        <w:t> </w:t>
      </w:r>
      <w:r>
        <w:rPr>
          <w:spacing w:val="-68"/>
        </w:rPr>
      </w:r>
      <w:r>
        <w:rPr>
          <w:spacing w:val="-2"/>
        </w:rPr>
        <w:t>任李虹海先生担任公司董事会秘书，任期自该次董事会审议通过之日起至第四届董事会届满之日止。同日，公司第四届监事</w:t>
      </w:r>
      <w:r>
        <w:rPr>
          <w:spacing w:val="-64"/>
        </w:rPr>
        <w:t> </w:t>
      </w:r>
      <w:r>
        <w:rPr>
          <w:spacing w:val="-64"/>
        </w:rPr>
      </w:r>
      <w:r>
        <w:rPr>
          <w:spacing w:val="-2"/>
        </w:rPr>
        <w:t>会第一次会议召开，会议选举江敦忠先生担任公司第四届监事会主席，任期自监事会审议通过之日起至第四届监事会届满之</w:t>
      </w:r>
      <w:r>
        <w:rPr>
          <w:spacing w:val="-63"/>
        </w:rPr>
        <w:t> </w:t>
      </w:r>
      <w:r>
        <w:rPr>
          <w:spacing w:val="-63"/>
        </w:rPr>
      </w:r>
      <w:r>
        <w:rPr/>
        <w:t>日止。公司所有高级管理人员均为续聘高级管理人员。</w:t>
      </w:r>
    </w:p>
    <w:p>
      <w:pPr>
        <w:pStyle w:val="BodyText"/>
        <w:spacing w:line="309" w:lineRule="auto" w:before="20"/>
        <w:ind w:right="1130"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日公司董事会收到公司副总经理孙中海先生递交的书面辞职报告。孙中海先生因个人原因申请辞去所担任 </w:t>
      </w:r>
      <w:r>
        <w:rPr>
          <w:spacing w:val="-2"/>
        </w:rPr>
        <w:t>的公司副总经理职务。辞职后，孙中海先生将不再在公司担任任何职务，孙中海先生的辞职不会对公司日常经营管理工作产</w:t>
      </w:r>
      <w:r>
        <w:rPr>
          <w:spacing w:val="-63"/>
        </w:rPr>
        <w:t> </w:t>
      </w:r>
      <w:r>
        <w:rPr>
          <w:spacing w:val="-63"/>
        </w:rPr>
      </w:r>
      <w:r>
        <w:rPr/>
        <w:t>生影响。</w:t>
      </w:r>
    </w:p>
    <w:p>
      <w:pPr>
        <w:pStyle w:val="BodyText"/>
        <w:spacing w:line="307" w:lineRule="auto" w:before="24"/>
        <w:ind w:right="1130"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日，公司第四届董事会第七次会议召开。公司董事应亚珍女士和张昱女士因个人原因申请辞去公司第</w:t>
      </w:r>
      <w:r>
        <w:rPr/>
        <w:t> </w:t>
      </w:r>
      <w:r>
        <w:rPr>
          <w:spacing w:val="-2"/>
        </w:rPr>
        <w:t>四届董事会董事职务，辞职后，应亚珍女士将继续担任公司总经理，张昱女士将继续担任公司其他职务，上述两名董事辞职</w:t>
      </w:r>
      <w:r>
        <w:rPr>
          <w:spacing w:val="-65"/>
        </w:rPr>
        <w:t> </w:t>
      </w:r>
      <w:r>
        <w:rPr>
          <w:spacing w:val="-65"/>
        </w:rPr>
      </w:r>
      <w:r>
        <w:rPr>
          <w:spacing w:val="-2"/>
        </w:rPr>
        <w:t>不会导致公司董事会成员人数低于法定最低人数，不影响公司董事会正常运行，其辞职报告自送达董事会之日起生效。鉴于</w:t>
      </w:r>
      <w:r>
        <w:rPr>
          <w:spacing w:val="-63"/>
        </w:rPr>
        <w:t> </w:t>
      </w:r>
      <w:r>
        <w:rPr>
          <w:spacing w:val="-63"/>
        </w:rPr>
      </w:r>
      <w:r>
        <w:rPr/>
        <w:t>上述情况，公司第四届董事会提名廖杰远先生、孔祥谱先生为公司第四届董事会非独立董事候选人。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日，公司 </w:t>
      </w:r>
      <w:r>
        <w:rPr>
          <w:spacing w:val="-2"/>
        </w:rPr>
        <w:t>召开</w:t>
      </w:r>
      <w:r>
        <w:rPr>
          <w:rFonts w:ascii="Times New Roman" w:hAnsi="Times New Roman" w:cs="Times New Roman" w:eastAsia="Times New Roman" w:hint="default"/>
          <w:spacing w:val="-2"/>
        </w:rPr>
        <w:t>2019</w:t>
      </w:r>
      <w:r>
        <w:rPr>
          <w:spacing w:val="-2"/>
        </w:rPr>
        <w:t>年第一次临时股东大会审议通过《关于补选第四届董事会非独立董事的议案》，廖杰远先生、孔祥谱先生当选为公</w:t>
      </w:r>
      <w:r>
        <w:rPr>
          <w:spacing w:val="-62"/>
        </w:rPr>
        <w:t> </w:t>
      </w:r>
      <w:r>
        <w:rPr>
          <w:spacing w:val="-62"/>
        </w:rPr>
      </w:r>
      <w:r>
        <w:rPr/>
        <w:t>司第四届董事会非独立董事，任期自股东大会通过之日起至第四届董事会届满之日止。</w:t>
      </w:r>
    </w:p>
    <w:p>
      <w:pPr>
        <w:pStyle w:val="BodyText"/>
        <w:spacing w:line="300" w:lineRule="auto" w:before="26"/>
        <w:ind w:right="1132" w:firstLine="36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日，公司第四届董事会第八次会议审议通过《关于选举廖杰远先生为公司第四届董事会副董事长的议</w:t>
      </w:r>
      <w:r>
        <w:rPr/>
        <w:t> 案》，同意选举廖杰远先生为公司第四届董事会副董事长，任期自本次会议通过之日起至第四届董事会届满之日止。</w:t>
      </w:r>
    </w:p>
    <w:p>
      <w:pPr>
        <w:pStyle w:val="BodyText"/>
        <w:spacing w:line="240" w:lineRule="auto" w:before="31"/>
        <w:ind w:left="513" w:right="0"/>
        <w:jc w:val="left"/>
      </w:pPr>
      <w:r>
        <w:rPr/>
        <w:t>具体内容详见公司披露在巨潮资讯网上的相关公告。</w:t>
      </w:r>
    </w:p>
    <w:p>
      <w:pPr>
        <w:pStyle w:val="BodyText"/>
        <w:spacing w:line="240" w:lineRule="auto" w:before="76"/>
        <w:ind w:left="513" w:right="0"/>
        <w:jc w:val="left"/>
      </w:pPr>
      <w:r>
        <w:rPr>
          <w:rFonts w:ascii="Times New Roman" w:hAnsi="Times New Roman" w:cs="Times New Roman" w:eastAsia="Times New Roman" w:hint="default"/>
        </w:rPr>
        <w:t>10</w:t>
      </w:r>
      <w:r>
        <w:rPr/>
        <w:t>、关于控股股东、实际控制人持股情况调整的事项</w:t>
      </w:r>
    </w:p>
    <w:p>
      <w:pPr>
        <w:pStyle w:val="BodyText"/>
        <w:spacing w:line="300" w:lineRule="auto" w:before="63"/>
        <w:ind w:right="1127"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日，公司接到控股股东张曦先生通知，获悉张曦先生为优化持股结构，拟通过其全资控股的厦门麟真以协</w:t>
      </w:r>
      <w:r>
        <w:rPr/>
        <w:t> 议转让方式受让信托计划所持有的公司无限售条件流通股 </w:t>
      </w:r>
      <w:r>
        <w:rPr>
          <w:rFonts w:ascii="Times New Roman" w:hAnsi="Times New Roman" w:cs="Times New Roman" w:eastAsia="Times New Roman" w:hint="default"/>
        </w:rPr>
        <w:t>36,775,000 </w:t>
      </w:r>
      <w:r>
        <w:rPr>
          <w:spacing w:val="-3"/>
        </w:rPr>
        <w:t>股，占公司总股本的</w:t>
      </w:r>
      <w:r>
        <w:rPr>
          <w:spacing w:val="-30"/>
        </w:rPr>
        <w:t> </w:t>
      </w:r>
      <w:r>
        <w:rPr>
          <w:rFonts w:ascii="Times New Roman" w:hAnsi="Times New Roman" w:cs="Times New Roman" w:eastAsia="Times New Roman" w:hint="default"/>
        </w:rPr>
        <w:t>8.552%</w:t>
      </w:r>
      <w:r>
        <w:rPr/>
        <w:t>。信托计划的管理人兴业 信托与厦门麟真已于</w:t>
      </w:r>
      <w:r>
        <w:rPr>
          <w:spacing w:val="-21"/>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日签订了《易联众信息技术股份有限公司股票转让协议》。本次持股调整后，信托计划 </w:t>
      </w:r>
      <w:r>
        <w:rPr>
          <w:spacing w:val="-5"/>
        </w:rPr>
        <w:t>不再持有公司股份；张曦先生持有公司股份的数量不变，仍为 </w:t>
      </w:r>
      <w:r>
        <w:rPr>
          <w:rFonts w:ascii="Times New Roman" w:hAnsi="Times New Roman" w:cs="Times New Roman" w:eastAsia="Times New Roman" w:hint="default"/>
        </w:rPr>
        <w:t>128,875,867 </w:t>
      </w:r>
      <w:r>
        <w:rPr>
          <w:spacing w:val="-7"/>
        </w:rPr>
        <w:t>股，占公司总股本的 </w:t>
      </w:r>
      <w:r>
        <w:rPr>
          <w:rFonts w:ascii="Times New Roman" w:hAnsi="Times New Roman" w:cs="Times New Roman" w:eastAsia="Times New Roman" w:hint="default"/>
          <w:spacing w:val="-4"/>
        </w:rPr>
        <w:t>29.971%</w:t>
      </w:r>
      <w:r>
        <w:rPr>
          <w:spacing w:val="-4"/>
        </w:rPr>
        <w:t>。具体内容详见</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日公司披露在巨潮资讯网上的《关于控股股东、实际控制人持股情况调整的提示性公告》（</w:t>
      </w:r>
      <w:r>
        <w:rPr>
          <w:rFonts w:ascii="Times New Roman" w:hAnsi="Times New Roman" w:cs="Times New Roman" w:eastAsia="Times New Roman" w:hint="default"/>
        </w:rPr>
        <w:t>2018-075</w:t>
      </w:r>
      <w:r>
        <w:rPr/>
        <w:t>）。</w:t>
      </w:r>
    </w:p>
    <w:p>
      <w:pPr>
        <w:pStyle w:val="BodyText"/>
        <w:spacing w:line="300" w:lineRule="auto" w:before="13"/>
        <w:ind w:right="1138"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日，公司收到张曦先生通知，获悉上述协议转让事宜已办理完成相关的过户登记手续，并取得由中国证券 登记结算有限责任公司出具的《证券过户登记确认书》。具体内容详见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日公司披露在巨潮资讯网上的《关于控 股股东、实际控制人持股情况调整完成的公告》（</w:t>
      </w:r>
      <w:r>
        <w:rPr>
          <w:rFonts w:ascii="Times New Roman" w:hAnsi="Times New Roman" w:cs="Times New Roman" w:eastAsia="Times New Roman" w:hint="default"/>
        </w:rPr>
        <w:t>2019-021</w:t>
      </w:r>
      <w:r>
        <w:rPr/>
        <w:t>）。</w:t>
      </w:r>
    </w:p>
    <w:p>
      <w:pPr>
        <w:pStyle w:val="BodyText"/>
        <w:spacing w:line="240" w:lineRule="auto" w:before="13"/>
        <w:ind w:left="513" w:right="0"/>
        <w:jc w:val="left"/>
      </w:pPr>
      <w:r>
        <w:rPr>
          <w:rFonts w:ascii="Times New Roman" w:hAnsi="Times New Roman" w:cs="Times New Roman" w:eastAsia="Times New Roman" w:hint="default"/>
        </w:rPr>
        <w:t>11</w:t>
      </w:r>
      <w:r>
        <w:rPr/>
        <w:t>、关于坏账核销的事项</w:t>
      </w:r>
    </w:p>
    <w:p>
      <w:pPr>
        <w:pStyle w:val="BodyText"/>
        <w:spacing w:line="307" w:lineRule="auto" w:before="63"/>
        <w:ind w:right="1132"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日，公司第四届董事会第六次会议审议通过了《关于坏账核销的议案》，为真实反映公司财务状况，经审</w:t>
      </w:r>
      <w:r>
        <w:rPr/>
        <w:t> 慎研究，公司对经营过程中长期挂账、催收无结果的部分应收账款进行清理，并予以核销。本次核销应收账款坏账共 </w:t>
      </w:r>
      <w:r>
        <w:rPr>
          <w:rFonts w:ascii="Times New Roman" w:hAnsi="Times New Roman" w:cs="Times New Roman" w:eastAsia="Times New Roman" w:hint="default"/>
        </w:rPr>
        <w:t>7,186,918.17</w:t>
      </w:r>
      <w:r>
        <w:rPr/>
        <w:t>元，已全额计提坏账准备</w:t>
      </w:r>
      <w:r>
        <w:rPr>
          <w:rFonts w:ascii="Times New Roman" w:hAnsi="Times New Roman" w:cs="Times New Roman" w:eastAsia="Times New Roman" w:hint="default"/>
        </w:rPr>
        <w:t>7,186,918.17</w:t>
      </w:r>
      <w:r>
        <w:rPr/>
        <w:t>元。具体内容详见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日公司披露在巨潮资讯网上的《关于坏账 核销的公告》（</w:t>
      </w:r>
      <w:r>
        <w:rPr>
          <w:rFonts w:ascii="Times New Roman" w:hAnsi="Times New Roman" w:cs="Times New Roman" w:eastAsia="Times New Roman" w:hint="default"/>
        </w:rPr>
        <w:t>2018-078</w:t>
      </w:r>
      <w:r>
        <w:rPr/>
        <w:t>）。</w:t>
      </w:r>
    </w:p>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r>
        <w:rPr/>
        <w:t>十九、公司子公司重大事项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441" w:right="0"/>
        <w:jc w:val="left"/>
      </w:pPr>
      <w:r>
        <w:rPr>
          <w:rFonts w:ascii="Times New Roman" w:hAnsi="Times New Roman" w:cs="Times New Roman" w:eastAsia="Times New Roman" w:hint="default"/>
        </w:rPr>
        <w:t>1</w:t>
      </w:r>
      <w:r>
        <w:rPr/>
        <w:t>、关于全资子公司向银行申请授信并提供担保的事项</w:t>
      </w:r>
    </w:p>
    <w:p>
      <w:pPr>
        <w:pStyle w:val="BodyText"/>
        <w:spacing w:line="240" w:lineRule="auto" w:before="63"/>
        <w:ind w:left="441"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日，公司第三届董事会第四十一次会议审议通过了《关于全资子公司拟向厦门农村商业银行股份有限公司</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9"/>
        <w:jc w:val="left"/>
      </w:pPr>
      <w:r>
        <w:rPr>
          <w:spacing w:val="-1"/>
        </w:rPr>
        <w:t>申请</w:t>
      </w:r>
      <w:r>
        <w:rPr>
          <w:rFonts w:ascii="Times New Roman" w:hAnsi="Times New Roman" w:cs="Times New Roman" w:eastAsia="Times New Roman" w:hint="default"/>
          <w:spacing w:val="-1"/>
        </w:rPr>
        <w:t>3,950</w:t>
      </w:r>
      <w:r>
        <w:rPr>
          <w:spacing w:val="-1"/>
        </w:rPr>
        <w:t>万元人民币综合授信额度并提供担保的议案》，具体内容详见</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18</w:t>
      </w:r>
      <w:r>
        <w:rPr>
          <w:spacing w:val="-1"/>
        </w:rPr>
        <w:t>日公司刊登在巨潮资讯网上的《关于全</w:t>
      </w:r>
      <w:r>
        <w:rPr>
          <w:spacing w:val="-73"/>
        </w:rPr>
        <w:t> </w:t>
      </w:r>
      <w:r>
        <w:rPr>
          <w:spacing w:val="-73"/>
        </w:rPr>
      </w:r>
      <w:r>
        <w:rPr/>
        <w:t>资子公司拟向厦门农村商业银行股份有限公司申请综合授信额度并提供担保的公告》（公告编号：</w:t>
      </w:r>
      <w:r>
        <w:rPr>
          <w:rFonts w:ascii="Times New Roman" w:hAnsi="Times New Roman" w:cs="Times New Roman" w:eastAsia="Times New Roman" w:hint="default"/>
        </w:rPr>
        <w:t>2018-035</w:t>
      </w:r>
      <w:r>
        <w:rPr/>
        <w:t>）。</w:t>
      </w:r>
    </w:p>
    <w:p>
      <w:pPr>
        <w:spacing w:after="0" w:line="30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2"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53,478,29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12.44%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-374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-374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53,477,92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12.44%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53,478,29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12.44%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-374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-374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53,477,92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12.44%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53,478,29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12.44%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-374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-374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53,477,92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12.44%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376,521,7</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87.56%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374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374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376,522,0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79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87.56%</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376,521,7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87.56%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374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374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376,522,0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87.56%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430,000,0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9" w:lineRule="auto" w:before="103"/>
        <w:ind w:right="1131" w:firstLine="288"/>
        <w:jc w:val="both"/>
      </w:pPr>
      <w:r>
        <w:rPr>
          <w:rFonts w:ascii="Times New Roman" w:hAnsi="Times New Roman" w:cs="Times New Roman" w:eastAsia="Times New Roman" w:hint="default"/>
          <w:spacing w:val="-1"/>
        </w:rPr>
        <w:t>2018</w:t>
      </w:r>
      <w:r>
        <w:rPr>
          <w:spacing w:val="-1"/>
        </w:rPr>
        <w:t>年首个交易日，中国证券登记结算有限公司深圳分公司根据公司董事、监事和高级管理人员</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日所持公</w:t>
      </w:r>
      <w:r>
        <w:rPr/>
        <w:t> </w:t>
      </w:r>
      <w:r>
        <w:rPr>
          <w:spacing w:val="-2"/>
        </w:rPr>
        <w:t>司股份重新计算本年度可转让股份法定额度，其余部分作为高管锁定股份进行锁定，其中持有公司股份不足一千股的全部解</w:t>
      </w:r>
      <w:r>
        <w:rPr>
          <w:spacing w:val="-64"/>
        </w:rPr>
        <w:t> </w:t>
      </w:r>
      <w:r>
        <w:rPr>
          <w:spacing w:val="-64"/>
        </w:rPr>
      </w:r>
      <w:r>
        <w:rPr/>
        <w:t>除限售。</w:t>
      </w:r>
    </w:p>
    <w:p>
      <w:pPr>
        <w:pStyle w:val="BodyText"/>
        <w:spacing w:line="240" w:lineRule="auto" w:before="65"/>
        <w:ind w:right="0"/>
        <w:jc w:val="left"/>
      </w:pPr>
      <w:r>
        <w:rPr/>
        <w:t>股份变动的批准情况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43"/>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38" w:lineRule="auto" w:before="42"/>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spacing w:after="0" w:line="338"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68"/>
        <w:gridCol w:w="1371"/>
        <w:gridCol w:w="1369"/>
        <w:gridCol w:w="1370"/>
        <w:gridCol w:w="1361"/>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3524"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52,261,236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52,261,237</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27"/>
              <w:jc w:val="left"/>
              <w:rPr>
                <w:rFonts w:ascii="宋体" w:hAnsi="宋体" w:cs="宋体" w:eastAsia="宋体" w:hint="default"/>
                <w:sz w:val="18"/>
                <w:szCs w:val="18"/>
              </w:rPr>
            </w:pPr>
            <w:r>
              <w:rPr>
                <w:rFonts w:ascii="宋体" w:hAnsi="宋体" w:cs="宋体" w:eastAsia="宋体" w:hint="default"/>
                <w:sz w:val="18"/>
                <w:szCs w:val="18"/>
              </w:rPr>
              <w:t>高管锁定（本期 增加限售股为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年第一个交 易日中国证券登 记结算有限责任 公司重新计算张 曦先生个人证券 账户可用公司股 份额度时，四舍 五入调整后导 致）</w:t>
            </w:r>
          </w:p>
        </w:tc>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65"/>
              <w:jc w:val="left"/>
              <w:rPr>
                <w:rFonts w:ascii="宋体" w:hAnsi="宋体" w:cs="宋体" w:eastAsia="宋体" w:hint="default"/>
                <w:sz w:val="18"/>
                <w:szCs w:val="18"/>
              </w:rPr>
            </w:pPr>
            <w:r>
              <w:rPr>
                <w:rFonts w:ascii="宋体" w:hAnsi="宋体" w:cs="宋体" w:eastAsia="宋体" w:hint="default"/>
                <w:sz w:val="18"/>
                <w:szCs w:val="18"/>
              </w:rPr>
              <w:t>每年按照上年末 持有股份数的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025"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1,216,684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1,216,684</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65"/>
              <w:jc w:val="left"/>
              <w:rPr>
                <w:rFonts w:ascii="宋体" w:hAnsi="宋体" w:cs="宋体" w:eastAsia="宋体" w:hint="default"/>
                <w:sz w:val="18"/>
                <w:szCs w:val="18"/>
              </w:rPr>
            </w:pPr>
            <w:r>
              <w:rPr>
                <w:rFonts w:ascii="宋体" w:hAnsi="宋体" w:cs="宋体" w:eastAsia="宋体" w:hint="default"/>
                <w:sz w:val="18"/>
                <w:szCs w:val="18"/>
              </w:rPr>
              <w:t>每年按照上年末 持有股份数的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963"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3" w:right="65"/>
              <w:jc w:val="left"/>
              <w:rPr>
                <w:rFonts w:ascii="宋体" w:hAnsi="宋体" w:cs="宋体" w:eastAsia="宋体" w:hint="default"/>
                <w:sz w:val="18"/>
                <w:szCs w:val="18"/>
              </w:rPr>
            </w:pPr>
            <w:r>
              <w:rPr>
                <w:rFonts w:ascii="宋体" w:hAnsi="宋体" w:cs="宋体" w:eastAsia="宋体" w:hint="default"/>
                <w:sz w:val="18"/>
                <w:szCs w:val="18"/>
              </w:rPr>
              <w:t>每年按照上年末 持有股份数的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 持有公司股份不 足一千股的全部 解除限售。</w:t>
            </w:r>
          </w:p>
        </w:tc>
      </w:tr>
      <w:tr>
        <w:trPr>
          <w:trHeight w:val="40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53,478,295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53,477,921</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shape style="position:absolute;margin-left:449.22699pt;margin-top:19.791697pt;width:85.75pt;height:82pt;mso-position-horizontal-relative:page;mso-position-vertical-relative:paragraph;z-index:-11320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82.5pt;margin-top:19.791697pt;width:52.45pt;height:82pt;mso-position-horizontal-relative:page;mso-position-vertical-relative:paragraph;z-index:-1132024" coordorigin="9650,396" coordsize="1049,1640">
            <v:group style="position:absolute;left:9650;top:396;width:1049;height:1640" coordorigin="9650,396" coordsize="1049,1640">
              <v:shape style="position:absolute;left:9650;top:396;width:1049;height:1640" coordorigin="9650,396" coordsize="1049,1640" path="m9650,2035l10699,2035,10699,396,9650,396,9650,2035xe" filled="true" fillcolor="#ffffff" stroked="false">
                <v:path arrowok="t"/>
                <v:fill type="solid"/>
              </v:shape>
            </v:group>
            <v:group style="position:absolute;left:9672;top:1020;width:1004;height:392" coordorigin="9672,1020" coordsize="1004,392">
              <v:shape style="position:absolute;left:9672;top:1020;width:1004;height:392" coordorigin="9672,1020" coordsize="1004,392" path="m9672,1411l10675,1411,10675,1020,9672,1020,9672,1411xe" filled="true" fillcolor="#ffffff" stroked="false">
                <v:path arrowok="t"/>
                <v:fill type="solid"/>
              </v:shape>
            </v:group>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62"/>
        <w:gridCol w:w="749"/>
        <w:gridCol w:w="750"/>
        <w:gridCol w:w="824"/>
        <w:gridCol w:w="334"/>
        <w:gridCol w:w="456"/>
        <w:gridCol w:w="828"/>
        <w:gridCol w:w="797"/>
        <w:gridCol w:w="311"/>
        <w:gridCol w:w="1039"/>
        <w:gridCol w:w="290"/>
        <w:gridCol w:w="501"/>
        <w:gridCol w:w="557"/>
      </w:tblGrid>
      <w:tr>
        <w:trPr>
          <w:trHeight w:val="1654"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24,458</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0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32" w:right="0"/>
              <w:jc w:val="left"/>
              <w:rPr>
                <w:rFonts w:ascii="Times New Roman" w:hAnsi="Times New Roman" w:cs="Times New Roman" w:eastAsia="Times New Roman" w:hint="default"/>
                <w:sz w:val="18"/>
                <w:szCs w:val="18"/>
              </w:rPr>
            </w:pPr>
            <w:r>
              <w:rPr>
                <w:rFonts w:ascii="Times New Roman"/>
                <w:sz w:val="18"/>
              </w:rPr>
              <w:t>30,281</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4"/>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1" w:type="dxa"/>
            <w:tcBorders>
              <w:top w:val="single" w:sz="4" w:space="0" w:color="000000"/>
              <w:left w:val="single" w:sz="4" w:space="0" w:color="000000"/>
              <w:bottom w:val="single" w:sz="4" w:space="0" w:color="000000"/>
              <w:right w:val="nil" w:sz="6" w:space="0" w:color="auto"/>
            </w:tcBorders>
          </w:tcPr>
          <w:p>
            <w:pPr/>
          </w:p>
        </w:tc>
        <w:tc>
          <w:tcPr>
            <w:tcW w:w="5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9"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 w:right="6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69,681,64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2"/>
              <w:jc w:val="right"/>
              <w:rPr>
                <w:rFonts w:ascii="Times New Roman" w:hAnsi="Times New Roman" w:cs="Times New Roman" w:eastAsia="Times New Roman" w:hint="default"/>
                <w:sz w:val="18"/>
                <w:szCs w:val="18"/>
              </w:rPr>
            </w:pPr>
            <w:r>
              <w:rPr>
                <w:rFonts w:ascii="Times New Roman"/>
                <w:spacing w:val="-1"/>
                <w:sz w:val="18"/>
              </w:rPr>
              <w:t>52,261,23</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17,420,41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69,606,549</w:t>
            </w:r>
          </w:p>
        </w:tc>
      </w:tr>
      <w:tr>
        <w:trPr>
          <w:trHeight w:val="164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兴业国际信托有 限公司－兴业信 托－兴运扶摇</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 集合资金信托计 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36,775,00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厦门麟真贸易有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22,419,21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22,419,21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22,419,21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22,419,218</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
              <w:jc w:val="left"/>
              <w:rPr>
                <w:rFonts w:ascii="宋体" w:hAnsi="宋体" w:cs="宋体" w:eastAsia="宋体" w:hint="default"/>
                <w:sz w:val="18"/>
                <w:szCs w:val="18"/>
              </w:rPr>
            </w:pPr>
            <w:r>
              <w:rPr>
                <w:rFonts w:ascii="宋体" w:hAnsi="宋体" w:cs="宋体" w:eastAsia="宋体" w:hint="default"/>
                <w:sz w:val="18"/>
                <w:szCs w:val="18"/>
              </w:rPr>
              <w:t>微医投资（杭州）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21,000,00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朱秀芬</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10,438,40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10,438,40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5,148,700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-1,951,71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5,148,700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5,050,000</w:t>
            </w: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73"/>
              <w:jc w:val="both"/>
              <w:rPr>
                <w:rFonts w:ascii="宋体" w:hAnsi="宋体" w:cs="宋体" w:eastAsia="宋体" w:hint="default"/>
                <w:sz w:val="18"/>
                <w:szCs w:val="18"/>
              </w:rPr>
            </w:pPr>
            <w:r>
              <w:rPr>
                <w:rFonts w:ascii="宋体" w:hAnsi="宋体" w:cs="宋体" w:eastAsia="宋体" w:hint="default"/>
                <w:sz w:val="18"/>
                <w:szCs w:val="18"/>
              </w:rPr>
              <w:t>东吴证券股份有 限公司约定购回 专用账户</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5,144,400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5,144,400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5,144,400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
              <w:jc w:val="left"/>
              <w:rPr>
                <w:rFonts w:ascii="宋体" w:hAnsi="宋体" w:cs="宋体" w:eastAsia="宋体" w:hint="default"/>
                <w:sz w:val="18"/>
                <w:szCs w:val="18"/>
              </w:rPr>
            </w:pPr>
            <w:r>
              <w:rPr>
                <w:rFonts w:ascii="宋体" w:hAnsi="宋体" w:cs="宋体" w:eastAsia="宋体" w:hint="default"/>
                <w:sz w:val="18"/>
                <w:szCs w:val="18"/>
              </w:rPr>
              <w:t>中信聚信（北京） 资本管理有限公</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0.90%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3,878,900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3,878,900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3,878,900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0.81%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3,500,000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3,500,000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林子宏</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2,689,400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-76,300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2,689,400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11"/>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82"/>
        <w:gridCol w:w="3989"/>
        <w:gridCol w:w="1349"/>
        <w:gridCol w:w="1349"/>
      </w:tblGrid>
      <w:tr>
        <w:trPr>
          <w:trHeight w:val="473" w:hRule="exact"/>
        </w:trPr>
        <w:tc>
          <w:tcPr>
            <w:tcW w:w="2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3"/>
            <w:vMerge w:val="restart"/>
            <w:tcBorders>
              <w:top w:val="single" w:sz="4" w:space="0" w:color="000000"/>
              <w:left w:val="single" w:sz="4" w:space="0" w:color="000000"/>
              <w:right w:val="single" w:sz="4" w:space="0" w:color="000000"/>
            </w:tcBorders>
            <w:shd w:val="clear" w:color="auto" w:fill="CCE8CF"/>
          </w:tcPr>
          <w:p>
            <w:pPr>
              <w:pStyle w:val="TableParagraph"/>
              <w:spacing w:line="30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报告期内，张曦任公司董事长，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兴业国际信托有限公司－兴业信托－兴运扶摇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 集合资金信托计划</w:t>
            </w:r>
            <w:r>
              <w:rPr>
                <w:rFonts w:ascii="Times New Roman" w:hAnsi="Times New Roman" w:cs="Times New Roman" w:eastAsia="Times New Roman" w:hint="default"/>
                <w:sz w:val="18"/>
                <w:szCs w:val="18"/>
              </w:rPr>
              <w:t>”</w:t>
            </w:r>
            <w:r>
              <w:rPr>
                <w:rFonts w:ascii="宋体" w:hAnsi="宋体" w:cs="宋体" w:eastAsia="宋体" w:hint="default"/>
                <w:sz w:val="18"/>
                <w:szCs w:val="18"/>
              </w:rPr>
              <w:t>系其委托兴业国际信托有限公司设立的信托计划，厦门麟真贸易 有限公司系其全资控股公司，皆为其一致行动人。除此之外，截至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日，张曦与上述其他股东之间无关联关系，无一致行动约定。公司未知其他股东之间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是否存在关联关系，也未知是否属于一致行动人。</w:t>
            </w:r>
          </w:p>
        </w:tc>
      </w:tr>
      <w:tr>
        <w:trPr>
          <w:trHeight w:val="703" w:hRule="exact"/>
        </w:trPr>
        <w:tc>
          <w:tcPr>
            <w:tcW w:w="28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3"/>
            <w:vMerge/>
            <w:tcBorders>
              <w:left w:val="single" w:sz="4" w:space="0" w:color="000000"/>
              <w:right w:val="single" w:sz="4" w:space="0" w:color="000000"/>
            </w:tcBorders>
            <w:shd w:val="clear" w:color="auto" w:fill="CCE8CF"/>
          </w:tcPr>
          <w:p>
            <w:pPr/>
          </w:p>
        </w:tc>
      </w:tr>
      <w:tr>
        <w:trPr>
          <w:trHeight w:val="474" w:hRule="exact"/>
        </w:trPr>
        <w:tc>
          <w:tcPr>
            <w:tcW w:w="28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3"/>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882" w:type="dxa"/>
            <w:vMerge/>
            <w:tcBorders>
              <w:left w:val="single" w:sz="4" w:space="0" w:color="000000"/>
              <w:bottom w:val="nil" w:sz="6" w:space="0" w:color="auto"/>
              <w:right w:val="single" w:sz="4" w:space="0" w:color="000000"/>
            </w:tcBorders>
            <w:shd w:val="clear" w:color="auto" w:fill="D2D2D2"/>
          </w:tcPr>
          <w:p>
            <w:pPr/>
          </w:p>
        </w:tc>
        <w:tc>
          <w:tcPr>
            <w:tcW w:w="3989"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兴业国际信托有限公司－兴业信托</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－兴运扶摇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3,677,500</w:t>
            </w:r>
          </w:p>
        </w:tc>
      </w:tr>
      <w:tr>
        <w:trPr>
          <w:trHeight w:val="403"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厦门麟真贸易有限公司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22,419,218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22,419,218</w:t>
            </w:r>
          </w:p>
        </w:tc>
      </w:tr>
      <w:tr>
        <w:trPr>
          <w:trHeight w:val="401"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微医投资（杭州）有限公司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403"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17,420,412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17,420,412</w:t>
            </w:r>
          </w:p>
        </w:tc>
      </w:tr>
      <w:tr>
        <w:trPr>
          <w:trHeight w:val="401"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朱秀芬</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10,438,400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10,438,400</w:t>
            </w:r>
          </w:p>
        </w:tc>
      </w:tr>
      <w:tr>
        <w:trPr>
          <w:trHeight w:val="403"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5,148,700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5,148,700</w:t>
            </w:r>
          </w:p>
        </w:tc>
      </w:tr>
      <w:tr>
        <w:trPr>
          <w:trHeight w:val="713"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7"/>
              <w:jc w:val="left"/>
              <w:rPr>
                <w:rFonts w:ascii="宋体" w:hAnsi="宋体" w:cs="宋体" w:eastAsia="宋体" w:hint="default"/>
                <w:sz w:val="18"/>
                <w:szCs w:val="18"/>
              </w:rPr>
            </w:pPr>
            <w:r>
              <w:rPr>
                <w:rFonts w:ascii="宋体" w:hAnsi="宋体" w:cs="宋体" w:eastAsia="宋体" w:hint="default"/>
                <w:sz w:val="18"/>
                <w:szCs w:val="18"/>
              </w:rPr>
              <w:t>东吴证券股份有限公司约定购回专 用账户</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5,144,400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5,144,400</w:t>
            </w:r>
          </w:p>
        </w:tc>
      </w:tr>
      <w:tr>
        <w:trPr>
          <w:trHeight w:val="403"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中信聚信（北京）资本管理有限公司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3,878,900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3,878,900</w:t>
            </w:r>
          </w:p>
        </w:tc>
      </w:tr>
      <w:tr>
        <w:trPr>
          <w:trHeight w:val="401"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周莉</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403"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林子宏</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2,689,400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2,689,400</w:t>
            </w:r>
          </w:p>
        </w:tc>
      </w:tr>
      <w:tr>
        <w:trPr>
          <w:trHeight w:val="1650"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报告期内，张曦任公司董事长，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兴业国际信托有限公司－兴业信托－兴运扶摇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 集合资金信托计划</w:t>
            </w:r>
            <w:r>
              <w:rPr>
                <w:rFonts w:ascii="Times New Roman" w:hAnsi="Times New Roman" w:cs="Times New Roman" w:eastAsia="Times New Roman" w:hint="default"/>
                <w:sz w:val="18"/>
                <w:szCs w:val="18"/>
              </w:rPr>
              <w:t>”</w:t>
            </w:r>
            <w:r>
              <w:rPr>
                <w:rFonts w:ascii="宋体" w:hAnsi="宋体" w:cs="宋体" w:eastAsia="宋体" w:hint="default"/>
                <w:sz w:val="18"/>
                <w:szCs w:val="18"/>
              </w:rPr>
              <w:t>系其委托兴业国际信托有限公司设立的信托计划，厦门麟真贸易 有限公司系其全资控股公司，皆为其一致行动人。除此之外，截至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日，张曦与上述其他股东之间无关联关系，无一致行动约定。公司未知其他股东之间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是否存在关联关系，也未知是否属于一致行动人。</w:t>
            </w:r>
          </w:p>
        </w:tc>
      </w:tr>
      <w:tr>
        <w:trPr>
          <w:trHeight w:val="1651"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公司股东朱秀芬通过普通证券账户持有公司股份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2,938,400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股，通过财通证券股份有</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限公司客户信用交易担保证券账户持有公司股份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股，实际合计持有公司股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10,438,400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股。公司股东林子宏通过普通证券账户持有公司股份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中国银河证券股份有限公司客户信用交易担保证券账户持有公司股份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2,049,400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实际合计持有公司股份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2,689,400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0" w:lineRule="auto" w:before="103"/>
        <w:ind w:right="0" w:firstLine="360"/>
        <w:jc w:val="left"/>
      </w:pPr>
      <w:r>
        <w:rPr>
          <w:spacing w:val="-2"/>
        </w:rPr>
        <w:t>截止报告期末，公司前</w:t>
      </w:r>
      <w:r>
        <w:rPr>
          <w:rFonts w:ascii="Times New Roman" w:hAnsi="Times New Roman" w:cs="Times New Roman" w:eastAsia="Times New Roman" w:hint="default"/>
          <w:spacing w:val="-2"/>
        </w:rPr>
        <w:t>10</w:t>
      </w:r>
      <w:r>
        <w:rPr>
          <w:spacing w:val="-2"/>
        </w:rPr>
        <w:t>名股东中，股东洪旸通过</w:t>
      </w:r>
      <w:r>
        <w:rPr>
          <w:rFonts w:ascii="Times New Roman" w:hAnsi="Times New Roman" w:cs="Times New Roman" w:eastAsia="Times New Roman" w:hint="default"/>
          <w:spacing w:val="-2"/>
        </w:rPr>
        <w:t>“</w:t>
      </w:r>
      <w:r>
        <w:rPr>
          <w:spacing w:val="-2"/>
        </w:rPr>
        <w:t>东吴证券股份有限公司约定购回专用账户</w:t>
      </w:r>
      <w:r>
        <w:rPr>
          <w:rFonts w:ascii="Times New Roman" w:hAnsi="Times New Roman" w:cs="Times New Roman" w:eastAsia="Times New Roman" w:hint="default"/>
          <w:spacing w:val="-2"/>
        </w:rPr>
        <w:t>”</w:t>
      </w:r>
      <w:r>
        <w:rPr>
          <w:spacing w:val="-2"/>
        </w:rPr>
        <w:t>进行约定购回交易，约定</w:t>
      </w:r>
      <w:r>
        <w:rPr/>
        <w:t> 购回数量为</w:t>
      </w:r>
      <w:r>
        <w:rPr>
          <w:rFonts w:ascii="Times New Roman" w:hAnsi="Times New Roman" w:cs="Times New Roman" w:eastAsia="Times New Roman" w:hint="default"/>
        </w:rPr>
        <w:t>5,144,400</w:t>
      </w:r>
      <w:r>
        <w:rPr/>
        <w:t>股，占公司总股本的</w:t>
      </w:r>
      <w:r>
        <w:rPr>
          <w:rFonts w:ascii="Times New Roman" w:hAnsi="Times New Roman" w:cs="Times New Roman" w:eastAsia="Times New Roman" w:hint="default"/>
        </w:rPr>
        <w:t>1.20%</w:t>
      </w:r>
      <w:r>
        <w:rPr/>
        <w:t>。</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594"/>
        <w:jc w:val="left"/>
      </w:pPr>
      <w:r>
        <w:rPr/>
        <w:t>控股股东性质：自然人控股 控股股东类型：自然人</w:t>
      </w:r>
    </w:p>
    <w:p>
      <w:pPr>
        <w:spacing w:after="0" w:line="357" w:lineRule="auto"/>
        <w:jc w:val="lef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2031"/>
        <w:gridCol w:w="4119"/>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203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74" w:hRule="exact"/>
        </w:trPr>
        <w:tc>
          <w:tcPr>
            <w:tcW w:w="3417"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年至今，任骏杰置业（香港）有限公司董事；</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年至今，任骏豪地产</w:t>
            </w:r>
          </w:p>
          <w:p>
            <w:pPr>
              <w:pStyle w:val="TableParagraph"/>
              <w:spacing w:line="300" w:lineRule="auto" w:before="63"/>
              <w:ind w:left="23" w:right="14"/>
              <w:jc w:val="both"/>
              <w:rPr>
                <w:rFonts w:ascii="Times New Roman" w:hAnsi="Times New Roman" w:cs="Times New Roman" w:eastAsia="Times New Roman" w:hint="default"/>
                <w:sz w:val="18"/>
                <w:szCs w:val="18"/>
              </w:rPr>
            </w:pPr>
            <w:r>
              <w:rPr>
                <w:rFonts w:ascii="宋体" w:hAnsi="宋体" w:cs="宋体" w:eastAsia="宋体" w:hint="default"/>
                <w:spacing w:val="-9"/>
                <w:sz w:val="18"/>
                <w:szCs w:val="18"/>
              </w:rPr>
              <w:t>（香港）有限公司董事；</w:t>
            </w:r>
            <w:r>
              <w:rPr>
                <w:rFonts w:ascii="Times New Roman" w:hAnsi="Times New Roman" w:cs="Times New Roman" w:eastAsia="Times New Roman" w:hint="default"/>
                <w:spacing w:val="-9"/>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pacing w:val="-6"/>
                <w:sz w:val="18"/>
                <w:szCs w:val="18"/>
              </w:rPr>
              <w:t>年至今，任香港骏华控股集团有限公司董事；</w:t>
            </w:r>
            <w:r>
              <w:rPr>
                <w:rFonts w:ascii="Times New Roman" w:hAnsi="Times New Roman" w:cs="Times New Roman" w:eastAsia="Times New Roman" w:hint="default"/>
                <w:spacing w:val="-6"/>
                <w:sz w:val="18"/>
                <w:szCs w:val="18"/>
              </w:rPr>
              <w:t>2010</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2"/>
                <w:sz w:val="18"/>
                <w:szCs w:val="18"/>
              </w:rPr>
              <w:t>年至今，任侨丰控股有限公司董事、名卫投资有限公司董事；</w:t>
            </w:r>
            <w:r>
              <w:rPr>
                <w:rFonts w:ascii="Times New Roman" w:hAnsi="Times New Roman" w:cs="Times New Roman" w:eastAsia="Times New Roman" w:hint="default"/>
                <w:spacing w:val="-2"/>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年至今，任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北京京发置业有限公司董事长；</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年起至今，任香港骏豪金融控股集团有限</w:t>
            </w:r>
            <w:r>
              <w:rPr>
                <w:rFonts w:ascii="宋体" w:hAnsi="宋体" w:cs="宋体" w:eastAsia="宋体" w:hint="default"/>
                <w:sz w:val="18"/>
                <w:szCs w:val="18"/>
              </w:rPr>
              <w:t> 公司董事。</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月，担任公司董事；</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300" w:lineRule="auto" w:before="13"/>
              <w:ind w:left="23" w:right="36"/>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月，任公司第二届董事会董事长；</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月，任公司第 三届董事会董事长。</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月至今，任公司第四届董事会董事长。</w:t>
            </w:r>
          </w:p>
        </w:tc>
      </w:tr>
      <w:tr>
        <w:trPr>
          <w:trHeight w:val="162" w:hRule="exact"/>
        </w:trPr>
        <w:tc>
          <w:tcPr>
            <w:tcW w:w="34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2" w:hRule="exact"/>
        </w:trPr>
        <w:tc>
          <w:tcPr>
            <w:tcW w:w="3417" w:type="dxa"/>
            <w:vMerge/>
            <w:tcBorders>
              <w:left w:val="single" w:sz="4" w:space="0" w:color="000000"/>
              <w:right w:val="single" w:sz="4" w:space="0" w:color="000000"/>
            </w:tcBorders>
            <w:shd w:val="clear" w:color="auto" w:fill="D2D2D2"/>
          </w:tcPr>
          <w:p>
            <w:pPr/>
          </w:p>
        </w:tc>
        <w:tc>
          <w:tcPr>
            <w:tcW w:w="6150" w:type="dxa"/>
            <w:gridSpan w:val="2"/>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417" w:type="dxa"/>
            <w:vMerge/>
            <w:tcBorders>
              <w:left w:val="single" w:sz="4" w:space="0" w:color="000000"/>
              <w:bottom w:val="single" w:sz="4" w:space="0" w:color="000000"/>
              <w:right w:val="single" w:sz="4" w:space="0" w:color="000000"/>
            </w:tcBorders>
            <w:shd w:val="clear" w:color="auto" w:fill="D2D2D2"/>
          </w:tcPr>
          <w:p>
            <w:pPr/>
          </w:p>
        </w:tc>
        <w:tc>
          <w:tcPr>
            <w:tcW w:w="6150" w:type="dxa"/>
            <w:gridSpan w:val="2"/>
            <w:tcBorders>
              <w:top w:val="nil" w:sz="6" w:space="0" w:color="auto"/>
              <w:left w:val="single" w:sz="4" w:space="0" w:color="000000"/>
              <w:bottom w:val="single" w:sz="4" w:space="0" w:color="000000"/>
              <w:right w:val="single" w:sz="4" w:space="0" w:color="000000"/>
            </w:tcBorders>
            <w:shd w:val="clear" w:color="auto" w:fill="CCE8CF"/>
          </w:tcPr>
          <w:p>
            <w:pPr/>
          </w:p>
        </w:tc>
      </w:tr>
    </w:tbl>
    <w:p>
      <w:pPr>
        <w:pStyle w:val="BodyText"/>
        <w:spacing w:line="240" w:lineRule="auto" w:before="51"/>
        <w:ind w:right="0"/>
        <w:jc w:val="left"/>
      </w:pPr>
      <w:r>
        <w:rPr/>
        <w:t>控股股东报告期内变更</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6"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3" w:hRule="exact"/>
        </w:trPr>
        <w:tc>
          <w:tcPr>
            <w:tcW w:w="2392"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年至今，任骏杰置业（香港）有限公司董事；</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年至今，任骏豪地产（香港）有限 公司董事；</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年至今，任香港骏华控股集团有限公司董事；</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年至今，任侨丰控股有 </w:t>
            </w:r>
            <w:r>
              <w:rPr>
                <w:rFonts w:ascii="宋体" w:hAnsi="宋体" w:cs="宋体" w:eastAsia="宋体" w:hint="default"/>
                <w:spacing w:val="-3"/>
                <w:sz w:val="18"/>
                <w:szCs w:val="18"/>
              </w:rPr>
              <w:t>限公司董事、名卫投资有限公司董事；</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年至今，任北京京发置业有限公司董事长；</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年起至今，任香港骏豪金融控股集团有限公司董事。</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月，担任公司</w:t>
            </w:r>
          </w:p>
          <w:p>
            <w:pPr>
              <w:pStyle w:val="TableParagraph"/>
              <w:spacing w:line="240" w:lineRule="auto" w:before="1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月，任公司第二届董事会董事长；</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月，任公司第三届董事会董事长。</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月至今，任公司第四届董事会董事长。</w:t>
            </w:r>
          </w:p>
        </w:tc>
      </w:tr>
      <w:tr>
        <w:trPr>
          <w:trHeight w:val="16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2" w:hRule="exact"/>
        </w:trPr>
        <w:tc>
          <w:tcPr>
            <w:tcW w:w="2392" w:type="dxa"/>
            <w:vMerge/>
            <w:tcBorders>
              <w:left w:val="single" w:sz="4" w:space="0" w:color="000000"/>
              <w:right w:val="single" w:sz="4" w:space="0" w:color="000000"/>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7178" w:type="dxa"/>
            <w:gridSpan w:val="3"/>
            <w:tcBorders>
              <w:top w:val="nil" w:sz="6" w:space="0" w:color="auto"/>
              <w:left w:val="single" w:sz="4" w:space="0" w:color="000000"/>
              <w:bottom w:val="single" w:sz="4" w:space="0" w:color="000000"/>
              <w:right w:val="single" w:sz="4" w:space="0" w:color="000000"/>
            </w:tcBorders>
            <w:shd w:val="clear" w:color="auto" w:fill="CCE8CF"/>
          </w:tcPr>
          <w:p>
            <w:pPr/>
          </w:p>
        </w:tc>
      </w:tr>
    </w:tbl>
    <w:p>
      <w:pPr>
        <w:pStyle w:val="BodyText"/>
        <w:spacing w:line="240" w:lineRule="auto" w:before="70"/>
        <w:ind w:right="0"/>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p>
      <w:pPr>
        <w:spacing w:line="3630" w:lineRule="exact"/>
        <w:ind w:left="1355"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592324" cy="23050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4592324" cy="2305050"/>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3"/>
        <w:rPr>
          <w:rFonts w:ascii="宋体" w:hAnsi="宋体" w:cs="宋体" w:eastAsia="宋体" w:hint="default"/>
          <w:sz w:val="17"/>
          <w:szCs w:val="17"/>
        </w:rPr>
      </w:pPr>
    </w:p>
    <w:p>
      <w:pPr>
        <w:pStyle w:val="BodyText"/>
        <w:spacing w:line="240" w:lineRule="auto" w:before="44"/>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44"/>
        <w:ind w:left="0" w:right="1139"/>
        <w:jc w:val="right"/>
      </w:pPr>
      <w:r>
        <w:rPr/>
        <w:pict>
          <v:shape style="position:absolute;margin-left:56.459999pt;margin-top:-156.868301pt;width:479.2pt;height:455.3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59"/>
                    <w:gridCol w:w="5711"/>
                  </w:tblGrid>
                  <w:tr>
                    <w:trPr>
                      <w:trHeight w:val="5084"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信托合同或者其他资产管理安排的主要内容</w:t>
                        </w: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公司控股股东、实际控制人张曦先生与兴业国际信托有限公司签署</w:t>
                        </w:r>
                      </w:p>
                      <w:p>
                        <w:pPr>
                          <w:pStyle w:val="TableParagraph"/>
                          <w:spacing w:line="307" w:lineRule="auto" w:before="76"/>
                          <w:ind w:left="24" w:right="21"/>
                          <w:jc w:val="left"/>
                          <w:rPr>
                            <w:rFonts w:ascii="宋体" w:hAnsi="宋体" w:cs="宋体" w:eastAsia="宋体" w:hint="default"/>
                            <w:sz w:val="18"/>
                            <w:szCs w:val="18"/>
                          </w:rPr>
                        </w:pPr>
                        <w:r>
                          <w:rPr>
                            <w:rFonts w:ascii="宋体" w:hAnsi="宋体" w:cs="宋体" w:eastAsia="宋体" w:hint="default"/>
                            <w:sz w:val="18"/>
                            <w:szCs w:val="18"/>
                          </w:rPr>
                          <w:t>《兴业国际信托有限公司 兴业信托－兴运扶摇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号集合资金信托计划 </w:t>
                        </w:r>
                        <w:r>
                          <w:rPr>
                            <w:rFonts w:ascii="宋体" w:hAnsi="宋体" w:cs="宋体" w:eastAsia="宋体" w:hint="default"/>
                            <w:spacing w:val="-3"/>
                            <w:w w:val="100"/>
                            <w:sz w:val="18"/>
                            <w:szCs w:val="18"/>
                          </w:rPr>
                          <w:t>资金信托合同》，委托兴业国际信托有限公司成立</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兴业国际信托有限公</w:t>
                        </w:r>
                        <w:r>
                          <w:rPr>
                            <w:rFonts w:ascii="宋体" w:hAnsi="宋体" w:cs="宋体" w:eastAsia="宋体" w:hint="default"/>
                            <w:spacing w:val="-85"/>
                            <w:w w:val="100"/>
                            <w:sz w:val="18"/>
                            <w:szCs w:val="18"/>
                          </w:rPr>
                          <w:t> </w:t>
                        </w:r>
                        <w:r>
                          <w:rPr>
                            <w:rFonts w:ascii="宋体" w:hAnsi="宋体" w:cs="宋体" w:eastAsia="宋体" w:hint="default"/>
                            <w:sz w:val="18"/>
                            <w:szCs w:val="18"/>
                          </w:rPr>
                          <w:t>司－兴业信托－兴运扶摇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号集合资金信托计划</w:t>
                        </w:r>
                        <w:r>
                          <w:rPr>
                            <w:rFonts w:ascii="Times New Roman" w:hAnsi="Times New Roman" w:cs="Times New Roman" w:eastAsia="Times New Roman" w:hint="default"/>
                            <w:sz w:val="18"/>
                            <w:szCs w:val="18"/>
                          </w:rPr>
                          <w:t>”</w:t>
                        </w:r>
                        <w:r>
                          <w:rPr>
                            <w:rFonts w:ascii="宋体" w:hAnsi="宋体" w:cs="宋体" w:eastAsia="宋体" w:hint="default"/>
                            <w:sz w:val="18"/>
                            <w:szCs w:val="18"/>
                          </w:rPr>
                          <w:t>。该信托计划设计时的 募集规模不低于人民币叁仟万元整，不超过人民币肆亿伍仟万元整。其 </w:t>
                        </w:r>
                        <w:r>
                          <w:rPr>
                            <w:rFonts w:ascii="宋体" w:hAnsi="宋体" w:cs="宋体" w:eastAsia="宋体" w:hint="default"/>
                            <w:spacing w:val="-3"/>
                            <w:sz w:val="18"/>
                            <w:szCs w:val="18"/>
                          </w:rPr>
                          <w:t>中，优先信托资金募集金额（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优先级最低募集金额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）不低于人民币贰仟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万元整，不超过叁亿元整；一般信托资金最低募集金额（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一般级最低募 集金额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）不低于人民币壹仟万元整，不超过壹亿伍仟万元整。优先信托 资金和一般信托资金的比例不高于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。张曦先生为信托计划一般委托 人。信托计划预计存续期限为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个信托年度，自信托计划成立日起算。 如发生信托文件规定的本信托计划提前终止情形时，信托计划提前终止 按合同约定，委托人将资金委托给受托人，授权受托人按信托文件的约 定以受托人自己的名义对本信托计划信托财产进行专业化的管理、运用 以实现信托财产的稳定增值。该信托计划的主要投资仅限于易联众</w:t>
                        </w:r>
                      </w:p>
                      <w:p>
                        <w:pPr>
                          <w:pStyle w:val="TableParagraph"/>
                          <w:spacing w:line="300" w:lineRule="auto" w:before="26"/>
                          <w:ind w:left="24"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300096.SZ</w:t>
                        </w:r>
                        <w:r>
                          <w:rPr>
                            <w:rFonts w:ascii="宋体" w:hAnsi="宋体" w:cs="宋体" w:eastAsia="宋体" w:hint="default"/>
                            <w:sz w:val="18"/>
                            <w:szCs w:val="18"/>
                          </w:rPr>
                          <w:t>）股票，闲置资金也可以投资货币市场基金、债券逆回购、 信托保障基金及银行存款。</w:t>
                        </w:r>
                      </w:p>
                    </w:tc>
                  </w:tr>
                  <w:tr>
                    <w:trPr>
                      <w:trHeight w:val="401"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信托或其他资产管理的具体方式</w:t>
                        </w: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指定用途的集合资金信托计划</w:t>
                        </w:r>
                      </w:p>
                    </w:tc>
                  </w:tr>
                  <w:tr>
                    <w:trPr>
                      <w:trHeight w:val="1651"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信托管理权限（包括公司股份表决权的行使等）</w:t>
                        </w: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94" w:firstLine="362"/>
                          <w:jc w:val="both"/>
                          <w:rPr>
                            <w:rFonts w:ascii="宋体" w:hAnsi="宋体" w:cs="宋体" w:eastAsia="宋体" w:hint="default"/>
                            <w:sz w:val="18"/>
                            <w:szCs w:val="18"/>
                          </w:rPr>
                        </w:pPr>
                        <w:r>
                          <w:rPr>
                            <w:rFonts w:ascii="宋体" w:hAnsi="宋体" w:cs="宋体" w:eastAsia="宋体" w:hint="default"/>
                            <w:sz w:val="18"/>
                            <w:szCs w:val="18"/>
                          </w:rPr>
                          <w:t>按合同约定，委托人将资金委托给受托人，授权受托人按信托文件 的约定以受托人自己的名义对本信托计划信托财产进行专业化的管理、 运用。本信托计划运行期间，张曦作为本信托计划对上市公司股份权益 变动的信息披露义务人，及时履行报告和信息披露义务。按相关法律法 规要求，本信托计划作为一般级委托人张曦的一致行动人。</w:t>
                        </w:r>
                      </w:p>
                    </w:tc>
                  </w:tr>
                  <w:tr>
                    <w:trPr>
                      <w:trHeight w:val="1961"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涉及的股份数量及占公司已发行股份的比例</w:t>
                        </w: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日，兴业国际信托有限公司－兴业信托－兴运</w:t>
                        </w:r>
                      </w:p>
                      <w:p>
                        <w:pPr>
                          <w:pStyle w:val="TableParagraph"/>
                          <w:spacing w:line="300" w:lineRule="auto" w:before="63"/>
                          <w:ind w:left="24" w:right="95"/>
                          <w:jc w:val="left"/>
                          <w:rPr>
                            <w:rFonts w:ascii="宋体" w:hAnsi="宋体" w:cs="宋体" w:eastAsia="宋体" w:hint="default"/>
                            <w:sz w:val="18"/>
                            <w:szCs w:val="18"/>
                          </w:rPr>
                        </w:pPr>
                        <w:r>
                          <w:rPr>
                            <w:rFonts w:ascii="宋体" w:hAnsi="宋体" w:cs="宋体" w:eastAsia="宋体" w:hint="default"/>
                            <w:sz w:val="18"/>
                            <w:szCs w:val="18"/>
                          </w:rPr>
                          <w:t>扶摇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36,775,000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股，占公司总股本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8.55%</w:t>
                        </w:r>
                        <w:r>
                          <w:rPr>
                            <w:rFonts w:ascii="宋体" w:hAnsi="宋体" w:cs="宋体" w:eastAsia="宋体" w:hint="default"/>
                            <w:sz w:val="18"/>
                            <w:szCs w:val="18"/>
                          </w:rPr>
                          <w:t>。</w:t>
                        </w:r>
                      </w:p>
                      <w:p>
                        <w:pPr>
                          <w:pStyle w:val="TableParagraph"/>
                          <w:spacing w:line="300" w:lineRule="auto" w:before="51"/>
                          <w:ind w:left="24" w:right="25"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日，张曦先生为优化持股结构，拟通过其全资控股 </w:t>
                        </w:r>
                        <w:r>
                          <w:rPr>
                            <w:rFonts w:ascii="宋体" w:hAnsi="宋体" w:cs="宋体" w:eastAsia="宋体" w:hint="default"/>
                            <w:spacing w:val="-3"/>
                            <w:w w:val="100"/>
                            <w:sz w:val="18"/>
                            <w:szCs w:val="18"/>
                          </w:rPr>
                          <w:t>的厦门麟真贸易有限公司（以下简称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厦门麟真</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），以协议转让方式受让</w:t>
                        </w:r>
                        <w:r>
                          <w:rPr>
                            <w:rFonts w:ascii="宋体" w:hAnsi="宋体" w:cs="宋体" w:eastAsia="宋体" w:hint="default"/>
                            <w:spacing w:val="-84"/>
                            <w:w w:val="100"/>
                            <w:sz w:val="18"/>
                            <w:szCs w:val="18"/>
                          </w:rPr>
                          <w:t> </w:t>
                        </w:r>
                        <w:r>
                          <w:rPr>
                            <w:rFonts w:ascii="宋体" w:hAnsi="宋体" w:cs="宋体" w:eastAsia="宋体" w:hint="default"/>
                            <w:spacing w:val="-84"/>
                            <w:w w:val="100"/>
                            <w:sz w:val="18"/>
                            <w:szCs w:val="18"/>
                          </w:rPr>
                        </w:r>
                        <w:r>
                          <w:rPr>
                            <w:rFonts w:ascii="宋体" w:hAnsi="宋体" w:cs="宋体" w:eastAsia="宋体" w:hint="default"/>
                            <w:sz w:val="18"/>
                            <w:szCs w:val="18"/>
                          </w:rPr>
                          <w:t>信托计划所持有的公司无限售条件流通股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36,775,000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股，占公司总股本</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139"/>
        <w:jc w:val="right"/>
      </w:pPr>
      <w:r>
        <w:rPr/>
        <w:t>，</w:t>
      </w:r>
    </w:p>
    <w:p>
      <w:pPr>
        <w:spacing w:after="0" w:line="240" w:lineRule="auto"/>
        <w:jc w:val="righ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0" w:right="1139"/>
        <w:jc w:val="right"/>
      </w:pPr>
      <w:r>
        <w:rPr/>
        <w:pict>
          <v:shape style="position:absolute;margin-left:56.459999pt;margin-top:-134.828262pt;width:479.2pt;height:544.9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59"/>
                    <w:gridCol w:w="5711"/>
                  </w:tblGrid>
                  <w:tr>
                    <w:trPr>
                      <w:trHeight w:val="1611"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11"/>
                          <w:ind w:left="24"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8.552%</w:t>
                        </w:r>
                        <w:r>
                          <w:rPr>
                            <w:rFonts w:ascii="宋体" w:hAnsi="宋体" w:cs="宋体" w:eastAsia="宋体" w:hint="default"/>
                            <w:sz w:val="18"/>
                            <w:szCs w:val="18"/>
                          </w:rPr>
                          <w:t>。信托计划的管理人兴业信托与厦门麟真已于同日签订了《易 </w:t>
                        </w:r>
                        <w:r>
                          <w:rPr>
                            <w:rFonts w:ascii="宋体" w:hAnsi="宋体" w:cs="宋体" w:eastAsia="宋体" w:hint="default"/>
                            <w:spacing w:val="-6"/>
                            <w:sz w:val="18"/>
                            <w:szCs w:val="18"/>
                          </w:rPr>
                          <w:t>联众信息技术股份有限公司股票转让协议》。本次协议转让已于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p>
                      <w:p>
                        <w:pPr>
                          <w:pStyle w:val="TableParagraph"/>
                          <w:spacing w:line="309" w:lineRule="auto" w:before="13"/>
                          <w:ind w:left="24" w:right="19"/>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日办理完成相关的过户登记手续，并取得由中国证券登记结算有限 </w:t>
                        </w:r>
                        <w:r>
                          <w:rPr>
                            <w:rFonts w:ascii="宋体" w:hAnsi="宋体" w:cs="宋体" w:eastAsia="宋体" w:hint="default"/>
                            <w:spacing w:val="-4"/>
                            <w:sz w:val="18"/>
                            <w:szCs w:val="18"/>
                          </w:rPr>
                          <w:t>责任公司出具的《证券过户登记确认书》，信托计划已不再持有易联众股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份。</w:t>
                        </w:r>
                      </w:p>
                    </w:tc>
                  </w:tr>
                  <w:tr>
                    <w:trPr>
                      <w:trHeight w:val="401"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信托或资产管理费用（元）</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1,110,000.00</w:t>
                        </w:r>
                      </w:p>
                    </w:tc>
                  </w:tr>
                  <w:tr>
                    <w:trPr>
                      <w:trHeight w:val="3212"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信托资产处理安排</w:t>
                        </w: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4" w:right="2"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、在本信托计划信托利益分配时，优先受益人享有获得优先信托利 益分配的权利。</w:t>
                        </w:r>
                        <w:r>
                          <w:rPr>
                            <w:rFonts w:ascii="Times New Roman" w:hAnsi="Times New Roman" w:cs="Times New Roman" w:eastAsia="Times New Roman" w:hint="default"/>
                            <w:sz w:val="18"/>
                            <w:szCs w:val="18"/>
                          </w:rPr>
                          <w:t>2</w:t>
                        </w:r>
                        <w:r>
                          <w:rPr>
                            <w:rFonts w:ascii="宋体" w:hAnsi="宋体" w:cs="宋体" w:eastAsia="宋体" w:hint="default"/>
                            <w:sz w:val="18"/>
                            <w:szCs w:val="18"/>
                          </w:rPr>
                          <w:t>、优先级收益的核算日为每年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日或信 </w:t>
                        </w:r>
                        <w:r>
                          <w:rPr>
                            <w:rFonts w:ascii="宋体" w:hAnsi="宋体" w:cs="宋体" w:eastAsia="宋体" w:hint="default"/>
                            <w:spacing w:val="-7"/>
                            <w:sz w:val="18"/>
                            <w:szCs w:val="18"/>
                          </w:rPr>
                          <w:t>托计划到期日（包括正常到期日和提前终止日）。信托计划正常存续期间</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每个核算日的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个工作日内分配截止本核算日（含）的已计提未支付的 </w:t>
                        </w:r>
                        <w:r>
                          <w:rPr>
                            <w:rFonts w:ascii="宋体" w:hAnsi="宋体" w:cs="宋体" w:eastAsia="宋体" w:hint="default"/>
                            <w:spacing w:val="-4"/>
                            <w:sz w:val="18"/>
                            <w:szCs w:val="18"/>
                          </w:rPr>
                          <w:t>优先级信托收益；信托计划终止时（包括正常终止和提前终止），于信托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计划终止后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个工作日内分配已计提未支付的优先级信托收益；</w:t>
                        </w:r>
                        <w:r>
                          <w:rPr>
                            <w:rFonts w:ascii="Times New Roman" w:hAnsi="Times New Roman" w:cs="Times New Roman" w:eastAsia="Times New Roman" w:hint="default"/>
                            <w:sz w:val="18"/>
                            <w:szCs w:val="18"/>
                          </w:rPr>
                          <w:t>3</w:t>
                        </w:r>
                        <w:r>
                          <w:rPr>
                            <w:rFonts w:ascii="宋体" w:hAnsi="宋体" w:cs="宋体" w:eastAsia="宋体" w:hint="default"/>
                            <w:sz w:val="18"/>
                            <w:szCs w:val="18"/>
                          </w:rPr>
                          <w:t>、信 </w:t>
                        </w:r>
                        <w:r>
                          <w:rPr>
                            <w:rFonts w:ascii="宋体" w:hAnsi="宋体" w:cs="宋体" w:eastAsia="宋体" w:hint="default"/>
                            <w:spacing w:val="-3"/>
                            <w:sz w:val="18"/>
                            <w:szCs w:val="18"/>
                          </w:rPr>
                          <w:t>托计划到期日（包括正常到期日和提前终止日），按照信托费用和税费、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优先级受益人信托本金、优先级受益人信托收益、资金补偿方已追加未 取回资金的顺序进行分配，若分配后仍有剩余的，剩余部分分配给一般 受益人。</w:t>
                        </w:r>
                        <w:r>
                          <w:rPr>
                            <w:rFonts w:ascii="Times New Roman" w:hAnsi="Times New Roman" w:cs="Times New Roman" w:eastAsia="Times New Roman" w:hint="default"/>
                            <w:sz w:val="18"/>
                            <w:szCs w:val="18"/>
                          </w:rPr>
                          <w:t>4</w:t>
                        </w:r>
                        <w:r>
                          <w:rPr>
                            <w:rFonts w:ascii="宋体" w:hAnsi="宋体" w:cs="宋体" w:eastAsia="宋体" w:hint="default"/>
                            <w:sz w:val="18"/>
                            <w:szCs w:val="18"/>
                          </w:rPr>
                          <w:t>、一般受益人信托计划利益在信托计划终止前不进行分配。</w:t>
                        </w:r>
                      </w:p>
                    </w:tc>
                  </w:tr>
                  <w:tr>
                    <w:trPr>
                      <w:trHeight w:val="401"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合同签订的时间</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1027"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合同的期限及变更</w:t>
                        </w: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4" w:right="96" w:firstLine="362"/>
                          <w:jc w:val="both"/>
                          <w:rPr>
                            <w:rFonts w:ascii="宋体" w:hAnsi="宋体" w:cs="宋体" w:eastAsia="宋体" w:hint="default"/>
                            <w:sz w:val="18"/>
                            <w:szCs w:val="18"/>
                          </w:rPr>
                        </w:pPr>
                        <w:r>
                          <w:rPr>
                            <w:rFonts w:ascii="宋体" w:hAnsi="宋体" w:cs="宋体" w:eastAsia="宋体" w:hint="default"/>
                            <w:sz w:val="18"/>
                            <w:szCs w:val="18"/>
                          </w:rPr>
                          <w:t>本信托计划预计存续期限为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个信托年度，自信托计划成立日起算 如发生信托文件规定的本信托计划提前终止情形时，本信托计划提前终 止。</w:t>
                        </w:r>
                      </w:p>
                    </w:tc>
                  </w:tr>
                  <w:tr>
                    <w:trPr>
                      <w:trHeight w:val="3834"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终止的条件</w:t>
                        </w: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4" w:lineRule="auto" w:before="51"/>
                          <w:ind w:left="24" w:right="19" w:firstLine="362"/>
                          <w:jc w:val="left"/>
                          <w:rPr>
                            <w:rFonts w:ascii="宋体" w:hAnsi="宋体" w:cs="宋体" w:eastAsia="宋体" w:hint="default"/>
                            <w:sz w:val="18"/>
                            <w:szCs w:val="18"/>
                          </w:rPr>
                        </w:pPr>
                        <w:r>
                          <w:rPr>
                            <w:rFonts w:ascii="宋体" w:hAnsi="宋体" w:cs="宋体" w:eastAsia="宋体" w:hint="default"/>
                            <w:sz w:val="18"/>
                            <w:szCs w:val="18"/>
                          </w:rPr>
                          <w:t>有以下情形之一的，信托计划终止：</w:t>
                        </w:r>
                        <w:r>
                          <w:rPr>
                            <w:rFonts w:ascii="Times New Roman" w:hAnsi="Times New Roman" w:cs="Times New Roman" w:eastAsia="Times New Roman" w:hint="default"/>
                            <w:sz w:val="18"/>
                            <w:szCs w:val="18"/>
                          </w:rPr>
                          <w:t>1</w:t>
                        </w:r>
                        <w:r>
                          <w:rPr>
                            <w:rFonts w:ascii="宋体" w:hAnsi="宋体" w:cs="宋体" w:eastAsia="宋体" w:hint="default"/>
                            <w:sz w:val="18"/>
                            <w:szCs w:val="18"/>
                          </w:rPr>
                          <w:t>、信托计划期限届满；</w:t>
                        </w:r>
                        <w:r>
                          <w:rPr>
                            <w:rFonts w:ascii="Times New Roman" w:hAnsi="Times New Roman" w:cs="Times New Roman" w:eastAsia="Times New Roman" w:hint="default"/>
                            <w:sz w:val="18"/>
                            <w:szCs w:val="18"/>
                          </w:rPr>
                          <w:t>2</w:t>
                        </w:r>
                        <w:r>
                          <w:rPr>
                            <w:rFonts w:ascii="宋体" w:hAnsi="宋体" w:cs="宋体" w:eastAsia="宋体" w:hint="default"/>
                            <w:sz w:val="18"/>
                            <w:szCs w:val="18"/>
                          </w:rPr>
                          <w:t>、本 信托计划的存续违反信托目的；</w:t>
                        </w:r>
                        <w:r>
                          <w:rPr>
                            <w:rFonts w:ascii="Times New Roman" w:hAnsi="Times New Roman" w:cs="Times New Roman" w:eastAsia="Times New Roman" w:hint="default"/>
                            <w:sz w:val="18"/>
                            <w:szCs w:val="18"/>
                          </w:rPr>
                          <w:t>3</w:t>
                        </w:r>
                        <w:r>
                          <w:rPr>
                            <w:rFonts w:ascii="宋体" w:hAnsi="宋体" w:cs="宋体" w:eastAsia="宋体" w:hint="default"/>
                            <w:sz w:val="18"/>
                            <w:szCs w:val="18"/>
                          </w:rPr>
                          <w:t>、信托目的已实现或无法实现；</w:t>
                        </w:r>
                        <w:r>
                          <w:rPr>
                            <w:rFonts w:ascii="Times New Roman" w:hAnsi="Times New Roman" w:cs="Times New Roman" w:eastAsia="Times New Roman" w:hint="default"/>
                            <w:sz w:val="18"/>
                            <w:szCs w:val="18"/>
                          </w:rPr>
                          <w:t>4</w:t>
                        </w:r>
                        <w:r>
                          <w:rPr>
                            <w:rFonts w:ascii="宋体" w:hAnsi="宋体" w:cs="宋体" w:eastAsia="宋体" w:hint="default"/>
                            <w:sz w:val="18"/>
                            <w:szCs w:val="18"/>
                          </w:rPr>
                          <w:t>、本 信托计划被撤销或被解除；</w:t>
                        </w:r>
                        <w:r>
                          <w:rPr>
                            <w:rFonts w:ascii="Times New Roman" w:hAnsi="Times New Roman" w:cs="Times New Roman" w:eastAsia="Times New Roman" w:hint="default"/>
                            <w:sz w:val="18"/>
                            <w:szCs w:val="18"/>
                          </w:rPr>
                          <w:t>5</w:t>
                        </w:r>
                        <w:r>
                          <w:rPr>
                            <w:rFonts w:ascii="宋体" w:hAnsi="宋体" w:cs="宋体" w:eastAsia="宋体" w:hint="default"/>
                            <w:sz w:val="18"/>
                            <w:szCs w:val="18"/>
                          </w:rPr>
                          <w:t>、受益人大会决定终止信托计划；</w:t>
                        </w:r>
                        <w:r>
                          <w:rPr>
                            <w:rFonts w:ascii="Times New Roman" w:hAnsi="Times New Roman" w:cs="Times New Roman" w:eastAsia="Times New Roman" w:hint="default"/>
                            <w:sz w:val="18"/>
                            <w:szCs w:val="18"/>
                          </w:rPr>
                          <w:t>6</w:t>
                        </w:r>
                        <w:r>
                          <w:rPr>
                            <w:rFonts w:ascii="宋体" w:hAnsi="宋体" w:cs="宋体" w:eastAsia="宋体" w:hint="default"/>
                            <w:sz w:val="18"/>
                            <w:szCs w:val="18"/>
                          </w:rPr>
                          <w:t>、当信 托单位净值小于或等于止损线，受托人根据信托文件的规定变现完全部 </w:t>
                        </w:r>
                        <w:r>
                          <w:rPr>
                            <w:rFonts w:ascii="宋体" w:hAnsi="宋体" w:cs="宋体" w:eastAsia="宋体" w:hint="default"/>
                            <w:spacing w:val="-1"/>
                            <w:sz w:val="18"/>
                            <w:szCs w:val="18"/>
                          </w:rPr>
                          <w:t>信托财产的；</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、由于法律法规、市场制度变动将对信托计划运行产生重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大影响，使得信托计划无法持续稳健运行，受托人有权终止信托计划；</w:t>
                        </w:r>
                        <w:r>
                          <w:rPr>
                            <w:rFonts w:ascii="Times New Roman" w:hAnsi="Times New Roman" w:cs="Times New Roman" w:eastAsia="Times New Roman" w:hint="default"/>
                            <w:spacing w:val="-4"/>
                            <w:sz w:val="18"/>
                            <w:szCs w:val="18"/>
                          </w:rPr>
                          <w:t>8</w:t>
                        </w:r>
                        <w:r>
                          <w:rPr>
                            <w:rFonts w:ascii="Times New Roman" w:hAnsi="Times New Roman" w:cs="Times New Roman" w:eastAsia="Times New Roman" w:hint="default"/>
                            <w:spacing w:val="-24"/>
                            <w:sz w:val="18"/>
                            <w:szCs w:val="18"/>
                          </w:rPr>
                          <w:t> </w:t>
                        </w:r>
                        <w:r>
                          <w:rPr>
                            <w:rFonts w:ascii="宋体" w:hAnsi="宋体" w:cs="宋体" w:eastAsia="宋体" w:hint="default"/>
                            <w:spacing w:val="-1"/>
                            <w:sz w:val="18"/>
                            <w:szCs w:val="18"/>
                          </w:rPr>
                          <w:t>受托人职责终止，未能按照有关规定产生新受托人；</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、全体受益人放弃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信托受益权；</w:t>
                        </w:r>
                        <w:r>
                          <w:rPr>
                            <w:rFonts w:ascii="Times New Roman" w:hAnsi="Times New Roman" w:cs="Times New Roman" w:eastAsia="Times New Roman" w:hint="default"/>
                            <w:sz w:val="18"/>
                            <w:szCs w:val="18"/>
                          </w:rPr>
                          <w:t>10</w:t>
                        </w:r>
                        <w:r>
                          <w:rPr>
                            <w:rFonts w:ascii="宋体" w:hAnsi="宋体" w:cs="宋体" w:eastAsia="宋体" w:hint="default"/>
                            <w:sz w:val="18"/>
                            <w:szCs w:val="18"/>
                          </w:rPr>
                          <w:t>、信托计划存续期满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个月后，经一般受益人申请，受 托人和优先受益人同意后，本信托计划可提前终止；</w:t>
                        </w:r>
                        <w:r>
                          <w:rPr>
                            <w:rFonts w:ascii="Times New Roman" w:hAnsi="Times New Roman" w:cs="Times New Roman" w:eastAsia="Times New Roman" w:hint="default"/>
                            <w:sz w:val="18"/>
                            <w:szCs w:val="18"/>
                          </w:rPr>
                          <w:t>11</w:t>
                        </w:r>
                        <w:r>
                          <w:rPr>
                            <w:rFonts w:ascii="宋体" w:hAnsi="宋体" w:cs="宋体" w:eastAsia="宋体" w:hint="default"/>
                            <w:sz w:val="18"/>
                            <w:szCs w:val="18"/>
                          </w:rPr>
                          <w:t>、本信托计划证 券经纪商关闭、限制、或断开本信托计划第三方系统部分或全部接入权 限时，受托人有权提前终止本信托计划；</w:t>
                        </w:r>
                        <w:r>
                          <w:rPr>
                            <w:rFonts w:ascii="Times New Roman" w:hAnsi="Times New Roman" w:cs="Times New Roman" w:eastAsia="Times New Roman" w:hint="default"/>
                            <w:sz w:val="18"/>
                            <w:szCs w:val="18"/>
                          </w:rPr>
                          <w:t>12</w:t>
                        </w:r>
                        <w:r>
                          <w:rPr>
                            <w:rFonts w:ascii="宋体" w:hAnsi="宋体" w:cs="宋体" w:eastAsia="宋体" w:hint="default"/>
                            <w:sz w:val="18"/>
                            <w:szCs w:val="18"/>
                          </w:rPr>
                          <w:t>、信托合同及法律、行政法 规规定的其他事由。</w:t>
                        </w:r>
                      </w:p>
                    </w:tc>
                  </w:tr>
                  <w:tr>
                    <w:trPr>
                      <w:trHeight w:val="403"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其他特别条款</w:t>
                        </w: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71.583008pt;margin-top:32.855602pt;width:63.6pt;height:50.9pt;mso-position-horizontal-relative:page;mso-position-vertical-relative:paragraph;z-index:-113195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7"/>
        <w:gridCol w:w="797"/>
        <w:gridCol w:w="797"/>
        <w:gridCol w:w="800"/>
        <w:gridCol w:w="797"/>
        <w:gridCol w:w="799"/>
        <w:gridCol w:w="797"/>
        <w:gridCol w:w="799"/>
        <w:gridCol w:w="797"/>
      </w:tblGrid>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69,681,64</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69,681,64</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9</w:t>
            </w: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董事、副 董事长、 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1,622,246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1,622,246</w:t>
            </w: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詹亦文</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何锐</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7"/>
        <w:gridCol w:w="797"/>
        <w:gridCol w:w="797"/>
        <w:gridCol w:w="800"/>
        <w:gridCol w:w="797"/>
        <w:gridCol w:w="799"/>
        <w:gridCol w:w="797"/>
        <w:gridCol w:w="799"/>
        <w:gridCol w:w="797"/>
      </w:tblGrid>
      <w:tr>
        <w:trPr>
          <w:trHeight w:val="67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许丽美</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孙中海</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唐予华</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7"/>
        <w:gridCol w:w="797"/>
        <w:gridCol w:w="797"/>
        <w:gridCol w:w="800"/>
        <w:gridCol w:w="797"/>
        <w:gridCol w:w="799"/>
        <w:gridCol w:w="797"/>
        <w:gridCol w:w="799"/>
        <w:gridCol w:w="797"/>
      </w:tblGrid>
      <w:tr>
        <w:trPr>
          <w:trHeight w:val="67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01"/>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71,304,39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71,304,39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9"/>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29"/>
        <w:gridCol w:w="1330"/>
        <w:gridCol w:w="1330"/>
        <w:gridCol w:w="1331"/>
        <w:gridCol w:w="4247"/>
      </w:tblGrid>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2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715" w:hRule="exact"/>
        </w:trPr>
        <w:tc>
          <w:tcPr>
            <w:tcW w:w="132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唐予华</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713" w:hRule="exact"/>
        </w:trPr>
        <w:tc>
          <w:tcPr>
            <w:tcW w:w="132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716" w:hRule="exact"/>
        </w:trPr>
        <w:tc>
          <w:tcPr>
            <w:tcW w:w="132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因个人原因辞职，继续担任总经理职务</w:t>
            </w:r>
          </w:p>
        </w:tc>
      </w:tr>
      <w:tr>
        <w:trPr>
          <w:trHeight w:val="713" w:hRule="exact"/>
        </w:trPr>
        <w:tc>
          <w:tcPr>
            <w:tcW w:w="132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因个人原因辞职，继续在公司担任其他职务</w:t>
            </w:r>
          </w:p>
        </w:tc>
      </w:tr>
      <w:tr>
        <w:trPr>
          <w:trHeight w:val="715" w:hRule="exact"/>
        </w:trPr>
        <w:tc>
          <w:tcPr>
            <w:tcW w:w="132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孙中海</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因个人原因辞职，不再在公司担任任何职务</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0" w:lineRule="auto" w:before="117"/>
        <w:ind w:left="513" w:right="3283"/>
        <w:jc w:val="left"/>
      </w:pPr>
      <w:r>
        <w:rPr>
          <w:rFonts w:ascii="Times New Roman" w:hAnsi="Times New Roman" w:cs="Times New Roman" w:eastAsia="Times New Roman" w:hint="default"/>
        </w:rPr>
        <w:t>1</w:t>
      </w:r>
      <w:r>
        <w:rPr/>
        <w:t>、公司现任董事 公司第四届董事会由</w:t>
      </w:r>
      <w:r>
        <w:rPr>
          <w:rFonts w:ascii="Times New Roman" w:hAnsi="Times New Roman" w:cs="Times New Roman" w:eastAsia="Times New Roman" w:hint="default"/>
        </w:rPr>
        <w:t>11</w:t>
      </w:r>
      <w:r>
        <w:rPr/>
        <w:t>名董事组成，其中独立董事</w:t>
      </w:r>
      <w:r>
        <w:rPr>
          <w:rFonts w:ascii="Times New Roman" w:hAnsi="Times New Roman" w:cs="Times New Roman" w:eastAsia="Times New Roman" w:hint="default"/>
        </w:rPr>
        <w:t>5</w:t>
      </w:r>
      <w:r>
        <w:rPr/>
        <w:t>名，任期三年，董事会成员简历如下：</w:t>
      </w:r>
    </w:p>
    <w:p>
      <w:pPr>
        <w:pStyle w:val="BodyText"/>
        <w:spacing w:line="300" w:lineRule="auto" w:before="13"/>
        <w:ind w:right="1129" w:firstLine="360"/>
        <w:jc w:val="both"/>
      </w:pPr>
      <w:r>
        <w:rPr>
          <w:spacing w:val="-2"/>
        </w:rPr>
        <w:t>（</w:t>
      </w:r>
      <w:r>
        <w:rPr>
          <w:rFonts w:ascii="Times New Roman" w:hAnsi="Times New Roman" w:cs="Times New Roman" w:eastAsia="Times New Roman" w:hint="default"/>
          <w:spacing w:val="-2"/>
        </w:rPr>
        <w:t>1</w:t>
      </w:r>
      <w:r>
        <w:rPr>
          <w:spacing w:val="-2"/>
        </w:rPr>
        <w:t>）张曦：男，生于</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11</w:t>
      </w:r>
      <w:r>
        <w:rPr>
          <w:spacing w:val="-2"/>
        </w:rPr>
        <w:t>月，中国国籍，中国香港永久居民。</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7</w:t>
      </w:r>
      <w:r>
        <w:rPr>
          <w:spacing w:val="-2"/>
        </w:rPr>
        <w:t>月，毕业于厦门大学国际贸易系，获学士学</w:t>
      </w:r>
      <w:r>
        <w:rPr/>
        <w:t> </w:t>
      </w:r>
      <w:r>
        <w:rPr>
          <w:spacing w:val="-2"/>
        </w:rPr>
        <w:t>位。</w:t>
      </w:r>
      <w:r>
        <w:rPr>
          <w:rFonts w:ascii="Times New Roman" w:hAnsi="Times New Roman" w:cs="Times New Roman" w:eastAsia="Times New Roman" w:hint="default"/>
          <w:spacing w:val="-2"/>
        </w:rPr>
        <w:t>2004</w:t>
      </w:r>
      <w:r>
        <w:rPr>
          <w:spacing w:val="-2"/>
        </w:rPr>
        <w:t>年至今，任骏杰置业（香港）有限公司董事；</w:t>
      </w:r>
      <w:r>
        <w:rPr>
          <w:rFonts w:ascii="Times New Roman" w:hAnsi="Times New Roman" w:cs="Times New Roman" w:eastAsia="Times New Roman" w:hint="default"/>
          <w:spacing w:val="-2"/>
        </w:rPr>
        <w:t>2005</w:t>
      </w:r>
      <w:r>
        <w:rPr>
          <w:spacing w:val="-2"/>
        </w:rPr>
        <w:t>年至今，任骏豪地产（香港）有限公司董事；</w:t>
      </w:r>
      <w:r>
        <w:rPr>
          <w:rFonts w:ascii="Times New Roman" w:hAnsi="Times New Roman" w:cs="Times New Roman" w:eastAsia="Times New Roman" w:hint="default"/>
          <w:spacing w:val="-2"/>
        </w:rPr>
        <w:t>2009</w:t>
      </w:r>
      <w:r>
        <w:rPr>
          <w:spacing w:val="-2"/>
        </w:rPr>
        <w:t>年至今，任香</w:t>
      </w:r>
      <w:r>
        <w:rPr>
          <w:spacing w:val="-62"/>
        </w:rPr>
        <w:t> </w:t>
      </w:r>
      <w:r>
        <w:rPr>
          <w:spacing w:val="-62"/>
        </w:rPr>
      </w:r>
      <w:r>
        <w:rPr>
          <w:spacing w:val="-2"/>
        </w:rPr>
        <w:t>港骏华控股集团有限公司董事；</w:t>
      </w:r>
      <w:r>
        <w:rPr>
          <w:rFonts w:ascii="Times New Roman" w:hAnsi="Times New Roman" w:cs="Times New Roman" w:eastAsia="Times New Roman" w:hint="default"/>
          <w:spacing w:val="-2"/>
        </w:rPr>
        <w:t>2010</w:t>
      </w:r>
      <w:r>
        <w:rPr>
          <w:spacing w:val="-2"/>
        </w:rPr>
        <w:t>年至今，任侨丰控股有限公司董事、名卫投资有限公司董事；</w:t>
      </w:r>
      <w:r>
        <w:rPr>
          <w:rFonts w:ascii="Times New Roman" w:hAnsi="Times New Roman" w:cs="Times New Roman" w:eastAsia="Times New Roman" w:hint="default"/>
          <w:spacing w:val="-2"/>
        </w:rPr>
        <w:t>2012</w:t>
      </w:r>
      <w:r>
        <w:rPr>
          <w:spacing w:val="-2"/>
        </w:rPr>
        <w:t>年至今，任北京京发</w:t>
      </w:r>
      <w:r>
        <w:rPr>
          <w:spacing w:val="-61"/>
        </w:rPr>
        <w:t> </w:t>
      </w:r>
      <w:r>
        <w:rPr>
          <w:spacing w:val="-61"/>
        </w:rPr>
      </w:r>
      <w:r>
        <w:rPr>
          <w:spacing w:val="-5"/>
        </w:rPr>
        <w:t>置业有限公司董事长；</w:t>
      </w:r>
      <w:r>
        <w:rPr>
          <w:rFonts w:ascii="Times New Roman" w:hAnsi="Times New Roman" w:cs="Times New Roman" w:eastAsia="Times New Roman" w:hint="default"/>
          <w:spacing w:val="-5"/>
        </w:rPr>
        <w:t>2013</w:t>
      </w:r>
      <w:r>
        <w:rPr>
          <w:spacing w:val="-5"/>
        </w:rPr>
        <w:t>年起至今，任香港骏豪金融控股集团有限公司董事。</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5</w:t>
      </w:r>
      <w:r>
        <w:rPr>
          <w:spacing w:val="-5"/>
        </w:rPr>
        <w:t>月至</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8</w:t>
      </w:r>
      <w:r>
        <w:rPr>
          <w:spacing w:val="-5"/>
        </w:rPr>
        <w:t>月，担任公司董事；</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月，任公司第二届董事会董事长；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月，任公司第三届董事会董事长；</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月至今， 任公司第四届董事会董事长。</w:t>
      </w:r>
    </w:p>
    <w:p>
      <w:pPr>
        <w:pStyle w:val="BodyText"/>
        <w:spacing w:line="300" w:lineRule="auto" w:before="31"/>
        <w:ind w:right="0" w:firstLine="360"/>
        <w:jc w:val="left"/>
      </w:pPr>
      <w:r>
        <w:rPr>
          <w:spacing w:val="-2"/>
        </w:rPr>
        <w:t>（</w:t>
      </w:r>
      <w:r>
        <w:rPr>
          <w:rFonts w:ascii="Times New Roman" w:hAnsi="Times New Roman" w:cs="Times New Roman" w:eastAsia="Times New Roman" w:hint="default"/>
          <w:spacing w:val="-2"/>
        </w:rPr>
        <w:t>2</w:t>
      </w:r>
      <w:r>
        <w:rPr>
          <w:spacing w:val="-2"/>
        </w:rPr>
        <w:t>）黄文灿：男，生于</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12</w:t>
      </w:r>
      <w:r>
        <w:rPr>
          <w:spacing w:val="-2"/>
        </w:rPr>
        <w:t>月，中国国籍，硕士研究生毕业，无永久境外居留权，高级工程师。</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1996</w:t>
      </w:r>
      <w:r>
        <w:rPr>
          <w:spacing w:val="-2"/>
        </w:rPr>
        <w:t>年，</w:t>
      </w:r>
      <w:r>
        <w:rPr/>
        <w:t> 就职于航天航空部计算机和仿真技术研究所；</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2000</w:t>
      </w:r>
      <w:r>
        <w:rPr/>
        <w:t>年，任厦门市巨龙软件工程有限公司副总工程师；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spacing w:val="-3"/>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月，任公司总工程师、副总经理。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月，任公司副总经理、技术总监。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 任公司副总经理；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月，任公司第三届董事会董事、副董事长、常务副总经理。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月至今，任公司 第四届董事会董事、副董事长、副总经理。</w:t>
      </w:r>
    </w:p>
    <w:p>
      <w:pPr>
        <w:spacing w:after="0" w:line="30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4" w:lineRule="auto" w:before="44"/>
        <w:ind w:right="1034" w:firstLine="360"/>
        <w:jc w:val="left"/>
      </w:pPr>
      <w:r>
        <w:rPr/>
        <w:t>（</w:t>
      </w:r>
      <w:r>
        <w:rPr>
          <w:rFonts w:ascii="Times New Roman" w:hAnsi="Times New Roman" w:cs="Times New Roman" w:eastAsia="Times New Roman" w:hint="default"/>
        </w:rPr>
        <w:t>3</w:t>
      </w:r>
      <w:r>
        <w:rPr/>
        <w:t>）廖杰远：男，生于</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5</w:t>
      </w:r>
      <w:r>
        <w:rPr/>
        <w:t>月，中国国籍，无永久境外居留权。</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月，毕业于北京大学</w:t>
      </w:r>
      <w:r>
        <w:rPr>
          <w:rFonts w:ascii="Times New Roman" w:hAnsi="Times New Roman" w:cs="Times New Roman" w:eastAsia="Times New Roman" w:hint="default"/>
        </w:rPr>
        <w:t>MBA</w:t>
      </w:r>
      <w:r>
        <w:rPr/>
        <w:t>专业获硕士研究 生学位。</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月，任国家</w:t>
      </w:r>
      <w:r>
        <w:rPr>
          <w:rFonts w:ascii="Times New Roman" w:hAnsi="Times New Roman" w:cs="Times New Roman" w:eastAsia="Times New Roman" w:hint="default"/>
        </w:rPr>
        <w:t>863</w:t>
      </w:r>
      <w:r>
        <w:rPr/>
        <w:t>智能计算机成果转化基地干部；</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月，任天音软件总经理； </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月至今任微医控股有限公司董事长兼</w:t>
      </w:r>
      <w:r>
        <w:rPr>
          <w:rFonts w:ascii="Times New Roman" w:hAnsi="Times New Roman" w:cs="Times New Roman" w:eastAsia="Times New Roman" w:hint="default"/>
        </w:rPr>
        <w:t>CEO</w:t>
      </w:r>
      <w:r>
        <w:rPr/>
        <w:t>。目前廖杰远兼任九三学社第十四届中央委员医药卫生专门委员会副主 </w:t>
      </w:r>
      <w:r>
        <w:rPr>
          <w:spacing w:val="-2"/>
        </w:rPr>
        <w:t>任、宁夏回族自治区政协委员，中国医疗保健国际交流促进会互联网医疗分会常务副主任委员、中国卫生信息学会健康医疗</w:t>
      </w:r>
      <w:r>
        <w:rPr>
          <w:spacing w:val="-63"/>
        </w:rPr>
        <w:t> </w:t>
      </w:r>
      <w:r>
        <w:rPr>
          <w:spacing w:val="-63"/>
        </w:rPr>
      </w:r>
      <w:r>
        <w:rPr/>
        <w:t>大数据家庭健康专业委员会副主任、浙江大学健康医疗大数据国家研究院副主任等职务。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月起任公司第四届董事会 非独立董事、副董事长。</w:t>
      </w:r>
    </w:p>
    <w:p>
      <w:pPr>
        <w:pStyle w:val="BodyText"/>
        <w:spacing w:line="300" w:lineRule="auto" w:before="28"/>
        <w:ind w:right="1126" w:firstLine="360"/>
        <w:jc w:val="both"/>
      </w:pPr>
      <w:r>
        <w:rPr/>
        <w:t>（</w:t>
      </w:r>
      <w:r>
        <w:rPr>
          <w:rFonts w:ascii="Times New Roman" w:hAnsi="Times New Roman" w:cs="Times New Roman" w:eastAsia="Times New Roman" w:hint="default"/>
        </w:rPr>
        <w:t>4</w:t>
      </w:r>
      <w:r>
        <w:rPr/>
        <w:t>）吴一禹：男，生于</w:t>
      </w:r>
      <w:r>
        <w:rPr>
          <w:rFonts w:ascii="Times New Roman" w:hAnsi="Times New Roman" w:cs="Times New Roman" w:eastAsia="Times New Roman" w:hint="default"/>
        </w:rPr>
        <w:t>1960</w:t>
      </w:r>
      <w:r>
        <w:rPr/>
        <w:t>年</w:t>
      </w:r>
      <w:r>
        <w:rPr>
          <w:rFonts w:ascii="Times New Roman" w:hAnsi="Times New Roman" w:cs="Times New Roman" w:eastAsia="Times New Roman" w:hint="default"/>
        </w:rPr>
        <w:t>2</w:t>
      </w:r>
      <w:r>
        <w:rPr/>
        <w:t>月，中国国籍，无永久境外居留权。</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8</w:t>
      </w:r>
      <w:r>
        <w:rPr/>
        <w:t>月，毕业于福建广播电视大学中文专业， 注册高级策划师。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月，任福建骏豪足球俱乐部、石家庄永昌骏豪足球俱乐部副董事长；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w:t>
      </w:r>
      <w:r>
        <w:rPr>
          <w:spacing w:val="-3"/>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月，任北京骏豪光文化发展有限公司董事长；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月，任易联众健康医疗控股有限公司副总裁、 </w:t>
      </w:r>
      <w:r>
        <w:rPr>
          <w:spacing w:val="-3"/>
        </w:rPr>
        <w:t>总裁；</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月至今任易联众基因检测分析技术有限公司董事长；</w:t>
      </w:r>
      <w:r>
        <w:rPr>
          <w:rFonts w:ascii="Times New Roman" w:hAnsi="Times New Roman" w:cs="Times New Roman" w:eastAsia="Times New Roman" w:hint="default"/>
          <w:spacing w:val="-3"/>
        </w:rPr>
        <w:t>2009</w:t>
      </w:r>
      <w:r>
        <w:rPr>
          <w:spacing w:val="-3"/>
        </w:rPr>
        <w:t>年至今兼任福建省照明学会副理事长兼秘书长。</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日至今任公司副总经理，</w:t>
      </w:r>
      <w:r>
        <w:rPr>
          <w:spacing w:val="-22"/>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日起至今任公司第四届董事会非独立董事。</w:t>
      </w:r>
    </w:p>
    <w:p>
      <w:pPr>
        <w:pStyle w:val="BodyText"/>
        <w:spacing w:line="302" w:lineRule="auto" w:before="13"/>
        <w:ind w:right="1128" w:firstLine="360"/>
        <w:jc w:val="both"/>
      </w:pPr>
      <w:r>
        <w:rPr/>
        <w:t>（</w:t>
      </w:r>
      <w:r>
        <w:rPr>
          <w:rFonts w:ascii="Times New Roman" w:hAnsi="Times New Roman" w:cs="Times New Roman" w:eastAsia="Times New Roman" w:hint="default"/>
        </w:rPr>
        <w:t>5</w:t>
      </w:r>
      <w:r>
        <w:rPr/>
        <w:t>）邱晓华：男，</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1</w:t>
      </w:r>
      <w:r>
        <w:rPr/>
        <w:t>月出生，中国国籍，无永久境外居留权，</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2</w:t>
      </w:r>
      <w:r>
        <w:rPr/>
        <w:t>月就读于厦门大学，获经济学学士，</w:t>
      </w:r>
      <w:r>
        <w:rPr>
          <w:rFonts w:ascii="Times New Roman" w:hAnsi="Times New Roman" w:cs="Times New Roman" w:eastAsia="Times New Roman" w:hint="default"/>
        </w:rPr>
        <w:t>1998 </w:t>
      </w:r>
      <w:r>
        <w:rPr>
          <w:spacing w:val="-2"/>
        </w:rPr>
        <w:t>年</w:t>
      </w:r>
      <w:r>
        <w:rPr>
          <w:rFonts w:ascii="Times New Roman" w:hAnsi="Times New Roman" w:cs="Times New Roman" w:eastAsia="Times New Roman" w:hint="default"/>
          <w:spacing w:val="-2"/>
        </w:rPr>
        <w:t>9</w:t>
      </w:r>
      <w:r>
        <w:rPr>
          <w:spacing w:val="-2"/>
        </w:rPr>
        <w:t>月就读于北京师范大学，获经济学硕士、博士。</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日分配到国家统计局工作，先后担任国家统计局综合司副处</w:t>
      </w:r>
      <w:r>
        <w:rPr>
          <w:spacing w:val="-60"/>
        </w:rPr>
        <w:t> </w:t>
      </w:r>
      <w:r>
        <w:rPr>
          <w:spacing w:val="-60"/>
        </w:rPr>
      </w:r>
      <w:r>
        <w:rPr>
          <w:spacing w:val="-2"/>
        </w:rPr>
        <w:t>长、处长、副司长，国家统计局总经济师兼新闻发言人、副局长、局长，</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8</w:t>
      </w:r>
      <w:r>
        <w:rPr>
          <w:spacing w:val="-2"/>
        </w:rPr>
        <w:t>月到</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9</w:t>
      </w:r>
      <w:r>
        <w:rPr>
          <w:spacing w:val="-2"/>
        </w:rPr>
        <w:t>月在安徽省人民政府任省长助</w:t>
      </w:r>
      <w:r>
        <w:rPr>
          <w:spacing w:val="-59"/>
        </w:rPr>
        <w:t> </w:t>
      </w:r>
      <w:r>
        <w:rPr>
          <w:spacing w:val="-2"/>
        </w:rPr>
        <w:t>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月到</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月，在中国海洋石油总公司工作，曾任总公司能源经济研究院（政策研究室）首席经济学家；</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9"/>
        </w:rPr>
        <w:t> </w:t>
      </w:r>
      <w:r>
        <w:rPr>
          <w:spacing w:val="-2"/>
        </w:rPr>
        <w:t>年</w:t>
      </w:r>
      <w:r>
        <w:rPr>
          <w:rFonts w:ascii="Times New Roman" w:hAnsi="Times New Roman" w:cs="Times New Roman" w:eastAsia="Times New Roman" w:hint="default"/>
          <w:spacing w:val="-2"/>
        </w:rPr>
        <w:t>9</w:t>
      </w:r>
      <w:r>
        <w:rPr>
          <w:spacing w:val="-2"/>
        </w:rPr>
        <w:t>月到</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月任民生证券股份有限公司首席经济学家；历任中国泛海控股集团有限公司董事，泛海控股股份有限公司泛</w:t>
      </w:r>
      <w:r>
        <w:rPr>
          <w:spacing w:val="-61"/>
        </w:rPr>
        <w:t> </w:t>
      </w:r>
      <w:r>
        <w:rPr>
          <w:spacing w:val="-61"/>
        </w:rPr>
      </w:r>
      <w:r>
        <w:rPr/>
        <w:t>海研究院院长、董事、职工代表监事；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月任广东华兴银行股份有限公司首席经济学家。现任阳光资产 </w:t>
      </w:r>
      <w:r>
        <w:rPr>
          <w:spacing w:val="-2"/>
        </w:rPr>
        <w:t>管理股份有限公司首席战略官，云南白药集团股份有限公司董事，厦门金砖智库理事长，金砖（厦门）股权投资基金有限公</w:t>
      </w:r>
      <w:r>
        <w:rPr>
          <w:spacing w:val="-67"/>
        </w:rPr>
        <w:t> </w:t>
      </w:r>
      <w:r>
        <w:rPr>
          <w:spacing w:val="-67"/>
        </w:rPr>
      </w:r>
      <w:r>
        <w:rPr/>
        <w:t>司董事长，新华都商学院教授，澳门城市大学教授，兼任中国国际经济交流中心学术委员、高级研究员。</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6</w:t>
      </w:r>
      <w:r>
        <w:rPr/>
        <w:t>月，任公司第三届董事会独立董事。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月至今，任公司第四届董事会独立董事。</w:t>
      </w:r>
    </w:p>
    <w:p>
      <w:pPr>
        <w:pStyle w:val="BodyText"/>
        <w:spacing w:line="300" w:lineRule="auto" w:before="11"/>
        <w:ind w:right="1126" w:firstLine="360"/>
        <w:jc w:val="both"/>
      </w:pPr>
      <w:r>
        <w:rPr>
          <w:spacing w:val="-2"/>
        </w:rPr>
        <w:t>（</w:t>
      </w:r>
      <w:r>
        <w:rPr>
          <w:rFonts w:ascii="Times New Roman" w:hAnsi="Times New Roman" w:cs="Times New Roman" w:eastAsia="Times New Roman" w:hint="default"/>
          <w:spacing w:val="-2"/>
        </w:rPr>
        <w:t>6</w:t>
      </w:r>
      <w:r>
        <w:rPr>
          <w:spacing w:val="-2"/>
        </w:rPr>
        <w:t>）詹亦文：女，</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10</w:t>
      </w:r>
      <w:r>
        <w:rPr>
          <w:spacing w:val="-2"/>
        </w:rPr>
        <w:t>月出生，中国国籍，硕士研究生学历，无境外永久居留权。</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w:t>
      </w:r>
      <w:r>
        <w:rPr>
          <w:spacing w:val="-2"/>
        </w:rPr>
        <w:t>月，毕业于江西师范大</w:t>
      </w:r>
      <w:r>
        <w:rPr/>
        <w:t> 学中国近代史专业，获硕士学位；</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w:t>
      </w:r>
      <w:r>
        <w:rPr/>
        <w:t>月毕业于中国人民大学民商法专业，获硕士学位。历任北京同昊林律师事务所律 师，现任北京市国源律师事务所合伙人、律师。詹亦文女士兼任内蒙古伊利实业集团股份有限公司监事职务。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 </w:t>
      </w:r>
      <w:r>
        <w:rPr/>
        <w:t>日起至今任公司第四届董事会独立董事。</w:t>
      </w:r>
    </w:p>
    <w:p>
      <w:pPr>
        <w:pStyle w:val="BodyText"/>
        <w:spacing w:line="304" w:lineRule="auto" w:before="31"/>
        <w:ind w:right="1128" w:firstLine="360"/>
        <w:jc w:val="both"/>
      </w:pPr>
      <w:r>
        <w:rPr/>
        <w:t>（</w:t>
      </w:r>
      <w:r>
        <w:rPr>
          <w:rFonts w:ascii="Times New Roman" w:hAnsi="Times New Roman" w:cs="Times New Roman" w:eastAsia="Times New Roman" w:hint="default"/>
        </w:rPr>
        <w:t>7</w:t>
      </w:r>
      <w:r>
        <w:rPr/>
        <w:t>）苏伟斌：男，生于</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5</w:t>
      </w:r>
      <w:r>
        <w:rPr/>
        <w:t>月，中国国籍，无永久境外居留权，法学硕士学历。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月，毕业于华侨大学国际 经济法专业，获法学学士学位。</w:t>
      </w:r>
      <w:r>
        <w:rPr>
          <w:rFonts w:ascii="Times New Roman" w:hAnsi="Times New Roman" w:cs="Times New Roman" w:eastAsia="Times New Roman" w:hint="default"/>
        </w:rPr>
        <w:t>2001</w:t>
      </w:r>
      <w:r>
        <w:rPr/>
        <w:t>年毕业于</w:t>
      </w:r>
      <w:r>
        <w:rPr>
          <w:rFonts w:ascii="Times New Roman" w:hAnsi="Times New Roman" w:cs="Times New Roman" w:eastAsia="Times New Roman" w:hint="default"/>
        </w:rPr>
        <w:t>Indiana</w:t>
      </w:r>
      <w:r>
        <w:rPr>
          <w:rFonts w:ascii="Times New Roman" w:hAnsi="Times New Roman" w:cs="Times New Roman" w:eastAsia="Times New Roman" w:hint="default"/>
          <w:spacing w:val="-32"/>
        </w:rPr>
        <w:t> </w:t>
      </w:r>
      <w:r>
        <w:rPr>
          <w:rFonts w:ascii="Times New Roman" w:hAnsi="Times New Roman" w:cs="Times New Roman" w:eastAsia="Times New Roman" w:hint="default"/>
        </w:rPr>
        <w:t>University</w:t>
      </w:r>
      <w:r>
        <w:rPr/>
        <w:t>，</w:t>
      </w:r>
      <w:r>
        <w:rPr>
          <w:rFonts w:ascii="Times New Roman" w:hAnsi="Times New Roman" w:cs="Times New Roman" w:eastAsia="Times New Roman" w:hint="default"/>
        </w:rPr>
        <w:t>Bloomington</w:t>
      </w:r>
      <w:r>
        <w:rPr/>
        <w:t>，获法学硕士学位。历任厦门国贸集团股份有 </w:t>
      </w:r>
      <w:r>
        <w:rPr>
          <w:spacing w:val="-2"/>
        </w:rPr>
        <w:t>限公司法律顾问、福建天衡联合律师事务所合伙律师，现任福建润金律师事务所律师、主任，厦门合兴包装印刷股份有限公</w:t>
      </w:r>
      <w:r>
        <w:rPr>
          <w:spacing w:val="-65"/>
        </w:rPr>
        <w:t> </w:t>
      </w:r>
      <w:r>
        <w:rPr>
          <w:spacing w:val="-65"/>
        </w:rPr>
      </w:r>
      <w:r>
        <w:rPr>
          <w:spacing w:val="-2"/>
        </w:rPr>
        <w:t>司独立董事，舒华体育股份有限公司独立董事，福建省闽华电源股份有限公司独立董事。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月，任公司第</w:t>
      </w:r>
      <w:r>
        <w:rPr>
          <w:spacing w:val="-56"/>
        </w:rPr>
        <w:t> </w:t>
      </w:r>
      <w:r>
        <w:rPr>
          <w:spacing w:val="-56"/>
        </w:rPr>
      </w:r>
      <w:r>
        <w:rPr/>
        <w:t>三届董事会独立董事。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月至今，任公司第四届董事会独立董事。</w:t>
      </w:r>
    </w:p>
    <w:p>
      <w:pPr>
        <w:pStyle w:val="BodyText"/>
        <w:spacing w:line="309" w:lineRule="auto" w:before="9"/>
        <w:ind w:right="1131" w:firstLine="360"/>
        <w:jc w:val="both"/>
      </w:pPr>
      <w:r>
        <w:rPr/>
        <w:t>（</w:t>
      </w:r>
      <w:r>
        <w:rPr>
          <w:rFonts w:ascii="Times New Roman" w:hAnsi="Times New Roman" w:cs="Times New Roman" w:eastAsia="Times New Roman" w:hint="default"/>
        </w:rPr>
        <w:t>8</w:t>
      </w:r>
      <w:r>
        <w:rPr/>
        <w:t>）陈菡：女，生于</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1</w:t>
      </w:r>
      <w:r>
        <w:rPr/>
        <w:t>月，中国国籍，无永久境外居留权，管理学（会计学）博士、研究生学历。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 </w:t>
      </w:r>
      <w:r>
        <w:rPr>
          <w:spacing w:val="-2"/>
        </w:rPr>
        <w:t>毕业于厦门大学会计学专业，获管理学（会计学）博士学位。曾任厦门大学会计发展研究中心科研助理，现任厦门国家会计</w:t>
      </w:r>
      <w:r>
        <w:rPr>
          <w:spacing w:val="-67"/>
        </w:rPr>
        <w:t> </w:t>
      </w:r>
      <w:r>
        <w:rPr>
          <w:spacing w:val="-67"/>
        </w:rPr>
      </w:r>
      <w:r>
        <w:rPr>
          <w:spacing w:val="-2"/>
        </w:rPr>
        <w:t>学院讲师、硕士生导师，管理会计与财务管理研究所副所长。陈菡女士兼任天马微电子股份有限公司独立董事、山鹰国际控</w:t>
      </w:r>
      <w:r>
        <w:rPr>
          <w:spacing w:val="-64"/>
        </w:rPr>
        <w:t> </w:t>
      </w:r>
      <w:r>
        <w:rPr>
          <w:spacing w:val="-64"/>
        </w:rPr>
      </w:r>
      <w:r>
        <w:rPr>
          <w:spacing w:val="-2"/>
        </w:rPr>
        <w:t>股股份公司独立董事及量子高科（中国）生物股份有限公司独立董事。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月，任公司第三届董事会独立董</w:t>
      </w:r>
      <w:r>
        <w:rPr>
          <w:spacing w:val="-58"/>
        </w:rPr>
        <w:t> </w:t>
      </w:r>
      <w:r>
        <w:rPr>
          <w:spacing w:val="-58"/>
        </w:rPr>
      </w:r>
      <w:r>
        <w:rPr/>
        <w:t>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月至今，任公司第四届董事会独立董事。</w:t>
      </w:r>
    </w:p>
    <w:p>
      <w:pPr>
        <w:pStyle w:val="BodyText"/>
        <w:spacing w:line="309" w:lineRule="auto" w:before="5"/>
        <w:ind w:right="0" w:firstLine="360"/>
        <w:jc w:val="left"/>
      </w:pPr>
      <w:r>
        <w:rPr/>
        <w:t>（</w:t>
      </w:r>
      <w:r>
        <w:rPr>
          <w:rFonts w:ascii="Times New Roman" w:hAnsi="Times New Roman" w:cs="Times New Roman" w:eastAsia="Times New Roman" w:hint="default"/>
        </w:rPr>
        <w:t>9</w:t>
      </w:r>
      <w:r>
        <w:rPr/>
        <w:t>）何锐：男，</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9</w:t>
      </w:r>
      <w:r>
        <w:rPr/>
        <w:t>月出生，中国国籍，大学本科学历。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r>
        <w:rPr/>
        <w:t>月，毕业于厦门大学国际经济法专业，获法学学 </w:t>
      </w:r>
      <w:r>
        <w:rPr>
          <w:spacing w:val="-4"/>
        </w:rPr>
        <w:t>士学位。历任福建天衡联合律师事务所专职律师、合伙人、高级合伙人职务，现任福建天衡联合律师事务所高级合伙人职务。</w:t>
      </w:r>
      <w:r>
        <w:rPr>
          <w:spacing w:val="-46"/>
        </w:rPr>
        <w:t> </w:t>
      </w:r>
      <w:r>
        <w:rPr>
          <w:spacing w:val="-46"/>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月至今，任公司第四届董事会独立董事。</w:t>
      </w:r>
    </w:p>
    <w:p>
      <w:pPr>
        <w:pStyle w:val="BodyText"/>
        <w:spacing w:line="300" w:lineRule="auto" w:before="5"/>
        <w:ind w:right="1025" w:firstLine="360"/>
        <w:jc w:val="left"/>
      </w:pPr>
      <w:r>
        <w:rPr>
          <w:spacing w:val="-2"/>
        </w:rPr>
        <w:t>（</w:t>
      </w:r>
      <w:r>
        <w:rPr>
          <w:rFonts w:ascii="Times New Roman" w:hAnsi="Times New Roman" w:cs="Times New Roman" w:eastAsia="Times New Roman" w:hint="default"/>
          <w:spacing w:val="-2"/>
        </w:rPr>
        <w:t>10</w:t>
      </w:r>
      <w:r>
        <w:rPr>
          <w:spacing w:val="-2"/>
        </w:rPr>
        <w:t>）孔祥谱：男，生于</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11</w:t>
      </w:r>
      <w:r>
        <w:rPr>
          <w:spacing w:val="-2"/>
        </w:rPr>
        <w:t>月，中国国籍，无永久境外居留权。</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w:t>
      </w:r>
      <w:r>
        <w:rPr>
          <w:spacing w:val="-2"/>
        </w:rPr>
        <w:t>毕业于浙江工商大学电子系</w:t>
      </w:r>
      <w:r>
        <w:rPr>
          <w:rFonts w:ascii="Times New Roman" w:hAnsi="Times New Roman" w:cs="Times New Roman" w:eastAsia="Times New Roman" w:hint="default"/>
          <w:spacing w:val="-2"/>
        </w:rPr>
        <w:t>,</w:t>
      </w:r>
      <w:r>
        <w:rPr>
          <w:spacing w:val="-2"/>
        </w:rPr>
        <w:t>获学士学</w:t>
      </w:r>
      <w:r>
        <w:rPr/>
        <w:t> 位。</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月，在浙江大学软件学院完成软件工程专业研究生学习，获软件工程硕士学位。</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2001</w:t>
      </w:r>
      <w:r>
        <w:rPr/>
        <w:t>年， </w:t>
      </w:r>
      <w:r>
        <w:rPr>
          <w:spacing w:val="-2"/>
        </w:rPr>
        <w:t>任中国工商银行温州市分行工程师；</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2003</w:t>
      </w:r>
      <w:r>
        <w:rPr>
          <w:spacing w:val="-2"/>
        </w:rPr>
        <w:t>年，任中国网络通信有限公司高级项目经理；</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2005</w:t>
      </w:r>
      <w:r>
        <w:rPr>
          <w:spacing w:val="-2"/>
        </w:rPr>
        <w:t>年，任杭州康</w:t>
      </w:r>
      <w:r>
        <w:rPr>
          <w:spacing w:val="-54"/>
        </w:rPr>
        <w:t> </w:t>
      </w:r>
      <w:r>
        <w:rPr>
          <w:spacing w:val="-54"/>
        </w:rPr>
      </w:r>
      <w:r>
        <w:rPr>
          <w:spacing w:val="-2"/>
        </w:rPr>
        <w:t>林克信息技术有限公司技术总监，</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2011</w:t>
      </w:r>
      <w:r>
        <w:rPr>
          <w:spacing w:val="-2"/>
        </w:rPr>
        <w:t>年，任杭州英伦信息技术有限公司副总经理；</w:t>
      </w:r>
      <w:r>
        <w:rPr>
          <w:rFonts w:ascii="Times New Roman" w:hAnsi="Times New Roman" w:cs="Times New Roman" w:eastAsia="Times New Roman" w:hint="default"/>
          <w:spacing w:val="-2"/>
        </w:rPr>
        <w:t>2011</w:t>
      </w:r>
      <w:r>
        <w:rPr>
          <w:spacing w:val="-2"/>
        </w:rPr>
        <w:t>年到</w:t>
      </w:r>
      <w:r>
        <w:rPr>
          <w:rFonts w:ascii="Times New Roman" w:hAnsi="Times New Roman" w:cs="Times New Roman" w:eastAsia="Times New Roman" w:hint="default"/>
          <w:spacing w:val="-2"/>
        </w:rPr>
        <w:t>2015</w:t>
      </w:r>
      <w:r>
        <w:rPr>
          <w:spacing w:val="-2"/>
        </w:rPr>
        <w:t>年任浙江东冠软</w:t>
      </w:r>
      <w:r>
        <w:rPr>
          <w:spacing w:val="-56"/>
        </w:rPr>
        <w:t> </w:t>
      </w:r>
      <w:r>
        <w:rPr>
          <w:spacing w:val="-56"/>
        </w:rPr>
      </w:r>
      <w:r>
        <w:rPr>
          <w:spacing w:val="-3"/>
        </w:rPr>
        <w:t>件技术有限公司总经理，</w:t>
      </w:r>
      <w:r>
        <w:rPr>
          <w:rFonts w:ascii="Times New Roman" w:hAnsi="Times New Roman" w:cs="Times New Roman" w:eastAsia="Times New Roman" w:hint="default"/>
          <w:spacing w:val="-3"/>
        </w:rPr>
        <w:t>2015</w:t>
      </w:r>
      <w:r>
        <w:rPr>
          <w:spacing w:val="-3"/>
        </w:rPr>
        <w:t>年至今，任微医集团（浙江）有限公司首席产品官、高级副总裁，兼任乌镇互联网医院（桐乡）</w:t>
      </w:r>
      <w:r>
        <w:rPr/>
        <w:t> 有限公司副总裁。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日起任公司第四届董事会非独立董事。</w:t>
      </w:r>
    </w:p>
    <w:p>
      <w:pPr>
        <w:pStyle w:val="BodyText"/>
        <w:spacing w:line="240" w:lineRule="auto" w:before="13"/>
        <w:ind w:left="513" w:right="0"/>
        <w:jc w:val="left"/>
      </w:pPr>
      <w:r>
        <w:rPr/>
        <w:t>（</w:t>
      </w:r>
      <w:r>
        <w:rPr>
          <w:rFonts w:ascii="Times New Roman" w:hAnsi="Times New Roman" w:cs="Times New Roman" w:eastAsia="Times New Roman" w:hint="default"/>
        </w:rPr>
        <w:t>11</w:t>
      </w:r>
      <w:r>
        <w:rPr/>
        <w:t>）李虹海：男，生于</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12</w:t>
      </w:r>
      <w:r>
        <w:rPr/>
        <w:t>月，中国国籍，中国香港永久居民。</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7</w:t>
      </w:r>
      <w:r>
        <w:rPr/>
        <w:t>月，毕业于上海交通大学计算机科学技</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8"/>
        <w:jc w:val="both"/>
      </w:pPr>
      <w:r>
        <w:rPr>
          <w:spacing w:val="-5"/>
        </w:rPr>
        <w:t>术专业，获学士学位、学历；</w:t>
      </w:r>
      <w:r>
        <w:rPr>
          <w:rFonts w:ascii="Times New Roman" w:hAnsi="Times New Roman" w:cs="Times New Roman" w:eastAsia="Times New Roman" w:hint="default"/>
          <w:spacing w:val="-5"/>
        </w:rPr>
        <w:t>1989</w:t>
      </w:r>
      <w:r>
        <w:rPr>
          <w:spacing w:val="-5"/>
        </w:rPr>
        <w:t>年</w:t>
      </w:r>
      <w:r>
        <w:rPr>
          <w:rFonts w:ascii="Times New Roman" w:hAnsi="Times New Roman" w:cs="Times New Roman" w:eastAsia="Times New Roman" w:hint="default"/>
          <w:spacing w:val="-5"/>
        </w:rPr>
        <w:t>8</w:t>
      </w:r>
      <w:r>
        <w:rPr>
          <w:spacing w:val="-5"/>
        </w:rPr>
        <w:t>月至</w:t>
      </w:r>
      <w:r>
        <w:rPr>
          <w:rFonts w:ascii="Times New Roman" w:hAnsi="Times New Roman" w:cs="Times New Roman" w:eastAsia="Times New Roman" w:hint="default"/>
          <w:spacing w:val="-5"/>
        </w:rPr>
        <w:t>1993</w:t>
      </w:r>
      <w:r>
        <w:rPr>
          <w:spacing w:val="-5"/>
        </w:rPr>
        <w:t>年</w:t>
      </w:r>
      <w:r>
        <w:rPr>
          <w:rFonts w:ascii="Times New Roman" w:hAnsi="Times New Roman" w:cs="Times New Roman" w:eastAsia="Times New Roman" w:hint="default"/>
          <w:spacing w:val="-5"/>
        </w:rPr>
        <w:t>12</w:t>
      </w:r>
      <w:r>
        <w:rPr>
          <w:spacing w:val="-5"/>
        </w:rPr>
        <w:t>月，任广州邮电通信设备有限公司项目经理，部门经理；</w:t>
      </w:r>
      <w:r>
        <w:rPr>
          <w:rFonts w:ascii="Times New Roman" w:hAnsi="Times New Roman" w:cs="Times New Roman" w:eastAsia="Times New Roman" w:hint="default"/>
          <w:spacing w:val="-5"/>
        </w:rPr>
        <w:t>1994</w:t>
      </w:r>
      <w:r>
        <w:rPr>
          <w:spacing w:val="-5"/>
        </w:rPr>
        <w:t>年</w:t>
      </w:r>
      <w:r>
        <w:rPr>
          <w:rFonts w:ascii="Times New Roman" w:hAnsi="Times New Roman" w:cs="Times New Roman" w:eastAsia="Times New Roman" w:hint="default"/>
          <w:spacing w:val="-5"/>
        </w:rPr>
        <w:t>5</w:t>
      </w:r>
      <w:r>
        <w:rPr>
          <w:spacing w:val="-5"/>
        </w:rPr>
        <w:t>月至</w:t>
      </w:r>
      <w:r>
        <w:rPr>
          <w:rFonts w:ascii="Times New Roman" w:hAnsi="Times New Roman" w:cs="Times New Roman" w:eastAsia="Times New Roman" w:hint="default"/>
          <w:spacing w:val="-5"/>
        </w:rPr>
        <w:t>1997</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年</w:t>
      </w:r>
      <w:r>
        <w:rPr>
          <w:rFonts w:ascii="Times New Roman" w:hAnsi="Times New Roman" w:cs="Times New Roman" w:eastAsia="Times New Roman" w:hint="default"/>
        </w:rPr>
        <w:t>4</w:t>
      </w:r>
      <w:r>
        <w:rPr/>
        <w:t>月，任香港中鹏科技有限公司总经理；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9</w:t>
      </w:r>
      <w:r>
        <w:rPr/>
        <w:t>月，任广州海达信息有限公司总工程师；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2005 </w:t>
      </w:r>
      <w:r>
        <w:rPr>
          <w:spacing w:val="-5"/>
        </w:rPr>
        <w:t>年</w:t>
      </w:r>
      <w:r>
        <w:rPr>
          <w:rFonts w:ascii="Times New Roman" w:hAnsi="Times New Roman" w:cs="Times New Roman" w:eastAsia="Times New Roman" w:hint="default"/>
          <w:spacing w:val="-5"/>
        </w:rPr>
        <w:t>12</w:t>
      </w:r>
      <w:r>
        <w:rPr>
          <w:spacing w:val="-5"/>
        </w:rPr>
        <w:t>月，任实达科技（控股）有限公司部门经理，客户总监。</w:t>
      </w:r>
      <w:r>
        <w:rPr>
          <w:rFonts w:ascii="Times New Roman" w:hAnsi="Times New Roman" w:cs="Times New Roman" w:eastAsia="Times New Roman" w:hint="default"/>
          <w:spacing w:val="-5"/>
        </w:rPr>
        <w:t>2006</w:t>
      </w:r>
      <w:r>
        <w:rPr>
          <w:spacing w:val="-5"/>
        </w:rPr>
        <w:t>年</w:t>
      </w:r>
      <w:r>
        <w:rPr>
          <w:rFonts w:ascii="Times New Roman" w:hAnsi="Times New Roman" w:cs="Times New Roman" w:eastAsia="Times New Roman" w:hint="default"/>
          <w:spacing w:val="-5"/>
        </w:rPr>
        <w:t>1</w:t>
      </w:r>
      <w:r>
        <w:rPr>
          <w:spacing w:val="-5"/>
        </w:rPr>
        <w:t>月至</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8</w:t>
      </w:r>
      <w:r>
        <w:rPr>
          <w:spacing w:val="-5"/>
        </w:rPr>
        <w:t>月，任公司医疗卫生信息化业务主管。</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2"/>
        </w:rPr>
        <w:t>年</w:t>
      </w:r>
      <w:r>
        <w:rPr>
          <w:rFonts w:ascii="Times New Roman" w:hAnsi="Times New Roman" w:cs="Times New Roman" w:eastAsia="Times New Roman" w:hint="default"/>
          <w:spacing w:val="-2"/>
        </w:rPr>
        <w:t>8</w:t>
      </w:r>
      <w:r>
        <w:rPr>
          <w:spacing w:val="-2"/>
        </w:rPr>
        <w:t>月起，任公司董事会秘书、副总经理；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月，任公司第三届董事会董事；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月至今，任公司第四</w:t>
      </w:r>
      <w:r>
        <w:rPr>
          <w:spacing w:val="-53"/>
        </w:rPr>
        <w:t> </w:t>
      </w:r>
      <w:r>
        <w:rPr>
          <w:spacing w:val="-53"/>
        </w:rPr>
      </w:r>
      <w:r>
        <w:rPr/>
        <w:t>届董事会董事。</w:t>
      </w:r>
    </w:p>
    <w:p>
      <w:pPr>
        <w:pStyle w:val="BodyText"/>
        <w:spacing w:line="300" w:lineRule="auto" w:before="31"/>
        <w:ind w:left="513" w:right="5533"/>
        <w:jc w:val="left"/>
      </w:pPr>
      <w:r>
        <w:rPr>
          <w:rFonts w:ascii="Times New Roman" w:hAnsi="Times New Roman" w:cs="Times New Roman" w:eastAsia="Times New Roman" w:hint="default"/>
        </w:rPr>
        <w:t>2</w:t>
      </w:r>
      <w:r>
        <w:rPr/>
        <w:t>、公司现任监事 公司第四届监事会由</w:t>
      </w:r>
      <w:r>
        <w:rPr>
          <w:rFonts w:ascii="Times New Roman" w:hAnsi="Times New Roman" w:cs="Times New Roman" w:eastAsia="Times New Roman" w:hint="default"/>
        </w:rPr>
        <w:t>3</w:t>
      </w:r>
      <w:r>
        <w:rPr/>
        <w:t>名监事组成，其中，职工代表监事</w:t>
      </w:r>
      <w:r>
        <w:rPr>
          <w:rFonts w:ascii="Times New Roman" w:hAnsi="Times New Roman" w:cs="Times New Roman" w:eastAsia="Times New Roman" w:hint="default"/>
        </w:rPr>
        <w:t>1</w:t>
      </w:r>
      <w:r>
        <w:rPr/>
        <w:t>名。</w:t>
      </w:r>
    </w:p>
    <w:p>
      <w:pPr>
        <w:pStyle w:val="BodyText"/>
        <w:spacing w:line="300" w:lineRule="auto" w:before="13"/>
        <w:ind w:right="0" w:firstLine="360"/>
        <w:jc w:val="left"/>
      </w:pPr>
      <w:r>
        <w:rPr/>
        <w:t>（</w:t>
      </w:r>
      <w:r>
        <w:rPr>
          <w:rFonts w:ascii="Times New Roman" w:hAnsi="Times New Roman" w:cs="Times New Roman" w:eastAsia="Times New Roman" w:hint="default"/>
        </w:rPr>
        <w:t>1</w:t>
      </w:r>
      <w:r>
        <w:rPr/>
        <w:t>）江敦忠：男，生于</w:t>
      </w:r>
      <w:r>
        <w:rPr>
          <w:rFonts w:ascii="Times New Roman" w:hAnsi="Times New Roman" w:cs="Times New Roman" w:eastAsia="Times New Roman" w:hint="default"/>
        </w:rPr>
        <w:t>1957</w:t>
      </w:r>
      <w:r>
        <w:rPr/>
        <w:t>年</w:t>
      </w:r>
      <w:r>
        <w:rPr>
          <w:rFonts w:ascii="Times New Roman" w:hAnsi="Times New Roman" w:cs="Times New Roman" w:eastAsia="Times New Roman" w:hint="default"/>
        </w:rPr>
        <w:t>3</w:t>
      </w:r>
      <w:r>
        <w:rPr/>
        <w:t>月，中国国籍，无永久境外居留权，高级工程师。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月起至今，任职于易联众信 </w:t>
      </w:r>
      <w:r>
        <w:rPr>
          <w:spacing w:val="-3"/>
        </w:rPr>
        <w:t>息技术股份有限公司。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月，任公司第二届监事会主席。</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月任公司第三届监事会主席。</w:t>
      </w:r>
      <w:r>
        <w:rPr>
          <w:spacing w:val="-75"/>
        </w:rPr>
        <w:t> </w:t>
      </w:r>
      <w:r>
        <w:rPr>
          <w:spacing w:val="-75"/>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月起至今任公司第四届监事会监事。</w:t>
      </w:r>
    </w:p>
    <w:p>
      <w:pPr>
        <w:pStyle w:val="BodyText"/>
        <w:spacing w:line="300" w:lineRule="auto" w:before="13"/>
        <w:ind w:right="1034" w:firstLine="360"/>
        <w:jc w:val="left"/>
      </w:pPr>
      <w:r>
        <w:rPr>
          <w:spacing w:val="-2"/>
        </w:rPr>
        <w:t>（</w:t>
      </w:r>
      <w:r>
        <w:rPr>
          <w:rFonts w:ascii="Times New Roman" w:hAnsi="Times New Roman" w:cs="Times New Roman" w:eastAsia="Times New Roman" w:hint="default"/>
          <w:spacing w:val="-2"/>
        </w:rPr>
        <w:t>2</w:t>
      </w:r>
      <w:r>
        <w:rPr>
          <w:spacing w:val="-2"/>
        </w:rPr>
        <w:t>）许丽美：女，生于</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12</w:t>
      </w:r>
      <w:r>
        <w:rPr>
          <w:spacing w:val="-2"/>
        </w:rPr>
        <w:t>月，中国台湾籍，硕士研究生学历，资深行销管理师、执业中医师。</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9</w:t>
      </w:r>
      <w:r>
        <w:rPr>
          <w:spacing w:val="-2"/>
        </w:rPr>
        <w:t>月，毕业</w:t>
      </w:r>
      <w:r>
        <w:rPr/>
        <w:t> 于英国</w:t>
      </w:r>
      <w:r>
        <w:rPr>
          <w:rFonts w:ascii="Times New Roman" w:hAnsi="Times New Roman" w:cs="Times New Roman" w:eastAsia="Times New Roman" w:hint="default"/>
        </w:rPr>
        <w:t>De</w:t>
      </w:r>
      <w:r>
        <w:rPr>
          <w:rFonts w:ascii="Times New Roman" w:hAnsi="Times New Roman" w:cs="Times New Roman" w:eastAsia="Times New Roman" w:hint="default"/>
          <w:spacing w:val="-2"/>
        </w:rPr>
        <w:t> </w:t>
      </w:r>
      <w:r>
        <w:rPr>
          <w:rFonts w:ascii="Times New Roman" w:hAnsi="Times New Roman" w:cs="Times New Roman" w:eastAsia="Times New Roman" w:hint="default"/>
        </w:rPr>
        <w:t>Montfort</w:t>
      </w:r>
      <w:r>
        <w:rPr/>
        <w:t>大学管理学院，获行销管理专业硕士学位；</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月毕业于厦门大学医学院中医内科学专业，获医学硕 士学位。</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10</w:t>
      </w:r>
      <w:r>
        <w:rPr/>
        <w:t>月，任（台湾）龙风冷冻食品公司企划部门行销主任；</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月，任（台湾） 英商</w:t>
      </w:r>
      <w:r>
        <w:rPr>
          <w:rFonts w:ascii="Times New Roman" w:hAnsi="Times New Roman" w:cs="Times New Roman" w:eastAsia="Times New Roman" w:hint="default"/>
        </w:rPr>
        <w:t>Boots International</w:t>
      </w:r>
      <w:r>
        <w:rPr>
          <w:rFonts w:ascii="Times New Roman" w:hAnsi="Times New Roman" w:cs="Times New Roman" w:eastAsia="Times New Roman" w:hint="default"/>
          <w:spacing w:val="-3"/>
        </w:rPr>
        <w:t> </w:t>
      </w:r>
      <w:r>
        <w:rPr>
          <w:rFonts w:ascii="Times New Roman" w:hAnsi="Times New Roman" w:cs="Times New Roman" w:eastAsia="Times New Roman" w:hint="default"/>
        </w:rPr>
        <w:t>Retail</w:t>
      </w:r>
      <w:r>
        <w:rPr/>
        <w:t>企划部门品类管理经理；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月任（中国）顶新集团公司（康师傅）企划部协 理；现任华医馆执业医师。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月任公司第三届监事会监事，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月起任公司第四届监事会监事。</w:t>
      </w:r>
    </w:p>
    <w:p>
      <w:pPr>
        <w:pStyle w:val="BodyText"/>
        <w:spacing w:line="309" w:lineRule="auto" w:before="13"/>
        <w:ind w:right="1034" w:firstLine="360"/>
        <w:jc w:val="left"/>
      </w:pPr>
      <w:r>
        <w:rPr/>
        <w:t>（</w:t>
      </w:r>
      <w:r>
        <w:rPr>
          <w:rFonts w:ascii="Times New Roman" w:hAnsi="Times New Roman" w:cs="Times New Roman" w:eastAsia="Times New Roman" w:hint="default"/>
        </w:rPr>
        <w:t>3</w:t>
      </w:r>
      <w:r>
        <w:rPr/>
        <w:t>）郭骁昌：男，生于</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12</w:t>
      </w:r>
      <w:r>
        <w:rPr/>
        <w:t>月，中国国籍，无永久境外居留权，高级工程师，大学本科学历。</w:t>
      </w:r>
      <w:r>
        <w:rPr>
          <w:rFonts w:ascii="Times New Roman" w:hAnsi="Times New Roman" w:cs="Times New Roman" w:eastAsia="Times New Roman" w:hint="default"/>
        </w:rPr>
        <w:t>2001</w:t>
      </w:r>
      <w:r>
        <w:rPr/>
        <w:t>年第二炮兵工 </w:t>
      </w:r>
      <w:r>
        <w:rPr>
          <w:spacing w:val="-2"/>
        </w:rPr>
        <w:t>程学院计算机软件专业毕业，获得学士学位。历任公司产品与市场发展部副总经理、福建易联众软件系统开发有限公司副总</w:t>
      </w:r>
      <w:r>
        <w:rPr>
          <w:spacing w:val="-63"/>
        </w:rPr>
        <w:t> </w:t>
      </w:r>
      <w:r>
        <w:rPr>
          <w:spacing w:val="-63"/>
        </w:rPr>
      </w:r>
      <w:r>
        <w:rPr/>
        <w:t>经理、公司软件研发中心副总经理等职务。现任公司医疗战略规划师、公司全资子公司易联众健康医疗控股有限公司董事、 </w:t>
      </w:r>
      <w:r>
        <w:rPr>
          <w:spacing w:val="-3"/>
        </w:rPr>
        <w:t>常务副总经理、保睿通（厦门）信息科技有限公司董事兼总经理。</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6</w:t>
      </w:r>
      <w:r>
        <w:rPr>
          <w:spacing w:val="-3"/>
        </w:rPr>
        <w:t>月至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月任公司第三届监事会职工代表监事；</w:t>
      </w:r>
      <w:r>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日起任公司第四届监事会职工代表监事。</w:t>
      </w:r>
    </w:p>
    <w:p>
      <w:pPr>
        <w:pStyle w:val="BodyText"/>
        <w:spacing w:line="300" w:lineRule="auto" w:before="5"/>
        <w:ind w:left="513" w:right="6433"/>
        <w:jc w:val="left"/>
      </w:pPr>
      <w:r>
        <w:rPr>
          <w:rFonts w:ascii="Times New Roman" w:hAnsi="Times New Roman" w:cs="Times New Roman" w:eastAsia="Times New Roman" w:hint="default"/>
        </w:rPr>
        <w:t>3</w:t>
      </w:r>
      <w:r>
        <w:rPr/>
        <w:t>、高级管理人员 公司高级管理人员均已经公司第四届董事会聘任。</w:t>
      </w:r>
    </w:p>
    <w:p>
      <w:pPr>
        <w:pStyle w:val="BodyText"/>
        <w:spacing w:line="300" w:lineRule="auto" w:before="31"/>
        <w:ind w:right="0" w:firstLine="360"/>
        <w:jc w:val="left"/>
      </w:pPr>
      <w:r>
        <w:rPr>
          <w:spacing w:val="-5"/>
        </w:rPr>
        <w:t>（</w:t>
      </w:r>
      <w:r>
        <w:rPr>
          <w:rFonts w:ascii="Times New Roman" w:hAnsi="Times New Roman" w:cs="Times New Roman" w:eastAsia="Times New Roman" w:hint="default"/>
          <w:spacing w:val="-5"/>
        </w:rPr>
        <w:t>1</w:t>
      </w:r>
      <w:r>
        <w:rPr>
          <w:spacing w:val="-5"/>
        </w:rPr>
        <w:t>）应亚珍：女，生于</w:t>
      </w:r>
      <w:r>
        <w:rPr>
          <w:rFonts w:ascii="Times New Roman" w:hAnsi="Times New Roman" w:cs="Times New Roman" w:eastAsia="Times New Roman" w:hint="default"/>
          <w:spacing w:val="-5"/>
        </w:rPr>
        <w:t>1965</w:t>
      </w:r>
      <w:r>
        <w:rPr>
          <w:spacing w:val="-5"/>
        </w:rPr>
        <w:t>年</w:t>
      </w:r>
      <w:r>
        <w:rPr>
          <w:rFonts w:ascii="Times New Roman" w:hAnsi="Times New Roman" w:cs="Times New Roman" w:eastAsia="Times New Roman" w:hint="default"/>
          <w:spacing w:val="-5"/>
        </w:rPr>
        <w:t>1</w:t>
      </w:r>
      <w:r>
        <w:rPr>
          <w:spacing w:val="-5"/>
        </w:rPr>
        <w:t>月，中国国籍，无永久境外居留权，经济学博士学位（专业方向财政理论与政策）。</w:t>
      </w:r>
      <w:r>
        <w:rPr>
          <w:rFonts w:ascii="Times New Roman" w:hAnsi="Times New Roman" w:cs="Times New Roman" w:eastAsia="Times New Roman" w:hint="default"/>
          <w:spacing w:val="-5"/>
        </w:rPr>
        <w:t>1985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7</w:t>
      </w:r>
      <w:r>
        <w:rPr/>
        <w:t>月，毕业于江西财经学院财政专业获学士学位；</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月在江西财经大学完成在职研究生学业；</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9 </w:t>
      </w:r>
      <w:r>
        <w:rPr>
          <w:spacing w:val="-2"/>
        </w:rPr>
        <w:t>月至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月，在财政部财政科学研究所攻读全日制博士；</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2016</w:t>
      </w:r>
      <w:r>
        <w:rPr>
          <w:spacing w:val="-2"/>
        </w:rPr>
        <w:t>年底，在卫生部卫生经济研究所（后更名为国</w:t>
      </w:r>
      <w:r>
        <w:rPr>
          <w:spacing w:val="-55"/>
        </w:rPr>
        <w:t> </w:t>
      </w:r>
      <w:r>
        <w:rPr>
          <w:spacing w:val="-55"/>
        </w:rPr>
      </w:r>
      <w:r>
        <w:rPr>
          <w:spacing w:val="-2"/>
        </w:rPr>
        <w:t>家卫生计生委卫生发展研究中心）工作期间，先后任卫生总费用研究室副主任、卫生财政与绩效研究室主任、单位纪委书记</w:t>
      </w:r>
    </w:p>
    <w:p>
      <w:pPr>
        <w:pStyle w:val="BodyText"/>
        <w:spacing w:line="307" w:lineRule="auto" w:before="31"/>
        <w:ind w:right="1131"/>
        <w:jc w:val="both"/>
      </w:pPr>
      <w:r>
        <w:rPr/>
        <w:t>（司局级）；</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月受聘研究员（正高级）专业技术职称，</w:t>
      </w:r>
      <w:r>
        <w:rPr>
          <w:rFonts w:ascii="Times New Roman" w:hAnsi="Times New Roman" w:cs="Times New Roman" w:eastAsia="Times New Roman" w:hint="default"/>
        </w:rPr>
        <w:t>2016</w:t>
      </w:r>
      <w:r>
        <w:rPr/>
        <w:t>年评定正高二级。另外，应亚珍女士现兼任中国卫生经 </w:t>
      </w:r>
      <w:r>
        <w:rPr>
          <w:spacing w:val="-2"/>
        </w:rPr>
        <w:t>济学会常务理事、卫生财会分会副会长、中国财政科学研究院特聘财政学硕导、国务院新农合专家（第一批至今）、国家卫</w:t>
      </w:r>
      <w:r>
        <w:rPr>
          <w:spacing w:val="-70"/>
        </w:rPr>
        <w:t> </w:t>
      </w:r>
      <w:r>
        <w:rPr>
          <w:spacing w:val="-70"/>
        </w:rPr>
      </w:r>
      <w:r>
        <w:rPr>
          <w:spacing w:val="-2"/>
        </w:rPr>
        <w:t>生计生委公共卫生政策专家、公立医院改革专家、乡村医生签约服务指导组专家、福建省医改领导小组特聘顾问、三明市医</w:t>
      </w:r>
      <w:r>
        <w:rPr>
          <w:spacing w:val="-65"/>
        </w:rPr>
        <w:t> </w:t>
      </w:r>
      <w:r>
        <w:rPr>
          <w:spacing w:val="-65"/>
        </w:rPr>
      </w:r>
      <w:r>
        <w:rPr>
          <w:spacing w:val="-2"/>
        </w:rPr>
        <w:t>改领导小组特聘顾问、</w:t>
      </w:r>
      <w:r>
        <w:rPr>
          <w:rFonts w:ascii="Times New Roman" w:hAnsi="Times New Roman" w:cs="Times New Roman" w:eastAsia="Times New Roman" w:hint="default"/>
          <w:spacing w:val="-2"/>
        </w:rPr>
        <w:t>“</w:t>
      </w:r>
      <w:r>
        <w:rPr>
          <w:spacing w:val="-2"/>
        </w:rPr>
        <w:t>沪苏浙皖闽</w:t>
      </w:r>
      <w:r>
        <w:rPr>
          <w:rFonts w:ascii="Times New Roman" w:hAnsi="Times New Roman" w:cs="Times New Roman" w:eastAsia="Times New Roman" w:hint="default"/>
          <w:spacing w:val="-2"/>
        </w:rPr>
        <w:t>”</w:t>
      </w:r>
      <w:r>
        <w:rPr>
          <w:spacing w:val="-2"/>
        </w:rPr>
        <w:t>四省一市综合医改联席会议专家、国医办指派湖南省综合医改固定联系专家、三明市医</w:t>
      </w:r>
      <w:r>
        <w:rPr>
          <w:spacing w:val="-45"/>
        </w:rPr>
        <w:t> </w:t>
      </w:r>
      <w:r>
        <w:rPr>
          <w:spacing w:val="-45"/>
        </w:rPr>
      </w:r>
      <w:r>
        <w:rPr>
          <w:spacing w:val="-2"/>
        </w:rPr>
        <w:t>改信息化研究会会长等。</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16</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月任公司第三届董事会董事，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月任公司第四届董事会</w:t>
      </w:r>
      <w:r>
        <w:rPr>
          <w:spacing w:val="-52"/>
        </w:rPr>
        <w:t> </w:t>
      </w:r>
      <w:r>
        <w:rPr>
          <w:spacing w:val="-52"/>
        </w:rPr>
      </w:r>
      <w:r>
        <w:rPr/>
        <w:t>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日至今任公司总经理。</w:t>
      </w:r>
    </w:p>
    <w:p>
      <w:pPr>
        <w:pStyle w:val="BodyText"/>
        <w:spacing w:line="240" w:lineRule="auto" w:before="7"/>
        <w:ind w:left="513" w:right="0"/>
        <w:jc w:val="left"/>
      </w:pPr>
      <w:r>
        <w:rPr/>
        <w:t>（</w:t>
      </w:r>
      <w:r>
        <w:rPr>
          <w:rFonts w:ascii="Times New Roman" w:hAnsi="Times New Roman" w:cs="Times New Roman" w:eastAsia="Times New Roman" w:hint="default"/>
        </w:rPr>
        <w:t>2</w:t>
      </w:r>
      <w:r>
        <w:rPr/>
        <w:t>）黄文灿：公司副总经理，简历详见本节</w:t>
      </w:r>
      <w:r>
        <w:rPr>
          <w:rFonts w:ascii="Times New Roman" w:hAnsi="Times New Roman" w:cs="Times New Roman" w:eastAsia="Times New Roman" w:hint="default"/>
        </w:rPr>
        <w:t>“</w:t>
      </w:r>
      <w:r>
        <w:rPr/>
        <w:t>三、</w:t>
      </w:r>
      <w:r>
        <w:rPr>
          <w:rFonts w:ascii="Times New Roman" w:hAnsi="Times New Roman" w:cs="Times New Roman" w:eastAsia="Times New Roman" w:hint="default"/>
        </w:rPr>
        <w:t>1</w:t>
      </w:r>
      <w:r>
        <w:rPr/>
        <w:t>、公司现任董事</w:t>
      </w:r>
      <w:r>
        <w:rPr>
          <w:rFonts w:ascii="Times New Roman" w:hAnsi="Times New Roman" w:cs="Times New Roman" w:eastAsia="Times New Roman" w:hint="default"/>
        </w:rPr>
        <w:t>”</w:t>
      </w:r>
      <w:r>
        <w:rPr/>
        <w:t>。</w:t>
      </w:r>
    </w:p>
    <w:p>
      <w:pPr>
        <w:pStyle w:val="BodyText"/>
        <w:spacing w:line="240" w:lineRule="auto" w:before="63"/>
        <w:ind w:left="513" w:right="0"/>
        <w:jc w:val="left"/>
      </w:pPr>
      <w:r>
        <w:rPr/>
        <w:t>（</w:t>
      </w:r>
      <w:r>
        <w:rPr>
          <w:rFonts w:ascii="Times New Roman" w:hAnsi="Times New Roman" w:cs="Times New Roman" w:eastAsia="Times New Roman" w:hint="default"/>
        </w:rPr>
        <w:t>3</w:t>
      </w:r>
      <w:r>
        <w:rPr/>
        <w:t>）吴一禹：公司副总经理，简历详见本节</w:t>
      </w:r>
      <w:r>
        <w:rPr>
          <w:rFonts w:ascii="Times New Roman" w:hAnsi="Times New Roman" w:cs="Times New Roman" w:eastAsia="Times New Roman" w:hint="default"/>
        </w:rPr>
        <w:t>“</w:t>
      </w:r>
      <w:r>
        <w:rPr/>
        <w:t>三、</w:t>
      </w:r>
      <w:r>
        <w:rPr>
          <w:rFonts w:ascii="Times New Roman" w:hAnsi="Times New Roman" w:cs="Times New Roman" w:eastAsia="Times New Roman" w:hint="default"/>
        </w:rPr>
        <w:t>1</w:t>
      </w:r>
      <w:r>
        <w:rPr/>
        <w:t>、公司现任董事</w:t>
      </w:r>
      <w:r>
        <w:rPr>
          <w:rFonts w:ascii="Times New Roman" w:hAnsi="Times New Roman" w:cs="Times New Roman" w:eastAsia="Times New Roman" w:hint="default"/>
        </w:rPr>
        <w:t>”</w:t>
      </w:r>
      <w:r>
        <w:rPr/>
        <w:t>。</w:t>
      </w:r>
    </w:p>
    <w:p>
      <w:pPr>
        <w:pStyle w:val="BodyText"/>
        <w:spacing w:line="240" w:lineRule="auto" w:before="63"/>
        <w:ind w:left="513" w:right="0"/>
        <w:jc w:val="left"/>
      </w:pPr>
      <w:r>
        <w:rPr/>
        <w:t>（</w:t>
      </w:r>
      <w:r>
        <w:rPr>
          <w:rFonts w:ascii="Times New Roman" w:hAnsi="Times New Roman" w:cs="Times New Roman" w:eastAsia="Times New Roman" w:hint="default"/>
        </w:rPr>
        <w:t>4</w:t>
      </w:r>
      <w:r>
        <w:rPr/>
        <w:t>）李虹海：公司副总经理、董事会秘书，简历详见本节</w:t>
      </w:r>
      <w:r>
        <w:rPr>
          <w:rFonts w:ascii="Times New Roman" w:hAnsi="Times New Roman" w:cs="Times New Roman" w:eastAsia="Times New Roman" w:hint="default"/>
        </w:rPr>
        <w:t>“</w:t>
      </w:r>
      <w:r>
        <w:rPr/>
        <w:t>三、</w:t>
      </w:r>
      <w:r>
        <w:rPr>
          <w:rFonts w:ascii="Times New Roman" w:hAnsi="Times New Roman" w:cs="Times New Roman" w:eastAsia="Times New Roman" w:hint="default"/>
        </w:rPr>
        <w:t>1</w:t>
      </w:r>
      <w:r>
        <w:rPr/>
        <w:t>、公司现任董事</w:t>
      </w:r>
      <w:r>
        <w:rPr>
          <w:rFonts w:ascii="Times New Roman" w:hAnsi="Times New Roman" w:cs="Times New Roman" w:eastAsia="Times New Roman" w:hint="default"/>
        </w:rPr>
        <w:t>”</w:t>
      </w:r>
      <w:r>
        <w:rPr/>
        <w:t>。</w:t>
      </w:r>
    </w:p>
    <w:p>
      <w:pPr>
        <w:pStyle w:val="BodyText"/>
        <w:spacing w:line="300" w:lineRule="auto" w:before="63"/>
        <w:ind w:right="1130" w:firstLine="360"/>
        <w:jc w:val="both"/>
      </w:pPr>
      <w:r>
        <w:rPr>
          <w:spacing w:val="-5"/>
        </w:rPr>
        <w:t>（</w:t>
      </w:r>
      <w:r>
        <w:rPr>
          <w:rFonts w:ascii="Times New Roman" w:hAnsi="Times New Roman" w:cs="Times New Roman" w:eastAsia="Times New Roman" w:hint="default"/>
          <w:spacing w:val="-5"/>
        </w:rPr>
        <w:t>5</w:t>
      </w:r>
      <w:r>
        <w:rPr>
          <w:spacing w:val="-5"/>
        </w:rPr>
        <w:t>）陈东红：男，生于</w:t>
      </w:r>
      <w:r>
        <w:rPr>
          <w:rFonts w:ascii="Times New Roman" w:hAnsi="Times New Roman" w:cs="Times New Roman" w:eastAsia="Times New Roman" w:hint="default"/>
          <w:spacing w:val="-5"/>
        </w:rPr>
        <w:t>1971</w:t>
      </w:r>
      <w:r>
        <w:rPr>
          <w:spacing w:val="-5"/>
        </w:rPr>
        <w:t>年</w:t>
      </w:r>
      <w:r>
        <w:rPr>
          <w:rFonts w:ascii="Times New Roman" w:hAnsi="Times New Roman" w:cs="Times New Roman" w:eastAsia="Times New Roman" w:hint="default"/>
          <w:spacing w:val="-5"/>
        </w:rPr>
        <w:t>3</w:t>
      </w:r>
      <w:r>
        <w:rPr>
          <w:spacing w:val="-5"/>
        </w:rPr>
        <w:t>月，中国国籍，厦门大学、厦门会计学院会计硕士专业研究生，无永久境外居留权。</w:t>
      </w:r>
      <w:r>
        <w:rPr>
          <w:rFonts w:ascii="Times New Roman" w:hAnsi="Times New Roman" w:cs="Times New Roman" w:eastAsia="Times New Roman" w:hint="default"/>
          <w:spacing w:val="-5"/>
        </w:rPr>
        <w:t>1990</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w:t>
      </w:r>
      <w:r>
        <w:rPr/>
        <w:t>月任厦门市审计局审计员，</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6</w:t>
      </w:r>
      <w:r>
        <w:rPr/>
        <w:t>月，任厦门夏信实业集团有限公司计财部副经理；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 </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月任厦门中威敬贤会计师事务所有限公司主任会计师。曾任本公司财务管理部总经理，现任公司财务总监。</w:t>
      </w:r>
    </w:p>
    <w:p>
      <w:pPr>
        <w:pStyle w:val="BodyText"/>
        <w:spacing w:line="309" w:lineRule="auto" w:before="13"/>
        <w:ind w:right="1131" w:firstLine="360"/>
        <w:jc w:val="both"/>
      </w:pPr>
      <w:r>
        <w:rPr>
          <w:spacing w:val="-2"/>
        </w:rPr>
        <w:t>（</w:t>
      </w:r>
      <w:r>
        <w:rPr>
          <w:rFonts w:ascii="Times New Roman" w:hAnsi="Times New Roman" w:cs="Times New Roman" w:eastAsia="Times New Roman" w:hint="default"/>
          <w:spacing w:val="-2"/>
        </w:rPr>
        <w:t>6</w:t>
      </w:r>
      <w:r>
        <w:rPr>
          <w:spacing w:val="-2"/>
        </w:rPr>
        <w:t>）陈江生，男，生于</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12</w:t>
      </w:r>
      <w:r>
        <w:rPr>
          <w:spacing w:val="-2"/>
        </w:rPr>
        <w:t>月，中国国籍，拥有加拿大永久境外居留权。</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7</w:t>
      </w:r>
      <w:r>
        <w:rPr>
          <w:spacing w:val="-2"/>
        </w:rPr>
        <w:t>月，毕业于福建化工学校化工仪</w:t>
      </w:r>
      <w:r>
        <w:rPr/>
        <w:t> </w:t>
      </w:r>
      <w:r>
        <w:rPr>
          <w:spacing w:val="-2"/>
        </w:rPr>
        <w:t>表专业，大专学历。历任厦门巨龙福州办事处工程师、三明市巨龙软件工程有限公司董事长、厦门实达巨龙信息技术有限公</w:t>
      </w:r>
      <w:r>
        <w:rPr>
          <w:spacing w:val="-64"/>
        </w:rPr>
        <w:t> </w:t>
      </w:r>
      <w:r>
        <w:rPr>
          <w:spacing w:val="-64"/>
        </w:rPr>
      </w:r>
      <w:r>
        <w:rPr/>
        <w:t>司、实达科技（福建）软件系统集团有限公司副总经理。现任公司副总经理。</w:t>
      </w:r>
    </w:p>
    <w:p>
      <w:pPr>
        <w:pStyle w:val="BodyText"/>
        <w:spacing w:line="309" w:lineRule="auto" w:before="24"/>
        <w:ind w:right="1129" w:firstLine="360"/>
        <w:jc w:val="both"/>
      </w:pPr>
      <w:r>
        <w:rPr>
          <w:spacing w:val="-2"/>
        </w:rPr>
        <w:t>（</w:t>
      </w:r>
      <w:r>
        <w:rPr>
          <w:rFonts w:ascii="Times New Roman" w:hAnsi="Times New Roman" w:cs="Times New Roman" w:eastAsia="Times New Roman" w:hint="default"/>
          <w:spacing w:val="-2"/>
        </w:rPr>
        <w:t>7</w:t>
      </w:r>
      <w:r>
        <w:rPr>
          <w:spacing w:val="-2"/>
        </w:rPr>
        <w:t>）施建安：男，生于</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1</w:t>
      </w:r>
      <w:r>
        <w:rPr>
          <w:spacing w:val="-2"/>
        </w:rPr>
        <w:t>月，中国国籍，无永久境外居留权，硕士学位，高级工程师。历任公司软件开发部门副</w:t>
      </w:r>
      <w:r>
        <w:rPr/>
        <w:t> </w:t>
      </w:r>
      <w:r>
        <w:rPr>
          <w:spacing w:val="-2"/>
        </w:rPr>
        <w:t>经理、经理，安徽子公司副总经理，福建子公司副总经理、董事长，集团研发中心总经理、支付事业部总经理。现任公司副</w:t>
      </w:r>
      <w:r>
        <w:rPr>
          <w:spacing w:val="-73"/>
        </w:rPr>
        <w:t> </w:t>
      </w:r>
      <w:r>
        <w:rPr>
          <w:spacing w:val="-73"/>
        </w:rPr>
      </w:r>
      <w:r>
        <w:rPr/>
        <w:t>总经理。</w:t>
      </w:r>
    </w:p>
    <w:p>
      <w:pPr>
        <w:spacing w:after="0" w:line="309"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9" w:lineRule="auto" w:before="44"/>
        <w:ind w:right="1131" w:firstLine="360"/>
        <w:jc w:val="both"/>
      </w:pPr>
      <w:r>
        <w:rPr/>
        <w:t>（</w:t>
      </w:r>
      <w:r>
        <w:rPr>
          <w:rFonts w:ascii="Times New Roman" w:hAnsi="Times New Roman" w:cs="Times New Roman" w:eastAsia="Times New Roman" w:hint="default"/>
        </w:rPr>
        <w:t>8</w:t>
      </w:r>
      <w:r>
        <w:rPr/>
        <w:t>）吴梁斌：男，生于</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9</w:t>
      </w:r>
      <w:r>
        <w:rPr/>
        <w:t>月，中国国籍，无永久境外居留权，硕士学历。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月，毕业于北京邮电大学工商 </w:t>
      </w:r>
      <w:r>
        <w:rPr>
          <w:spacing w:val="-2"/>
        </w:rPr>
        <w:t>管理硕士专业，获硕士学位、学历。历任北京利博赛社保信息技术有限公司项目经理、部门经理、技术总监，公司产品研发</w:t>
      </w:r>
      <w:r>
        <w:rPr>
          <w:spacing w:val="-66"/>
        </w:rPr>
        <w:t> </w:t>
      </w:r>
      <w:r>
        <w:rPr>
          <w:spacing w:val="-66"/>
        </w:rPr>
      </w:r>
      <w:r>
        <w:rPr/>
        <w:t>管理部副总经理等职务，现任公司副总经理。</w:t>
      </w:r>
    </w:p>
    <w:p>
      <w:pPr>
        <w:pStyle w:val="BodyText"/>
        <w:spacing w:line="300" w:lineRule="auto" w:before="24"/>
        <w:ind w:right="1034" w:firstLine="360"/>
        <w:jc w:val="left"/>
      </w:pPr>
      <w:r>
        <w:rPr/>
        <w:t>（</w:t>
      </w:r>
      <w:r>
        <w:rPr>
          <w:rFonts w:ascii="Times New Roman" w:hAnsi="Times New Roman" w:cs="Times New Roman" w:eastAsia="Times New Roman" w:hint="default"/>
        </w:rPr>
        <w:t>9</w:t>
      </w:r>
      <w:r>
        <w:rPr/>
        <w:t>）游海涛：男，生于</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3</w:t>
      </w:r>
      <w:r>
        <w:rPr/>
        <w:t>月，中国国籍，无永久境外居留权，工程师。</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1997</w:t>
      </w:r>
      <w:r>
        <w:rPr/>
        <w:t>年，在浙江理工大学就读， </w:t>
      </w:r>
      <w:r>
        <w:rPr>
          <w:spacing w:val="-3"/>
        </w:rPr>
        <w:t>获学士学位。</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7</w:t>
      </w:r>
      <w:r>
        <w:rPr>
          <w:spacing w:val="-3"/>
        </w:rPr>
        <w:t>月，任职于厦门巨龙软件工程有限公司；</w:t>
      </w: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3</w:t>
      </w:r>
      <w:r>
        <w:rPr>
          <w:spacing w:val="-3"/>
        </w:rPr>
        <w:t>月，任职于实达科技（福建）</w:t>
      </w:r>
      <w:r>
        <w:rPr>
          <w:spacing w:val="-75"/>
        </w:rPr>
        <w:t> </w:t>
      </w:r>
      <w:r>
        <w:rPr>
          <w:spacing w:val="-75"/>
        </w:rPr>
      </w:r>
      <w:r>
        <w:rPr/>
        <w:t>软件系统有限公司；</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月，任实达科技（福建）软件系统集团有限公司总工程师；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月，任公司产品与市场发展部总经理；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月，任公司民生信息服务中心总经理；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 任易联众健康医疗控股有限公司董事长。现任公司副总经理。</w:t>
      </w:r>
    </w:p>
    <w:p>
      <w:pPr>
        <w:pStyle w:val="BodyText"/>
        <w:spacing w:line="240" w:lineRule="auto" w:before="72"/>
        <w:ind w:right="0"/>
        <w:jc w:val="left"/>
      </w:pPr>
      <w:r>
        <w:rPr/>
        <w:t>在股东单位任职情况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0"/>
        <w:gridCol w:w="1066"/>
        <w:gridCol w:w="1195"/>
        <w:gridCol w:w="1330"/>
        <w:gridCol w:w="1589"/>
      </w:tblGrid>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微医集团（浙江）有限公司</w:t>
            </w:r>
          </w:p>
        </w:tc>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4" w:right="130"/>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微医集团（浙江）有限公司</w:t>
            </w:r>
          </w:p>
        </w:tc>
        <w:tc>
          <w:tcPr>
            <w:tcW w:w="10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首席产品官、 高级副总裁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pict>
          <v:group style="position:absolute;margin-left:329.709991pt;margin-top:-35.778286pt;width:59.3pt;height:35.2pt;mso-position-horizontal-relative:page;mso-position-vertical-relative:paragraph;z-index:-1131928" coordorigin="6594,-716" coordsize="1186,704">
            <v:group style="position:absolute;left:6594;top:-716;width:1186;height:704" coordorigin="6594,-716" coordsize="1186,704">
              <v:shape style="position:absolute;left:6594;top:-716;width:1186;height:704" coordorigin="6594,-716" coordsize="1186,704" path="m6594,-12l7780,-12,7780,-716,6594,-716,6594,-12xe" filled="true" fillcolor="#ffffff" stroked="false">
                <v:path arrowok="t"/>
                <v:fill type="solid"/>
              </v:shape>
            </v:group>
            <v:group style="position:absolute;left:6618;top:-716;width:1140;height:353" coordorigin="6618,-716" coordsize="1140,353">
              <v:shape style="position:absolute;left:6618;top:-716;width:1140;height:353" coordorigin="6618,-716" coordsize="1140,353" path="m6618,-363l7758,-363,7758,-716,6618,-716,6618,-363xe" filled="true" fillcolor="#ffffff" stroked="false">
                <v:path arrowok="t"/>
                <v:fill type="solid"/>
              </v:shape>
            </v:group>
            <v:group style="position:absolute;left:6618;top:-363;width:1140;height:351" coordorigin="6618,-363" coordsize="1140,351">
              <v:shape style="position:absolute;left:6618;top:-363;width:1140;height:351" coordorigin="6618,-363" coordsize="1140,351" path="m6618,-12l7758,-12,7758,-363,6618,-363,6618,-12xe" filled="true" fillcolor="#ffffff" stroked="false">
                <v:path arrowok="t"/>
                <v:fill type="solid"/>
              </v:shape>
            </v:group>
            <w10:wrap type="none"/>
          </v:group>
        </w:pict>
      </w: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08"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20"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北京京发置业有限公司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北京喜盟资产管理有限公司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辉通投资有限公司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骏豪地产（香港）有限公司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骏杰置业（香港）有限公司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拉萨经济技术开发区瑞永康成财富投资 基金管理有限公司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香港骏豪金融控股集团有限公司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香港骏华控股集团有限公司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中职动力（北京）科技有限公司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北京应通科技有限公司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36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厦门市凤凰花季基金管理有限公司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侨丰控股有限公司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厦门丹鹭房地产开发有限公司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中奥文化投资有限公司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名卫投资有限公司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贷微赢（大连）小额再贷款股份有限公 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共信联盟（北京）资产管理有限公司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重庆潮歌商贸有限公司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广东易联众民生信息技术有限公司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福建易联众医卫信息技术有限公司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6" w:right="48"/>
              <w:jc w:val="left"/>
              <w:rPr>
                <w:rFonts w:ascii="宋体" w:hAnsi="宋体" w:cs="宋体" w:eastAsia="宋体" w:hint="default"/>
                <w:sz w:val="18"/>
                <w:szCs w:val="18"/>
              </w:rPr>
            </w:pPr>
            <w:r>
              <w:rPr>
                <w:rFonts w:ascii="宋体" w:hAnsi="宋体" w:cs="宋体" w:eastAsia="宋体" w:hint="default"/>
                <w:sz w:val="18"/>
                <w:szCs w:val="18"/>
              </w:rPr>
              <w:t>微医控股有限公司（</w:t>
            </w:r>
            <w:r>
              <w:rPr>
                <w:rFonts w:ascii="Times New Roman" w:hAnsi="Times New Roman" w:cs="Times New Roman" w:eastAsia="Times New Roman" w:hint="default"/>
                <w:sz w:val="18"/>
                <w:szCs w:val="18"/>
              </w:rPr>
              <w:t>We Doctor</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pacing w:val="-9"/>
                <w:sz w:val="18"/>
              </w:rPr>
              <w:t>We </w:t>
            </w:r>
            <w:r>
              <w:rPr>
                <w:rFonts w:ascii="Times New Roman"/>
                <w:sz w:val="18"/>
              </w:rPr>
              <w:t>Doctor (HK)</w:t>
            </w:r>
            <w:r>
              <w:rPr>
                <w:rFonts w:ascii="Times New Roman"/>
                <w:spacing w:val="2"/>
                <w:sz w:val="18"/>
              </w:rPr>
              <w:t> </w:t>
            </w:r>
            <w:r>
              <w:rPr>
                <w:rFonts w:ascii="Times New Roman"/>
                <w:sz w:val="18"/>
              </w:rPr>
              <w:t>Limited</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4"/>
              <w:ind w:left="26" w:right="433"/>
              <w:jc w:val="left"/>
              <w:rPr>
                <w:rFonts w:ascii="Times New Roman" w:hAnsi="Times New Roman" w:cs="Times New Roman" w:eastAsia="Times New Roman" w:hint="default"/>
                <w:sz w:val="18"/>
                <w:szCs w:val="18"/>
              </w:rPr>
            </w:pPr>
            <w:r>
              <w:rPr>
                <w:rFonts w:ascii="Times New Roman"/>
                <w:spacing w:val="-9"/>
                <w:sz w:val="18"/>
              </w:rPr>
              <w:t>We </w:t>
            </w:r>
            <w:r>
              <w:rPr>
                <w:rFonts w:ascii="Times New Roman"/>
                <w:sz w:val="18"/>
              </w:rPr>
              <w:t>Doctor Greater Bay Area</w:t>
            </w:r>
            <w:r>
              <w:rPr>
                <w:rFonts w:ascii="Times New Roman"/>
                <w:spacing w:val="-5"/>
                <w:sz w:val="18"/>
              </w:rPr>
              <w:t> </w:t>
            </w:r>
            <w:r>
              <w:rPr>
                <w:rFonts w:ascii="Times New Roman"/>
                <w:sz w:val="18"/>
              </w:rPr>
              <w:t>Holding</w:t>
            </w:r>
            <w:r>
              <w:rPr>
                <w:rFonts w:ascii="Times New Roman"/>
                <w:sz w:val="18"/>
              </w:rPr>
              <w:t> Limited</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挂号网（杭州）科技</w:t>
            </w:r>
            <w:r>
              <w:rPr>
                <w:rFonts w:ascii="宋体" w:hAnsi="宋体" w:cs="宋体" w:eastAsia="宋体" w:hint="default"/>
                <w:spacing w:val="1"/>
                <w:sz w:val="18"/>
                <w:szCs w:val="18"/>
              </w:rPr>
              <w:t> </w:t>
            </w:r>
            <w:r>
              <w:rPr>
                <w:rFonts w:ascii="宋体" w:hAnsi="宋体" w:cs="宋体" w:eastAsia="宋体" w:hint="default"/>
                <w:sz w:val="18"/>
                <w:szCs w:val="18"/>
              </w:rPr>
              <w:t>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杭州广发科技有限公司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微医投资（杭州）有限公司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微医（杭州）集团有限公司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厦门海西医药交易中心有限公司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微医云（杭州）控股有限公司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乌镇互联网医院（桐乡）有限公司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红杉树视讯（北京）信息技术有限公司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经理、执行董</w:t>
            </w:r>
            <w:r>
              <w:rPr>
                <w:rFonts w:ascii="宋体" w:hAnsi="宋体" w:cs="宋体" w:eastAsia="宋体" w:hint="default"/>
                <w:sz w:val="18"/>
                <w:szCs w:val="18"/>
              </w:rPr>
              <w:t> 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杭州信云康科技有限公司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三医联科技有限公司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福州金界商务信息咨询有限公司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福州博维斯照明设计有限公司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福建构筑空间设计顾问有限公司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福州福大节能科技有限公司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福建骏豪光文化发展有限公司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福建科锐光电科技有限责任公司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福建易联众基因检测分析技术有限公司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三明易联众信息技术有限公司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福建易联众医卫信息技术有限公司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广州易联众睿图信息技术有限公司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保睿通（厦门）信息科技有限公司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吉林易联众信息技术有限公司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厦门易联众长青科技有限公司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福建易联众易达迅教育科技有限公司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6" w:right="94"/>
              <w:jc w:val="left"/>
              <w:rPr>
                <w:rFonts w:ascii="宋体" w:hAnsi="宋体" w:cs="宋体" w:eastAsia="宋体" w:hint="default"/>
                <w:sz w:val="18"/>
                <w:szCs w:val="18"/>
              </w:rPr>
            </w:pPr>
            <w:r>
              <w:rPr>
                <w:rFonts w:ascii="宋体" w:hAnsi="宋体" w:cs="宋体" w:eastAsia="宋体" w:hint="default"/>
                <w:sz w:val="18"/>
                <w:szCs w:val="18"/>
              </w:rPr>
              <w:t>易联众通达易（厦门）信息科技有限公 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易联众（福建）医疗器械有限公司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北京易联众智康科技有限公司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广东易联众民生信息技术有限公司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湖南易联众鑫卫信息科技有限公司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吉林易联旭信息技术有限公司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中国泛海控股集团有限公司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泛海控股股份有限公司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3" w:right="129"/>
              <w:jc w:val="left"/>
              <w:rPr>
                <w:rFonts w:ascii="宋体" w:hAnsi="宋体" w:cs="宋体" w:eastAsia="宋体" w:hint="default"/>
                <w:sz w:val="18"/>
                <w:szCs w:val="18"/>
              </w:rPr>
            </w:pPr>
            <w:r>
              <w:rPr>
                <w:rFonts w:ascii="宋体" w:hAnsi="宋体" w:cs="宋体" w:eastAsia="宋体" w:hint="default"/>
                <w:sz w:val="18"/>
                <w:szCs w:val="18"/>
              </w:rPr>
              <w:t>泛海研究院 院长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福建纳川管材科技股份有限公司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海洋石油工程股份有限公司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云南白药集团股份有限公司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北京首都开发股份有限公司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中泰证券（上海）资产管理有限公司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龙洲集团股份有限公司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民生证券股份有限公司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首席经济学 家</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广东华兴银行股份有限公司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129"/>
              <w:jc w:val="left"/>
              <w:rPr>
                <w:rFonts w:ascii="宋体" w:hAnsi="宋体" w:cs="宋体" w:eastAsia="宋体" w:hint="default"/>
                <w:sz w:val="18"/>
                <w:szCs w:val="18"/>
              </w:rPr>
            </w:pPr>
            <w:r>
              <w:rPr>
                <w:rFonts w:ascii="宋体" w:hAnsi="宋体" w:cs="宋体" w:eastAsia="宋体" w:hint="default"/>
                <w:sz w:val="18"/>
                <w:szCs w:val="18"/>
              </w:rPr>
              <w:t>首席经济学 家</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金砖（厦门）股权投资基金有限公司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福建省平潭金砖智库投资咨询有限公司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泛海控股股份有限公司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职工代表监 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阳光资产管理股份有限公司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首席战略官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詹亦文</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北京市国源律师事务所</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合伙人、律师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詹亦文</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内蒙古伊利实业集团股份有限公司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福建润金律师事务所</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律师、主任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厦门合兴包装印刷股份有限公司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舒华体育股份有限公司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福建省闽华电源股份有限公司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厦门国家会计学院</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讲师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天马微电子股份有限公司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山鹰国际控股股份公司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量子高科（中国）生物股份有限公司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何锐</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福建天衡联合律师事务所</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亿启（杭州）网络科技有限公司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杭州百替生物技术有限公司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武汉易康云软件技术有限公司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浙江东冠电气科技有限公司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杭州约动体育发展有限公司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福建易联众医卫信息技术有限公司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福建易联众医卫信息技术有限公司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厦门易联众长青科技有限公司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许丽美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华医馆</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执业医师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广州易联众睿图信息技术有限公司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广州桔叶信息科技有限公司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保睿通（厦门）信息科技有限公司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中国卫生经济学会</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中国卫生经济学会卫生财会分会</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福建省医改领导小组</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特聘顾问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三明市医改领导小组</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特聘顾问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三明市医改信息化研究会</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易家健康管理有限公司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保睿通（厦门）信息科技有限公司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广东易联众民生信息技术有限公司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福建易联众医卫信息技术有限公司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广州易联众睿图信息技术有限公司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保睿通（厦门）信息科技有限公司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山西无感付科技有限公司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福建易联众易达迅教育科技有限公司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安徽易惠天下软件科技有限公司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易联众（厦门）人力资源服务有限公司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海南易联众信息技术有限公司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山西易联众民生科技有限公司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保睿通（厦门）信息科技有限公司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安徽易联众民生科技有限公司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北京易联众民生科技有限公司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2"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2"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2"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2"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3"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2"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董事长、经理</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三明易联众信息技术有限公司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2"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2"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易联众（厦门）医生集团有限公司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上海润达医院管理投资有限公司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2"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2"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保睿通（厦门）信息科技有限公司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20" w:hRule="exact"/>
        </w:trPr>
        <w:tc>
          <w:tcPr>
            <w:tcW w:w="12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易联众通达易（厦门）信息科技有限公 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56" w:hRule="exact"/>
        </w:trPr>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6"/>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1" w:hRule="exact"/>
        </w:trPr>
        <w:tc>
          <w:tcPr>
            <w:tcW w:w="1200" w:type="dxa"/>
            <w:vMerge/>
            <w:tcBorders>
              <w:left w:val="single" w:sz="4" w:space="0" w:color="000000"/>
              <w:right w:val="single" w:sz="4" w:space="0" w:color="000000"/>
            </w:tcBorders>
            <w:shd w:val="clear" w:color="auto" w:fill="D2D2D2"/>
          </w:tcPr>
          <w:p>
            <w:pPr/>
          </w:p>
        </w:tc>
        <w:tc>
          <w:tcPr>
            <w:tcW w:w="8370" w:type="dxa"/>
            <w:gridSpan w:val="5"/>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8370" w:type="dxa"/>
            <w:gridSpan w:val="5"/>
            <w:tcBorders>
              <w:top w:val="nil" w:sz="6" w:space="0" w:color="auto"/>
              <w:left w:val="single" w:sz="4" w:space="0" w:color="000000"/>
              <w:bottom w:val="single" w:sz="4" w:space="0" w:color="000000"/>
              <w:right w:val="single" w:sz="4" w:space="0" w:color="000000"/>
            </w:tcBorders>
            <w:shd w:val="clear" w:color="auto" w:fill="CCE8CF"/>
          </w:tcPr>
          <w:p>
            <w:pP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340" w:lineRule="auto" w:before="115"/>
        <w:ind w:left="498" w:right="1034" w:hanging="3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3"/>
        </w:rPr>
        <w:t>公司原第三届董事会独立董事唐予华先生原担任福建众和股份有限公司（以下简称</w:t>
      </w:r>
      <w:r>
        <w:rPr>
          <w:rFonts w:ascii="Times New Roman" w:hAnsi="Times New Roman" w:cs="Times New Roman" w:eastAsia="Times New Roman" w:hint="default"/>
          <w:spacing w:val="-3"/>
        </w:rPr>
        <w:t>“</w:t>
      </w:r>
      <w:r>
        <w:rPr>
          <w:spacing w:val="-3"/>
        </w:rPr>
        <w:t>众和股份</w:t>
      </w:r>
      <w:r>
        <w:rPr>
          <w:rFonts w:ascii="Times New Roman" w:hAnsi="Times New Roman" w:cs="Times New Roman" w:eastAsia="Times New Roman" w:hint="default"/>
          <w:spacing w:val="-3"/>
        </w:rPr>
        <w:t>”</w:t>
      </w:r>
      <w:r>
        <w:rPr>
          <w:spacing w:val="-3"/>
        </w:rPr>
        <w:t>）第五届董事会独立董事。</w:t>
      </w:r>
    </w:p>
    <w:p>
      <w:pPr>
        <w:pStyle w:val="BodyText"/>
        <w:spacing w:line="228" w:lineRule="exact"/>
        <w:ind w:right="0"/>
        <w:jc w:val="left"/>
      </w:pPr>
      <w:r>
        <w:rPr/>
        <w:t>因涉嫌信息披露违法违规，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日众和股份收到中国证券监督管理委员会福建监管局下发的《行政处罚决定书》</w:t>
      </w:r>
    </w:p>
    <w:p>
      <w:pPr>
        <w:pStyle w:val="BodyText"/>
        <w:spacing w:line="300" w:lineRule="auto" w:before="63"/>
        <w:ind w:right="1124"/>
        <w:jc w:val="left"/>
      </w:pPr>
      <w:r>
        <w:rPr/>
        <w:t>【（</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w:t>
      </w:r>
      <w:r>
        <w:rPr/>
        <w:t>号】，《行政处罚决定书》中对众和股份和时任众和股份董事、监事、高管等相关人员分别予以责令整改、警 告及罚款等处罚，其中唐予华先生被予以警告并处以</w:t>
      </w:r>
      <w:r>
        <w:rPr>
          <w:rFonts w:ascii="Times New Roman" w:hAnsi="Times New Roman" w:cs="Times New Roman" w:eastAsia="Times New Roman" w:hint="default"/>
        </w:rPr>
        <w:t>4</w:t>
      </w:r>
      <w:r>
        <w:rPr/>
        <w:t>万元罚款。</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16" w:lineRule="auto" w:before="115"/>
        <w:ind w:left="513" w:right="0"/>
        <w:jc w:val="left"/>
      </w:pPr>
      <w:r>
        <w:rPr/>
        <w:t>（一）董事、监事、高级管理人员报酬的决策程序 </w:t>
      </w:r>
      <w:r>
        <w:rPr>
          <w:spacing w:val="-2"/>
        </w:rPr>
        <w:t>公司董事、监事报酬由股东大会决定，高级管理人员报酬由董事会决定。在公司担任职务的董事、监事、高级管理人员</w:t>
      </w:r>
    </w:p>
    <w:p>
      <w:pPr>
        <w:pStyle w:val="BodyText"/>
        <w:spacing w:line="316" w:lineRule="auto" w:before="19"/>
        <w:ind w:right="0"/>
        <w:jc w:val="left"/>
      </w:pPr>
      <w:r>
        <w:rPr>
          <w:spacing w:val="-2"/>
        </w:rPr>
        <w:t>报酬由公司支付，在公司担任职务的董事、监事不另外支付津贴。独立董事、外部董事、外部监事津贴依据股东大会决议支</w:t>
      </w:r>
      <w:r>
        <w:rPr>
          <w:spacing w:val="-65"/>
        </w:rPr>
        <w:t> </w:t>
      </w:r>
      <w:r>
        <w:rPr>
          <w:spacing w:val="-65"/>
        </w:rPr>
      </w:r>
      <w:r>
        <w:rPr/>
        <w:t>付，独立董事、外部董事、外部监事会务费据实报销。</w:t>
      </w:r>
    </w:p>
    <w:p>
      <w:pPr>
        <w:pStyle w:val="BodyText"/>
        <w:spacing w:line="316" w:lineRule="auto" w:before="19"/>
        <w:ind w:left="513" w:right="0"/>
        <w:jc w:val="left"/>
      </w:pPr>
      <w:r>
        <w:rPr/>
        <w:t>（二）董事、监事、高级管理人员报酬的确定依据 </w:t>
      </w:r>
      <w:r>
        <w:rPr>
          <w:spacing w:val="-2"/>
        </w:rPr>
        <w:t>参与公司经营的董事、高级管理人员年薪总收入由基本薪酬和考核薪酬组成。独立董事、外部董事、外部监事津贴依据</w:t>
      </w:r>
    </w:p>
    <w:p>
      <w:pPr>
        <w:spacing w:after="0" w:line="316"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8" w:footer="974" w:top="1060" w:bottom="1160" w:left="980" w:right="0"/>
        </w:sectPr>
      </w:pPr>
    </w:p>
    <w:p>
      <w:pPr>
        <w:pStyle w:val="BodyText"/>
        <w:spacing w:line="240" w:lineRule="auto" w:before="44"/>
        <w:ind w:right="-15"/>
        <w:jc w:val="left"/>
      </w:pPr>
      <w:r>
        <w:rPr/>
        <w:t>市场水平并按照责、权、利一致的原则确定。</w:t>
      </w:r>
    </w:p>
    <w:p>
      <w:pPr>
        <w:pStyle w:val="BodyText"/>
        <w:spacing w:line="316" w:lineRule="auto" w:before="76"/>
        <w:ind w:left="513" w:right="-15"/>
        <w:jc w:val="left"/>
      </w:pPr>
      <w:r>
        <w:rPr/>
        <w:t>（三）董事、监事、高级管理人员报酬的实际支付情况 公司</w:t>
      </w:r>
      <w:r>
        <w:rPr>
          <w:rFonts w:ascii="Times New Roman" w:hAnsi="Times New Roman" w:cs="Times New Roman" w:eastAsia="Times New Roman" w:hint="default"/>
        </w:rPr>
        <w:t>2018</w:t>
      </w:r>
      <w:r>
        <w:rPr/>
        <w:t>年度全体董事、监事、高级管理人员实际支付报酬</w:t>
      </w:r>
      <w:r>
        <w:rPr>
          <w:rFonts w:ascii="Times New Roman" w:hAnsi="Times New Roman" w:cs="Times New Roman" w:eastAsia="Times New Roman" w:hint="default"/>
        </w:rPr>
        <w:t>916.65</w:t>
      </w:r>
      <w:r>
        <w:rPr/>
        <w:t>万元。</w:t>
      </w:r>
    </w:p>
    <w:p>
      <w:pPr>
        <w:pStyle w:val="BodyText"/>
        <w:spacing w:line="240" w:lineRule="auto" w:before="40"/>
        <w:ind w:right="-15"/>
        <w:jc w:val="left"/>
      </w:pPr>
      <w:r>
        <w:rPr/>
        <w:t>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pict>
          <v:shape style="position:absolute;margin-left:151.703003pt;margin-top:73.397720pt;width:109.95pt;height:35.2pt;mso-position-horizontal-relative:page;mso-position-vertical-relative:paragraph;z-index:-1131904" type="#_x0000_t202" filled="false" stroked="false">
            <v:textbox inset="0,0,0,0">
              <w:txbxContent>
                <w:p>
                  <w:pPr>
                    <w:pStyle w:val="BodyText"/>
                    <w:spacing w:line="240" w:lineRule="auto" w:before="51"/>
                    <w:ind w:left="0" w:right="0"/>
                    <w:jc w:val="left"/>
                  </w:pPr>
                  <w:r>
                    <w:rPr/>
                    <w:t>副董事长、</w:t>
                  </w:r>
                </w:p>
              </w:txbxContent>
            </v:textbox>
            <w10:wrap type="none"/>
          </v:shape>
        </w:pict>
      </w:r>
      <w:r>
        <w:rPr/>
        <w:pict>
          <v:group style="position:absolute;margin-left:193.850006pt;margin-top:73.397720pt;width:67.8pt;height:35.2pt;mso-position-horizontal-relative:page;mso-position-vertical-relative:paragraph;z-index:-1131856" coordorigin="3877,1468" coordsize="1356,704">
            <v:group style="position:absolute;left:3877;top:1468;width:1356;height:704" coordorigin="3877,1468" coordsize="1356,704">
              <v:shape style="position:absolute;left:3877;top:1468;width:1356;height:704" coordorigin="3877,1468" coordsize="1356,704" path="m3877,2172l5233,2172,5233,1468,3877,1468,3877,2172xe" filled="true" fillcolor="#ffffff" stroked="false">
                <v:path arrowok="t"/>
                <v:fill type="solid"/>
              </v:shape>
            </v:group>
            <v:group style="position:absolute;left:3899;top:1624;width:1311;height:392" coordorigin="3899,1624" coordsize="1311,392">
              <v:shape style="position:absolute;left:3899;top:1624;width:1311;height:392" coordorigin="3899,1624" coordsize="1311,392" path="m3899,2015l5209,2015,5209,1624,3899,1624,3899,2015xe" filled="true" fillcolor="#ffffff" stroked="false">
                <v:path arrowok="t"/>
                <v:fill type="solid"/>
              </v:shape>
            </v:group>
            <w10:wrap type="none"/>
          </v:group>
        </w:pict>
      </w:r>
      <w:r>
        <w:rPr/>
        <w:t>单位：万元</w:t>
      </w:r>
    </w:p>
    <w:p>
      <w:pPr>
        <w:spacing w:after="0" w:line="240" w:lineRule="auto"/>
        <w:jc w:val="left"/>
        <w:sectPr>
          <w:type w:val="continuous"/>
          <w:pgSz w:w="11910" w:h="16840"/>
          <w:pgMar w:top="1060" w:bottom="1160" w:left="980" w:right="0"/>
          <w:cols w:num="2" w:equalWidth="0">
            <w:col w:w="6234" w:space="2506"/>
            <w:col w:w="2190"/>
          </w:cols>
        </w:sectPr>
      </w:pPr>
    </w:p>
    <w:p>
      <w:pPr>
        <w:spacing w:line="240" w:lineRule="auto" w:before="2"/>
        <w:rPr>
          <w:rFonts w:ascii="宋体" w:hAnsi="宋体" w:cs="宋体" w:eastAsia="宋体" w:hint="default"/>
          <w:sz w:val="8"/>
          <w:szCs w:val="8"/>
        </w:rPr>
      </w:pPr>
      <w:r>
        <w:rPr/>
        <w:pict>
          <v:shape style="position:absolute;margin-left:151.703003pt;margin-top:388.725983pt;width:109.95pt;height:35.2pt;mso-position-horizontal-relative:page;mso-position-vertical-relative:page;z-index:-1131880" type="#_x0000_t202" filled="false" stroked="false">
            <v:textbox inset="0,0,0,0">
              <w:txbxContent>
                <w:p>
                  <w:pPr>
                    <w:pStyle w:val="BodyText"/>
                    <w:spacing w:line="240" w:lineRule="auto" w:before="51"/>
                    <w:ind w:left="0" w:right="0"/>
                    <w:jc w:val="left"/>
                  </w:pPr>
                  <w:r>
                    <w:rPr/>
                    <w:t>副总经理、</w:t>
                  </w:r>
                </w:p>
              </w:txbxContent>
            </v:textbox>
            <w10:wrap type="none"/>
          </v:shape>
        </w:pict>
      </w:r>
      <w:r>
        <w:rPr/>
        <w:pict>
          <v:group style="position:absolute;margin-left:193.850006pt;margin-top:388.725983pt;width:67.8pt;height:35.2pt;mso-position-horizontal-relative:page;mso-position-vertical-relative:page;z-index:-1131832" coordorigin="3877,7775" coordsize="1356,704">
            <v:group style="position:absolute;left:3877;top:7775;width:1356;height:704" coordorigin="3877,7775" coordsize="1356,704">
              <v:shape style="position:absolute;left:3877;top:7775;width:1356;height:704" coordorigin="3877,7775" coordsize="1356,704" path="m3877,8478l5233,8478,5233,7775,3877,7775,3877,8478xe" filled="true" fillcolor="#ffffff" stroked="false">
                <v:path arrowok="t"/>
                <v:fill type="solid"/>
              </v:shape>
            </v:group>
            <v:group style="position:absolute;left:3899;top:7931;width:1311;height:392" coordorigin="3899,7931" coordsize="1311,392">
              <v:shape style="position:absolute;left:3899;top:7931;width:1311;height:392" coordorigin="3899,7931" coordsize="1311,392" path="m3899,8322l5209,8322,5209,7931,3899,7931,3899,832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610"/>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77.07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詹亦文</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何锐</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6" w:right="430"/>
              <w:jc w:val="left"/>
              <w:rPr>
                <w:rFonts w:ascii="宋体" w:hAnsi="宋体" w:cs="宋体" w:eastAsia="宋体" w:hint="default"/>
                <w:sz w:val="18"/>
                <w:szCs w:val="18"/>
              </w:rPr>
            </w:pPr>
            <w:r>
              <w:rPr>
                <w:rFonts w:ascii="宋体" w:hAnsi="宋体" w:cs="宋体" w:eastAsia="宋体" w:hint="default"/>
                <w:sz w:val="18"/>
                <w:szCs w:val="18"/>
              </w:rPr>
              <w:t>董事、 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许丽美</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92.59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72.61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孙中海</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61.59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唐予华</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916.65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1,864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2,103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2,103</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151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1,245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217</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2,103</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44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1,363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2,103</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288"/>
        <w:jc w:val="both"/>
      </w:pPr>
      <w:r>
        <w:rPr>
          <w:spacing w:val="-1"/>
        </w:rPr>
        <w:t>公司严格按照《中华人民共和国劳动合同法》和有关劳动法律法规的规定，向员工提供稳定而有竞争力的薪酬，实施了</w:t>
      </w:r>
      <w:r>
        <w:rPr/>
        <w:t> </w:t>
      </w:r>
      <w:r>
        <w:rPr>
          <w:spacing w:val="-2"/>
        </w:rPr>
        <w:t>公平公正的绩效考核制度。建立明确的分配制度：员工薪资主要由基础工资、绩效工资组成，基础工资主要体现潜在能力和</w:t>
      </w:r>
      <w:r>
        <w:rPr>
          <w:spacing w:val="-65"/>
        </w:rPr>
        <w:t> </w:t>
      </w:r>
      <w:r>
        <w:rPr>
          <w:spacing w:val="-65"/>
        </w:rPr>
      </w:r>
      <w:r>
        <w:rPr/>
        <w:t>业务的熟练程度；</w:t>
      </w:r>
      <w:r>
        <w:rPr>
          <w:spacing w:val="-20"/>
        </w:rPr>
        <w:t> </w:t>
      </w:r>
      <w:r>
        <w:rPr/>
        <w:t>绩效工资体现工作绩效，</w:t>
      </w:r>
      <w:r>
        <w:rPr>
          <w:spacing w:val="-20"/>
        </w:rPr>
        <w:t> </w:t>
      </w:r>
      <w:r>
        <w:rPr/>
        <w:t>与岗位责任、</w:t>
      </w:r>
      <w:r>
        <w:rPr>
          <w:spacing w:val="-21"/>
        </w:rPr>
        <w:t> </w:t>
      </w:r>
      <w:r>
        <w:rPr/>
        <w:t>工作业绩及所在单位的业绩挂钩，</w:t>
      </w:r>
      <w:r>
        <w:rPr>
          <w:spacing w:val="-21"/>
        </w:rPr>
        <w:t> </w:t>
      </w:r>
      <w:r>
        <w:rPr/>
        <w:t>充分调动员工的积极性和创</w:t>
      </w:r>
      <w:r>
        <w:rPr/>
        <w:t> 造性。</w:t>
      </w:r>
    </w:p>
    <w:p>
      <w:pPr>
        <w:pStyle w:val="BodyText"/>
        <w:spacing w:line="316" w:lineRule="auto" w:before="19"/>
        <w:ind w:right="0" w:firstLine="288"/>
        <w:jc w:val="left"/>
      </w:pPr>
      <w:r>
        <w:rPr/>
        <w:t>公司按照国家及地方的法律规定，</w:t>
      </w:r>
      <w:r>
        <w:rPr>
          <w:spacing w:val="-18"/>
        </w:rPr>
        <w:t> </w:t>
      </w:r>
      <w:r>
        <w:rPr/>
        <w:t>为员工办理各项法定保险和工资补充福利，</w:t>
      </w:r>
      <w:r>
        <w:rPr>
          <w:spacing w:val="-18"/>
        </w:rPr>
        <w:t> </w:t>
      </w:r>
      <w:r>
        <w:rPr/>
        <w:t>包括缴交社会保险</w:t>
      </w:r>
      <w:r>
        <w:rPr>
          <w:spacing w:val="-18"/>
        </w:rPr>
        <w:t> </w:t>
      </w:r>
      <w:r>
        <w:rPr/>
        <w:t>（养老保险、</w:t>
      </w:r>
      <w:r>
        <w:rPr>
          <w:spacing w:val="-18"/>
        </w:rPr>
        <w:t> </w:t>
      </w:r>
      <w:r>
        <w:rPr/>
        <w:t>医疗</w:t>
      </w:r>
      <w:r>
        <w:rPr/>
        <w:t> </w:t>
      </w:r>
      <w:r>
        <w:rPr>
          <w:spacing w:val="-2"/>
        </w:rPr>
        <w:t>保险、失业保险、工伤保险、生育保险）和住房公积金，提供各种带薪假期（法定节假日、病假、年假、婚假、产假、陪产</w:t>
      </w:r>
      <w:r>
        <w:rPr>
          <w:spacing w:val="-70"/>
        </w:rPr>
        <w:t> </w:t>
      </w:r>
      <w:r>
        <w:rPr>
          <w:spacing w:val="-70"/>
        </w:rPr>
      </w:r>
      <w:r>
        <w:rPr/>
        <w:t>假、丧假等）、过节福利、工会福利、出差补贴、话费补贴等。</w:t>
      </w:r>
    </w:p>
    <w:p>
      <w:pPr>
        <w:pStyle w:val="BodyText"/>
        <w:spacing w:line="338" w:lineRule="auto" w:before="59"/>
        <w:ind w:left="513" w:right="1357"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公司报告期内职工薪酬总额为</w:t>
      </w:r>
      <w:r>
        <w:rPr>
          <w:spacing w:val="-48"/>
        </w:rPr>
        <w:t> </w:t>
      </w:r>
      <w:r>
        <w:rPr>
          <w:rFonts w:ascii="宋体" w:hAnsi="宋体" w:cs="宋体" w:eastAsia="宋体" w:hint="default"/>
        </w:rPr>
        <w:t>27,222.28</w:t>
      </w:r>
      <w:r>
        <w:rPr>
          <w:rFonts w:ascii="宋体" w:hAnsi="宋体" w:cs="宋体" w:eastAsia="宋体" w:hint="default"/>
          <w:spacing w:val="-47"/>
        </w:rPr>
        <w:t> </w:t>
      </w:r>
      <w:r>
        <w:rPr/>
        <w:t>万元，占公司成本总额的比重为</w:t>
      </w:r>
      <w:r>
        <w:rPr>
          <w:spacing w:val="-49"/>
        </w:rPr>
        <w:t> </w:t>
      </w:r>
      <w:r>
        <w:rPr>
          <w:rFonts w:ascii="宋体" w:hAnsi="宋体" w:cs="宋体" w:eastAsia="宋体" w:hint="default"/>
        </w:rPr>
        <w:t>39.71%</w:t>
      </w:r>
      <w:r>
        <w:rPr/>
        <w:t>；本报告期职工薪酬总额同比增加</w:t>
      </w:r>
    </w:p>
    <w:p>
      <w:pPr>
        <w:pStyle w:val="BodyText"/>
        <w:spacing w:line="316" w:lineRule="auto" w:before="3"/>
        <w:ind w:right="1121"/>
        <w:jc w:val="left"/>
      </w:pPr>
      <w:r>
        <w:rPr>
          <w:rFonts w:ascii="宋体" w:hAnsi="宋体" w:cs="宋体" w:eastAsia="宋体" w:hint="default"/>
        </w:rPr>
        <w:t>4,716.85</w:t>
      </w:r>
      <w:r>
        <w:rPr>
          <w:rFonts w:ascii="宋体" w:hAnsi="宋体" w:cs="宋体" w:eastAsia="宋体" w:hint="default"/>
          <w:spacing w:val="-59"/>
        </w:rPr>
        <w:t> </w:t>
      </w:r>
      <w:r>
        <w:rPr/>
        <w:t>万元，公司成本总额同比增加</w:t>
      </w:r>
      <w:r>
        <w:rPr>
          <w:spacing w:val="-59"/>
        </w:rPr>
        <w:t> </w:t>
      </w:r>
      <w:r>
        <w:rPr>
          <w:rFonts w:ascii="宋体" w:hAnsi="宋体" w:cs="宋体" w:eastAsia="宋体" w:hint="default"/>
        </w:rPr>
        <w:t>5,441.82</w:t>
      </w:r>
      <w:r>
        <w:rPr>
          <w:rFonts w:ascii="宋体" w:hAnsi="宋体" w:cs="宋体" w:eastAsia="宋体" w:hint="default"/>
          <w:spacing w:val="-59"/>
        </w:rPr>
        <w:t> </w:t>
      </w:r>
      <w:r>
        <w:rPr/>
        <w:t>万元，职工薪酬增加是导致公司成本增加的主要因素。报告期内核心技术 人员数量占比</w:t>
      </w:r>
      <w:r>
        <w:rPr>
          <w:spacing w:val="-47"/>
        </w:rPr>
        <w:t> </w:t>
      </w:r>
      <w:r>
        <w:rPr>
          <w:rFonts w:ascii="宋体" w:hAnsi="宋体" w:cs="宋体" w:eastAsia="宋体" w:hint="default"/>
        </w:rPr>
        <w:t>0.59%</w:t>
      </w:r>
      <w:r>
        <w:rPr/>
        <w:t>，同比增加</w:t>
      </w:r>
      <w:r>
        <w:rPr>
          <w:spacing w:val="-48"/>
        </w:rPr>
        <w:t> </w:t>
      </w:r>
      <w:r>
        <w:rPr>
          <w:rFonts w:ascii="宋体" w:hAnsi="宋体" w:cs="宋体" w:eastAsia="宋体" w:hint="default"/>
        </w:rPr>
        <w:t>17.46%</w:t>
      </w:r>
      <w:r>
        <w:rPr/>
        <w:t>；报告期内核心技术人员薪酬占比</w:t>
      </w:r>
      <w:r>
        <w:rPr>
          <w:spacing w:val="-48"/>
        </w:rPr>
        <w:t> </w:t>
      </w:r>
      <w:r>
        <w:rPr>
          <w:rFonts w:ascii="宋体" w:hAnsi="宋体" w:cs="宋体" w:eastAsia="宋体" w:hint="default"/>
        </w:rPr>
        <w:t>2.61%</w:t>
      </w:r>
      <w:r>
        <w:rPr/>
        <w:t>，同比增加</w:t>
      </w:r>
      <w:r>
        <w:rPr>
          <w:spacing w:val="-48"/>
        </w:rPr>
        <w:t> </w:t>
      </w:r>
      <w:r>
        <w:rPr>
          <w:rFonts w:ascii="宋体" w:hAnsi="宋体" w:cs="宋体" w:eastAsia="宋体" w:hint="default"/>
        </w:rPr>
        <w:t>47.15%</w:t>
      </w:r>
      <w:r>
        <w:rPr/>
        <w:t>。</w:t>
      </w:r>
    </w:p>
    <w:p>
      <w:pPr>
        <w:spacing w:after="0" w:line="316"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5"/>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1" w:firstLine="288"/>
        <w:jc w:val="both"/>
      </w:pPr>
      <w:r>
        <w:rPr>
          <w:spacing w:val="-1"/>
        </w:rPr>
        <w:t>根据公司发展战略规划，积极寻求各种培训资源和培训渠道，坚持以内部培训为主，外委培训为辅的原则，建立了较为</w:t>
      </w:r>
      <w:r>
        <w:rPr/>
        <w:t> </w:t>
      </w:r>
      <w:r>
        <w:rPr>
          <w:spacing w:val="-2"/>
        </w:rPr>
        <w:t>完善的培训体系。根据公司改革与发展的需要和员工多样化培训需求，制定详细的培训计划，分层次、分类别地开展内容丰</w:t>
      </w:r>
      <w:r>
        <w:rPr>
          <w:spacing w:val="-64"/>
        </w:rPr>
        <w:t> </w:t>
      </w:r>
      <w:r>
        <w:rPr>
          <w:spacing w:val="-64"/>
        </w:rPr>
      </w:r>
      <w:r>
        <w:rPr/>
        <w:t>富、形式灵活的培训，根据培训对象与需求差别，将培训划分为管理、业务、技能</w:t>
      </w:r>
      <w:r>
        <w:rPr>
          <w:rFonts w:ascii="Times New Roman" w:hAnsi="Times New Roman" w:cs="Times New Roman" w:eastAsia="Times New Roman" w:hint="default"/>
        </w:rPr>
        <w:t>/</w:t>
      </w:r>
      <w:r>
        <w:rPr/>
        <w:t>技术、新员工共四类，从而切实有效地</w:t>
      </w:r>
      <w:r>
        <w:rPr>
          <w:spacing w:val="-48"/>
        </w:rPr>
        <w:t> </w:t>
      </w:r>
      <w:r>
        <w:rPr>
          <w:spacing w:val="-48"/>
        </w:rPr>
      </w:r>
      <w:r>
        <w:rPr/>
        <w:t>加强企业文化建设和提高各类人员的专业水平。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77"/>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spacing w:val="-4"/>
        </w:rPr>
        <w:t>报告期内，公司严格按照《公司法》、《证券法》、《上市公司治理准则》、《深圳证券交易所创业板股票上市规则》、</w:t>
      </w:r>
    </w:p>
    <w:p>
      <w:pPr>
        <w:pStyle w:val="BodyText"/>
        <w:spacing w:line="319" w:lineRule="auto" w:before="76"/>
        <w:ind w:right="1034"/>
        <w:jc w:val="left"/>
      </w:pPr>
      <w:r>
        <w:rPr>
          <w:spacing w:val="-2"/>
        </w:rPr>
        <w:t>《深圳证券交易所创业板上市公司规范运作指引》等法律、法规和中国证监会有关法律法规等的要求，不断完善公司的法人</w:t>
      </w:r>
      <w:r>
        <w:rPr>
          <w:spacing w:val="-65"/>
        </w:rPr>
        <w:t> </w:t>
      </w:r>
      <w:r>
        <w:rPr>
          <w:spacing w:val="-65"/>
        </w:rPr>
      </w:r>
      <w:r>
        <w:rPr/>
        <w:t>治理结构，建立健全公司内部管理和控制制度，持续深入开展公司治理活动，促进了公司规范运作，提高了公司治理水平。</w:t>
      </w:r>
      <w:r>
        <w:rPr/>
        <w:t> </w:t>
      </w:r>
      <w:r>
        <w:rPr>
          <w:spacing w:val="-4"/>
        </w:rPr>
        <w:t>截至报告期末，公司治理的实际状况符合《上市公司治理准则》和《深圳证券交易所创业板上市公司规范运作指引》的要求，</w:t>
      </w:r>
      <w:r>
        <w:rPr>
          <w:spacing w:val="-43"/>
        </w:rPr>
        <w:t> </w:t>
      </w:r>
      <w:r>
        <w:rPr>
          <w:spacing w:val="-43"/>
        </w:rPr>
      </w:r>
      <w:r>
        <w:rPr/>
        <w:t>不存在尚未解决的治理问题。</w:t>
      </w:r>
    </w:p>
    <w:p>
      <w:pPr>
        <w:pStyle w:val="BodyText"/>
        <w:spacing w:line="316" w:lineRule="auto" w:before="17"/>
        <w:ind w:left="513" w:right="0"/>
        <w:jc w:val="left"/>
      </w:pPr>
      <w:r>
        <w:rPr/>
        <w:t>（一）关于股东和股东大会 </w:t>
      </w:r>
      <w:r>
        <w:rPr>
          <w:spacing w:val="-2"/>
        </w:rPr>
        <w:t>公司严格按照《上市公司股东大会准则》、《公司章程》、《股东大会议事规则》等规定和要求，规范地召集、召开股</w:t>
      </w:r>
    </w:p>
    <w:p>
      <w:pPr>
        <w:pStyle w:val="BodyText"/>
        <w:spacing w:line="300" w:lineRule="auto" w:before="19"/>
        <w:ind w:right="1138"/>
        <w:jc w:val="both"/>
      </w:pPr>
      <w:r>
        <w:rPr/>
        <w:t>东大会，平等对待所有股东，并尽力为股东参加股东大会提供便利，使其充分行使股东权利。报告期内，公司召开了</w:t>
      </w:r>
      <w:r>
        <w:rPr>
          <w:rFonts w:ascii="Times New Roman" w:hAnsi="Times New Roman" w:cs="Times New Roman" w:eastAsia="Times New Roman" w:hint="default"/>
        </w:rPr>
        <w:t>1</w:t>
      </w:r>
      <w:r>
        <w:rPr/>
        <w:t>次年</w:t>
      </w:r>
      <w:r>
        <w:rPr>
          <w:spacing w:val="-87"/>
        </w:rPr>
        <w:t> </w:t>
      </w:r>
      <w:r>
        <w:rPr/>
        <w:t>度股东大会和</w:t>
      </w:r>
      <w:r>
        <w:rPr>
          <w:rFonts w:ascii="Times New Roman" w:hAnsi="Times New Roman" w:cs="Times New Roman" w:eastAsia="Times New Roman" w:hint="default"/>
        </w:rPr>
        <w:t>2</w:t>
      </w:r>
      <w:r>
        <w:rPr/>
        <w:t>次临时股东大会，按照《公司法》、《公司章程》的规定应由股东大会审议的重大事项，本公司均通过股东 大会审议。</w:t>
      </w:r>
    </w:p>
    <w:p>
      <w:pPr>
        <w:pStyle w:val="BodyText"/>
        <w:spacing w:line="316" w:lineRule="auto" w:before="31"/>
        <w:ind w:left="513" w:right="1033"/>
        <w:jc w:val="left"/>
      </w:pPr>
      <w:r>
        <w:rPr/>
        <w:t>（二）公司与控股股东 公司控股股东、实际控制人为自然人张曦先生。张曦先生现任公司董事长，报告期内，张曦先生严格规范自己的行为，</w:t>
      </w:r>
    </w:p>
    <w:p>
      <w:pPr>
        <w:pStyle w:val="BodyText"/>
        <w:spacing w:line="316" w:lineRule="auto" w:before="19"/>
        <w:ind w:right="1133"/>
        <w:jc w:val="both"/>
      </w:pPr>
      <w:r>
        <w:rPr>
          <w:spacing w:val="-2"/>
        </w:rPr>
        <w:t>不存在超越股东大会直接或间接干预公司决策和经营活动的行为，不存在损害公司及其他股东的利益的情形。公司拥有独立</w:t>
      </w:r>
      <w:r>
        <w:rPr>
          <w:spacing w:val="-64"/>
        </w:rPr>
        <w:t> </w:t>
      </w:r>
      <w:r>
        <w:rPr>
          <w:spacing w:val="-64"/>
        </w:rPr>
      </w:r>
      <w:r>
        <w:rPr>
          <w:spacing w:val="-2"/>
        </w:rPr>
        <w:t>完整的业务和自主经营能力，在业务、人员、资产、机构、财务上独立于控股股东，公司董事会、监事会和内部机构独立运</w:t>
      </w:r>
      <w:r>
        <w:rPr>
          <w:spacing w:val="-70"/>
        </w:rPr>
        <w:t> </w:t>
      </w:r>
      <w:r>
        <w:rPr>
          <w:spacing w:val="-70"/>
        </w:rPr>
      </w:r>
      <w:r>
        <w:rPr/>
        <w:t>作。报告期内，公司没有为控股股东提供担保，亦不存在控股股东非经营性占用公司资金的行为。</w:t>
      </w:r>
    </w:p>
    <w:p>
      <w:pPr>
        <w:pStyle w:val="BodyText"/>
        <w:spacing w:line="316" w:lineRule="auto" w:before="19"/>
        <w:ind w:left="513" w:right="1123"/>
        <w:jc w:val="left"/>
      </w:pPr>
      <w:r>
        <w:rPr/>
        <w:t>（三）关于董事和董事会 公司董事会设董事</w:t>
      </w:r>
      <w:r>
        <w:rPr>
          <w:rFonts w:ascii="Times New Roman" w:hAnsi="Times New Roman" w:cs="Times New Roman" w:eastAsia="Times New Roman" w:hint="default"/>
        </w:rPr>
        <w:t>11</w:t>
      </w:r>
      <w:r>
        <w:rPr/>
        <w:t>名，其中独立董事</w:t>
      </w:r>
      <w:r>
        <w:rPr>
          <w:rFonts w:ascii="Times New Roman" w:hAnsi="Times New Roman" w:cs="Times New Roman" w:eastAsia="Times New Roman" w:hint="default"/>
        </w:rPr>
        <w:t>5</w:t>
      </w:r>
      <w:r>
        <w:rPr/>
        <w:t>名，下设战略委员会、审计委员会、提名委员会和薪酬与考核委员会四个专门</w:t>
      </w:r>
    </w:p>
    <w:p>
      <w:pPr>
        <w:pStyle w:val="BodyText"/>
        <w:spacing w:line="316" w:lineRule="auto"/>
        <w:ind w:right="1132"/>
        <w:jc w:val="both"/>
      </w:pPr>
      <w:r>
        <w:rPr>
          <w:spacing w:val="-2"/>
        </w:rPr>
        <w:t>委员会。董事会的人员结构及数量设置、董事的选聘程序符合法律、法规和《公司章程》的要求。全体董事能够依据《董事</w:t>
      </w:r>
      <w:r>
        <w:rPr>
          <w:spacing w:val="-73"/>
        </w:rPr>
        <w:t> </w:t>
      </w:r>
      <w:r>
        <w:rPr>
          <w:spacing w:val="-73"/>
        </w:rPr>
      </w:r>
      <w:r>
        <w:rPr>
          <w:spacing w:val="-2"/>
        </w:rPr>
        <w:t>会议事规则》、《独立董事工作制度》、《深圳证券交易所创业板上市公司规范运作指引》等规章制度开展工作，出席董事</w:t>
      </w:r>
      <w:r>
        <w:rPr>
          <w:spacing w:val="-68"/>
        </w:rPr>
        <w:t> </w:t>
      </w:r>
      <w:r>
        <w:rPr>
          <w:spacing w:val="-68"/>
        </w:rPr>
      </w:r>
      <w:r>
        <w:rPr>
          <w:spacing w:val="-2"/>
        </w:rPr>
        <w:t>会和股东大会，勤勉尽责地履行职务和义务，同时积极参加相关培训，熟悉相关法律法规。报告期内，各董事严格审议相关</w:t>
      </w:r>
      <w:r>
        <w:rPr>
          <w:spacing w:val="-67"/>
        </w:rPr>
        <w:t> </w:t>
      </w:r>
      <w:r>
        <w:rPr>
          <w:spacing w:val="-67"/>
        </w:rPr>
      </w:r>
      <w:r>
        <w:rPr/>
        <w:t>议案，保证了公司相关事项的科学决策。</w:t>
      </w:r>
    </w:p>
    <w:p>
      <w:pPr>
        <w:pStyle w:val="BodyText"/>
        <w:spacing w:line="316" w:lineRule="auto" w:before="19"/>
        <w:ind w:left="513" w:right="0"/>
        <w:jc w:val="left"/>
      </w:pPr>
      <w:r>
        <w:rPr/>
        <w:t>（四）关于监事和监事会 </w:t>
      </w:r>
      <w:r>
        <w:rPr>
          <w:spacing w:val="-4"/>
        </w:rPr>
        <w:t>公司监事会设监事</w:t>
      </w:r>
      <w:r>
        <w:rPr>
          <w:rFonts w:ascii="Times New Roman" w:hAnsi="Times New Roman" w:cs="Times New Roman" w:eastAsia="Times New Roman" w:hint="default"/>
          <w:spacing w:val="-4"/>
        </w:rPr>
        <w:t>3</w:t>
      </w:r>
      <w:r>
        <w:rPr>
          <w:spacing w:val="-4"/>
        </w:rPr>
        <w:t>名，其中职工代表监事</w:t>
      </w:r>
      <w:r>
        <w:rPr>
          <w:rFonts w:ascii="Times New Roman" w:hAnsi="Times New Roman" w:cs="Times New Roman" w:eastAsia="Times New Roman" w:hint="default"/>
          <w:spacing w:val="-4"/>
        </w:rPr>
        <w:t>1</w:t>
      </w:r>
      <w:r>
        <w:rPr>
          <w:spacing w:val="-4"/>
        </w:rPr>
        <w:t>名，监事会的人员结构及数量设置、监事的选聘程序符合法律、法规的要求。</w:t>
      </w:r>
    </w:p>
    <w:p>
      <w:pPr>
        <w:pStyle w:val="BodyText"/>
        <w:spacing w:line="319" w:lineRule="auto"/>
        <w:ind w:right="1130"/>
        <w:jc w:val="both"/>
      </w:pPr>
      <w:r>
        <w:rPr>
          <w:spacing w:val="-2"/>
        </w:rPr>
        <w:t>各位监事能够按照《监事会议事规则》的要求，认真履行自己的职责，对公司重大事项、财务状况以及董事、高级管理人员</w:t>
      </w:r>
      <w:r>
        <w:rPr>
          <w:spacing w:val="-68"/>
        </w:rPr>
        <w:t> </w:t>
      </w:r>
      <w:r>
        <w:rPr>
          <w:spacing w:val="-68"/>
        </w:rPr>
      </w:r>
      <w:r>
        <w:rPr>
          <w:spacing w:val="-2"/>
        </w:rPr>
        <w:t>履行职责的合法合规性进行监督，维护公司及股东的合法权益。公司也采取了有效措施保障监事的知情权，保证各位监事能</w:t>
      </w:r>
      <w:r>
        <w:rPr>
          <w:spacing w:val="-63"/>
        </w:rPr>
        <w:t> </w:t>
      </w:r>
      <w:r>
        <w:rPr>
          <w:spacing w:val="-63"/>
        </w:rPr>
      </w:r>
      <w:r>
        <w:rPr/>
        <w:t>够独立有效地行使对董事、高级管理人员监督权。</w:t>
      </w:r>
    </w:p>
    <w:p>
      <w:pPr>
        <w:pStyle w:val="BodyText"/>
        <w:spacing w:line="316" w:lineRule="auto" w:before="17"/>
        <w:ind w:left="513" w:right="1123"/>
        <w:jc w:val="left"/>
      </w:pPr>
      <w:r>
        <w:rPr/>
        <w:t>（五）关于独立董事制度运作情况 公司独立董事</w:t>
      </w:r>
      <w:r>
        <w:rPr>
          <w:rFonts w:ascii="Times New Roman" w:hAnsi="Times New Roman" w:cs="Times New Roman" w:eastAsia="Times New Roman" w:hint="default"/>
        </w:rPr>
        <w:t>5</w:t>
      </w:r>
      <w:r>
        <w:rPr/>
        <w:t>名。报告期内，公司独立董事严格按照有关法律、法规、《公司章程》及《独立董事工作制度》的要求</w:t>
      </w:r>
    </w:p>
    <w:p>
      <w:pPr>
        <w:pStyle w:val="BodyText"/>
        <w:spacing w:line="316" w:lineRule="auto"/>
        <w:ind w:right="1131"/>
        <w:jc w:val="both"/>
      </w:pPr>
      <w:r>
        <w:rPr>
          <w:spacing w:val="-2"/>
        </w:rPr>
        <w:t>勤勉尽职地履行职责，对需要独立董事发表意见的事项均发表了独立意见，对改进公司内部控制制度及促进公司发展提出许</w:t>
      </w:r>
      <w:r>
        <w:rPr>
          <w:spacing w:val="-64"/>
        </w:rPr>
        <w:t> </w:t>
      </w:r>
      <w:r>
        <w:rPr>
          <w:spacing w:val="-64"/>
        </w:rPr>
      </w:r>
      <w:r>
        <w:rPr/>
        <w:t>多意见和建议，对完善公司治理结构和规范公司运作发挥了积极作用。</w:t>
      </w:r>
    </w:p>
    <w:p>
      <w:pPr>
        <w:pStyle w:val="BodyText"/>
        <w:spacing w:line="316" w:lineRule="auto" w:before="19"/>
        <w:ind w:left="513" w:right="0"/>
        <w:jc w:val="left"/>
      </w:pPr>
      <w:r>
        <w:rPr/>
        <w:t>（六）关于董事会秘书制度运行情况 </w:t>
      </w:r>
      <w:r>
        <w:rPr>
          <w:spacing w:val="-2"/>
        </w:rPr>
        <w:t>报告期内，公司董事会秘书一直按照有关法律、法规和《公司章程》的规定认真履行其职责，做好信息披露工作，认真</w:t>
      </w:r>
    </w:p>
    <w:p>
      <w:pPr>
        <w:pStyle w:val="BodyText"/>
        <w:spacing w:line="240" w:lineRule="auto" w:before="19"/>
        <w:ind w:right="0"/>
        <w:jc w:val="both"/>
      </w:pPr>
      <w:r>
        <w:rPr/>
        <w:t>对待各方投资者，做好投资者接待工作，及时回复互动易平台上的投资者提问，积极参加各监管机构组织的相关培训。</w:t>
      </w:r>
    </w:p>
    <w:p>
      <w:pPr>
        <w:pStyle w:val="BodyText"/>
        <w:spacing w:line="316" w:lineRule="auto" w:before="76"/>
        <w:ind w:left="513" w:right="0"/>
        <w:jc w:val="left"/>
      </w:pPr>
      <w:r>
        <w:rPr/>
        <w:t>（七）关于内幕信息知情人管理制度执行情况 </w:t>
      </w:r>
      <w:r>
        <w:rPr>
          <w:spacing w:val="-2"/>
        </w:rPr>
        <w:t>报告期内，公司严格执行《内幕信息知情人登记管理制度》，加强内幕信息的管理，做到</w:t>
      </w:r>
      <w:r>
        <w:rPr>
          <w:rFonts w:ascii="Times New Roman" w:hAnsi="Times New Roman" w:cs="Times New Roman" w:eastAsia="Times New Roman" w:hint="default"/>
          <w:spacing w:val="-2"/>
        </w:rPr>
        <w:t>“</w:t>
      </w:r>
      <w:r>
        <w:rPr>
          <w:spacing w:val="-2"/>
        </w:rPr>
        <w:t>一事一记</w:t>
      </w:r>
      <w:r>
        <w:rPr>
          <w:rFonts w:ascii="Times New Roman" w:hAnsi="Times New Roman" w:cs="Times New Roman" w:eastAsia="Times New Roman" w:hint="default"/>
          <w:spacing w:val="-2"/>
        </w:rPr>
        <w:t>”</w:t>
      </w:r>
      <w:r>
        <w:rPr>
          <w:spacing w:val="-2"/>
        </w:rPr>
        <w:t>，维护公司及全体</w:t>
      </w:r>
    </w:p>
    <w:p>
      <w:pPr>
        <w:pStyle w:val="BodyText"/>
        <w:spacing w:line="319" w:lineRule="auto"/>
        <w:ind w:right="0"/>
        <w:jc w:val="left"/>
      </w:pPr>
      <w:r>
        <w:rPr>
          <w:spacing w:val="-4"/>
        </w:rPr>
        <w:t>股东的合法权益。公司董事会办公室是公司信息披露、内幕信息登记备案的日常办事机构，并负责公司内幕信息的监管工作，</w:t>
      </w:r>
      <w:r>
        <w:rPr>
          <w:spacing w:val="-44"/>
        </w:rPr>
        <w:t> </w:t>
      </w:r>
      <w:r>
        <w:rPr>
          <w:spacing w:val="-44"/>
        </w:rPr>
      </w:r>
      <w:r>
        <w:rPr>
          <w:spacing w:val="-2"/>
        </w:rPr>
        <w:t>确保各部门对内幕信息的及时反馈，严格执行内幕信息知情人登记备案手续，及时向证券监管部门报送规范格式的《内幕信</w:t>
      </w:r>
      <w:r>
        <w:rPr>
          <w:spacing w:val="-63"/>
        </w:rPr>
        <w:t> </w:t>
      </w:r>
      <w:r>
        <w:rPr>
          <w:spacing w:val="-63"/>
        </w:rPr>
      </w:r>
      <w:r>
        <w:rPr/>
        <w:t>息知情人登记表》。</w:t>
      </w:r>
    </w:p>
    <w:p>
      <w:pPr>
        <w:spacing w:after="0" w:line="319"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公司治理的实际状况与中国证监会发布的有关上市公司治理的规范性文件是否存在重大差异</w:t>
      </w:r>
    </w:p>
    <w:p>
      <w:pPr>
        <w:pStyle w:val="BodyText"/>
        <w:spacing w:line="338" w:lineRule="auto" w:before="117"/>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0"/>
        <w:jc w:val="left"/>
      </w:pPr>
      <w:r>
        <w:rPr/>
        <w:t>公司控股股东、实际控制人为张曦先生。 </w:t>
      </w:r>
      <w:r>
        <w:rPr>
          <w:spacing w:val="-2"/>
        </w:rPr>
        <w:t>报告期内，公司严格按照《公司法》、《证券法》、《深圳证券交易所创业板股票上市规则》、《深圳证券交易所创业</w:t>
      </w:r>
    </w:p>
    <w:p>
      <w:pPr>
        <w:pStyle w:val="BodyText"/>
        <w:spacing w:line="316" w:lineRule="auto" w:before="19"/>
        <w:ind w:right="1034"/>
        <w:jc w:val="left"/>
      </w:pPr>
      <w:r>
        <w:rPr/>
        <w:t>板上市公司规范运作指引》等有关法律、法规和《公司章程》的要求规范运作，建立并不断完善了法人治理结构，在业务、 </w:t>
      </w:r>
      <w:r>
        <w:rPr>
          <w:spacing w:val="-2"/>
        </w:rPr>
        <w:t>人员、资产、机构、财务等方面与公司控股股东、实际控制人完全分开，具有独立、完整的资产和业务以及面向市场自主经</w:t>
      </w:r>
      <w:r>
        <w:rPr>
          <w:spacing w:val="-68"/>
        </w:rPr>
        <w:t> </w:t>
      </w:r>
      <w:r>
        <w:rPr>
          <w:spacing w:val="-68"/>
        </w:rPr>
      </w:r>
      <w:r>
        <w:rPr/>
        <w:t>营的能力。</w:t>
      </w:r>
    </w:p>
    <w:p>
      <w:pPr>
        <w:pStyle w:val="BodyText"/>
        <w:spacing w:line="316" w:lineRule="auto" w:before="19"/>
        <w:ind w:left="513" w:right="0"/>
        <w:jc w:val="left"/>
      </w:pPr>
      <w:r>
        <w:rPr/>
        <w:t>（一）业务独立情况 </w:t>
      </w:r>
      <w:r>
        <w:rPr>
          <w:spacing w:val="-2"/>
        </w:rPr>
        <w:t>公司业务独立。作为高科技创新型企业，公司拥有完整独立的研发、运营和销售系统，具有独立完整的业务体系及面向</w:t>
      </w:r>
    </w:p>
    <w:p>
      <w:pPr>
        <w:pStyle w:val="BodyText"/>
        <w:spacing w:line="240" w:lineRule="auto" w:before="19"/>
        <w:ind w:right="0"/>
        <w:jc w:val="left"/>
      </w:pPr>
      <w:r>
        <w:rPr/>
        <w:t>市场独立经营的能力，公司独立开展各项业务活动，不依赖于公司控股股东、实际控制人或其他任何关联方。</w:t>
      </w:r>
    </w:p>
    <w:p>
      <w:pPr>
        <w:pStyle w:val="BodyText"/>
        <w:spacing w:line="316" w:lineRule="auto" w:before="76"/>
        <w:ind w:left="513" w:right="0"/>
        <w:jc w:val="left"/>
      </w:pPr>
      <w:r>
        <w:rPr/>
        <w:t>（二）人员独立情况 </w:t>
      </w:r>
      <w:r>
        <w:rPr>
          <w:spacing w:val="-2"/>
        </w:rPr>
        <w:t>公司独立招聘员工，执行独立的劳动聘用、人事管理、工资报酬以及社会保障制度。公司总经理、副总经理、董事会秘</w:t>
      </w:r>
    </w:p>
    <w:p>
      <w:pPr>
        <w:pStyle w:val="BodyText"/>
        <w:spacing w:line="316" w:lineRule="auto" w:before="19"/>
        <w:ind w:right="0"/>
        <w:jc w:val="left"/>
      </w:pPr>
      <w:r>
        <w:rPr>
          <w:spacing w:val="-4"/>
        </w:rPr>
        <w:t>书、财务总监等高级管理人员均在公司工作并领取薪酬，未在公司控股股东、实际控制人及其控制的其他企业中担任除董事、</w:t>
      </w:r>
      <w:r>
        <w:rPr>
          <w:spacing w:val="-44"/>
        </w:rPr>
        <w:t> </w:t>
      </w:r>
      <w:r>
        <w:rPr>
          <w:spacing w:val="-44"/>
        </w:rPr>
      </w:r>
      <w:r>
        <w:rPr/>
        <w:t>监事以外的其他行政职务或领薪，财务人员没有在控股股东、实际控制人及其控制的其他企业中兼职。</w:t>
      </w:r>
    </w:p>
    <w:p>
      <w:pPr>
        <w:pStyle w:val="BodyText"/>
        <w:spacing w:line="316" w:lineRule="auto" w:before="19"/>
        <w:ind w:left="513" w:right="0"/>
        <w:jc w:val="left"/>
      </w:pPr>
      <w:r>
        <w:rPr/>
        <w:t>（三）资产完整情况 </w:t>
      </w:r>
      <w:r>
        <w:rPr>
          <w:spacing w:val="-4"/>
        </w:rPr>
        <w:t>公司资产完整，具有与其经营活动相适应的生产经营场所，拥有独立于控股股东、实际控制人及其他关联方的机器设备、</w:t>
      </w:r>
    </w:p>
    <w:p>
      <w:pPr>
        <w:pStyle w:val="BodyText"/>
        <w:spacing w:line="319" w:lineRule="auto" w:before="19"/>
        <w:ind w:right="1133"/>
        <w:jc w:val="both"/>
      </w:pPr>
      <w:r>
        <w:rPr>
          <w:spacing w:val="-2"/>
        </w:rPr>
        <w:t>房屋建筑物，也独立拥有注册商标、专利、非专利技术等无形资产。公司资产独立完整、权属清晰，不存在与控股股东、实</w:t>
      </w:r>
      <w:r>
        <w:rPr>
          <w:spacing w:val="-73"/>
        </w:rPr>
        <w:t> </w:t>
      </w:r>
      <w:r>
        <w:rPr>
          <w:spacing w:val="-73"/>
        </w:rPr>
      </w:r>
      <w:r>
        <w:rPr>
          <w:spacing w:val="-2"/>
        </w:rPr>
        <w:t>际控制人及其控制的其他企业共用资产，或者资金或其他资产被控股股东、实际控制人及其控制的其他企业占用而损害公司</w:t>
      </w:r>
      <w:r>
        <w:rPr>
          <w:spacing w:val="-64"/>
        </w:rPr>
        <w:t> </w:t>
      </w:r>
      <w:r>
        <w:rPr>
          <w:spacing w:val="-64"/>
        </w:rPr>
      </w:r>
      <w:r>
        <w:rPr/>
        <w:t>利益的情况。</w:t>
      </w:r>
    </w:p>
    <w:p>
      <w:pPr>
        <w:pStyle w:val="BodyText"/>
        <w:spacing w:line="316" w:lineRule="auto" w:before="17"/>
        <w:ind w:left="513" w:right="0"/>
        <w:jc w:val="left"/>
      </w:pPr>
      <w:r>
        <w:rPr/>
        <w:t>（四）机构独立情况 </w:t>
      </w:r>
      <w:r>
        <w:rPr>
          <w:spacing w:val="-2"/>
        </w:rPr>
        <w:t>公司建立了完整的内部组织结构，具备健全的内部经营管理机构，公司股东大会、董事会、监事会各机构权责明确、运</w:t>
      </w:r>
    </w:p>
    <w:p>
      <w:pPr>
        <w:pStyle w:val="BodyText"/>
        <w:spacing w:line="316" w:lineRule="auto" w:before="19"/>
        <w:ind w:right="0"/>
        <w:jc w:val="left"/>
      </w:pPr>
      <w:r>
        <w:rPr>
          <w:spacing w:val="-4"/>
        </w:rPr>
        <w:t>作规范，形成相互协调和相互制衡的机制。公司根据自身的经营需要独立设置其他职能部门，并建立了相应的内部管理制度，</w:t>
      </w:r>
      <w:r>
        <w:rPr>
          <w:spacing w:val="-42"/>
        </w:rPr>
        <w:t> </w:t>
      </w:r>
      <w:r>
        <w:rPr>
          <w:spacing w:val="-42"/>
        </w:rPr>
      </w:r>
      <w:r>
        <w:rPr/>
        <w:t>独立行使经营管理职权，不存在与控股股东、实际控制人及其控制的其他企业机构混同的情形。</w:t>
      </w:r>
    </w:p>
    <w:p>
      <w:pPr>
        <w:pStyle w:val="BodyText"/>
        <w:spacing w:line="316" w:lineRule="auto" w:before="19"/>
        <w:ind w:left="513" w:right="1033"/>
        <w:jc w:val="left"/>
      </w:pPr>
      <w:r>
        <w:rPr/>
        <w:t>（五）财务独立情况 公司设有独立的财务会计部门，配备专职财务人员，建立了规范的财务会计制度和对分公司、子公司的财务管理制度，</w:t>
      </w:r>
    </w:p>
    <w:p>
      <w:pPr>
        <w:pStyle w:val="BodyText"/>
        <w:spacing w:line="316" w:lineRule="auto" w:before="19"/>
        <w:ind w:right="0"/>
        <w:jc w:val="left"/>
      </w:pPr>
      <w:r>
        <w:rPr>
          <w:spacing w:val="-2"/>
        </w:rPr>
        <w:t>有完整独立的财务核算体系，能够独立形成财务决策，开设了独立的银行账户，并依法独立纳税，公司不存在与控股股东及</w:t>
      </w:r>
      <w:r>
        <w:rPr>
          <w:spacing w:val="-65"/>
        </w:rPr>
        <w:t> </w:t>
      </w:r>
      <w:r>
        <w:rPr>
          <w:spacing w:val="-65"/>
        </w:rPr>
      </w:r>
      <w:r>
        <w:rPr/>
        <w:t>其关联方共用银行账户的情况，也不存在资金、资产被股东及其关联方非法占用的情况。</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7"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97"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left="1007" w:right="0"/>
              <w:jc w:val="left"/>
              <w:rPr>
                <w:rFonts w:ascii="Times New Roman" w:hAnsi="Times New Roman" w:cs="Times New Roman" w:eastAsia="Times New Roman" w:hint="default"/>
                <w:sz w:val="18"/>
                <w:szCs w:val="18"/>
              </w:rPr>
            </w:pPr>
            <w:r>
              <w:rPr>
                <w:rFonts w:ascii="Times New Roman"/>
                <w:sz w:val="18"/>
              </w:rPr>
              <w:t>21.10%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4" w:right="7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2"/>
                <w:sz w:val="18"/>
                <w:szCs w:val="18"/>
              </w:rPr>
              <w:t>告》（公告编号：</w:t>
            </w:r>
          </w:p>
        </w:tc>
      </w:tr>
    </w:tbl>
    <w:p>
      <w:pPr>
        <w:spacing w:after="0" w:line="309"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1299"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11"/>
              <w:ind w:left="24" w:right="3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2018-019</w:t>
            </w:r>
            <w:r>
              <w:rPr>
                <w:rFonts w:ascii="宋体" w:hAnsi="宋体" w:cs="宋体" w:eastAsia="宋体" w:hint="default"/>
                <w:spacing w:val="-8"/>
                <w:sz w:val="18"/>
                <w:szCs w:val="18"/>
              </w:rPr>
              <w:t>）（巨潮资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w:t>
            </w:r>
          </w:p>
          <w:p>
            <w:pPr>
              <w:pStyle w:val="TableParagraph"/>
              <w:spacing w:line="362" w:lineRule="auto" w:before="73"/>
              <w:ind w:left="24" w:right="31"/>
              <w:jc w:val="left"/>
              <w:rPr>
                <w:rFonts w:ascii="Times New Roman" w:hAnsi="Times New Roman" w:cs="Times New Roman" w:eastAsia="Times New Roman" w:hint="default"/>
                <w:sz w:val="18"/>
                <w:szCs w:val="18"/>
              </w:rPr>
            </w:pPr>
            <w:hyperlink r:id="rId16">
              <w:r>
                <w:rPr>
                  <w:rFonts w:ascii="Times New Roman"/>
                  <w:spacing w:val="-1"/>
                  <w:sz w:val="18"/>
                </w:rPr>
                <w:t>http://www.cninfo.co</w:t>
              </w:r>
            </w:hyperlink>
            <w:r>
              <w:rPr>
                <w:rFonts w:ascii="Times New Roman"/>
                <w:sz w:val="18"/>
              </w:rPr>
              <w:t> m.cn)</w:t>
            </w:r>
          </w:p>
        </w:tc>
      </w:tr>
      <w:tr>
        <w:trPr>
          <w:trHeight w:val="1961"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4" w:right="-3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w:t>
            </w:r>
            <w:r>
              <w:rPr>
                <w:rFonts w:ascii="宋体" w:hAnsi="宋体" w:cs="宋体" w:eastAsia="宋体" w:hint="default"/>
                <w:spacing w:val="-11"/>
                <w:sz w:val="18"/>
                <w:szCs w:val="18"/>
              </w:rPr>
              <w:t>大会决议公告》（公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2018-037</w:t>
            </w:r>
            <w:r>
              <w:rPr>
                <w:rFonts w:ascii="宋体" w:hAnsi="宋体" w:cs="宋体" w:eastAsia="宋体" w:hint="default"/>
                <w:sz w:val="18"/>
                <w:szCs w:val="18"/>
              </w:rPr>
              <w:t>）</w:t>
            </w:r>
          </w:p>
          <w:p>
            <w:pPr>
              <w:pStyle w:val="TableParagraph"/>
              <w:spacing w:line="362" w:lineRule="auto" w:before="5"/>
              <w:ind w:left="24"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6">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p>
        </w:tc>
      </w:tr>
      <w:tr>
        <w:trPr>
          <w:trHeight w:val="2276"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exact" w:before="12"/>
              <w:ind w:left="24"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8"/>
                <w:sz w:val="18"/>
                <w:szCs w:val="18"/>
              </w:rPr>
              <w:t>2018-048</w:t>
            </w:r>
            <w:r>
              <w:rPr>
                <w:rFonts w:ascii="宋体" w:hAnsi="宋体" w:cs="宋体" w:eastAsia="宋体" w:hint="default"/>
                <w:spacing w:val="-8"/>
                <w:sz w:val="18"/>
                <w:szCs w:val="18"/>
              </w:rPr>
              <w:t>）（巨潮资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 </w:t>
            </w:r>
            <w:hyperlink r:id="rId16">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5"/>
        <w:gridCol w:w="1162"/>
        <w:gridCol w:w="1164"/>
        <w:gridCol w:w="1162"/>
        <w:gridCol w:w="1165"/>
        <w:gridCol w:w="1164"/>
      </w:tblGrid>
      <w:tr>
        <w:trPr>
          <w:trHeight w:val="401"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詹亦文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何锐</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唐予华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0"/>
        <w:jc w:val="left"/>
      </w:pPr>
      <w:r>
        <w:rPr/>
        <w:t>连续两次未亲自出席董事会的说明</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4" w:lineRule="auto" w:before="39"/>
        <w:ind w:right="0" w:firstLine="360"/>
        <w:jc w:val="left"/>
      </w:pPr>
      <w:r>
        <w:rPr>
          <w:spacing w:val="-2"/>
        </w:rPr>
        <w:t>公司独立董事根据《公司法》、《证券法》、《深圳证券交易所创业板股票上市规则》、《关于在上市公司建立独立董</w:t>
      </w:r>
      <w:r>
        <w:rPr/>
        <w:t> </w:t>
      </w:r>
      <w:r>
        <w:rPr>
          <w:spacing w:val="-4"/>
        </w:rPr>
        <w:t>事制度的指导意见》及《公司章程》、《独立董事工作制度》等法律、法规、规章的规定和要求，在</w:t>
      </w:r>
      <w:r>
        <w:rPr>
          <w:rFonts w:ascii="Times New Roman" w:hAnsi="Times New Roman" w:cs="Times New Roman" w:eastAsia="Times New Roman" w:hint="default"/>
          <w:spacing w:val="-4"/>
        </w:rPr>
        <w:t>2018</w:t>
      </w:r>
      <w:r>
        <w:rPr>
          <w:spacing w:val="-4"/>
        </w:rPr>
        <w:t>年度工作中，诚实、</w:t>
      </w:r>
      <w:r>
        <w:rPr>
          <w:spacing w:val="-36"/>
        </w:rPr>
        <w:t> </w:t>
      </w:r>
      <w:r>
        <w:rPr>
          <w:spacing w:val="-36"/>
        </w:rPr>
      </w:r>
      <w:r>
        <w:rPr>
          <w:spacing w:val="-2"/>
        </w:rPr>
        <w:t>勤勉、独立地履行职责，积极出席相关会议，认真审议董事会各项议案，利用参加董事会现场会议及实地考察的机会向参与</w:t>
      </w:r>
      <w:r>
        <w:rPr>
          <w:spacing w:val="-63"/>
        </w:rPr>
        <w:t> </w:t>
      </w:r>
      <w:r>
        <w:rPr>
          <w:spacing w:val="-63"/>
        </w:rPr>
      </w:r>
      <w:r>
        <w:rPr>
          <w:spacing w:val="-2"/>
        </w:rPr>
        <w:t>公司经营董事、高级管理人员了解生产经营状况和内部控制制度建设及董事会、股东大会决议的执行情况，关注外部环境变</w:t>
      </w:r>
      <w:r>
        <w:rPr>
          <w:spacing w:val="-63"/>
        </w:rPr>
        <w:t> </w:t>
      </w:r>
      <w:r>
        <w:rPr>
          <w:spacing w:val="-63"/>
        </w:rPr>
      </w:r>
      <w:r>
        <w:rPr>
          <w:spacing w:val="-2"/>
        </w:rPr>
        <w:t>化对公司造成的影响。独立董事利用自己的专业知识和经验对公司的战略发展、内部控制、重大经营决策等提供了专业性意</w:t>
      </w:r>
      <w:r>
        <w:rPr>
          <w:spacing w:val="-63"/>
        </w:rPr>
        <w:t> </w:t>
      </w:r>
      <w:r>
        <w:rPr>
          <w:spacing w:val="-63"/>
        </w:rPr>
      </w:r>
      <w:r>
        <w:rPr>
          <w:spacing w:val="-4"/>
        </w:rPr>
        <w:t>见，对公司财务及生产经营活动、信息披露工作进行有效监督，为公司未来发展和规范运作及提升管理水平起到了积极作用。</w:t>
      </w:r>
    </w:p>
    <w:p>
      <w:pPr>
        <w:pStyle w:val="BodyText"/>
        <w:spacing w:line="316" w:lineRule="auto" w:before="20"/>
        <w:ind w:right="1131" w:firstLine="360"/>
        <w:jc w:val="both"/>
      </w:pPr>
      <w:r>
        <w:rPr>
          <w:spacing w:val="-2"/>
        </w:rPr>
        <w:t>报告期内，公司独立董事利用各自专业上的优势对公司聘任会计师事务所、对外投资、关联交易、董事会换届选举等重</w:t>
      </w:r>
      <w:r>
        <w:rPr/>
        <w:t> </w:t>
      </w:r>
      <w:r>
        <w:rPr>
          <w:spacing w:val="-2"/>
        </w:rPr>
        <w:t>要事项作出了独立、客观、公正的判断，发表了独立董事事前认可意见或独立董事意见，并且对公司经营管理、规范运作等</w:t>
      </w:r>
      <w:r>
        <w:rPr>
          <w:spacing w:val="-67"/>
        </w:rPr>
        <w:t> </w:t>
      </w:r>
      <w:r>
        <w:rPr>
          <w:spacing w:val="-67"/>
        </w:rPr>
      </w:r>
      <w:r>
        <w:rPr/>
        <w:t>方面提出了很多宝贵的专业性建议。</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288"/>
        <w:jc w:val="both"/>
      </w:pPr>
      <w:r>
        <w:rPr>
          <w:spacing w:val="-1"/>
        </w:rPr>
        <w:t>为进一步完善公司法人治理结构，促进公司董事会科学、高效决策以及建立对公司管理层绩效评价机制和激励机制，根</w:t>
      </w:r>
      <w:r>
        <w:rPr/>
        <w:t> </w:t>
      </w:r>
      <w:r>
        <w:rPr>
          <w:spacing w:val="-2"/>
        </w:rPr>
        <w:t>据《上市公司治理准则》及公司章程等有关规定，公司董事会设立战略委员会、审计委员会、提名委员会、薪酬与考核委员</w:t>
      </w:r>
      <w:r>
        <w:rPr>
          <w:spacing w:val="-68"/>
        </w:rPr>
        <w:t> </w:t>
      </w:r>
      <w:r>
        <w:rPr>
          <w:spacing w:val="-68"/>
        </w:rPr>
      </w:r>
      <w:r>
        <w:rPr/>
        <w:t>会四个董事会下设专门委员会。报告期内，各委员会履职情况如下：</w:t>
      </w:r>
    </w:p>
    <w:p>
      <w:pPr>
        <w:pStyle w:val="BodyText"/>
        <w:spacing w:line="316" w:lineRule="auto" w:before="19"/>
        <w:ind w:left="441" w:right="1195"/>
        <w:jc w:val="left"/>
      </w:pPr>
      <w:r>
        <w:rPr/>
        <w:t>（一）审计委员会履职情况 报告期内，审计委员会共召开</w:t>
      </w:r>
      <w:r>
        <w:rPr>
          <w:rFonts w:ascii="Times New Roman" w:hAnsi="Times New Roman" w:cs="Times New Roman" w:eastAsia="Times New Roman" w:hint="default"/>
        </w:rPr>
        <w:t>5</w:t>
      </w:r>
      <w:r>
        <w:rPr/>
        <w:t>次会议，对公司</w:t>
      </w:r>
      <w:r>
        <w:rPr>
          <w:rFonts w:ascii="Times New Roman" w:hAnsi="Times New Roman" w:cs="Times New Roman" w:eastAsia="Times New Roman" w:hint="default"/>
        </w:rPr>
        <w:t>2017</w:t>
      </w:r>
      <w:r>
        <w:rPr/>
        <w:t>年度财务审计报告、定期报告、内部控制报告、内部审计工作报告</w:t>
      </w:r>
    </w:p>
    <w:p>
      <w:pPr>
        <w:pStyle w:val="BodyText"/>
        <w:spacing w:line="304" w:lineRule="auto"/>
        <w:ind w:right="1131"/>
        <w:jc w:val="both"/>
      </w:pPr>
      <w:r>
        <w:rPr>
          <w:spacing w:val="-2"/>
        </w:rPr>
        <w:t>及审计计划等进行了审议，在</w:t>
      </w:r>
      <w:r>
        <w:rPr>
          <w:rFonts w:ascii="Times New Roman" w:hAnsi="Times New Roman" w:cs="Times New Roman" w:eastAsia="Times New Roman" w:hint="default"/>
          <w:spacing w:val="-2"/>
        </w:rPr>
        <w:t>2017</w:t>
      </w:r>
      <w:r>
        <w:rPr>
          <w:spacing w:val="-2"/>
        </w:rPr>
        <w:t>年度审计过程中，审计委员会在审计机构进场前与会计师进行了第一次沟通，确定了审计</w:t>
      </w:r>
      <w:r>
        <w:rPr>
          <w:spacing w:val="-63"/>
        </w:rPr>
        <w:t> </w:t>
      </w:r>
      <w:r>
        <w:rPr>
          <w:spacing w:val="-63"/>
        </w:rPr>
      </w:r>
      <w:r>
        <w:rPr>
          <w:spacing w:val="-2"/>
        </w:rPr>
        <w:t>机构进场审计的时间安排及</w:t>
      </w:r>
      <w:r>
        <w:rPr>
          <w:rFonts w:ascii="Times New Roman" w:hAnsi="Times New Roman" w:cs="Times New Roman" w:eastAsia="Times New Roman" w:hint="default"/>
          <w:spacing w:val="-2"/>
        </w:rPr>
        <w:t>2017</w:t>
      </w:r>
      <w:r>
        <w:rPr>
          <w:spacing w:val="-2"/>
        </w:rPr>
        <w:t>年度财务报告的审计计划，并在后续审计过程中加强了与会计师的联系，督促其按计划进行</w:t>
      </w:r>
      <w:r>
        <w:rPr>
          <w:spacing w:val="-62"/>
        </w:rPr>
        <w:t> </w:t>
      </w:r>
      <w:r>
        <w:rPr>
          <w:spacing w:val="-62"/>
        </w:rPr>
      </w:r>
      <w:r>
        <w:rPr>
          <w:spacing w:val="-2"/>
        </w:rPr>
        <w:t>审计工作，对发现的问题保持及时有效的沟通，积极提出建议，提高审计效率，为公司</w:t>
      </w:r>
      <w:r>
        <w:rPr>
          <w:rFonts w:ascii="Times New Roman" w:hAnsi="Times New Roman" w:cs="Times New Roman" w:eastAsia="Times New Roman" w:hint="default"/>
          <w:spacing w:val="-2"/>
        </w:rPr>
        <w:t>2017</w:t>
      </w:r>
      <w:r>
        <w:rPr>
          <w:spacing w:val="-2"/>
        </w:rPr>
        <w:t>年度报告的高质、高效披露提供</w:t>
      </w:r>
      <w:r>
        <w:rPr>
          <w:spacing w:val="-61"/>
        </w:rPr>
        <w:t> </w:t>
      </w:r>
      <w:r>
        <w:rPr>
          <w:spacing w:val="-61"/>
        </w:rPr>
      </w:r>
      <w:r>
        <w:rPr>
          <w:spacing w:val="-2"/>
        </w:rPr>
        <w:t>了有力保障。另外对公司全年生产经营情况和重大事项进展情况进行了考察，指导公司审计部在内部审计过程中应重点关注</w:t>
      </w:r>
      <w:r>
        <w:rPr>
          <w:spacing w:val="-63"/>
        </w:rPr>
        <w:t> </w:t>
      </w:r>
      <w:r>
        <w:rPr>
          <w:spacing w:val="-63"/>
        </w:rPr>
      </w:r>
      <w:r>
        <w:rPr/>
        <w:t>和检查的事项，督促公司内部控制的有效执行。</w:t>
      </w:r>
    </w:p>
    <w:p>
      <w:pPr>
        <w:pStyle w:val="BodyText"/>
        <w:spacing w:line="316" w:lineRule="auto" w:before="28"/>
        <w:ind w:left="441" w:right="1195"/>
        <w:jc w:val="left"/>
      </w:pPr>
      <w:r>
        <w:rPr/>
        <w:t>（二）战略委员会履职情况 报告期内，战略委员会共召开</w:t>
      </w:r>
      <w:r>
        <w:rPr>
          <w:rFonts w:ascii="Times New Roman" w:hAnsi="Times New Roman" w:cs="Times New Roman" w:eastAsia="Times New Roman" w:hint="default"/>
        </w:rPr>
        <w:t>1</w:t>
      </w:r>
      <w:r>
        <w:rPr/>
        <w:t>次会议，对公司对外投资情况进行审议。日常工作中，战略委员会对公司重大投资决策</w:t>
      </w:r>
    </w:p>
    <w:p>
      <w:pPr>
        <w:pStyle w:val="BodyText"/>
        <w:spacing w:line="316" w:lineRule="auto"/>
        <w:ind w:right="0"/>
        <w:jc w:val="left"/>
      </w:pPr>
      <w:r>
        <w:rPr>
          <w:spacing w:val="-2"/>
        </w:rPr>
        <w:t>及其他影响公司发展的重大事项进行研究，提出相关建议，并与公司管理层保持密切沟通，对促进公司持续、健康发展，提</w:t>
      </w:r>
      <w:r>
        <w:rPr>
          <w:spacing w:val="-67"/>
        </w:rPr>
        <w:t> </w:t>
      </w:r>
      <w:r>
        <w:rPr>
          <w:spacing w:val="-67"/>
        </w:rPr>
      </w:r>
      <w:r>
        <w:rPr/>
        <w:t>高公司战略决策的合理性和科学性起到积极良好的作用。</w:t>
      </w:r>
    </w:p>
    <w:p>
      <w:pPr>
        <w:pStyle w:val="BodyText"/>
        <w:spacing w:line="316" w:lineRule="auto" w:before="19"/>
        <w:ind w:left="441" w:right="1195"/>
        <w:jc w:val="left"/>
      </w:pPr>
      <w:r>
        <w:rPr/>
        <w:t>（三）薪酬与考核委员会履职情况 报告期内，薪酬与考核委员会共召开</w:t>
      </w:r>
      <w:r>
        <w:rPr>
          <w:rFonts w:ascii="Times New Roman" w:hAnsi="Times New Roman" w:cs="Times New Roman" w:eastAsia="Times New Roman" w:hint="default"/>
        </w:rPr>
        <w:t>1</w:t>
      </w:r>
      <w:r>
        <w:rPr/>
        <w:t>次会议，对公司薪酬及绩效考核情况进行监督，审查参与公司经营董事及高级管</w:t>
      </w:r>
    </w:p>
    <w:p>
      <w:pPr>
        <w:pStyle w:val="BodyText"/>
        <w:spacing w:line="316" w:lineRule="auto"/>
        <w:ind w:right="0"/>
        <w:jc w:val="left"/>
      </w:pPr>
      <w:r>
        <w:rPr>
          <w:spacing w:val="-2"/>
        </w:rPr>
        <w:t>理人员履行职责的情况并对其进行年度绩效考评，对考核和评价标准提出建议，促进公司在规范运作的基础上，进一步提高</w:t>
      </w:r>
      <w:r>
        <w:rPr>
          <w:spacing w:val="-64"/>
        </w:rPr>
        <w:t> </w:t>
      </w:r>
      <w:r>
        <w:rPr>
          <w:spacing w:val="-64"/>
        </w:rPr>
      </w:r>
      <w:r>
        <w:rPr/>
        <w:t>在薪酬考核方面的科学性。</w:t>
      </w:r>
    </w:p>
    <w:p>
      <w:pPr>
        <w:pStyle w:val="BodyText"/>
        <w:spacing w:line="319" w:lineRule="auto" w:before="19"/>
        <w:ind w:left="441" w:right="1195" w:hanging="72"/>
        <w:jc w:val="left"/>
      </w:pPr>
      <w:r>
        <w:rPr/>
        <w:t>（四）提名委员会履职情况 报告期内，提名委员会共召开</w:t>
      </w:r>
      <w:r>
        <w:rPr>
          <w:rFonts w:ascii="Times New Roman" w:hAnsi="Times New Roman" w:cs="Times New Roman" w:eastAsia="Times New Roman" w:hint="default"/>
        </w:rPr>
        <w:t>2</w:t>
      </w:r>
      <w:r>
        <w:rPr/>
        <w:t>次会议，对公司董事、高级管理人员的提名、聘任提出了建设性建议，对公司第四届董</w:t>
      </w:r>
    </w:p>
    <w:p>
      <w:pPr>
        <w:pStyle w:val="BodyText"/>
        <w:spacing w:line="233" w:lineRule="exact"/>
        <w:ind w:right="0"/>
        <w:jc w:val="both"/>
      </w:pPr>
      <w:r>
        <w:rPr/>
        <w:t>事会董事、高级管理人员任职资格进行审查，未发现《公司法》及相关法律法规规定的禁止担任上市公司董事、高级管理人</w:t>
      </w:r>
    </w:p>
    <w:p>
      <w:pPr>
        <w:spacing w:after="0" w:line="233" w:lineRule="exact"/>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员的情形。</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360"/>
        <w:jc w:val="left"/>
      </w:pPr>
      <w:r>
        <w:rPr>
          <w:spacing w:val="-2"/>
        </w:rPr>
        <w:t>公司按照《董事、高级管理人员薪酬与考核管理制度》，建立了高级管理人员的薪酬与公司业绩挂钩的绩效考核与激励</w:t>
      </w:r>
      <w:r>
        <w:rPr/>
        <w:t> </w:t>
      </w:r>
      <w:r>
        <w:rPr>
          <w:spacing w:val="-2"/>
        </w:rPr>
        <w:t>约束机制，公司高级管理人员年薪总收入由基本薪酬和考核薪酬组成。董事会下设薪酬与考核委员会根据公司高级管理人员</w:t>
      </w:r>
      <w:r>
        <w:rPr>
          <w:spacing w:val="-64"/>
        </w:rPr>
        <w:t> </w:t>
      </w:r>
      <w:r>
        <w:rPr>
          <w:spacing w:val="-64"/>
        </w:rPr>
      </w:r>
      <w:r>
        <w:rPr>
          <w:spacing w:val="-4"/>
        </w:rPr>
        <w:t>各自考核指标的完成情况以及高级管理人员的工作业绩，对公司的高级管理人员进行年度绩效考核，监督薪酬制度执行情况，</w:t>
      </w:r>
      <w:r>
        <w:rPr>
          <w:spacing w:val="-44"/>
        </w:rPr>
        <w:t> </w:t>
      </w:r>
      <w:r>
        <w:rPr>
          <w:spacing w:val="-44"/>
        </w:rPr>
      </w:r>
      <w:r>
        <w:rPr>
          <w:spacing w:val="-2"/>
        </w:rPr>
        <w:t>逐步完善公正透明的绩效评价标准和激励约束机制。《公司章程》明确规定了高级管理人员的履职行为、权限和职责，高级</w:t>
      </w:r>
      <w:r>
        <w:rPr>
          <w:spacing w:val="-67"/>
        </w:rPr>
        <w:t> </w:t>
      </w:r>
      <w:r>
        <w:rPr>
          <w:spacing w:val="-67"/>
        </w:rPr>
      </w:r>
      <w:r>
        <w:rPr>
          <w:spacing w:val="-2"/>
        </w:rPr>
        <w:t>管理人员的聘任公开、透明，符合有关法律、法规的规定。公司董事会薪酬与考核委员会根据实际情况对公司高级管理人员</w:t>
      </w:r>
      <w:r>
        <w:rPr>
          <w:spacing w:val="-66"/>
        </w:rPr>
        <w:t> </w:t>
      </w:r>
      <w:r>
        <w:rPr>
          <w:spacing w:val="-66"/>
        </w:rPr>
      </w:r>
      <w:r>
        <w:rPr/>
        <w:t>进行考核后，一致认为现有绩效评价标准和激励约束机制符合公司的发展情况。</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spacing w:line="240" w:lineRule="auto" w:before="44"/>
        <w:ind w:left="0" w:right="1136"/>
        <w:jc w:val="right"/>
      </w:pPr>
      <w:r>
        <w:rPr/>
        <w:pict>
          <v:shape style="position:absolute;margin-left:56.400002pt;margin-top:-261.898285pt;width:479.3pt;height:295.2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22"/>
                    <w:gridCol w:w="3053"/>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gridSpan w:val="2"/>
                        <w:vMerge w:val="restart"/>
                        <w:tcBorders>
                          <w:top w:val="single" w:sz="4" w:space="0" w:color="000000"/>
                          <w:left w:val="single" w:sz="4" w:space="0" w:color="000000"/>
                          <w:right w:val="single" w:sz="4" w:space="0" w:color="000000"/>
                        </w:tcBorders>
                        <w:shd w:val="clear" w:color="auto" w:fill="CCE8CF"/>
                      </w:tcPr>
                      <w:p>
                        <w:pPr>
                          <w:pStyle w:val="TableParagraph"/>
                          <w:spacing w:line="297" w:lineRule="auto" w:before="51"/>
                          <w:ind w:left="24" w:right="92"/>
                          <w:jc w:val="left"/>
                          <w:rPr>
                            <w:rFonts w:ascii="宋体" w:hAnsi="宋体" w:cs="宋体" w:eastAsia="宋体" w:hint="default"/>
                            <w:sz w:val="18"/>
                            <w:szCs w:val="18"/>
                          </w:rPr>
                        </w:pPr>
                        <w:r>
                          <w:rPr>
                            <w:rFonts w:ascii="宋体" w:hAnsi="宋体" w:cs="宋体" w:eastAsia="宋体" w:hint="default"/>
                            <w:spacing w:val="-5"/>
                            <w:w w:val="99"/>
                            <w:sz w:val="18"/>
                            <w:szCs w:val="18"/>
                          </w:rPr>
                          <w:t>巨潮资讯网（</w:t>
                        </w:r>
                        <w:hyperlink r:id="rId13">
                          <w:r>
                            <w:rPr>
                              <w:rFonts w:ascii="Times New Roman" w:hAnsi="Times New Roman" w:cs="Times New Roman" w:eastAsia="Times New Roman" w:hint="default"/>
                              <w:spacing w:val="-5"/>
                              <w:w w:val="99"/>
                              <w:sz w:val="18"/>
                              <w:szCs w:val="18"/>
                            </w:rPr>
                            <w:t>http://www.cninfo.com.cn</w:t>
                          </w:r>
                        </w:hyperlink>
                        <w:r>
                          <w:rPr>
                            <w:rFonts w:ascii="宋体" w:hAnsi="宋体" w:cs="宋体" w:eastAsia="宋体" w:hint="default"/>
                            <w:spacing w:val="-5"/>
                            <w:w w:val="99"/>
                            <w:sz w:val="18"/>
                            <w:szCs w:val="18"/>
                          </w:rPr>
                          <w:t>）：易联众：《</w:t>
                        </w:r>
                        <w:r>
                          <w:rPr>
                            <w:rFonts w:ascii="Times New Roman" w:hAnsi="Times New Roman" w:cs="Times New Roman" w:eastAsia="Times New Roman" w:hint="default"/>
                            <w:spacing w:val="-5"/>
                            <w:w w:val="99"/>
                            <w:sz w:val="18"/>
                            <w:szCs w:val="18"/>
                          </w:rPr>
                          <w:t>2018</w:t>
                        </w:r>
                        <w:r>
                          <w:rPr>
                            <w:rFonts w:ascii="Times New Roman" w:hAnsi="Times New Roman" w:cs="Times New Roman" w:eastAsia="Times New Roman" w:hint="default"/>
                            <w:spacing w:val="9"/>
                            <w:w w:val="99"/>
                            <w:sz w:val="18"/>
                            <w:szCs w:val="18"/>
                          </w:rPr>
                          <w:t> </w:t>
                        </w:r>
                        <w:r>
                          <w:rPr>
                            <w:rFonts w:ascii="宋体" w:hAnsi="宋体" w:cs="宋体" w:eastAsia="宋体" w:hint="default"/>
                            <w:spacing w:val="-1"/>
                            <w:sz w:val="18"/>
                            <w:szCs w:val="18"/>
                          </w:rPr>
                          <w:t>年度内部控制自我评价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报告》</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vMerge/>
                        <w:tcBorders>
                          <w:left w:val="single" w:sz="4" w:space="0" w:color="000000"/>
                          <w:right w:val="single" w:sz="4" w:space="0" w:color="000000"/>
                        </w:tcBorders>
                        <w:shd w:val="clear" w:color="auto" w:fill="CCE8CF"/>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gridSpan w:val="2"/>
                        <w:vMerge/>
                        <w:tcBorders>
                          <w:left w:val="single" w:sz="4" w:space="0" w:color="000000"/>
                          <w:bottom w:val="single" w:sz="4" w:space="0" w:color="000000"/>
                          <w:right w:val="single" w:sz="4" w:space="0" w:color="000000"/>
                        </w:tcBorders>
                        <w:shd w:val="clear" w:color="auto" w:fill="CCE8CF"/>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078"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shd w:val="clear" w:color="auto" w:fill="CCE8CF"/>
                      </w:tcPr>
                      <w:p>
                        <w:pPr>
                          <w:pStyle w:val="TableParagraph"/>
                          <w:spacing w:line="307" w:lineRule="auto" w:before="51"/>
                          <w:ind w:left="24" w:right="47"/>
                          <w:jc w:val="both"/>
                          <w:rPr>
                            <w:rFonts w:ascii="宋体" w:hAnsi="宋体" w:cs="宋体" w:eastAsia="宋体" w:hint="default"/>
                            <w:sz w:val="18"/>
                            <w:szCs w:val="18"/>
                          </w:rPr>
                        </w:pPr>
                        <w:r>
                          <w:rPr>
                            <w:rFonts w:ascii="宋体" w:hAnsi="宋体" w:cs="宋体" w:eastAsia="宋体" w:hint="default"/>
                            <w:sz w:val="18"/>
                            <w:szCs w:val="18"/>
                          </w:rPr>
                          <w:t>重大缺陷：是指一个或多个控制缺陷的组 合，可能导致企业严重偏离控制目标。发 </w:t>
                        </w:r>
                        <w:r>
                          <w:rPr>
                            <w:rFonts w:ascii="宋体" w:hAnsi="宋体" w:cs="宋体" w:eastAsia="宋体" w:hint="default"/>
                            <w:spacing w:val="-5"/>
                            <w:sz w:val="18"/>
                            <w:szCs w:val="18"/>
                          </w:rPr>
                          <w:t>生重大缺陷的迹象包括：（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w:t>
                        </w:r>
                        <w:r>
                          <w:rPr>
                            <w:rFonts w:ascii="宋体" w:hAnsi="宋体" w:cs="宋体" w:eastAsia="宋体" w:hint="default"/>
                            <w:spacing w:val="-86"/>
                            <w:sz w:val="18"/>
                            <w:szCs w:val="18"/>
                          </w:rPr>
                          <w:t> </w:t>
                        </w:r>
                        <w:r>
                          <w:rPr>
                            <w:rFonts w:ascii="宋体" w:hAnsi="宋体" w:cs="宋体" w:eastAsia="宋体" w:hint="default"/>
                            <w:spacing w:val="-5"/>
                            <w:sz w:val="18"/>
                            <w:szCs w:val="18"/>
                          </w:rPr>
                          <w:t>监事和高级管理人员的舞弊行为；（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w:t>
                        </w:r>
                        <w:r>
                          <w:rPr>
                            <w:rFonts w:ascii="宋体" w:hAnsi="宋体" w:cs="宋体" w:eastAsia="宋体" w:hint="default"/>
                            <w:spacing w:val="-86"/>
                            <w:sz w:val="18"/>
                            <w:szCs w:val="18"/>
                          </w:rPr>
                          <w:t> </w:t>
                        </w:r>
                        <w:r>
                          <w:rPr>
                            <w:rFonts w:ascii="宋体" w:hAnsi="宋体" w:cs="宋体" w:eastAsia="宋体" w:hint="default"/>
                            <w:sz w:val="18"/>
                            <w:szCs w:val="18"/>
                          </w:rPr>
                          <w:t>已经公告的财务报告出现的重大差错进行 </w:t>
                        </w:r>
                        <w:r>
                          <w:rPr>
                            <w:rFonts w:ascii="宋体" w:hAnsi="宋体" w:cs="宋体" w:eastAsia="宋体" w:hint="default"/>
                            <w:spacing w:val="-5"/>
                            <w:sz w:val="18"/>
                            <w:szCs w:val="18"/>
                          </w:rPr>
                          <w:t>错报更正；（</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）错报金额直接影响盈亏性</w:t>
                        </w:r>
                        <w:r>
                          <w:rPr>
                            <w:rFonts w:ascii="宋体" w:hAnsi="宋体" w:cs="宋体" w:eastAsia="宋体" w:hint="default"/>
                            <w:spacing w:val="-86"/>
                            <w:sz w:val="18"/>
                            <w:szCs w:val="18"/>
                          </w:rPr>
                          <w:t> </w:t>
                        </w:r>
                        <w:r>
                          <w:rPr>
                            <w:rFonts w:ascii="宋体" w:hAnsi="宋体" w:cs="宋体" w:eastAsia="宋体" w:hint="default"/>
                            <w:spacing w:val="-5"/>
                            <w:sz w:val="18"/>
                            <w:szCs w:val="18"/>
                          </w:rPr>
                          <w:t>质；（</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）注册会计师发现的却未被公司内</w:t>
                        </w:r>
                        <w:r>
                          <w:rPr>
                            <w:rFonts w:ascii="宋体" w:hAnsi="宋体" w:cs="宋体" w:eastAsia="宋体" w:hint="default"/>
                            <w:spacing w:val="-86"/>
                            <w:sz w:val="18"/>
                            <w:szCs w:val="18"/>
                          </w:rPr>
                          <w:t> </w:t>
                        </w:r>
                        <w:r>
                          <w:rPr>
                            <w:rFonts w:ascii="宋体" w:hAnsi="宋体" w:cs="宋体" w:eastAsia="宋体" w:hint="default"/>
                            <w:sz w:val="18"/>
                            <w:szCs w:val="18"/>
                          </w:rPr>
                          <w:t>部控制识别的当期财务报告中的重大错</w:t>
                        </w:r>
                      </w:p>
                    </w:tc>
                    <w:tc>
                      <w:tcPr>
                        <w:tcW w:w="3053"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6" w:right="-43"/>
                          <w:jc w:val="left"/>
                          <w:rPr>
                            <w:rFonts w:ascii="宋体" w:hAnsi="宋体" w:cs="宋体" w:eastAsia="宋体" w:hint="default"/>
                            <w:sz w:val="18"/>
                            <w:szCs w:val="18"/>
                          </w:rPr>
                        </w:pPr>
                        <w:r>
                          <w:rPr>
                            <w:rFonts w:ascii="宋体" w:hAnsi="宋体" w:cs="宋体" w:eastAsia="宋体" w:hint="default"/>
                            <w:sz w:val="18"/>
                            <w:szCs w:val="18"/>
                          </w:rPr>
                          <w:t>具有以下特征的缺陷，认定为重大缺 </w:t>
                        </w:r>
                        <w:r>
                          <w:rPr>
                            <w:rFonts w:ascii="宋体" w:hAnsi="宋体" w:cs="宋体" w:eastAsia="宋体" w:hint="default"/>
                            <w:spacing w:val="-6"/>
                            <w:sz w:val="18"/>
                            <w:szCs w:val="18"/>
                          </w:rPr>
                          <w:t>陷：（</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）公司决策程序导致重大失误；</w:t>
                        </w:r>
                      </w:p>
                      <w:p>
                        <w:pPr>
                          <w:pStyle w:val="TableParagraph"/>
                          <w:spacing w:line="304" w:lineRule="auto"/>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）公司重要业务缺乏制度控制或制 </w:t>
                        </w:r>
                        <w:r>
                          <w:rPr>
                            <w:rFonts w:ascii="宋体" w:hAnsi="宋体" w:cs="宋体" w:eastAsia="宋体" w:hint="default"/>
                            <w:spacing w:val="-9"/>
                            <w:sz w:val="18"/>
                            <w:szCs w:val="18"/>
                          </w:rPr>
                          <w:t>度体系失效；（</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）中高级管理人员和高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级技术人员严重流失；（</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）公司违反法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律法规，遭受重大行政监管处罚。具有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以下特征的缺陷，认定为重要缺陷：（</w:t>
                        </w:r>
                        <w:r>
                          <w:rPr>
                            <w:rFonts w:ascii="Times New Roman" w:hAnsi="Times New Roman" w:cs="Times New Roman" w:eastAsia="Times New Roman" w:hint="default"/>
                            <w:spacing w:val="-14"/>
                            <w:sz w:val="18"/>
                            <w:szCs w:val="18"/>
                          </w:rPr>
                          <w:t>1</w:t>
                        </w:r>
                        <w:r>
                          <w:rPr>
                            <w:rFonts w:ascii="Times New Roman" w:hAnsi="Times New Roman" w:cs="Times New Roman" w:eastAsia="Times New Roman" w:hint="default"/>
                            <w:spacing w:val="-38"/>
                            <w:sz w:val="18"/>
                            <w:szCs w:val="18"/>
                          </w:rPr>
                          <w:t> </w:t>
                        </w:r>
                        <w:r>
                          <w:rPr>
                            <w:rFonts w:ascii="宋体" w:hAnsi="宋体" w:cs="宋体" w:eastAsia="宋体" w:hint="default"/>
                            <w:spacing w:val="-6"/>
                            <w:sz w:val="18"/>
                            <w:szCs w:val="18"/>
                          </w:rPr>
                          <w:t>公司决策程序导致出现一般失误；（</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4" w:space="0" w:color="000000"/>
                        </w:tcBorders>
                        <w:shd w:val="clear" w:color="auto" w:fill="CCE8CF"/>
                      </w:tcPr>
                      <w:p>
                        <w:pPr/>
                      </w:p>
                    </w:tc>
                    <w:tc>
                      <w:tcPr>
                        <w:tcW w:w="3053" w:type="dxa"/>
                        <w:vMerge/>
                        <w:tcBorders>
                          <w:left w:val="single" w:sz="4" w:space="0" w:color="000000"/>
                          <w:right w:val="single" w:sz="4" w:space="0" w:color="000000"/>
                        </w:tcBorders>
                        <w:shd w:val="clear" w:color="auto" w:fill="CCE8CF"/>
                      </w:tcPr>
                      <w:p>
                        <w:pPr/>
                      </w:p>
                    </w:tc>
                  </w:tr>
                  <w:tr>
                    <w:trPr>
                      <w:trHeight w:val="1078"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shd w:val="clear" w:color="auto" w:fill="CCE8CF"/>
                      </w:tcPr>
                      <w:p>
                        <w:pPr/>
                      </w:p>
                    </w:tc>
                    <w:tc>
                      <w:tcPr>
                        <w:tcW w:w="3053" w:type="dxa"/>
                        <w:vMerge/>
                        <w:tcBorders>
                          <w:left w:val="single" w:sz="4" w:space="0" w:color="000000"/>
                          <w:bottom w:val="single" w:sz="4" w:space="0" w:color="000000"/>
                          <w:right w:val="single" w:sz="4" w:space="0" w:color="000000"/>
                        </w:tcBorders>
                        <w:shd w:val="clear" w:color="auto" w:fill="CCE8CF"/>
                      </w:tcPr>
                      <w:p>
                        <w:pPr/>
                      </w:p>
                    </w:tc>
                  </w:tr>
                </w:tbl>
                <w:p>
                  <w:pPr/>
                </w:p>
              </w:txbxContent>
            </v:textbox>
            <w10:wrap type="none"/>
          </v:shape>
        </w:pict>
      </w:r>
      <w:r>
        <w:rPr/>
        <w:t>）</w:t>
      </w:r>
    </w:p>
    <w:p>
      <w:pPr>
        <w:spacing w:after="0" w:line="240" w:lineRule="auto"/>
        <w:jc w:val="right"/>
        <w:sectPr>
          <w:pgSz w:w="11910" w:h="16840"/>
          <w:pgMar w:header="748" w:footer="974"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2.95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504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11"/>
                          <w:ind w:left="24" w:right="47"/>
                          <w:jc w:val="both"/>
                          <w:rPr>
                            <w:rFonts w:ascii="宋体" w:hAnsi="宋体" w:cs="宋体" w:eastAsia="宋体" w:hint="default"/>
                            <w:sz w:val="18"/>
                            <w:szCs w:val="18"/>
                          </w:rPr>
                        </w:pPr>
                        <w:r>
                          <w:rPr>
                            <w:rFonts w:ascii="宋体" w:hAnsi="宋体" w:cs="宋体" w:eastAsia="宋体" w:hint="default"/>
                            <w:spacing w:val="-5"/>
                            <w:sz w:val="18"/>
                            <w:szCs w:val="18"/>
                          </w:rPr>
                          <w:t>报；（</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）审计委员会和审计部门对公司的</w:t>
                        </w:r>
                        <w:r>
                          <w:rPr>
                            <w:rFonts w:ascii="宋体" w:hAnsi="宋体" w:cs="宋体" w:eastAsia="宋体" w:hint="default"/>
                            <w:spacing w:val="-86"/>
                            <w:sz w:val="18"/>
                            <w:szCs w:val="18"/>
                          </w:rPr>
                          <w:t> </w:t>
                        </w:r>
                        <w:r>
                          <w:rPr>
                            <w:rFonts w:ascii="宋体" w:hAnsi="宋体" w:cs="宋体" w:eastAsia="宋体" w:hint="default"/>
                            <w:sz w:val="18"/>
                            <w:szCs w:val="18"/>
                          </w:rPr>
                          <w:t>对外财务报告和财务报告内部控制监督无 效。重要缺陷：是指一个或多个控制缺陷 的组合，其严重程度和经济后果低于重大 缺陷但仍有可能导致企业偏离控制目标。 出现以下特征的，认定为存在财务报告内 </w:t>
                        </w:r>
                        <w:r>
                          <w:rPr>
                            <w:rFonts w:ascii="宋体" w:hAnsi="宋体" w:cs="宋体" w:eastAsia="宋体" w:hint="default"/>
                            <w:spacing w:val="-5"/>
                            <w:sz w:val="18"/>
                            <w:szCs w:val="18"/>
                          </w:rPr>
                          <w:t>部控制重要缺陷：（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w:t>
                        </w:r>
                        <w:r>
                          <w:rPr>
                            <w:rFonts w:ascii="宋体" w:hAnsi="宋体" w:cs="宋体" w:eastAsia="宋体" w:hint="default"/>
                            <w:spacing w:val="-86"/>
                            <w:sz w:val="18"/>
                            <w:szCs w:val="18"/>
                          </w:rPr>
                          <w:t> </w:t>
                        </w:r>
                        <w:r>
                          <w:rPr>
                            <w:rFonts w:ascii="宋体" w:hAnsi="宋体" w:cs="宋体" w:eastAsia="宋体" w:hint="default"/>
                            <w:spacing w:val="-5"/>
                            <w:sz w:val="18"/>
                            <w:szCs w:val="18"/>
                          </w:rPr>
                          <w:t>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w:t>
                        </w:r>
                        <w:r>
                          <w:rPr>
                            <w:rFonts w:ascii="宋体" w:hAnsi="宋体" w:cs="宋体" w:eastAsia="宋体" w:hint="default"/>
                            <w:spacing w:val="-86"/>
                            <w:sz w:val="18"/>
                            <w:szCs w:val="18"/>
                          </w:rPr>
                          <w:t> </w:t>
                        </w:r>
                        <w:r>
                          <w:rPr>
                            <w:rFonts w:ascii="宋体" w:hAnsi="宋体" w:cs="宋体" w:eastAsia="宋体" w:hint="default"/>
                            <w:spacing w:val="-5"/>
                            <w:sz w:val="18"/>
                            <w:szCs w:val="18"/>
                          </w:rPr>
                          <w:t>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）对于非常规或特</w:t>
                        </w:r>
                        <w:r>
                          <w:rPr>
                            <w:rFonts w:ascii="宋体" w:hAnsi="宋体" w:cs="宋体" w:eastAsia="宋体" w:hint="default"/>
                            <w:spacing w:val="-86"/>
                            <w:sz w:val="18"/>
                            <w:szCs w:val="18"/>
                          </w:rPr>
                          <w:t> </w:t>
                        </w:r>
                        <w:r>
                          <w:rPr>
                            <w:rFonts w:ascii="宋体" w:hAnsi="宋体" w:cs="宋体" w:eastAsia="宋体" w:hint="default"/>
                            <w:sz w:val="18"/>
                            <w:szCs w:val="18"/>
                          </w:rPr>
                          <w:t>殊交易的财务处理没有建立相应的控制机 制或没有实施且没有相应的补偿性控制；</w:t>
                        </w:r>
                      </w:p>
                      <w:p>
                        <w:pPr>
                          <w:pStyle w:val="TableParagraph"/>
                          <w:spacing w:line="314" w:lineRule="auto" w:before="23"/>
                          <w:ind w:left="24"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）对于期末财务报告过程的控制存在一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项或多项缺陷且不能合理保证编制的财务 报表达到真实、完整的目标。一般缺陷： 是指除重大缺陷和重要缺陷之外的其他控 制缺陷。</w:t>
                        </w:r>
                      </w:p>
                    </w:tc>
                    <w:tc>
                      <w:tcPr>
                        <w:tcW w:w="3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公司重要业务制度或系统存在缺陷；</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）公司关键岗位业务人员流失严重</w:t>
                        </w:r>
                      </w:p>
                      <w:p>
                        <w:pPr>
                          <w:pStyle w:val="TableParagraph"/>
                          <w:spacing w:line="309" w:lineRule="auto" w:before="63"/>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）公司违反规章制度，形成损失； 除重大缺陷和重要缺陷之外的其他控 制缺陷为一般缺陷。</w:t>
                        </w:r>
                      </w:p>
                    </w:tc>
                  </w:tr>
                  <w:tr>
                    <w:trPr>
                      <w:trHeight w:val="82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4" w:lineRule="auto" w:before="51"/>
                          <w:ind w:left="24" w:right="-3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）符合下列条件之一的，认定为重大缺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陷：</w:t>
                        </w:r>
                        <w:r>
                          <w:rPr>
                            <w:rFonts w:ascii="Times New Roman" w:hAnsi="Times New Roman" w:cs="Times New Roman" w:eastAsia="Times New Roman" w:hint="default"/>
                            <w:spacing w:val="-8"/>
                            <w:sz w:val="18"/>
                            <w:szCs w:val="18"/>
                          </w:rPr>
                          <w:t>a</w:t>
                        </w:r>
                        <w:r>
                          <w:rPr>
                            <w:rFonts w:ascii="宋体" w:hAnsi="宋体" w:cs="宋体" w:eastAsia="宋体" w:hint="default"/>
                            <w:spacing w:val="-8"/>
                            <w:sz w:val="18"/>
                            <w:szCs w:val="18"/>
                          </w:rPr>
                          <w:t>）涉及资产、负债的错报：错报金额</w:t>
                        </w:r>
                        <w:r>
                          <w:rPr>
                            <w:rFonts w:ascii="Times New Roman" w:hAnsi="Times New Roman" w:cs="Times New Roman" w:eastAsia="Times New Roman" w:hint="default"/>
                            <w:spacing w:val="-8"/>
                            <w:sz w:val="18"/>
                            <w:szCs w:val="18"/>
                          </w:rPr>
                          <w:t>&gt;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合并报表最近一个会计年度经审计资产总 额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b</w:t>
                        </w:r>
                        <w:r>
                          <w:rPr>
                            <w:rFonts w:ascii="宋体" w:hAnsi="宋体" w:cs="宋体" w:eastAsia="宋体" w:hint="default"/>
                            <w:spacing w:val="-8"/>
                            <w:sz w:val="18"/>
                            <w:szCs w:val="18"/>
                          </w:rPr>
                          <w:t>）涉及净资产的错报：错报金额</w:t>
                        </w:r>
                        <w:r>
                          <w:rPr>
                            <w:rFonts w:ascii="Times New Roman" w:hAnsi="Times New Roman" w:cs="Times New Roman" w:eastAsia="Times New Roman" w:hint="default"/>
                            <w:spacing w:val="-8"/>
                            <w:sz w:val="18"/>
                            <w:szCs w:val="18"/>
                          </w:rPr>
                          <w:t>&gt;</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合并报表最近一个会计年度经审计净资产 总额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c</w:t>
                        </w:r>
                        <w:r>
                          <w:rPr>
                            <w:rFonts w:ascii="宋体" w:hAnsi="宋体" w:cs="宋体" w:eastAsia="宋体" w:hint="default"/>
                            <w:spacing w:val="-8"/>
                            <w:sz w:val="18"/>
                            <w:szCs w:val="18"/>
                          </w:rPr>
                          <w:t>）涉及收入的错报：错报金额</w:t>
                        </w:r>
                        <w:r>
                          <w:rPr>
                            <w:rFonts w:ascii="Times New Roman" w:hAnsi="Times New Roman" w:cs="Times New Roman" w:eastAsia="Times New Roman" w:hint="default"/>
                            <w:spacing w:val="-8"/>
                            <w:sz w:val="18"/>
                            <w:szCs w:val="18"/>
                          </w:rPr>
                          <w:t>&gt;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合并报表最近一个会计年度经审计收入总 额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）符合下列条件之一的，认定</w:t>
                        </w:r>
                        <w:r>
                          <w:rPr>
                            <w:rFonts w:ascii="宋体" w:hAnsi="宋体" w:cs="宋体" w:eastAsia="宋体" w:hint="default"/>
                            <w:spacing w:val="-73"/>
                            <w:sz w:val="18"/>
                            <w:szCs w:val="18"/>
                          </w:rPr>
                          <w:t> </w:t>
                        </w:r>
                        <w:r>
                          <w:rPr>
                            <w:rFonts w:ascii="宋体" w:hAnsi="宋体" w:cs="宋体" w:eastAsia="宋体" w:hint="default"/>
                            <w:sz w:val="18"/>
                            <w:szCs w:val="18"/>
                          </w:rPr>
                          <w:t>为重要缺陷：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）涉及资产、负债的错报： 合并报表最近一个会计年度经审计资产总 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 年度经审计资产总额</w:t>
                        </w:r>
                        <w:r>
                          <w:rPr>
                            <w:rFonts w:ascii="宋体" w:hAnsi="宋体" w:cs="宋体" w:eastAsia="宋体" w:hint="default"/>
                            <w:spacing w:val="2"/>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）涉及净资产</w:t>
                        </w:r>
                        <w:r>
                          <w:rPr>
                            <w:rFonts w:ascii="宋体" w:hAnsi="宋体" w:cs="宋体" w:eastAsia="宋体" w:hint="default"/>
                            <w:sz w:val="18"/>
                            <w:szCs w:val="18"/>
                          </w:rPr>
                          <w:t> 的错报：合并报表最近一个会计年度经审 计净资产总额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 近一个会计年度经审计净资产总额 </w:t>
                        </w:r>
                        <w:r>
                          <w:rPr>
                            <w:rFonts w:ascii="Times New Roman" w:hAnsi="Times New Roman" w:cs="Times New Roman" w:eastAsia="Times New Roman" w:hint="default"/>
                            <w:sz w:val="18"/>
                            <w:szCs w:val="18"/>
                          </w:rPr>
                          <w:t>5%</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）涉及收入的错报：合并报表最近一个会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计年度经审计收入总额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 并报表最近一个会计年度经审计收入总额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）符合下列条件之一的，认定为一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般缺陷：</w:t>
                        </w: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）涉及资产、负债的错报：错报</w:t>
                        </w:r>
                        <w:r>
                          <w:rPr>
                            <w:rFonts w:ascii="宋体" w:hAnsi="宋体" w:cs="宋体" w:eastAsia="宋体" w:hint="default"/>
                            <w:sz w:val="18"/>
                            <w:szCs w:val="18"/>
                          </w:rPr>
                          <w:t> 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合并报表最近一个会计年度经审计 资产总额</w:t>
                        </w:r>
                        <w:r>
                          <w:rPr>
                            <w:rFonts w:ascii="宋体" w:hAnsi="宋体" w:cs="宋体" w:eastAsia="宋体" w:hint="default"/>
                            <w:spacing w:val="6"/>
                            <w:sz w:val="18"/>
                            <w:szCs w:val="18"/>
                          </w:rPr>
                          <w:t> </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b</w:t>
                        </w:r>
                        <w:r>
                          <w:rPr>
                            <w:rFonts w:ascii="宋体" w:hAnsi="宋体" w:cs="宋体" w:eastAsia="宋体" w:hint="default"/>
                            <w:spacing w:val="-7"/>
                            <w:sz w:val="18"/>
                            <w:szCs w:val="18"/>
                          </w:rPr>
                          <w:t>）涉及净资产的错报：</w:t>
                        </w:r>
                        <w:r>
                          <w:rPr>
                            <w:rFonts w:ascii="宋体" w:hAnsi="宋体" w:cs="宋体" w:eastAsia="宋体" w:hint="default"/>
                            <w:spacing w:val="-37"/>
                            <w:sz w:val="18"/>
                            <w:szCs w:val="18"/>
                          </w:rPr>
                          <w:t> </w:t>
                        </w:r>
                        <w:r>
                          <w:rPr>
                            <w:rFonts w:ascii="宋体" w:hAnsi="宋体" w:cs="宋体" w:eastAsia="宋体" w:hint="default"/>
                            <w:sz w:val="18"/>
                            <w:szCs w:val="18"/>
                          </w:rPr>
                          <w:t>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合并报表最近一个会计年度经审 计净资产总额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c</w:t>
                        </w:r>
                        <w:r>
                          <w:rPr>
                            <w:rFonts w:ascii="宋体" w:hAnsi="宋体" w:cs="宋体" w:eastAsia="宋体" w:hint="default"/>
                            <w:sz w:val="18"/>
                            <w:szCs w:val="18"/>
                          </w:rPr>
                          <w:t>）涉及收入的错报： 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 审计收入总额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00" w:lineRule="auto"/>
                          <w:ind w:left="26" w:right="3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）重大缺陷：缺陷导致的直接损失 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合并报表最近一期经审计净资产 的 </w:t>
                        </w:r>
                        <w:r>
                          <w:rPr>
                            <w:rFonts w:ascii="Times New Roman" w:hAnsi="Times New Roman" w:cs="Times New Roman" w:eastAsia="Times New Roman" w:hint="default"/>
                            <w:spacing w:val="-6"/>
                            <w:sz w:val="18"/>
                            <w:szCs w:val="18"/>
                          </w:rPr>
                          <w:t>10%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）重要缺陷：合并报表最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近一期经审计净资产的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5%&lt;</w:t>
                        </w:r>
                        <w:r>
                          <w:rPr>
                            <w:rFonts w:ascii="宋体" w:hAnsi="宋体" w:cs="宋体" w:eastAsia="宋体" w:hint="default"/>
                            <w:sz w:val="18"/>
                            <w:szCs w:val="18"/>
                          </w:rPr>
                          <w:t>缺陷导致 的直接损失金额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合并报表最近一期经 审计净资产的</w:t>
                        </w:r>
                        <w:r>
                          <w:rPr>
                            <w:rFonts w:ascii="宋体" w:hAnsi="宋体" w:cs="宋体" w:eastAsia="宋体" w:hint="default"/>
                            <w:spacing w:val="2"/>
                            <w:sz w:val="18"/>
                            <w:szCs w:val="18"/>
                          </w:rPr>
                          <w:t> </w:t>
                        </w:r>
                        <w:r>
                          <w:rPr>
                            <w:rFonts w:ascii="Times New Roman" w:hAnsi="Times New Roman" w:cs="Times New Roman" w:eastAsia="Times New Roman" w:hint="default"/>
                            <w:spacing w:val="-8"/>
                            <w:sz w:val="18"/>
                            <w:szCs w:val="18"/>
                          </w:rPr>
                          <w:t>10%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）一般缺陷：</w:t>
                        </w:r>
                        <w:r>
                          <w:rPr>
                            <w:rFonts w:ascii="宋体" w:hAnsi="宋体" w:cs="宋体" w:eastAsia="宋体" w:hint="default"/>
                            <w:sz w:val="18"/>
                            <w:szCs w:val="18"/>
                          </w:rPr>
                          <w:t> 缺陷导致的直接损失金额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 近一期经审计净资产的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left="0" w:right="1138"/>
        <w:jc w:val="right"/>
      </w:pPr>
      <w:r>
        <w:rPr/>
        <w:t>；</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0"/>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0"/>
        <w:jc w:val="left"/>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350ZA0209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李仕谦、郭清艺</w:t>
            </w:r>
          </w:p>
        </w:tc>
      </w:tr>
    </w:tbl>
    <w:p>
      <w:pPr>
        <w:pStyle w:val="BodyText"/>
        <w:spacing w:line="240" w:lineRule="auto" w:before="51"/>
        <w:ind w:left="2601" w:right="3579"/>
        <w:jc w:val="center"/>
      </w:pPr>
      <w:r>
        <w:rPr/>
        <w:t>审计报告正文</w:t>
      </w:r>
    </w:p>
    <w:p>
      <w:pPr>
        <w:spacing w:line="240" w:lineRule="auto" w:before="8"/>
        <w:rPr>
          <w:rFonts w:ascii="宋体" w:hAnsi="宋体" w:cs="宋体" w:eastAsia="宋体" w:hint="default"/>
          <w:sz w:val="11"/>
          <w:szCs w:val="11"/>
        </w:rPr>
      </w:pPr>
    </w:p>
    <w:p>
      <w:pPr>
        <w:pStyle w:val="Heading4"/>
        <w:spacing w:line="436" w:lineRule="auto" w:before="44"/>
        <w:ind w:right="7501" w:hanging="361"/>
        <w:jc w:val="left"/>
        <w:rPr>
          <w:b w:val="0"/>
          <w:bCs w:val="0"/>
        </w:rPr>
      </w:pPr>
      <w:r>
        <w:rPr/>
        <w:t>易联众信息技术股份有限公司全体股东：</w:t>
      </w:r>
      <w:r>
        <w:rPr>
          <w:w w:val="99"/>
        </w:rPr>
        <w:t> </w:t>
      </w:r>
      <w:r>
        <w:rPr/>
        <w:t>一、审计意见</w:t>
      </w:r>
      <w:r>
        <w:rPr>
          <w:b w:val="0"/>
          <w:bCs w:val="0"/>
        </w:rPr>
      </w:r>
    </w:p>
    <w:p>
      <w:pPr>
        <w:pStyle w:val="BodyText"/>
        <w:spacing w:line="316" w:lineRule="auto" w:before="49"/>
        <w:ind w:right="1126" w:firstLine="360"/>
        <w:jc w:val="both"/>
      </w:pPr>
      <w:r>
        <w:rPr>
          <w:spacing w:val="-2"/>
        </w:rPr>
        <w:t>我们审计了易联众信息技术股份有限公司（以下简称易联众公司）财务报表，包括</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日的合并及公司资产负</w:t>
      </w:r>
      <w:r>
        <w:rPr/>
        <w:t> 债表，</w:t>
      </w:r>
      <w:r>
        <w:rPr>
          <w:rFonts w:ascii="宋体" w:hAnsi="宋体" w:cs="宋体" w:eastAsia="宋体" w:hint="default"/>
        </w:rPr>
        <w:t>2018</w:t>
      </w:r>
      <w:r>
        <w:rPr/>
        <w:t>年度的合并及公司利润表、合并及公司现金流量表、合并及公司股东权益变动表以及相关财务报表附注。</w:t>
      </w:r>
    </w:p>
    <w:p>
      <w:pPr>
        <w:pStyle w:val="BodyText"/>
        <w:spacing w:line="316" w:lineRule="auto" w:before="139"/>
        <w:ind w:right="1128" w:firstLine="360"/>
        <w:jc w:val="both"/>
      </w:pPr>
      <w:r>
        <w:rPr>
          <w:spacing w:val="-2"/>
        </w:rPr>
        <w:t>我们认为，后附的财务报表在所有重大方面按照企业会计准则的规定编制，公允反映了易联众公司</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w:t>
      </w:r>
      <w:r>
        <w:rPr/>
        <w:t> 并及公司财务状况以及</w:t>
      </w:r>
      <w:r>
        <w:rPr>
          <w:rFonts w:ascii="宋体" w:hAnsi="宋体" w:cs="宋体" w:eastAsia="宋体" w:hint="default"/>
        </w:rPr>
        <w:t>2018</w:t>
      </w:r>
      <w:r>
        <w:rPr/>
        <w:t>年度的合并及公司的经营成果和现金流量。</w:t>
      </w:r>
    </w:p>
    <w:p>
      <w:pPr>
        <w:pStyle w:val="BodyText"/>
        <w:spacing w:line="432" w:lineRule="exact" w:before="4"/>
        <w:ind w:left="513" w:right="0"/>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我们按照中国注册会计师审计准则的规定执行了审计工作。审计报告的“注册会计师对财务报表审计的责任”部分进一</w:t>
      </w:r>
    </w:p>
    <w:p>
      <w:pPr>
        <w:pStyle w:val="BodyText"/>
        <w:spacing w:line="316" w:lineRule="auto" w:before="15"/>
        <w:ind w:right="0"/>
        <w:jc w:val="left"/>
      </w:pPr>
      <w:r>
        <w:rPr>
          <w:spacing w:val="-2"/>
        </w:rPr>
        <w:t>步阐述了我们在这些准则下的责任。按照中国注册会计师职业道德守则，我们独立于易联众公司，并履行了职业道德方面的</w:t>
      </w:r>
      <w:r>
        <w:rPr>
          <w:spacing w:val="-63"/>
        </w:rPr>
        <w:t> </w:t>
      </w:r>
      <w:r>
        <w:rPr>
          <w:spacing w:val="-63"/>
        </w:rPr>
      </w:r>
      <w:r>
        <w:rPr/>
        <w:t>其他责任。我们相信，我们获取的审计证据是充分、适当的，为发表审计意见提供了基础。</w:t>
      </w:r>
    </w:p>
    <w:p>
      <w:pPr>
        <w:pStyle w:val="BodyText"/>
        <w:spacing w:line="432" w:lineRule="exact" w:before="3"/>
        <w:ind w:left="513" w:right="0"/>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5"/>
        <w:ind w:right="0"/>
        <w:jc w:val="left"/>
      </w:pPr>
      <w:r>
        <w:rPr/>
        <w:t>审计并形成审计意见为背景，我们不对这些事项单独发表意见。</w:t>
      </w:r>
    </w:p>
    <w:p>
      <w:pPr>
        <w:spacing w:line="240" w:lineRule="auto" w:before="0"/>
        <w:rPr>
          <w:rFonts w:ascii="宋体" w:hAnsi="宋体" w:cs="宋体" w:eastAsia="宋体" w:hint="default"/>
          <w:sz w:val="15"/>
          <w:szCs w:val="15"/>
        </w:rPr>
      </w:pPr>
    </w:p>
    <w:p>
      <w:pPr>
        <w:pStyle w:val="BodyText"/>
        <w:spacing w:line="441" w:lineRule="auto"/>
        <w:ind w:left="513" w:right="6073"/>
        <w:jc w:val="left"/>
      </w:pPr>
      <w:r>
        <w:rPr/>
        <w:t>（一）民生服务行业收入确认 相关信息披露详见财务报表附注五、</w:t>
      </w:r>
      <w:r>
        <w:rPr>
          <w:rFonts w:ascii="宋体" w:hAnsi="宋体" w:cs="宋体" w:eastAsia="宋体" w:hint="default"/>
        </w:rPr>
        <w:t>28</w:t>
      </w:r>
      <w:r>
        <w:rPr/>
        <w:t>及附注七、</w:t>
      </w:r>
      <w:r>
        <w:rPr>
          <w:rFonts w:ascii="宋体" w:hAnsi="宋体" w:cs="宋体" w:eastAsia="宋体" w:hint="default"/>
        </w:rPr>
        <w:t>52</w:t>
      </w:r>
      <w:r>
        <w:rPr/>
        <w:t>。 </w:t>
      </w:r>
      <w:r>
        <w:rPr>
          <w:rFonts w:ascii="宋体" w:hAnsi="宋体" w:cs="宋体" w:eastAsia="宋体" w:hint="default"/>
        </w:rPr>
        <w:t>1</w:t>
      </w:r>
      <w:r>
        <w:rPr/>
        <w:t>、事项描述</w:t>
      </w:r>
    </w:p>
    <w:p>
      <w:pPr>
        <w:pStyle w:val="BodyText"/>
        <w:spacing w:line="316" w:lineRule="auto" w:before="45"/>
        <w:ind w:right="1128" w:firstLine="360"/>
        <w:jc w:val="both"/>
      </w:pPr>
      <w:r>
        <w:rPr>
          <w:spacing w:val="-2"/>
        </w:rPr>
        <w:t>易联众公司主要从事以“医疗卫生、人力资源和社会保障”为核心的民生信息服务，相关营业收入包括：客户定制软件</w:t>
      </w:r>
      <w:r>
        <w:rPr/>
        <w:t> </w:t>
      </w:r>
      <w:r>
        <w:rPr>
          <w:spacing w:val="-2"/>
        </w:rPr>
        <w:t>设计开发收入、</w:t>
      </w:r>
      <w:r>
        <w:rPr>
          <w:rFonts w:ascii="宋体" w:hAnsi="宋体" w:cs="宋体" w:eastAsia="宋体" w:hint="default"/>
          <w:spacing w:val="-2"/>
        </w:rPr>
        <w:t>IC</w:t>
      </w:r>
      <w:r>
        <w:rPr>
          <w:spacing w:val="-2"/>
        </w:rPr>
        <w:t>卡销售收入、系统维护服务收入、系统集成及外购硬件销售收入、自制硬件销售收入、让渡资产使用权收</w:t>
      </w:r>
      <w:r>
        <w:rPr>
          <w:spacing w:val="-66"/>
        </w:rPr>
        <w:t> </w:t>
      </w:r>
      <w:r>
        <w:rPr>
          <w:spacing w:val="-66"/>
        </w:rPr>
      </w:r>
      <w:r>
        <w:rPr>
          <w:spacing w:val="-2"/>
        </w:rPr>
        <w:t>入和咨询服务收入等。</w:t>
      </w:r>
      <w:r>
        <w:rPr>
          <w:rFonts w:ascii="宋体" w:hAnsi="宋体" w:cs="宋体" w:eastAsia="宋体" w:hint="default"/>
          <w:spacing w:val="-2"/>
        </w:rPr>
        <w:t>2018</w:t>
      </w:r>
      <w:r>
        <w:rPr>
          <w:spacing w:val="-2"/>
        </w:rPr>
        <w:t>年度，易联众公司来自定制软件及</w:t>
      </w:r>
      <w:r>
        <w:rPr>
          <w:rFonts w:ascii="宋体" w:hAnsi="宋体" w:cs="宋体" w:eastAsia="宋体" w:hint="default"/>
          <w:spacing w:val="-2"/>
        </w:rPr>
        <w:t>IC</w:t>
      </w:r>
      <w:r>
        <w:rPr>
          <w:spacing w:val="-2"/>
        </w:rPr>
        <w:t>、技术服务、系统集成及硬件等民生服务行业的收入为人民</w:t>
      </w:r>
      <w:r>
        <w:rPr>
          <w:spacing w:val="-59"/>
        </w:rPr>
        <w:t> </w:t>
      </w:r>
      <w:r>
        <w:rPr>
          <w:spacing w:val="-59"/>
        </w:rPr>
      </w:r>
      <w:r>
        <w:rPr/>
        <w:t>币</w:t>
      </w:r>
      <w:r>
        <w:rPr>
          <w:rFonts w:ascii="宋体" w:hAnsi="宋体" w:cs="宋体" w:eastAsia="宋体" w:hint="default"/>
        </w:rPr>
        <w:t>66,967.39</w:t>
      </w:r>
      <w:r>
        <w:rPr/>
        <w:t>万元，占营业收入总额的</w:t>
      </w:r>
      <w:r>
        <w:rPr>
          <w:rFonts w:ascii="宋体" w:hAnsi="宋体" w:cs="宋体" w:eastAsia="宋体" w:hint="default"/>
        </w:rPr>
        <w:t>91.90%</w:t>
      </w:r>
      <w:r>
        <w:rPr/>
        <w:t>。如财务报表附注五之</w:t>
      </w:r>
      <w:r>
        <w:rPr>
          <w:rFonts w:ascii="宋体" w:hAnsi="宋体" w:cs="宋体" w:eastAsia="宋体" w:hint="default"/>
        </w:rPr>
        <w:t>28</w:t>
      </w:r>
      <w:r>
        <w:rPr/>
        <w:t>所述：易联众公司定制软件收入确认采用完工百分比 </w:t>
      </w:r>
      <w:r>
        <w:rPr>
          <w:spacing w:val="-2"/>
        </w:rPr>
        <w:t>法，并采用已经完成的合同工作量占合同预计总工作量的比例确定合同完工进度；技术服务收入于劳务提供后，根据合同约</w:t>
      </w:r>
      <w:r>
        <w:rPr>
          <w:spacing w:val="-63"/>
        </w:rPr>
        <w:t> </w:t>
      </w:r>
      <w:r>
        <w:rPr>
          <w:spacing w:val="-63"/>
        </w:rPr>
      </w:r>
      <w:r>
        <w:rPr>
          <w:spacing w:val="-2"/>
        </w:rPr>
        <w:t>定的服务期间分期确认；系统集成项目在系统安装调试完毕且项目经过客户初步验收后，相关的收入已经实现或取得收款的</w:t>
      </w:r>
      <w:r>
        <w:rPr>
          <w:spacing w:val="-65"/>
        </w:rPr>
        <w:t> </w:t>
      </w:r>
      <w:r>
        <w:rPr>
          <w:spacing w:val="-65"/>
        </w:rPr>
      </w:r>
      <w:r>
        <w:rPr/>
        <w:t>证据，确认收入实现；</w:t>
      </w:r>
      <w:r>
        <w:rPr>
          <w:rFonts w:ascii="宋体" w:hAnsi="宋体" w:cs="宋体" w:eastAsia="宋体" w:hint="default"/>
        </w:rPr>
        <w:t>IC</w:t>
      </w:r>
      <w:r>
        <w:rPr/>
        <w:t>卡销售、外购及自制硬件等销售则根据《企业会计准则第</w:t>
      </w:r>
      <w:r>
        <w:rPr>
          <w:rFonts w:ascii="宋体" w:hAnsi="宋体" w:cs="宋体" w:eastAsia="宋体" w:hint="default"/>
        </w:rPr>
        <w:t>14</w:t>
      </w:r>
      <w:r>
        <w:rPr/>
        <w:t>号</w:t>
      </w:r>
      <w:r>
        <w:rPr>
          <w:rFonts w:ascii="宋体" w:hAnsi="宋体" w:cs="宋体" w:eastAsia="宋体" w:hint="default"/>
        </w:rPr>
        <w:t>-</w:t>
      </w:r>
      <w:r>
        <w:rPr/>
        <w:t>收入》中销售商品收入确认原则，</w:t>
      </w:r>
      <w:r>
        <w:rPr>
          <w:spacing w:val="-84"/>
        </w:rPr>
        <w:t> </w:t>
      </w:r>
      <w:r>
        <w:rPr>
          <w:spacing w:val="-84"/>
        </w:rPr>
      </w:r>
      <w:r>
        <w:rPr/>
        <w:t>在商品交付并经客户验收后，相关的收入已经实现或取得收款的证据，确认销售收入实现。</w:t>
      </w:r>
    </w:p>
    <w:p>
      <w:pPr>
        <w:pStyle w:val="BodyText"/>
        <w:spacing w:line="240" w:lineRule="auto" w:before="139"/>
        <w:ind w:left="513" w:right="0"/>
        <w:jc w:val="left"/>
      </w:pPr>
      <w:r>
        <w:rPr/>
        <w:t>此次审计，我们将易联众公司民生服务行业收入确认确定为关键审计事项予以重点关注，一方面是由于收入系易联众公</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jc w:val="both"/>
      </w:pPr>
      <w:r>
        <w:rPr>
          <w:spacing w:val="-2"/>
        </w:rPr>
        <w:t>司的关键业绩指标之一，存在管理层为了达到特定目标或期望而操纵收入确认时点的固有风险；另一方面，易联众公司的营</w:t>
      </w:r>
      <w:r>
        <w:rPr>
          <w:spacing w:val="-66"/>
        </w:rPr>
        <w:t> </w:t>
      </w:r>
      <w:r>
        <w:rPr>
          <w:spacing w:val="-66"/>
        </w:rPr>
      </w:r>
      <w:r>
        <w:rPr>
          <w:spacing w:val="-2"/>
        </w:rPr>
        <w:t>业收入绝大部分来自民生服务行业（</w:t>
      </w:r>
      <w:r>
        <w:rPr>
          <w:rFonts w:ascii="宋体" w:hAnsi="宋体" w:cs="宋体" w:eastAsia="宋体" w:hint="default"/>
          <w:spacing w:val="-2"/>
        </w:rPr>
        <w:t>91.90%</w:t>
      </w:r>
      <w:r>
        <w:rPr>
          <w:spacing w:val="-2"/>
        </w:rPr>
        <w:t>），其中定制软件的收入确认采用完工百分比法，相关核算涉及管理层的重大会</w:t>
      </w:r>
      <w:r>
        <w:rPr>
          <w:spacing w:val="-61"/>
        </w:rPr>
        <w:t> </w:t>
      </w:r>
      <w:r>
        <w:rPr>
          <w:spacing w:val="-61"/>
        </w:rPr>
      </w:r>
      <w:r>
        <w:rPr/>
        <w:t>计估计和判断，从而导致收入确认存在相关错报风险。</w:t>
      </w:r>
    </w:p>
    <w:p>
      <w:pPr>
        <w:pStyle w:val="BodyText"/>
        <w:spacing w:line="439" w:lineRule="auto" w:before="139"/>
        <w:ind w:left="513" w:right="6073"/>
        <w:jc w:val="left"/>
      </w:pPr>
      <w:r>
        <w:rPr>
          <w:rFonts w:ascii="宋体" w:hAnsi="宋体" w:cs="宋体" w:eastAsia="宋体" w:hint="default"/>
        </w:rPr>
        <w:t>2</w:t>
      </w:r>
      <w:r>
        <w:rPr/>
        <w:t>、审计应对 我们针对这一关键审计事项执行的审计程序主要包括：</w:t>
      </w:r>
    </w:p>
    <w:p>
      <w:pPr>
        <w:pStyle w:val="BodyText"/>
        <w:spacing w:line="240" w:lineRule="auto" w:before="47"/>
        <w:ind w:left="513" w:right="0"/>
        <w:jc w:val="left"/>
      </w:pPr>
      <w:r>
        <w:rPr/>
        <w:t>（</w:t>
      </w:r>
      <w:r>
        <w:rPr>
          <w:rFonts w:ascii="宋体" w:hAnsi="宋体" w:cs="宋体" w:eastAsia="宋体" w:hint="default"/>
        </w:rPr>
        <w:t>1</w:t>
      </w:r>
      <w:r>
        <w:rPr/>
        <w:t>）了解、评估管理层设计的与收入确认相关的内部控制有效性，并测试关键内部控制运行的有效性；</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w:t>
      </w:r>
      <w:r>
        <w:rPr>
          <w:rFonts w:ascii="宋体" w:hAnsi="宋体" w:cs="宋体" w:eastAsia="宋体" w:hint="default"/>
        </w:rPr>
        <w:t>2</w:t>
      </w:r>
      <w:r>
        <w:rPr/>
        <w:t>）评价易联众公司的收入确认政策是否符合企业会计准则的规定；</w:t>
      </w:r>
    </w:p>
    <w:p>
      <w:pPr>
        <w:spacing w:line="240" w:lineRule="auto" w:before="0"/>
        <w:rPr>
          <w:rFonts w:ascii="宋体" w:hAnsi="宋体" w:cs="宋体" w:eastAsia="宋体" w:hint="default"/>
          <w:sz w:val="15"/>
          <w:szCs w:val="15"/>
        </w:rPr>
      </w:pPr>
    </w:p>
    <w:p>
      <w:pPr>
        <w:pStyle w:val="BodyText"/>
        <w:spacing w:line="316" w:lineRule="auto"/>
        <w:ind w:right="1124" w:firstLine="360"/>
        <w:jc w:val="left"/>
      </w:pPr>
      <w:r>
        <w:rPr/>
        <w:t>（</w:t>
      </w:r>
      <w:r>
        <w:rPr>
          <w:rFonts w:ascii="宋体" w:hAnsi="宋体" w:cs="宋体" w:eastAsia="宋体" w:hint="default"/>
        </w:rPr>
        <w:t>3</w:t>
      </w:r>
      <w:r>
        <w:rPr/>
        <w:t>）针对定制软件收入，选取样本检查合同、进度标志性文件等与收入确认相关的支持性文件，核实完工进度，并根 据收入确认相关的支持性文件重新测算本年收入，以评价相关收入确认是否符合公司的会计政策；</w:t>
      </w:r>
    </w:p>
    <w:p>
      <w:pPr>
        <w:pStyle w:val="BodyText"/>
        <w:spacing w:line="316" w:lineRule="auto" w:before="139"/>
        <w:ind w:right="1124" w:firstLine="360"/>
        <w:jc w:val="left"/>
      </w:pPr>
      <w:r>
        <w:rPr/>
        <w:t>（</w:t>
      </w:r>
      <w:r>
        <w:rPr>
          <w:rFonts w:ascii="宋体" w:hAnsi="宋体" w:cs="宋体" w:eastAsia="宋体" w:hint="default"/>
        </w:rPr>
        <w:t>4</w:t>
      </w:r>
      <w:r>
        <w:rPr/>
        <w:t>）针对技术服务收入，选取样本检查合同，查看服务期限、合同金额等关键条款，并对收入进行重新测算，以评价 相关收入确认是否符合公司的会计政策；</w:t>
      </w:r>
    </w:p>
    <w:p>
      <w:pPr>
        <w:pStyle w:val="BodyText"/>
        <w:spacing w:line="240" w:lineRule="auto" w:before="139"/>
        <w:ind w:left="513" w:right="0"/>
        <w:jc w:val="left"/>
      </w:pPr>
      <w:r>
        <w:rPr/>
        <w:t>（</w:t>
      </w:r>
      <w:r>
        <w:rPr>
          <w:rFonts w:ascii="宋体" w:hAnsi="宋体" w:cs="宋体" w:eastAsia="宋体" w:hint="default"/>
        </w:rPr>
        <w:t>5</w:t>
      </w:r>
      <w:r>
        <w:rPr/>
        <w:t>）针对系统集成及</w:t>
      </w:r>
      <w:r>
        <w:rPr>
          <w:rFonts w:ascii="宋体" w:hAnsi="宋体" w:cs="宋体" w:eastAsia="宋体" w:hint="default"/>
        </w:rPr>
        <w:t>IC</w:t>
      </w:r>
      <w:r>
        <w:rPr/>
        <w:t>卡、硬件销售收入：</w:t>
      </w:r>
    </w:p>
    <w:p>
      <w:pPr>
        <w:spacing w:line="240" w:lineRule="auto" w:before="8"/>
        <w:rPr>
          <w:rFonts w:ascii="宋体" w:hAnsi="宋体" w:cs="宋体" w:eastAsia="宋体" w:hint="default"/>
          <w:sz w:val="11"/>
          <w:szCs w:val="11"/>
        </w:rPr>
      </w:pPr>
    </w:p>
    <w:p>
      <w:pPr>
        <w:pStyle w:val="BodyText"/>
        <w:spacing w:line="240" w:lineRule="auto" w:before="44"/>
        <w:ind w:left="513" w:right="0"/>
        <w:jc w:val="left"/>
      </w:pPr>
      <w:r>
        <w:rPr>
          <w:rFonts w:ascii="宋体" w:hAnsi="宋体" w:cs="宋体" w:eastAsia="宋体" w:hint="default"/>
        </w:rPr>
        <w:t>1</w:t>
      </w:r>
      <w:r>
        <w:rPr/>
        <w:t>）选取样本检查合同、签收单或验收单等与收入确认相关的支持性文件，以评价相关收入确认是否符合公司的会计政</w:t>
      </w:r>
    </w:p>
    <w:p>
      <w:pPr>
        <w:pStyle w:val="BodyText"/>
        <w:spacing w:line="240" w:lineRule="auto" w:before="76"/>
        <w:ind w:right="0"/>
        <w:jc w:val="left"/>
      </w:pPr>
      <w:r>
        <w:rPr/>
        <w:t>策；</w:t>
      </w:r>
    </w:p>
    <w:p>
      <w:pPr>
        <w:spacing w:line="240" w:lineRule="auto" w:before="8"/>
        <w:rPr>
          <w:rFonts w:ascii="宋体" w:hAnsi="宋体" w:cs="宋体" w:eastAsia="宋体" w:hint="default"/>
          <w:sz w:val="11"/>
          <w:szCs w:val="11"/>
        </w:rPr>
      </w:pPr>
    </w:p>
    <w:p>
      <w:pPr>
        <w:pStyle w:val="BodyText"/>
        <w:spacing w:line="316" w:lineRule="auto" w:before="44"/>
        <w:ind w:right="1124" w:firstLine="360"/>
        <w:jc w:val="left"/>
      </w:pPr>
      <w:r>
        <w:rPr>
          <w:rFonts w:ascii="宋体" w:hAnsi="宋体" w:cs="宋体" w:eastAsia="宋体" w:hint="default"/>
        </w:rPr>
        <w:t>2</w:t>
      </w:r>
      <w:r>
        <w:rPr/>
        <w:t>）对于资产负债表日前后确认的销售收入，选取样本核对至签收单或验收单等相关支持性文件，以评估收入是否在恰 当的期间确认；</w:t>
      </w:r>
    </w:p>
    <w:p>
      <w:pPr>
        <w:pStyle w:val="BodyText"/>
        <w:spacing w:line="316" w:lineRule="auto" w:before="139"/>
        <w:ind w:right="1124" w:firstLine="360"/>
        <w:jc w:val="left"/>
      </w:pPr>
      <w:r>
        <w:rPr/>
        <w:t>（</w:t>
      </w:r>
      <w:r>
        <w:rPr>
          <w:rFonts w:ascii="宋体" w:hAnsi="宋体" w:cs="宋体" w:eastAsia="宋体" w:hint="default"/>
        </w:rPr>
        <w:t>6</w:t>
      </w:r>
      <w:r>
        <w:rPr/>
        <w:t>）选取样本对收入确认相关信息（项目合同金额、项目进度、签收或验收情况，开票金额及回款情况等）及应收账 款余额执行函证程序，并将函证结果与账面记录进行核对。</w:t>
      </w:r>
    </w:p>
    <w:p>
      <w:pPr>
        <w:pStyle w:val="BodyText"/>
        <w:spacing w:line="439" w:lineRule="auto" w:before="139"/>
        <w:ind w:left="513" w:right="6163"/>
        <w:jc w:val="left"/>
      </w:pPr>
      <w:r>
        <w:rPr/>
        <w:t>（二）应收账款坏账准备 相关信息披露详见财务报表附注五、</w:t>
      </w:r>
      <w:r>
        <w:rPr>
          <w:rFonts w:ascii="宋体" w:hAnsi="宋体" w:cs="宋体" w:eastAsia="宋体" w:hint="default"/>
        </w:rPr>
        <w:t>11</w:t>
      </w:r>
      <w:r>
        <w:rPr/>
        <w:t>和附注七、</w:t>
      </w:r>
      <w:r>
        <w:rPr>
          <w:rFonts w:ascii="宋体" w:hAnsi="宋体" w:cs="宋体" w:eastAsia="宋体" w:hint="default"/>
        </w:rPr>
        <w:t>4</w:t>
      </w:r>
      <w:r>
        <w:rPr/>
        <w:t>。</w:t>
      </w:r>
      <w:r>
        <w:rPr>
          <w:spacing w:val="-87"/>
        </w:rPr>
        <w:t> </w:t>
      </w:r>
      <w:r>
        <w:rPr>
          <w:rFonts w:ascii="宋体" w:hAnsi="宋体" w:cs="宋体" w:eastAsia="宋体" w:hint="default"/>
        </w:rPr>
        <w:t>1</w:t>
      </w:r>
      <w:r>
        <w:rPr/>
        <w:t>、事项描述</w:t>
      </w:r>
    </w:p>
    <w:p>
      <w:pPr>
        <w:pStyle w:val="BodyText"/>
        <w:spacing w:line="316" w:lineRule="auto" w:before="47"/>
        <w:ind w:right="0" w:firstLine="360"/>
        <w:jc w:val="left"/>
      </w:pPr>
      <w:r>
        <w:rPr>
          <w:spacing w:val="-2"/>
        </w:rPr>
        <w:t>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日，易联众公司应收账款账面余额为人民币</w:t>
      </w:r>
      <w:r>
        <w:rPr>
          <w:rFonts w:ascii="宋体" w:hAnsi="宋体" w:cs="宋体" w:eastAsia="宋体" w:hint="default"/>
          <w:spacing w:val="-2"/>
        </w:rPr>
        <w:t>80,710.45</w:t>
      </w:r>
      <w:r>
        <w:rPr>
          <w:spacing w:val="-2"/>
        </w:rPr>
        <w:t>万元，其中应收融资服务款项</w:t>
      </w:r>
      <w:r>
        <w:rPr>
          <w:rFonts w:ascii="宋体" w:hAnsi="宋体" w:cs="宋体" w:eastAsia="宋体" w:hint="default"/>
          <w:spacing w:val="-2"/>
        </w:rPr>
        <w:t>36,204.06</w:t>
      </w:r>
      <w:r>
        <w:rPr>
          <w:spacing w:val="-2"/>
        </w:rPr>
        <w:t>元，应</w:t>
      </w:r>
      <w:r>
        <w:rPr/>
        <w:t> </w:t>
      </w:r>
      <w:r>
        <w:rPr>
          <w:spacing w:val="-2"/>
        </w:rPr>
        <w:t>收销售商品及提供劳务款项</w:t>
      </w:r>
      <w:r>
        <w:rPr>
          <w:rFonts w:ascii="宋体" w:hAnsi="宋体" w:cs="宋体" w:eastAsia="宋体" w:hint="default"/>
          <w:spacing w:val="-2"/>
        </w:rPr>
        <w:t>44,506.39</w:t>
      </w:r>
      <w:r>
        <w:rPr>
          <w:spacing w:val="-2"/>
        </w:rPr>
        <w:t>元，已计提坏账准备</w:t>
      </w:r>
      <w:r>
        <w:rPr>
          <w:rFonts w:ascii="宋体" w:hAnsi="宋体" w:cs="宋体" w:eastAsia="宋体" w:hint="default"/>
          <w:spacing w:val="-2"/>
        </w:rPr>
        <w:t>6,725.96</w:t>
      </w:r>
      <w:r>
        <w:rPr>
          <w:spacing w:val="-2"/>
        </w:rPr>
        <w:t>万元，应收账款净额占合并财务报表资产总额的</w:t>
      </w:r>
      <w:r>
        <w:rPr>
          <w:rFonts w:ascii="宋体" w:hAnsi="宋体" w:cs="宋体" w:eastAsia="宋体" w:hint="default"/>
          <w:spacing w:val="-2"/>
        </w:rPr>
        <w:t>38.64%</w:t>
      </w:r>
      <w:r>
        <w:rPr>
          <w:spacing w:val="-2"/>
        </w:rPr>
        <w:t>。</w:t>
      </w:r>
      <w:r>
        <w:rPr>
          <w:spacing w:val="-48"/>
        </w:rPr>
        <w:t> </w:t>
      </w:r>
      <w:r>
        <w:rPr>
          <w:spacing w:val="-2"/>
        </w:rPr>
        <w:t>当存在客观证据表明应收款项存在减值时，管理层根据预计未来现金流量现值低于账面价值的差额计提单项减值准备。对于</w:t>
      </w:r>
      <w:r>
        <w:rPr>
          <w:spacing w:val="-64"/>
        </w:rPr>
        <w:t> </w:t>
      </w:r>
      <w:r>
        <w:rPr>
          <w:spacing w:val="-64"/>
        </w:rPr>
      </w:r>
      <w:r>
        <w:rPr>
          <w:spacing w:val="-2"/>
        </w:rPr>
        <w:t>不存在减值客观证据的应收账款，管理层根据信用风险特征将其划分为若干组合进行评估。管理层根据以前年度与之具有类</w:t>
      </w:r>
      <w:r>
        <w:rPr>
          <w:spacing w:val="-64"/>
        </w:rPr>
        <w:t> </w:t>
      </w:r>
      <w:r>
        <w:rPr>
          <w:spacing w:val="-64"/>
        </w:rPr>
      </w:r>
      <w:r>
        <w:rPr/>
        <w:t>似信用风险特征的应收账款组合的实际损失率及账龄分析为基础，结合现时情况确定应计提的坏账准备。</w:t>
      </w:r>
    </w:p>
    <w:p>
      <w:pPr>
        <w:pStyle w:val="BodyText"/>
        <w:spacing w:line="316" w:lineRule="auto" w:before="139"/>
        <w:ind w:right="1119" w:firstLine="360"/>
        <w:jc w:val="left"/>
      </w:pPr>
      <w:r>
        <w:rPr>
          <w:spacing w:val="-2"/>
        </w:rPr>
        <w:t>由于应收账款金额重大，且管理层在确定应收账款坏账准备时作出了重大判断，因此我们将应收账款坏账准备确定为关</w:t>
      </w:r>
      <w:r>
        <w:rPr/>
        <w:t> 键审计事项。</w:t>
      </w:r>
    </w:p>
    <w:p>
      <w:pPr>
        <w:pStyle w:val="BodyText"/>
        <w:spacing w:line="439" w:lineRule="auto" w:before="139"/>
        <w:ind w:left="554" w:right="5672" w:hanging="41"/>
        <w:jc w:val="left"/>
      </w:pPr>
      <w:r>
        <w:rPr>
          <w:rFonts w:ascii="宋体" w:hAnsi="宋体" w:cs="宋体" w:eastAsia="宋体" w:hint="default"/>
        </w:rPr>
        <w:t>2</w:t>
      </w:r>
      <w:r>
        <w:rPr/>
        <w:t>、审计应对 我们针对这一关键审计事项我们执行的审计程序主要包括：</w:t>
      </w:r>
    </w:p>
    <w:p>
      <w:pPr>
        <w:pStyle w:val="BodyText"/>
        <w:spacing w:line="240" w:lineRule="auto" w:before="47"/>
        <w:ind w:left="554" w:right="0"/>
        <w:jc w:val="left"/>
      </w:pPr>
      <w:r>
        <w:rPr/>
        <w:t>（</w:t>
      </w:r>
      <w:r>
        <w:rPr>
          <w:rFonts w:ascii="宋体" w:hAnsi="宋体" w:cs="宋体" w:eastAsia="宋体" w:hint="default"/>
        </w:rPr>
        <w:t>1</w:t>
      </w:r>
      <w:r>
        <w:rPr/>
        <w:t>）评估和测试公司与应收账款坏账准备相关的内部控制；</w:t>
      </w:r>
    </w:p>
    <w:p>
      <w:pPr>
        <w:spacing w:line="240" w:lineRule="auto" w:before="0"/>
        <w:rPr>
          <w:rFonts w:ascii="宋体" w:hAnsi="宋体" w:cs="宋体" w:eastAsia="宋体" w:hint="default"/>
          <w:sz w:val="15"/>
          <w:szCs w:val="15"/>
        </w:rPr>
      </w:pPr>
    </w:p>
    <w:p>
      <w:pPr>
        <w:pStyle w:val="BodyText"/>
        <w:spacing w:line="316" w:lineRule="auto"/>
        <w:ind w:right="0" w:firstLine="401"/>
        <w:jc w:val="left"/>
      </w:pPr>
      <w:r>
        <w:rPr>
          <w:spacing w:val="-3"/>
        </w:rPr>
        <w:t>（</w:t>
      </w:r>
      <w:r>
        <w:rPr>
          <w:rFonts w:ascii="宋体" w:hAnsi="宋体" w:cs="宋体" w:eastAsia="宋体" w:hint="default"/>
          <w:spacing w:val="-3"/>
        </w:rPr>
        <w:t>2</w:t>
      </w:r>
      <w:r>
        <w:rPr>
          <w:spacing w:val="-3"/>
        </w:rPr>
        <w:t>）评估管理层制定的应收账款单项金额重大的标准、应收账款划分为若干组合进行减值评估的方法和计算是否适当，</w:t>
      </w:r>
      <w:r>
        <w:rPr/>
        <w:t> 评价管理层对信用风险特征组合确定的坏账准备计提比例是否合理；</w:t>
      </w:r>
    </w:p>
    <w:p>
      <w:pPr>
        <w:pStyle w:val="BodyText"/>
        <w:spacing w:line="316" w:lineRule="auto" w:before="139"/>
        <w:ind w:right="1034" w:firstLine="401"/>
        <w:jc w:val="left"/>
      </w:pPr>
      <w:r>
        <w:rPr/>
        <w:t>（</w:t>
      </w:r>
      <w:r>
        <w:rPr>
          <w:rFonts w:ascii="宋体" w:hAnsi="宋体" w:cs="宋体" w:eastAsia="宋体" w:hint="default"/>
        </w:rPr>
        <w:t>3</w:t>
      </w:r>
      <w:r>
        <w:rPr/>
        <w:t>）我们选取金额重大或高风险的应收款项，独立测试了其可收回性。我们在评估应收款项的可收回性时，检查了相 关的支持性证据，包括期后回款、客户的信用历史、经营情况和还款能力，评价了管理层对于单项计提比例判断的合理性；</w:t>
      </w:r>
    </w:p>
    <w:p>
      <w:pPr>
        <w:pStyle w:val="BodyText"/>
        <w:spacing w:line="240" w:lineRule="auto" w:before="139"/>
        <w:ind w:left="554" w:right="0"/>
        <w:jc w:val="left"/>
      </w:pPr>
      <w:r>
        <w:rPr/>
        <w:t>（</w:t>
      </w:r>
      <w:r>
        <w:rPr>
          <w:rFonts w:ascii="宋体" w:hAnsi="宋体" w:cs="宋体" w:eastAsia="宋体" w:hint="default"/>
        </w:rPr>
        <w:t>4</w:t>
      </w:r>
      <w:r>
        <w:rPr/>
        <w:t>）针对未单项计提坏账准备的应收账款，对管理层编制的账龄分析表的准确性进行了测试，重新计算坏账准备计提</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金额是否正确；</w:t>
      </w:r>
    </w:p>
    <w:p>
      <w:pPr>
        <w:spacing w:line="240" w:lineRule="auto" w:before="0"/>
        <w:rPr>
          <w:rFonts w:ascii="宋体" w:hAnsi="宋体" w:cs="宋体" w:eastAsia="宋体" w:hint="default"/>
          <w:sz w:val="15"/>
          <w:szCs w:val="15"/>
        </w:rPr>
      </w:pPr>
    </w:p>
    <w:p>
      <w:pPr>
        <w:pStyle w:val="BodyText"/>
        <w:spacing w:line="240" w:lineRule="auto"/>
        <w:ind w:left="554" w:right="0"/>
        <w:jc w:val="left"/>
      </w:pPr>
      <w:r>
        <w:rPr/>
        <w:t>（</w:t>
      </w:r>
      <w:r>
        <w:rPr>
          <w:rFonts w:ascii="宋体" w:hAnsi="宋体" w:cs="宋体" w:eastAsia="宋体" w:hint="default"/>
        </w:rPr>
        <w:t>5</w:t>
      </w:r>
      <w:r>
        <w:rPr/>
        <w:t>）选取样本对应收账款进行函证；</w:t>
      </w:r>
    </w:p>
    <w:p>
      <w:pPr>
        <w:spacing w:line="240" w:lineRule="auto" w:before="0"/>
        <w:rPr>
          <w:rFonts w:ascii="宋体" w:hAnsi="宋体" w:cs="宋体" w:eastAsia="宋体" w:hint="default"/>
          <w:sz w:val="15"/>
          <w:szCs w:val="15"/>
        </w:rPr>
      </w:pPr>
    </w:p>
    <w:p>
      <w:pPr>
        <w:pStyle w:val="BodyText"/>
        <w:spacing w:line="240" w:lineRule="auto"/>
        <w:ind w:left="554" w:right="0"/>
        <w:jc w:val="left"/>
      </w:pPr>
      <w:r>
        <w:rPr/>
        <w:t>（</w:t>
      </w:r>
      <w:r>
        <w:rPr>
          <w:rFonts w:ascii="宋体" w:hAnsi="宋体" w:cs="宋体" w:eastAsia="宋体" w:hint="default"/>
        </w:rPr>
        <w:t>6</w:t>
      </w:r>
      <w:r>
        <w:rPr/>
        <w:t>）选取样本对融资服务客户进行现场访谈；</w:t>
      </w:r>
    </w:p>
    <w:p>
      <w:pPr>
        <w:spacing w:line="240" w:lineRule="auto" w:before="0"/>
        <w:rPr>
          <w:rFonts w:ascii="宋体" w:hAnsi="宋体" w:cs="宋体" w:eastAsia="宋体" w:hint="default"/>
          <w:sz w:val="15"/>
          <w:szCs w:val="15"/>
        </w:rPr>
      </w:pPr>
    </w:p>
    <w:p>
      <w:pPr>
        <w:pStyle w:val="BodyText"/>
        <w:spacing w:line="240" w:lineRule="auto"/>
        <w:ind w:left="554" w:right="0"/>
        <w:jc w:val="left"/>
      </w:pPr>
      <w:r>
        <w:rPr/>
        <w:t>（</w:t>
      </w:r>
      <w:r>
        <w:rPr>
          <w:rFonts w:ascii="宋体" w:hAnsi="宋体" w:cs="宋体" w:eastAsia="宋体" w:hint="default"/>
        </w:rPr>
        <w:t>7</w:t>
      </w:r>
      <w:r>
        <w:rPr/>
        <w:t>）检查应收账款的期后回款情况。</w:t>
      </w:r>
    </w:p>
    <w:p>
      <w:pPr>
        <w:spacing w:line="240" w:lineRule="auto" w:before="0"/>
        <w:rPr>
          <w:rFonts w:ascii="宋体" w:hAnsi="宋体" w:cs="宋体" w:eastAsia="宋体" w:hint="default"/>
          <w:sz w:val="15"/>
          <w:szCs w:val="15"/>
        </w:rPr>
      </w:pPr>
    </w:p>
    <w:p>
      <w:pPr>
        <w:pStyle w:val="BodyText"/>
        <w:spacing w:line="439" w:lineRule="auto"/>
        <w:ind w:left="554" w:right="6032"/>
        <w:jc w:val="left"/>
      </w:pPr>
      <w:r>
        <w:rPr/>
        <w:t>（三）海南易联众商誉减值 相关信息披露详见财务报表附注五、</w:t>
      </w:r>
      <w:r>
        <w:rPr>
          <w:rFonts w:ascii="宋体" w:hAnsi="宋体" w:cs="宋体" w:eastAsia="宋体" w:hint="default"/>
        </w:rPr>
        <w:t>22</w:t>
      </w:r>
      <w:r>
        <w:rPr/>
        <w:t>和附注七、</w:t>
      </w:r>
      <w:r>
        <w:rPr>
          <w:rFonts w:ascii="宋体" w:hAnsi="宋体" w:cs="宋体" w:eastAsia="宋体" w:hint="default"/>
        </w:rPr>
        <w:t>22</w:t>
      </w:r>
      <w:r>
        <w:rPr/>
        <w:t>。 </w:t>
      </w:r>
      <w:r>
        <w:rPr>
          <w:rFonts w:ascii="宋体" w:hAnsi="宋体" w:cs="宋体" w:eastAsia="宋体" w:hint="default"/>
        </w:rPr>
        <w:t>1</w:t>
      </w:r>
      <w:r>
        <w:rPr/>
        <w:t>、事项描述</w:t>
      </w:r>
    </w:p>
    <w:p>
      <w:pPr>
        <w:pStyle w:val="BodyText"/>
        <w:spacing w:line="319" w:lineRule="auto" w:before="47"/>
        <w:ind w:right="1126" w:firstLine="401"/>
        <w:jc w:val="both"/>
      </w:pPr>
      <w:r>
        <w:rPr>
          <w:spacing w:val="-1"/>
        </w:rPr>
        <w:t>易联众公司通过非同一控制下企业合并取得海南易联众信息技术有限公司（以下简称海南易联众）</w:t>
      </w:r>
      <w:r>
        <w:rPr>
          <w:rFonts w:ascii="宋体" w:hAnsi="宋体" w:cs="宋体" w:eastAsia="宋体" w:hint="default"/>
          <w:spacing w:val="-1"/>
        </w:rPr>
        <w:t>60%</w:t>
      </w:r>
      <w:r>
        <w:rPr>
          <w:spacing w:val="-1"/>
        </w:rPr>
        <w:t>股权，合并产生</w:t>
      </w:r>
      <w:r>
        <w:rPr/>
        <w:t> </w:t>
      </w:r>
      <w:r>
        <w:rPr>
          <w:spacing w:val="-2"/>
        </w:rPr>
        <w:t>商誉</w:t>
      </w:r>
      <w:r>
        <w:rPr>
          <w:rFonts w:ascii="宋体" w:hAnsi="宋体" w:cs="宋体" w:eastAsia="宋体" w:hint="default"/>
          <w:spacing w:val="-2"/>
        </w:rPr>
        <w:t>958.35</w:t>
      </w:r>
      <w:r>
        <w:rPr>
          <w:spacing w:val="-2"/>
        </w:rPr>
        <w:t>万元。管理层聘请独立评估师对海南易联众于</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日的公允价值进行了评估，以协助管理层对海南易联</w:t>
      </w:r>
      <w:r>
        <w:rPr>
          <w:spacing w:val="-53"/>
        </w:rPr>
        <w:t> </w:t>
      </w:r>
      <w:r>
        <w:rPr>
          <w:spacing w:val="-53"/>
        </w:rPr>
      </w:r>
      <w:r>
        <w:rPr>
          <w:spacing w:val="-2"/>
        </w:rPr>
        <w:t>众的商誉进行减值测试。减值评估涉及确定折现率等评估参数及对未来若干年的经营和财务情况的假设，包括未来若干年的</w:t>
      </w:r>
      <w:r>
        <w:rPr>
          <w:spacing w:val="-64"/>
        </w:rPr>
        <w:t> </w:t>
      </w:r>
      <w:r>
        <w:rPr>
          <w:spacing w:val="-64"/>
        </w:rPr>
      </w:r>
      <w:r>
        <w:rPr/>
        <w:t>销售增长率和毛利率等。</w:t>
      </w:r>
    </w:p>
    <w:p>
      <w:pPr>
        <w:pStyle w:val="BodyText"/>
        <w:spacing w:line="240" w:lineRule="auto" w:before="137"/>
        <w:ind w:left="554" w:right="0"/>
        <w:jc w:val="left"/>
      </w:pPr>
      <w:r>
        <w:rPr/>
        <w:t>由于上述商誉的减值测试涉及复杂及重大的判断，我们将其作为关键审计事项予以重点关注。</w:t>
      </w:r>
    </w:p>
    <w:p>
      <w:pPr>
        <w:spacing w:line="240" w:lineRule="auto" w:before="0"/>
        <w:rPr>
          <w:rFonts w:ascii="宋体" w:hAnsi="宋体" w:cs="宋体" w:eastAsia="宋体" w:hint="default"/>
          <w:sz w:val="15"/>
          <w:szCs w:val="15"/>
        </w:rPr>
      </w:pPr>
    </w:p>
    <w:p>
      <w:pPr>
        <w:pStyle w:val="BodyText"/>
        <w:spacing w:line="439" w:lineRule="auto"/>
        <w:ind w:left="554" w:right="6032"/>
        <w:jc w:val="left"/>
      </w:pPr>
      <w:r>
        <w:rPr>
          <w:rFonts w:ascii="宋体" w:hAnsi="宋体" w:cs="宋体" w:eastAsia="宋体" w:hint="default"/>
        </w:rPr>
        <w:t>2</w:t>
      </w:r>
      <w:r>
        <w:rPr/>
        <w:t>、审计应对 我们针对这一关键审计事项执行的审计程序主要包括：</w:t>
      </w:r>
    </w:p>
    <w:p>
      <w:pPr>
        <w:pStyle w:val="BodyText"/>
        <w:spacing w:line="240" w:lineRule="auto" w:before="47"/>
        <w:ind w:left="554" w:right="0"/>
        <w:jc w:val="left"/>
      </w:pPr>
      <w:r>
        <w:rPr/>
        <w:t>（</w:t>
      </w:r>
      <w:r>
        <w:rPr>
          <w:rFonts w:ascii="宋体" w:hAnsi="宋体" w:cs="宋体" w:eastAsia="宋体" w:hint="default"/>
        </w:rPr>
        <w:t>1</w:t>
      </w:r>
      <w:r>
        <w:rPr/>
        <w:t>）了解并测试公司对商誉减值评估的内部控制；</w:t>
      </w:r>
    </w:p>
    <w:p>
      <w:pPr>
        <w:spacing w:line="240" w:lineRule="auto" w:before="0"/>
        <w:rPr>
          <w:rFonts w:ascii="宋体" w:hAnsi="宋体" w:cs="宋体" w:eastAsia="宋体" w:hint="default"/>
          <w:sz w:val="15"/>
          <w:szCs w:val="15"/>
        </w:rPr>
      </w:pPr>
    </w:p>
    <w:p>
      <w:pPr>
        <w:pStyle w:val="BodyText"/>
        <w:spacing w:line="240" w:lineRule="auto"/>
        <w:ind w:left="554" w:right="0"/>
        <w:jc w:val="left"/>
      </w:pPr>
      <w:r>
        <w:rPr/>
        <w:t>（</w:t>
      </w:r>
      <w:r>
        <w:rPr>
          <w:rFonts w:ascii="宋体" w:hAnsi="宋体" w:cs="宋体" w:eastAsia="宋体" w:hint="default"/>
        </w:rPr>
        <w:t>2</w:t>
      </w:r>
      <w:r>
        <w:rPr/>
        <w:t>）评价独立评估师的胜任能力、专业素质和客观性；</w:t>
      </w:r>
    </w:p>
    <w:p>
      <w:pPr>
        <w:spacing w:line="240" w:lineRule="auto" w:before="1"/>
        <w:rPr>
          <w:rFonts w:ascii="宋体" w:hAnsi="宋体" w:cs="宋体" w:eastAsia="宋体" w:hint="default"/>
          <w:sz w:val="15"/>
          <w:szCs w:val="15"/>
        </w:rPr>
      </w:pPr>
    </w:p>
    <w:p>
      <w:pPr>
        <w:pStyle w:val="BodyText"/>
        <w:spacing w:line="240" w:lineRule="auto"/>
        <w:ind w:left="554" w:right="0"/>
        <w:jc w:val="left"/>
      </w:pPr>
      <w:r>
        <w:rPr/>
        <w:t>（</w:t>
      </w:r>
      <w:r>
        <w:rPr>
          <w:rFonts w:ascii="宋体" w:hAnsi="宋体" w:cs="宋体" w:eastAsia="宋体" w:hint="default"/>
        </w:rPr>
        <w:t>3</w:t>
      </w:r>
      <w:r>
        <w:rPr/>
        <w:t>）了解海南易联众的发展规划，于所在区域的优势和行业的发展趋势，评估管理层对现金流量预测的合理性；</w:t>
      </w:r>
    </w:p>
    <w:p>
      <w:pPr>
        <w:spacing w:line="240" w:lineRule="auto" w:before="0"/>
        <w:rPr>
          <w:rFonts w:ascii="宋体" w:hAnsi="宋体" w:cs="宋体" w:eastAsia="宋体" w:hint="default"/>
          <w:sz w:val="15"/>
          <w:szCs w:val="15"/>
        </w:rPr>
      </w:pPr>
    </w:p>
    <w:p>
      <w:pPr>
        <w:pStyle w:val="BodyText"/>
        <w:spacing w:line="240" w:lineRule="auto"/>
        <w:ind w:left="554" w:right="0"/>
        <w:jc w:val="left"/>
      </w:pPr>
      <w:r>
        <w:rPr/>
        <w:t>（</w:t>
      </w:r>
      <w:r>
        <w:rPr>
          <w:rFonts w:ascii="宋体" w:hAnsi="宋体" w:cs="宋体" w:eastAsia="宋体" w:hint="default"/>
        </w:rPr>
        <w:t>4</w:t>
      </w:r>
      <w:r>
        <w:rPr/>
        <w:t>）评估价值模型和评估方法的合理性，以及折现率等参数的合理性；</w:t>
      </w:r>
    </w:p>
    <w:p>
      <w:pPr>
        <w:spacing w:line="240" w:lineRule="auto" w:before="0"/>
        <w:rPr>
          <w:rFonts w:ascii="宋体" w:hAnsi="宋体" w:cs="宋体" w:eastAsia="宋体" w:hint="default"/>
          <w:sz w:val="15"/>
          <w:szCs w:val="15"/>
        </w:rPr>
      </w:pPr>
    </w:p>
    <w:p>
      <w:pPr>
        <w:spacing w:line="439" w:lineRule="auto" w:before="0"/>
        <w:ind w:left="554" w:right="666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）测试未来现金流量净现值计算的准确性。 </w:t>
      </w:r>
      <w:r>
        <w:rPr>
          <w:rFonts w:ascii="宋体" w:hAnsi="宋体" w:cs="宋体" w:eastAsia="宋体" w:hint="default"/>
          <w:b/>
          <w:bCs/>
          <w:sz w:val="18"/>
          <w:szCs w:val="18"/>
        </w:rPr>
        <w:t>四、其他信息</w:t>
      </w:r>
      <w:r>
        <w:rPr>
          <w:rFonts w:ascii="宋体" w:hAnsi="宋体" w:cs="宋体" w:eastAsia="宋体" w:hint="default"/>
          <w:sz w:val="18"/>
          <w:szCs w:val="18"/>
        </w:rPr>
      </w:r>
    </w:p>
    <w:p>
      <w:pPr>
        <w:pStyle w:val="BodyText"/>
        <w:spacing w:line="240" w:lineRule="auto" w:before="47"/>
        <w:ind w:left="554" w:right="0"/>
        <w:jc w:val="left"/>
      </w:pPr>
      <w:r>
        <w:rPr/>
        <w:t>管理层对其他信息负责。其他信息包括易联众公司</w:t>
      </w:r>
      <w:r>
        <w:rPr>
          <w:rFonts w:ascii="宋体" w:hAnsi="宋体" w:cs="宋体" w:eastAsia="宋体" w:hint="default"/>
        </w:rPr>
        <w:t>2018</w:t>
      </w:r>
      <w:r>
        <w:rPr/>
        <w:t>年年度报告中涵盖的信息，但不包括财务报表和我们的审计报</w:t>
      </w:r>
    </w:p>
    <w:p>
      <w:pPr>
        <w:pStyle w:val="BodyText"/>
        <w:spacing w:line="240" w:lineRule="auto" w:before="76"/>
        <w:ind w:right="0"/>
        <w:jc w:val="left"/>
      </w:pPr>
      <w:r>
        <w:rPr/>
        <w:t>告。</w:t>
      </w:r>
    </w:p>
    <w:p>
      <w:pPr>
        <w:spacing w:line="240" w:lineRule="auto" w:before="8"/>
        <w:rPr>
          <w:rFonts w:ascii="宋体" w:hAnsi="宋体" w:cs="宋体" w:eastAsia="宋体" w:hint="default"/>
          <w:sz w:val="11"/>
          <w:szCs w:val="11"/>
        </w:rPr>
      </w:pPr>
    </w:p>
    <w:p>
      <w:pPr>
        <w:pStyle w:val="BodyText"/>
        <w:spacing w:line="240" w:lineRule="auto" w:before="44"/>
        <w:ind w:left="554" w:right="0"/>
        <w:jc w:val="left"/>
      </w:pPr>
      <w:r>
        <w:rPr/>
        <w:t>我们对财务报表发表的审计意见不涵盖其他信息，我们也不对其他信息发表任何形式的鉴证结论。</w:t>
      </w:r>
    </w:p>
    <w:p>
      <w:pPr>
        <w:spacing w:line="240" w:lineRule="auto" w:before="0"/>
        <w:rPr>
          <w:rFonts w:ascii="宋体" w:hAnsi="宋体" w:cs="宋体" w:eastAsia="宋体" w:hint="default"/>
          <w:sz w:val="15"/>
          <w:szCs w:val="15"/>
        </w:rPr>
      </w:pPr>
    </w:p>
    <w:p>
      <w:pPr>
        <w:pStyle w:val="BodyText"/>
        <w:spacing w:line="316" w:lineRule="auto"/>
        <w:ind w:right="0" w:firstLine="401"/>
        <w:jc w:val="left"/>
      </w:pPr>
      <w:r>
        <w:rPr/>
        <w:t>结合我们对财务报表的审计，我们的责任是阅读其他信息，在此过程中，考虑其他信息是否与财务报表或我们在审计 过程中了解到的情况存在重大不一致或者似乎存在重大错报。</w:t>
      </w:r>
    </w:p>
    <w:p>
      <w:pPr>
        <w:pStyle w:val="BodyText"/>
        <w:spacing w:line="316" w:lineRule="auto" w:before="139"/>
        <w:ind w:right="1119" w:firstLine="401"/>
        <w:jc w:val="left"/>
      </w:pPr>
      <w:r>
        <w:rPr/>
        <w:t>基于我们已执行的工作，如果我们确定其他信息存在重大错报，我们应当报告该事实。在这方面，我们无任何事项需 要报告。</w:t>
      </w:r>
    </w:p>
    <w:p>
      <w:pPr>
        <w:spacing w:line="432" w:lineRule="exact" w:before="3"/>
        <w:ind w:left="554"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管理层负责按照企业会计准则的规定编制财务报表，使其实现公允反映，并设计、执行和维护必要的内部控制，以使</w:t>
      </w:r>
    </w:p>
    <w:p>
      <w:pPr>
        <w:pStyle w:val="BodyText"/>
        <w:spacing w:line="240" w:lineRule="auto" w:before="15"/>
        <w:ind w:right="0"/>
        <w:jc w:val="left"/>
      </w:pPr>
      <w:r>
        <w:rPr/>
        <w:t>财务报表不存在由于舞弊或错误导致的重大错报。</w:t>
      </w:r>
    </w:p>
    <w:p>
      <w:pPr>
        <w:spacing w:line="240" w:lineRule="auto" w:before="0"/>
        <w:rPr>
          <w:rFonts w:ascii="宋体" w:hAnsi="宋体" w:cs="宋体" w:eastAsia="宋体" w:hint="default"/>
          <w:sz w:val="15"/>
          <w:szCs w:val="15"/>
        </w:rPr>
      </w:pPr>
    </w:p>
    <w:p>
      <w:pPr>
        <w:pStyle w:val="BodyText"/>
        <w:spacing w:line="316" w:lineRule="auto"/>
        <w:ind w:right="0" w:firstLine="401"/>
        <w:jc w:val="left"/>
      </w:pPr>
      <w:r>
        <w:rPr/>
        <w:t>在编制财务报表时，管理层负责评估易联众公司的持续经营能力，披露与持续经营相关的事项（如适用），并运用持 续经营假设，除非管理层计划清算易联众公司、终止运营或别无其他现实的选择。</w:t>
      </w:r>
    </w:p>
    <w:p>
      <w:pPr>
        <w:spacing w:line="441" w:lineRule="auto" w:before="139"/>
        <w:ind w:left="554" w:right="6752" w:firstLine="0"/>
        <w:jc w:val="left"/>
        <w:rPr>
          <w:rFonts w:ascii="宋体" w:hAnsi="宋体" w:cs="宋体" w:eastAsia="宋体" w:hint="default"/>
          <w:sz w:val="18"/>
          <w:szCs w:val="18"/>
        </w:rPr>
      </w:pPr>
      <w:r>
        <w:rPr>
          <w:rFonts w:ascii="宋体" w:hAnsi="宋体" w:cs="宋体" w:eastAsia="宋体" w:hint="default"/>
          <w:sz w:val="18"/>
          <w:szCs w:val="18"/>
        </w:rPr>
        <w:t>治理层负责监督易联众公司的财务报告过程。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spacing w:after="0" w:line="441"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b/>
          <w:bCs/>
          <w:sz w:val="25"/>
          <w:szCs w:val="25"/>
        </w:rPr>
      </w:pPr>
    </w:p>
    <w:p>
      <w:pPr>
        <w:pStyle w:val="BodyText"/>
        <w:spacing w:line="316" w:lineRule="auto" w:before="44"/>
        <w:ind w:left="292" w:right="1130" w:firstLine="401"/>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3"/>
        </w:rPr>
        <w:t> </w:t>
      </w:r>
      <w:r>
        <w:rPr>
          <w:spacing w:val="-63"/>
        </w:rPr>
      </w:r>
      <w:r>
        <w:rPr/>
        <w:t>是重大的。</w:t>
      </w:r>
    </w:p>
    <w:p>
      <w:pPr>
        <w:pStyle w:val="BodyText"/>
        <w:spacing w:line="240" w:lineRule="auto" w:before="139"/>
        <w:ind w:left="694" w:right="0"/>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5"/>
          <w:szCs w:val="15"/>
        </w:rPr>
      </w:pPr>
    </w:p>
    <w:p>
      <w:pPr>
        <w:pStyle w:val="BodyText"/>
        <w:spacing w:line="316" w:lineRule="auto"/>
        <w:ind w:left="292" w:right="1051" w:firstLine="401"/>
        <w:jc w:val="both"/>
      </w:pP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39"/>
        <w:ind w:left="694" w:right="0"/>
        <w:jc w:val="left"/>
      </w:pPr>
      <w:r>
        <w:rPr/>
        <w:t>（</w:t>
      </w:r>
      <w:r>
        <w:rPr>
          <w:rFonts w:ascii="宋体" w:hAnsi="宋体" w:cs="宋体" w:eastAsia="宋体" w:hint="default"/>
        </w:rPr>
        <w:t>2</w:t>
      </w:r>
      <w:r>
        <w:rPr/>
        <w:t>）了解与审计相关的内部控制，以设计恰当的审计程序。</w:t>
      </w:r>
    </w:p>
    <w:p>
      <w:pPr>
        <w:spacing w:line="240" w:lineRule="auto" w:before="1"/>
        <w:rPr>
          <w:rFonts w:ascii="宋体" w:hAnsi="宋体" w:cs="宋体" w:eastAsia="宋体" w:hint="default"/>
          <w:sz w:val="15"/>
          <w:szCs w:val="15"/>
        </w:rPr>
      </w:pPr>
    </w:p>
    <w:p>
      <w:pPr>
        <w:pStyle w:val="BodyText"/>
        <w:spacing w:line="240" w:lineRule="auto"/>
        <w:ind w:left="694" w:right="0"/>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0"/>
        <w:rPr>
          <w:rFonts w:ascii="宋体" w:hAnsi="宋体" w:cs="宋体" w:eastAsia="宋体" w:hint="default"/>
          <w:sz w:val="15"/>
          <w:szCs w:val="15"/>
        </w:rPr>
      </w:pPr>
    </w:p>
    <w:p>
      <w:pPr>
        <w:pStyle w:val="BodyText"/>
        <w:spacing w:line="316" w:lineRule="auto"/>
        <w:ind w:left="292" w:right="1132" w:firstLine="401"/>
        <w:jc w:val="both"/>
      </w:pPr>
      <w:r>
        <w:rPr>
          <w:spacing w:val="-1"/>
        </w:rPr>
        <w:t>（</w:t>
      </w:r>
      <w:r>
        <w:rPr>
          <w:rFonts w:ascii="宋体" w:hAnsi="宋体" w:cs="宋体" w:eastAsia="宋体" w:hint="default"/>
          <w:spacing w:val="-1"/>
        </w:rPr>
        <w:t>4</w:t>
      </w:r>
      <w:r>
        <w:rPr>
          <w:spacing w:val="-1"/>
        </w:rPr>
        <w:t>）对管理层使用持续经营假设的恰当性得出结论。同时，根据获取的审计证据，就可能导致对易联众公司的持续经</w:t>
      </w:r>
      <w:r>
        <w:rPr/>
        <w:t>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论基于截至审计报告日可获得的信息。然而，未来的事项或情况可能导致易联众公司不能持续经营。</w:t>
      </w:r>
    </w:p>
    <w:p>
      <w:pPr>
        <w:pStyle w:val="BodyText"/>
        <w:spacing w:line="240" w:lineRule="auto" w:before="139"/>
        <w:ind w:left="694" w:right="0"/>
        <w:jc w:val="left"/>
      </w:pPr>
      <w:r>
        <w:rPr/>
        <w:t>（</w:t>
      </w:r>
      <w:r>
        <w:rPr>
          <w:rFonts w:ascii="宋体" w:hAnsi="宋体" w:cs="宋体" w:eastAsia="宋体" w:hint="default"/>
        </w:rPr>
        <w:t>5</w:t>
      </w:r>
      <w:r>
        <w:rPr/>
        <w:t>）评价财务报表的总体列报、结构和内容（包括披露），并评价财务报表是否公允反映相关交易和事项。</w:t>
      </w:r>
    </w:p>
    <w:p>
      <w:pPr>
        <w:spacing w:line="240" w:lineRule="auto" w:before="0"/>
        <w:rPr>
          <w:rFonts w:ascii="宋体" w:hAnsi="宋体" w:cs="宋体" w:eastAsia="宋体" w:hint="default"/>
          <w:sz w:val="15"/>
          <w:szCs w:val="15"/>
        </w:rPr>
      </w:pPr>
    </w:p>
    <w:p>
      <w:pPr>
        <w:pStyle w:val="BodyText"/>
        <w:spacing w:line="316" w:lineRule="auto"/>
        <w:ind w:left="292" w:right="1043" w:firstLine="401"/>
        <w:jc w:val="both"/>
      </w:pPr>
      <w:r>
        <w:rPr>
          <w:spacing w:val="-3"/>
        </w:rPr>
        <w:t>（</w:t>
      </w:r>
      <w:r>
        <w:rPr>
          <w:rFonts w:ascii="宋体" w:hAnsi="宋体" w:cs="宋体" w:eastAsia="宋体" w:hint="default"/>
          <w:spacing w:val="-3"/>
        </w:rPr>
        <w:t>6</w:t>
      </w:r>
      <w:r>
        <w:rPr>
          <w:spacing w:val="-3"/>
        </w:rPr>
        <w:t>）就易联众公司中实体或业务活动的财务信息获取充分、适当的审计证据，以对财务报表发表意见。我们负责指导、</w:t>
      </w:r>
      <w:r>
        <w:rPr/>
        <w:t> 监督和执行集团审计，并对审计意见承担全部责任。</w:t>
      </w:r>
    </w:p>
    <w:p>
      <w:pPr>
        <w:pStyle w:val="BodyText"/>
        <w:spacing w:line="319" w:lineRule="auto" w:before="139"/>
        <w:ind w:left="292" w:right="1142" w:firstLine="401"/>
        <w:jc w:val="both"/>
      </w:pPr>
      <w:r>
        <w:rPr/>
        <w:t>我们与治理层就计划的审计范围、时间安排和重大审计发现等事项进行沟通，包括沟通我们在审计中识别出的值得关 注的内部控制缺陷。</w:t>
      </w:r>
    </w:p>
    <w:p>
      <w:pPr>
        <w:pStyle w:val="BodyText"/>
        <w:spacing w:line="316" w:lineRule="auto" w:before="137"/>
        <w:ind w:left="292" w:right="1142" w:firstLine="401"/>
        <w:jc w:val="both"/>
      </w:pPr>
      <w:r>
        <w:rPr/>
        <w:t>我们还就已遵守与独立性相关的职业道德要求向治理层提供声明，并与治理层沟通可能被合理认为影响我们独立性的 所有关系和其他事项，以及相关的防范措施（如适用）。</w:t>
      </w:r>
    </w:p>
    <w:p>
      <w:pPr>
        <w:pStyle w:val="BodyText"/>
        <w:spacing w:line="316" w:lineRule="auto" w:before="139"/>
        <w:ind w:left="292" w:right="1133" w:firstLine="401"/>
        <w:jc w:val="both"/>
      </w:pP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3182"/>
        <w:gridCol w:w="3399"/>
        <w:gridCol w:w="795"/>
      </w:tblGrid>
      <w:tr>
        <w:trPr>
          <w:trHeight w:val="1816"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致同会计师事务所</w:t>
            </w:r>
          </w:p>
          <w:p>
            <w:pPr>
              <w:pStyle w:val="TableParagraph"/>
              <w:spacing w:line="240" w:lineRule="auto" w:before="76"/>
              <w:ind w:left="200" w:right="0"/>
              <w:jc w:val="left"/>
              <w:rPr>
                <w:rFonts w:ascii="宋体" w:hAnsi="宋体" w:cs="宋体" w:eastAsia="宋体" w:hint="default"/>
                <w:sz w:val="18"/>
                <w:szCs w:val="18"/>
              </w:rPr>
            </w:pPr>
            <w:r>
              <w:rPr>
                <w:rFonts w:ascii="宋体" w:hAnsi="宋体" w:cs="宋体" w:eastAsia="宋体" w:hint="default"/>
                <w:sz w:val="18"/>
                <w:szCs w:val="18"/>
              </w:rPr>
              <w:t>（特殊普通合伙）</w:t>
            </w:r>
          </w:p>
        </w:tc>
        <w:tc>
          <w:tcPr>
            <w:tcW w:w="3399" w:type="dxa"/>
            <w:tcBorders>
              <w:top w:val="nil" w:sz="6" w:space="0" w:color="auto"/>
              <w:left w:val="nil" w:sz="6" w:space="0" w:color="auto"/>
              <w:bottom w:val="nil" w:sz="6" w:space="0" w:color="auto"/>
              <w:right w:val="nil" w:sz="6" w:space="0" w:color="auto"/>
            </w:tcBorders>
          </w:tcPr>
          <w:p>
            <w:pPr>
              <w:pStyle w:val="TableParagraph"/>
              <w:spacing w:line="180" w:lineRule="exact"/>
              <w:ind w:left="2083"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spacing w:line="240" w:lineRule="auto" w:before="76"/>
              <w:ind w:left="2083" w:right="0"/>
              <w:jc w:val="left"/>
              <w:rPr>
                <w:rFonts w:ascii="宋体" w:hAnsi="宋体" w:cs="宋体" w:eastAsia="宋体" w:hint="default"/>
                <w:sz w:val="18"/>
                <w:szCs w:val="18"/>
              </w:rPr>
            </w:pPr>
            <w:r>
              <w:rPr>
                <w:rFonts w:ascii="宋体" w:hAnsi="宋体" w:cs="宋体" w:eastAsia="宋体" w:hint="default"/>
                <w:sz w:val="18"/>
                <w:szCs w:val="18"/>
              </w:rPr>
              <w:t>（项目合伙人）</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83"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c>
          <w:tcPr>
            <w:tcW w:w="795" w:type="dxa"/>
            <w:tcBorders>
              <w:top w:val="nil" w:sz="6" w:space="0" w:color="auto"/>
              <w:left w:val="nil" w:sz="6" w:space="0" w:color="auto"/>
              <w:bottom w:val="nil" w:sz="6" w:space="0" w:color="auto"/>
              <w:right w:val="nil" w:sz="6" w:space="0" w:color="auto"/>
            </w:tcBorders>
          </w:tcPr>
          <w:p>
            <w:pPr>
              <w:pStyle w:val="TableParagraph"/>
              <w:spacing w:line="180" w:lineRule="exact"/>
              <w:ind w:left="55" w:right="0"/>
              <w:jc w:val="left"/>
              <w:rPr>
                <w:rFonts w:ascii="宋体" w:hAnsi="宋体" w:cs="宋体" w:eastAsia="宋体" w:hint="default"/>
                <w:sz w:val="18"/>
                <w:szCs w:val="18"/>
              </w:rPr>
            </w:pPr>
            <w:r>
              <w:rPr>
                <w:rFonts w:ascii="宋体" w:hAnsi="宋体" w:cs="宋体" w:eastAsia="宋体" w:hint="default"/>
                <w:sz w:val="18"/>
                <w:szCs w:val="18"/>
              </w:rPr>
              <w:t>李仕谦</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郭清艺</w:t>
            </w:r>
          </w:p>
        </w:tc>
      </w:tr>
      <w:tr>
        <w:trPr>
          <w:trHeight w:val="568"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834"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447" w:right="0"/>
              <w:jc w:val="left"/>
              <w:rPr>
                <w:rFonts w:ascii="宋体" w:hAnsi="宋体" w:cs="宋体" w:eastAsia="宋体" w:hint="default"/>
                <w:sz w:val="18"/>
                <w:szCs w:val="18"/>
              </w:rPr>
            </w:pPr>
            <w:r>
              <w:rPr>
                <w:rFonts w:ascii="宋体" w:hAnsi="宋体" w:cs="宋体" w:eastAsia="宋体" w:hint="default"/>
                <w:sz w:val="18"/>
                <w:szCs w:val="18"/>
              </w:rPr>
              <w:t>二Ｏ一九年四月十九日</w:t>
            </w:r>
          </w:p>
        </w:tc>
        <w:tc>
          <w:tcPr>
            <w:tcW w:w="79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8" w:footer="974" w:top="1060" w:bottom="1160" w:left="84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before="44"/>
        <w:ind w:right="-19"/>
        <w:jc w:val="left"/>
      </w:pPr>
      <w:r>
        <w:rPr/>
        <w:t>编制单位：易联众信息技术股份有限公司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394" w:space="682"/>
            <w:col w:w="1642" w:space="3202"/>
            <w:col w:w="201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343,503,676.38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435,021,192.34</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739,844,880.10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683,185,951.26</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739,844,880.10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683,185,951.26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13,629,985.24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5,045,989.16</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22,553,070.26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26,293,314.43</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3,706,866.66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1,018,334.39</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106,481,939.02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98,217,415.51</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75,747,784.28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61,257,048.58</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10,253,277.82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2,151,847.75</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1,312,014,613.10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1,311,172,759.03</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5,084,867.23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5,252,269.80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380,972,704.91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378,360,476.85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72,949,527.30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84,036,164.30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437,311.93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29,685,551.01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36,316,395.19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9,740,579.47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2,245,844.63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10,275,743.30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10,275,743.30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5,553,550.13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6,312,581.82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42,242,660.33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30,264,949.63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602,942,495.61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599,064,425.52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1,914,957,108.71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1,910,237,184.55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284,500,000.00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411,500,000.00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79"/>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226,126,287.61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208,125,889.09</w:t>
            </w:r>
            <w:r>
              <w:rPr>
                <w:rFonts w:ascii="Times New Roman"/>
                <w:sz w:val="18"/>
              </w:rPr>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98,462,072.77</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98,923,623.29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68,851,278.81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40,751,183.31</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36,991,413.98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29,683,783.09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64,282,441.19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46,979,865.64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20,522,566.54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6,626,266.38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2,071,379.00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3,998,885.00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781,284,873.36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839,963,229.42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300,221,363.84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302,256,754.88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300,221,363.84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302,256,754.88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1,081,506,237.20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1,142,219,984.30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430,000,000.00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430,000,000.00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32,401,913.78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32,401,913.78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1,159,187.06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26,927,422.86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26,957,333.08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250,158,960.13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237,913,376.76</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740,647,483.83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727,272,623.62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92,803,387.68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40,744,576.63</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74" w:header="748"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833,450,871.51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768,017,200.25</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1,914,957,108.71</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1,910,237,184.55</w:t>
            </w:r>
          </w:p>
        </w:tc>
      </w:tr>
    </w:tbl>
    <w:p>
      <w:pPr>
        <w:spacing w:line="240" w:lineRule="auto" w:before="2"/>
        <w:rPr>
          <w:rFonts w:ascii="Times New Roman" w:hAnsi="Times New Roman" w:cs="Times New Roman" w:eastAsia="Times New Roman" w:hint="default"/>
          <w:sz w:val="23"/>
          <w:szCs w:val="23"/>
        </w:rPr>
      </w:pPr>
    </w:p>
    <w:p>
      <w:pPr>
        <w:pStyle w:val="BodyText"/>
        <w:tabs>
          <w:tab w:pos="3334" w:val="left" w:leader="none"/>
          <w:tab w:pos="7566" w:val="left" w:leader="none"/>
        </w:tabs>
        <w:spacing w:line="240" w:lineRule="auto" w:before="44"/>
        <w:ind w:left="0" w:right="1225"/>
        <w:jc w:val="right"/>
      </w:pPr>
      <w:r>
        <w:rPr/>
        <w:t>法定代表人：张曦</w:t>
        <w:tab/>
      </w:r>
      <w:r>
        <w:rPr>
          <w:spacing w:val="-1"/>
        </w:rPr>
        <w:t>主管会计工作负责人：陈东红</w:t>
        <w:tab/>
      </w:r>
      <w:r>
        <w:rPr/>
        <w:t>会计机构负责人：尤泽祥</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82,433,001.43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197,611,203.92</w:t>
            </w: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205,643,969.26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198,321,143.70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205,643,969.26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198,321,143.70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57,769,432.40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12,060,210.72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38,415,544.14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72,216,597.91</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456,704.09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383,796.66</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37,943,576.72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41,886,449.34</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613,000.00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4,766,340.57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111,659.51</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427,584,864.52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522,207,265.10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4,441,116.08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3,032,469.66</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974,993,226.71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967,578,479.57</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61,955,887.89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72,942,995.36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437,311.93</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74" w:header="748"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15,121,773.97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23,687,483.05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2,113,401.91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2,952,391.26</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16,502,410.44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10,391,332.97</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1,076,565,128.93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1,081,585,151.87</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1,504,149,993.45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1,603,792,416.97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245,000,000.00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371,000,000.00</w:t>
            </w: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210,022,242.72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175,834,227.45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37,117,509.30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52,034,951.47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9,400,550.57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7,486,281.23</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414,979.48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1,845,626.61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402,114,362.11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354,329,805.93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662,667.17</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2,678,249.00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3,998,885.00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906,747,893.18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966,529,777.69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4,410,917.83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5,113,570.67</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4,410,917.83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5,113,570.67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911,158,811.01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971,643,348.36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430,000,000.00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37,727,060.86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37,727,060.86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1,159,187.06</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27,136,905.60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27,136,905.60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96,968,028.92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137,285,102.15</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592,991,182.44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632,149,068.61</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1,504,149,993.45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1,603,792,416.97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729,805,790.24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625,540,124.27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729,805,790.24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625,540,124.27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707,873,149.62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651,092,634.17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343,960,271.40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322,261,134.69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8,135,818.37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7,859,295.80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70,925,094.80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63,091,100.95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138,831,188.62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126,322,804.03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105,432,970.39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94,978,524.41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18,162,681.55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16,516,985.89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20,362,967.80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18,552,161.32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2,494,638.75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2,395,802.34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22,425,124.49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20,062,788.40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20,879,770.75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11,015,953.84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533,655.37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56,545,723.99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533,655.37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-6,593,166.47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-822,439.50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1,568,445.06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42,523,627.24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43,577,612.99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510,083.49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397,688.13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560,245.73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1,702,429.60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42,473,465.00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42,272,871.52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4,341,480.80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15,056,565.94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38,131,984.20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27,216,305.58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38,131,984.20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27,216,305.58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14,664,775.38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18,121,725.29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23,467,208.82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9,094,580.29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1,159,187.06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1,159,187.06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1,159,187.06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1,159,187.06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39,291,171.26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27,216,305.58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15,823,962.44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18,121,725.29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23,467,208.82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9,094,580.29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0.0420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0.0420</w:t>
            </w:r>
          </w:p>
        </w:tc>
      </w:tr>
    </w:tbl>
    <w:p>
      <w:pPr>
        <w:pStyle w:val="BodyText"/>
        <w:tabs>
          <w:tab w:pos="3487" w:val="left" w:leader="none"/>
          <w:tab w:pos="7718" w:val="left" w:leader="none"/>
        </w:tabs>
        <w:spacing w:line="592" w:lineRule="auto" w:before="51"/>
        <w:ind w:right="1225"/>
        <w:jc w:val="left"/>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 </w:t>
      </w:r>
      <w:r>
        <w:rPr/>
        <w:t>元，上期被合并方实现的净利润为：</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法定代表人：张曦</w:t>
        <w:tab/>
      </w:r>
      <w:r>
        <w:rPr>
          <w:spacing w:val="-1"/>
        </w:rPr>
        <w:t>主管会计工作负责人：陈东红</w:t>
        <w:tab/>
      </w:r>
      <w:r>
        <w:rPr/>
        <w:t>会计机构负责人：尤泽祥</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344,911,703.95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291,461,094.00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321,243,616.14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263,556,871.72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31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759,691.69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2,070,064.08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8,187,788.56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2,504,466.05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34,958,430.36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39,998,564.44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7,008,284.38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16,298,698.79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15,697,479.98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7,676,083.62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20,530,321.97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19,648,958.61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4,894,780.41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12,140,518.33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6,111,191.22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8,491,006.12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6,600,549.58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6,547,321.80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-1,086,725.55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135,719,475.10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-840,817.58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-44,381,771.93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93,132,136.08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500,398.66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10,300.10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396,777.43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1,669,101.04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-44,278,150.70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91,473,335.14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-6,111,077.47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1,093,502.89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-38,167,073.23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90,379,832.25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-38,167,073.23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90,379,832.25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1,159,187.06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1,159,187.06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74" w:right="0"/>
              <w:jc w:val="left"/>
              <w:rPr>
                <w:rFonts w:ascii="Times New Roman" w:hAnsi="Times New Roman" w:cs="Times New Roman" w:eastAsia="Times New Roman" w:hint="default"/>
                <w:sz w:val="18"/>
                <w:szCs w:val="18"/>
              </w:rPr>
            </w:pPr>
            <w:r>
              <w:rPr>
                <w:rFonts w:ascii="Times New Roman"/>
                <w:sz w:val="18"/>
              </w:rPr>
              <w:t>-37,007,886.17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90,379,832.25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777,515,162.65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684,908,407.50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9,145,402.66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3,056,664.62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98,932,075.80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34,648,974.06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885,592,641.11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722,614,046.18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347,617,158.68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288,134,928.39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231,258,869.00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200,362,068.81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74,682,721.93</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66,588,963.76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175,259,525.41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168,464,405.57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828,818,275.02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723,550,366.53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56,774,366.09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-936,320.35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1,441,614.37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1,050,800.00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852,420.00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1,801,455.57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10,322,698.70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2,804,034.37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103,174,954.27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20,419,394.88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19,625,024.04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2,923,500.00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370,700,000.00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8,870,672.83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23,842,894.88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399,195,696.87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-21,038,860.51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-296,020,742.60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28,855,000.00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9,030,000.00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28,855,000.00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9,030,000.00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364,500,000.00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544,500,000.00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13,159,250.00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475,000,000.00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406,514,250.00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1,028,530,000.00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495,524,718.80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437,108,346.00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26,585,491.89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19,881,763.14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1"/>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214,059,250.00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522,110,210.69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671,049,359.14</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-115,595,960.69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357,480,640.86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-79,860,455.11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60,523,577.91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405,641,701.22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345,118,123.31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325,781,246.11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405,641,701.22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355,636,723.34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333,548,028.52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757,828.31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1,274,254.46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128,992,378.81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344,165,830.35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485,386,930.46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678,988,113.33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1"/>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355,246,905.13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265,232,927.16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23,081,650.95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36,494,265.89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10,599,178.57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9,657,306.52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45,122,711.25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79,233,725.70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434,050,445.90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390,618,225.27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51,336,484.56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288,369,888.06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1,441,614.37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95,720,800.00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1"/>
              <w:jc w:val="right"/>
              <w:rPr>
                <w:rFonts w:ascii="宋体" w:hAnsi="宋体" w:cs="宋体" w:eastAsia="宋体" w:hint="default"/>
                <w:sz w:val="18"/>
                <w:szCs w:val="18"/>
              </w:rPr>
            </w:pPr>
            <w:r>
              <w:rPr>
                <w:rFonts w:ascii="宋体" w:hAnsi="宋体" w:cs="宋体" w:eastAsia="宋体" w:hint="default"/>
                <w:sz w:val="18"/>
                <w:szCs w:val="18"/>
              </w:rPr>
              <w:t>处置固定资产、无形资产和其他</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1,029,900.00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2,260.00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8,900,920.37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451,593,204.67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13,980,434.74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612,316,264.67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1,845,939.40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4,362,285.29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11,391,900.00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560,200,000.00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42,717,839.40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779,362,285.29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-28,737,404.66</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-167,046,020.62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504,000,000.00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38,159,250.00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176,000,000.00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363,159,250.00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455,024,718.80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437,108,346.00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22,678,510.93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17,721,914.58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6,789,166.66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220,059,250.00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484,492,396.39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674,889,510.58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-121,333,146.39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5,110,489.42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-98,734,066.49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126,434,356.86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169,295,994.17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42,861,637.31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70,561,927.68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169,295,994.17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8135"/>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footerReference w:type="default" r:id="rId19"/>
          <w:pgSz w:w="11910" w:h="16840"/>
          <w:pgMar w:footer="974" w:header="748"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2"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32,401,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913.78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26,957,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333.08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237,913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,376.76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40,744,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576.63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768,017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,200.25</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32,401,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26,957,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333.08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237,913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,376.76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40,744,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576.63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768,017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,200.25</w:t>
            </w: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1,159,1</w:t>
            </w:r>
          </w:p>
          <w:p>
            <w:pPr>
              <w:pStyle w:val="TableParagraph"/>
              <w:spacing w:line="240" w:lineRule="auto" w:before="103"/>
              <w:ind w:left="206" w:right="0"/>
              <w:jc w:val="center"/>
              <w:rPr>
                <w:rFonts w:ascii="Times New Roman" w:hAnsi="Times New Roman" w:cs="Times New Roman" w:eastAsia="Times New Roman" w:hint="default"/>
                <w:sz w:val="18"/>
                <w:szCs w:val="18"/>
              </w:rPr>
            </w:pPr>
            <w:r>
              <w:rPr>
                <w:rFonts w:ascii="Times New Roman"/>
                <w:sz w:val="18"/>
              </w:rPr>
              <w:t>87.06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-29,910.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12,245,</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583.37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52,058,</w:t>
            </w:r>
          </w:p>
          <w:p>
            <w:pPr>
              <w:pStyle w:val="TableParagraph"/>
              <w:spacing w:line="240" w:lineRule="auto" w:before="103"/>
              <w:ind w:left="146" w:right="0"/>
              <w:jc w:val="left"/>
              <w:rPr>
                <w:rFonts w:ascii="Times New Roman" w:hAnsi="Times New Roman" w:cs="Times New Roman" w:eastAsia="Times New Roman" w:hint="default"/>
                <w:sz w:val="18"/>
                <w:szCs w:val="18"/>
              </w:rPr>
            </w:pPr>
            <w:r>
              <w:rPr>
                <w:rFonts w:ascii="Times New Roman"/>
                <w:sz w:val="18"/>
              </w:rPr>
              <w:t>811.05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65,433,</w:t>
            </w:r>
          </w:p>
          <w:p>
            <w:pPr>
              <w:pStyle w:val="TableParagraph"/>
              <w:spacing w:line="240" w:lineRule="auto" w:before="103"/>
              <w:ind w:left="131" w:right="0"/>
              <w:jc w:val="left"/>
              <w:rPr>
                <w:rFonts w:ascii="Times New Roman" w:hAnsi="Times New Roman" w:cs="Times New Roman" w:eastAsia="Times New Roman" w:hint="default"/>
                <w:sz w:val="18"/>
                <w:szCs w:val="18"/>
              </w:rPr>
            </w:pPr>
            <w:r>
              <w:rPr>
                <w:rFonts w:ascii="Times New Roman"/>
                <w:sz w:val="18"/>
              </w:rPr>
              <w:t>671.26</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1,159,1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87.06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14,664,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775.38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23,467,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208.82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39,291,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171.26</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-29,910.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left"/>
              <w:rPr>
                <w:rFonts w:ascii="Times New Roman" w:hAnsi="Times New Roman" w:cs="Times New Roman" w:eastAsia="Times New Roman" w:hint="default"/>
                <w:sz w:val="18"/>
                <w:szCs w:val="18"/>
              </w:rPr>
            </w:pPr>
            <w:r>
              <w:rPr>
                <w:rFonts w:ascii="Times New Roman"/>
                <w:sz w:val="18"/>
              </w:rPr>
              <w:t>-269,19</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2.01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 w:right="0"/>
              <w:jc w:val="left"/>
              <w:rPr>
                <w:rFonts w:ascii="Times New Roman" w:hAnsi="Times New Roman" w:cs="Times New Roman" w:eastAsia="Times New Roman" w:hint="default"/>
                <w:sz w:val="18"/>
                <w:szCs w:val="18"/>
              </w:rPr>
            </w:pPr>
            <w:r>
              <w:rPr>
                <w:rFonts w:ascii="Times New Roman"/>
                <w:sz w:val="18"/>
              </w:rPr>
              <w:t>28,855,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28,555,</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897.77</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28,855,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28,855,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000.00</w:t>
            </w: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-29,910.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left"/>
              <w:rPr>
                <w:rFonts w:ascii="Times New Roman" w:hAnsi="Times New Roman" w:cs="Times New Roman" w:eastAsia="Times New Roman" w:hint="default"/>
                <w:sz w:val="18"/>
                <w:szCs w:val="18"/>
              </w:rPr>
            </w:pPr>
            <w:r>
              <w:rPr>
                <w:rFonts w:ascii="Times New Roman"/>
                <w:sz w:val="18"/>
              </w:rPr>
              <w:t>-269,19</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2.01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-299,10</w:t>
            </w:r>
          </w:p>
          <w:p>
            <w:pPr>
              <w:pStyle w:val="TableParagraph"/>
              <w:spacing w:line="240" w:lineRule="auto" w:before="102"/>
              <w:ind w:left="311" w:right="0"/>
              <w:jc w:val="left"/>
              <w:rPr>
                <w:rFonts w:ascii="Times New Roman" w:hAnsi="Times New Roman" w:cs="Times New Roman" w:eastAsia="Times New Roman" w:hint="default"/>
                <w:sz w:val="18"/>
                <w:szCs w:val="18"/>
              </w:rPr>
            </w:pPr>
            <w:r>
              <w:rPr>
                <w:rFonts w:ascii="Times New Roman"/>
                <w:sz w:val="18"/>
              </w:rPr>
              <w:t>2.23</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-263,39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7.77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-2,413,3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97.77</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left"/>
              <w:rPr>
                <w:rFonts w:ascii="Times New Roman" w:hAnsi="Times New Roman" w:cs="Times New Roman" w:eastAsia="Times New Roman" w:hint="default"/>
                <w:sz w:val="18"/>
                <w:szCs w:val="18"/>
              </w:rPr>
            </w:pPr>
            <w:r>
              <w:rPr>
                <w:rFonts w:ascii="Times New Roman"/>
                <w:sz w:val="18"/>
              </w:rPr>
              <w:t>-263,39</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7.77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-263,39</w:t>
            </w:r>
          </w:p>
          <w:p>
            <w:pPr>
              <w:pStyle w:val="TableParagraph"/>
              <w:spacing w:line="240" w:lineRule="auto" w:before="102"/>
              <w:ind w:left="311" w:right="0"/>
              <w:jc w:val="left"/>
              <w:rPr>
                <w:rFonts w:ascii="Times New Roman" w:hAnsi="Times New Roman" w:cs="Times New Roman" w:eastAsia="Times New Roman" w:hint="default"/>
                <w:sz w:val="18"/>
                <w:szCs w:val="18"/>
              </w:rPr>
            </w:pPr>
            <w:r>
              <w:rPr>
                <w:rFonts w:ascii="Times New Roman"/>
                <w:sz w:val="18"/>
              </w:rPr>
              <w:t>7.77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32,401,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1,159,1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87.06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26,927,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422.86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250,158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,960.13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92,803,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387.68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833,450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,871.51</w:t>
            </w:r>
          </w:p>
        </w:tc>
      </w:tr>
    </w:tbl>
    <w:p>
      <w:pPr>
        <w:pStyle w:val="BodyText"/>
        <w:spacing w:line="240" w:lineRule="auto" w:before="51"/>
        <w:ind w:right="0"/>
        <w:jc w:val="left"/>
      </w:pPr>
      <w:r>
        <w:rPr/>
        <w:t>上期金额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32,770,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582.36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17,919,</w:t>
            </w:r>
          </w:p>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866.11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231,035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,561.90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33,042,</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587.60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744,768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,597.97</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44"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32,770,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582.36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17,919,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866.11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231,035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,561.90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33,042,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587.60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744,768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,597.97</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-368,66</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9,037,4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6,877,8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14.86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7,701,9</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89.03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23,248,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602.28</w:t>
            </w: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18,121,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725.29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9,094,5</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80.29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27,216,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305.58</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9,841,0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23.35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9,841,0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23.35</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9,030,0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9,030,0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 w:right="0"/>
              <w:jc w:val="left"/>
              <w:rPr>
                <w:rFonts w:ascii="Times New Roman" w:hAnsi="Times New Roman" w:cs="Times New Roman" w:eastAsia="Times New Roman" w:hint="default"/>
                <w:sz w:val="18"/>
                <w:szCs w:val="18"/>
              </w:rPr>
            </w:pPr>
            <w:r>
              <w:rPr>
                <w:rFonts w:ascii="Times New Roman"/>
                <w:sz w:val="18"/>
              </w:rPr>
              <w:t>811,023</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.35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7" w:right="0"/>
              <w:jc w:val="left"/>
              <w:rPr>
                <w:rFonts w:ascii="Times New Roman" w:hAnsi="Times New Roman" w:cs="Times New Roman" w:eastAsia="Times New Roman" w:hint="default"/>
                <w:sz w:val="18"/>
                <w:szCs w:val="18"/>
              </w:rPr>
            </w:pPr>
            <w:r>
              <w:rPr>
                <w:rFonts w:ascii="Times New Roman"/>
                <w:sz w:val="18"/>
              </w:rPr>
              <w:t>811,023</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.35</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-368,66</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9,037,4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-11,243,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910.43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525,112</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-2,050,0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9,037,9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83.23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-9,037,9</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83.23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-368,66</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-516.26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-55,927.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525,112</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-11,758,</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726.65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-11,758,</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726.65</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32,401,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26,957,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333.08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237,913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,376.76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40,744,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576.63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768,017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,200.25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4"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37,727,06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27,136,90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137,285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,102.15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632,149,0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68.61</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37,727,06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27,136,90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 w:right="0"/>
              <w:jc w:val="left"/>
              <w:rPr>
                <w:rFonts w:ascii="Times New Roman" w:hAnsi="Times New Roman" w:cs="Times New Roman" w:eastAsia="Times New Roman" w:hint="default"/>
                <w:sz w:val="18"/>
                <w:szCs w:val="18"/>
              </w:rPr>
            </w:pPr>
            <w:r>
              <w:rPr>
                <w:rFonts w:ascii="Times New Roman"/>
                <w:sz w:val="18"/>
              </w:rPr>
              <w:t>137,285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,102.15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632,149,0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68.61</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1,159,187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-40,317,</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073.23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-39,157,8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86.17</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1,159,187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-38,167,</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073.23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-37,007,8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86.17</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-2,150,00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-2,150,00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37,727,06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1,159,187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27,136,90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5.60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96,968,</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028.92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592,991,1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82.44</w:t>
            </w:r>
          </w:p>
        </w:tc>
      </w:tr>
    </w:tbl>
    <w:p>
      <w:pPr>
        <w:pStyle w:val="BodyText"/>
        <w:spacing w:line="240" w:lineRule="auto" w:before="51"/>
        <w:ind w:right="0"/>
        <w:jc w:val="left"/>
      </w:pPr>
      <w:r>
        <w:rPr/>
        <w:t>上期金额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3" w:hRule="exact"/>
        </w:trPr>
        <w:tc>
          <w:tcPr>
            <w:tcW w:w="14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9"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39"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3"/>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37,727,06</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18,099,43</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8.63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58,097,</w:t>
            </w:r>
          </w:p>
          <w:p>
            <w:pPr>
              <w:pStyle w:val="TableParagraph"/>
              <w:spacing w:line="240" w:lineRule="auto" w:before="103"/>
              <w:ind w:left="148" w:right="0"/>
              <w:jc w:val="left"/>
              <w:rPr>
                <w:rFonts w:ascii="Times New Roman" w:hAnsi="Times New Roman" w:cs="Times New Roman" w:eastAsia="Times New Roman" w:hint="default"/>
                <w:sz w:val="18"/>
                <w:szCs w:val="18"/>
              </w:rPr>
            </w:pPr>
            <w:r>
              <w:rPr>
                <w:rFonts w:ascii="Times New Roman"/>
                <w:sz w:val="18"/>
              </w:rPr>
              <w:t>899.51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543,924,3</w:t>
            </w:r>
          </w:p>
          <w:p>
            <w:pPr>
              <w:pStyle w:val="TableParagraph"/>
              <w:spacing w:line="240" w:lineRule="auto" w:before="103"/>
              <w:ind w:left="343" w:right="0"/>
              <w:jc w:val="left"/>
              <w:rPr>
                <w:rFonts w:ascii="Times New Roman" w:hAnsi="Times New Roman" w:cs="Times New Roman" w:eastAsia="Times New Roman" w:hint="default"/>
                <w:sz w:val="18"/>
                <w:szCs w:val="18"/>
              </w:rPr>
            </w:pPr>
            <w:r>
              <w:rPr>
                <w:rFonts w:ascii="Times New Roman"/>
                <w:sz w:val="18"/>
              </w:rPr>
              <w:t>99.00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-516.26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-5,162.64</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37,727,06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18,098,92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2.37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58,093,</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253.13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543,919,2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36.36</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9,037,983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79,191,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849.02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88,229,83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2.25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90,379,</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832.25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90,379,83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2.25</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9,037,983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-11,187,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983.23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-2,150,00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9,037,983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-9,037,9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83.23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3"/>
              <w:ind w:left="214"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-2,150,00</w:t>
            </w:r>
          </w:p>
          <w:p>
            <w:pPr>
              <w:pStyle w:val="TableParagraph"/>
              <w:spacing w:line="240" w:lineRule="auto" w:before="103"/>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37,727,06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27,136,90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137,285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,102.15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632,149,0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68.61</w:t>
            </w:r>
          </w:p>
        </w:tc>
      </w:tr>
    </w:tbl>
    <w:p>
      <w:pPr>
        <w:spacing w:line="240" w:lineRule="auto" w:before="9"/>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034"/>
        <w:jc w:val="left"/>
      </w:pPr>
      <w:r>
        <w:rPr>
          <w:rFonts w:ascii="宋体" w:hAnsi="宋体" w:cs="宋体" w:eastAsia="宋体" w:hint="default"/>
        </w:rPr>
        <w:t>1</w:t>
      </w:r>
      <w:r>
        <w:rPr/>
        <w:t>、公司概况 </w:t>
      </w:r>
      <w:r>
        <w:rPr>
          <w:spacing w:val="-4"/>
        </w:rPr>
        <w:t>易联众信息技术股份有限公司（以下简称“本公司”）系由实达科技（福建）软件系统集团有限公司依法整体变更设立，</w:t>
      </w:r>
    </w:p>
    <w:p>
      <w:pPr>
        <w:pStyle w:val="BodyText"/>
        <w:spacing w:line="316" w:lineRule="auto" w:before="19"/>
        <w:ind w:right="1124"/>
        <w:jc w:val="left"/>
      </w:pPr>
      <w:r>
        <w:rPr/>
        <w:t>于</w:t>
      </w:r>
      <w:r>
        <w:rPr>
          <w:rFonts w:ascii="宋体" w:hAnsi="宋体" w:cs="宋体" w:eastAsia="宋体" w:hint="default"/>
        </w:rPr>
        <w:t>2009</w:t>
      </w:r>
      <w:r>
        <w:rPr/>
        <w:t>年</w:t>
      </w:r>
      <w:r>
        <w:rPr>
          <w:rFonts w:ascii="宋体" w:hAnsi="宋体" w:cs="宋体" w:eastAsia="宋体" w:hint="default"/>
        </w:rPr>
        <w:t>6</w:t>
      </w:r>
      <w:r>
        <w:rPr/>
        <w:t>月</w:t>
      </w:r>
      <w:r>
        <w:rPr>
          <w:rFonts w:ascii="宋体" w:hAnsi="宋体" w:cs="宋体" w:eastAsia="宋体" w:hint="default"/>
        </w:rPr>
        <w:t>29</w:t>
      </w:r>
      <w:r>
        <w:rPr/>
        <w:t>日取得厦门市工商行政管理局核发的《企业法人营业执照》，统一社会信用代码为</w:t>
      </w:r>
      <w:r>
        <w:rPr>
          <w:rFonts w:ascii="宋体" w:hAnsi="宋体" w:cs="宋体" w:eastAsia="宋体" w:hint="default"/>
        </w:rPr>
        <w:t>91350200612040492E</w:t>
      </w:r>
      <w:r>
        <w:rPr/>
        <w:t>。设</w:t>
      </w:r>
      <w:r>
        <w:rPr>
          <w:spacing w:val="-3"/>
        </w:rPr>
        <w:t> </w:t>
      </w:r>
      <w:r>
        <w:rPr/>
        <w:t>立时本公司股本总额为</w:t>
      </w:r>
      <w:r>
        <w:rPr>
          <w:rFonts w:ascii="宋体" w:hAnsi="宋体" w:cs="宋体" w:eastAsia="宋体" w:hint="default"/>
        </w:rPr>
        <w:t>6,400</w:t>
      </w:r>
      <w:r>
        <w:rPr/>
        <w:t>万股，每股面值</w:t>
      </w:r>
      <w:r>
        <w:rPr>
          <w:rFonts w:ascii="宋体" w:hAnsi="宋体" w:cs="宋体" w:eastAsia="宋体" w:hint="default"/>
        </w:rPr>
        <w:t>1</w:t>
      </w:r>
      <w:r>
        <w:rPr/>
        <w:t>元，注册资本为人民币</w:t>
      </w:r>
      <w:r>
        <w:rPr>
          <w:rFonts w:ascii="宋体" w:hAnsi="宋体" w:cs="宋体" w:eastAsia="宋体" w:hint="default"/>
        </w:rPr>
        <w:t>6,400</w:t>
      </w:r>
      <w:r>
        <w:rPr/>
        <w:t>万元。</w:t>
      </w:r>
    </w:p>
    <w:p>
      <w:pPr>
        <w:pStyle w:val="BodyText"/>
        <w:spacing w:line="319" w:lineRule="auto" w:before="19"/>
        <w:ind w:right="1130" w:firstLine="360"/>
        <w:jc w:val="both"/>
      </w:pP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日，经中国证券监督管理委员会“证监许可</w:t>
      </w:r>
      <w:r>
        <w:rPr>
          <w:rFonts w:ascii="宋体" w:hAnsi="宋体" w:cs="宋体" w:eastAsia="宋体" w:hint="default"/>
          <w:spacing w:val="-2"/>
        </w:rPr>
        <w:t>[2010]890</w:t>
      </w:r>
      <w:r>
        <w:rPr>
          <w:spacing w:val="-2"/>
        </w:rPr>
        <w:t>号”文《关于核准易联众信息技术股份有限公司首次</w:t>
      </w:r>
      <w:r>
        <w:rPr/>
        <w:t> 公开发行股票并在创业板上市的批复》核准，本公司向社会公开发行人民币普通股（</w:t>
      </w:r>
      <w:r>
        <w:rPr>
          <w:rFonts w:ascii="宋体" w:hAnsi="宋体" w:cs="宋体" w:eastAsia="宋体" w:hint="default"/>
        </w:rPr>
        <w:t>A</w:t>
      </w:r>
      <w:r>
        <w:rPr/>
        <w:t>股）</w:t>
      </w:r>
      <w:r>
        <w:rPr>
          <w:rFonts w:ascii="宋体" w:hAnsi="宋体" w:cs="宋体" w:eastAsia="宋体" w:hint="default"/>
        </w:rPr>
        <w:t>2,200</w:t>
      </w:r>
      <w:r>
        <w:rPr/>
        <w:t>万股，并于</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28</w:t>
      </w:r>
      <w:r>
        <w:rPr/>
        <w:t>日</w:t>
      </w:r>
      <w:r>
        <w:rPr>
          <w:spacing w:val="-86"/>
        </w:rPr>
        <w:t> </w:t>
      </w:r>
      <w:r>
        <w:rPr>
          <w:spacing w:val="-3"/>
        </w:rPr>
        <w:t>在深圳证券交易所创业板上市交易（股票简称为“易联众”，股票代码为“300096”），发行后注册资本变更为人民币</w:t>
      </w:r>
      <w:r>
        <w:rPr>
          <w:rFonts w:ascii="宋体" w:hAnsi="宋体" w:cs="宋体" w:eastAsia="宋体" w:hint="default"/>
          <w:spacing w:val="-3"/>
        </w:rPr>
        <w:t>8,600</w:t>
      </w:r>
      <w:r>
        <w:rPr>
          <w:rFonts w:ascii="宋体" w:hAnsi="宋体" w:cs="宋体" w:eastAsia="宋体" w:hint="default"/>
          <w:spacing w:val="-87"/>
        </w:rPr>
        <w:t> </w:t>
      </w:r>
      <w:r>
        <w:rPr>
          <w:rFonts w:ascii="宋体" w:hAnsi="宋体" w:cs="宋体" w:eastAsia="宋体" w:hint="default"/>
          <w:spacing w:val="-87"/>
        </w:rPr>
      </w:r>
      <w:r>
        <w:rPr/>
        <w:t>万元。根据本公司于</w:t>
      </w:r>
      <w:r>
        <w:rPr>
          <w:rFonts w:ascii="宋体" w:hAnsi="宋体" w:cs="宋体" w:eastAsia="宋体" w:hint="default"/>
        </w:rPr>
        <w:t>2009</w:t>
      </w:r>
      <w:r>
        <w:rPr/>
        <w:t>年</w:t>
      </w:r>
      <w:r>
        <w:rPr>
          <w:rFonts w:ascii="宋体" w:hAnsi="宋体" w:cs="宋体" w:eastAsia="宋体" w:hint="default"/>
        </w:rPr>
        <w:t>8</w:t>
      </w:r>
      <w:r>
        <w:rPr/>
        <w:t>月</w:t>
      </w:r>
      <w:r>
        <w:rPr>
          <w:rFonts w:ascii="宋体" w:hAnsi="宋体" w:cs="宋体" w:eastAsia="宋体" w:hint="default"/>
        </w:rPr>
        <w:t>22</w:t>
      </w:r>
      <w:r>
        <w:rPr/>
        <w:t>日召开的</w:t>
      </w:r>
      <w:r>
        <w:rPr>
          <w:rFonts w:ascii="宋体" w:hAnsi="宋体" w:cs="宋体" w:eastAsia="宋体" w:hint="default"/>
        </w:rPr>
        <w:t>2009</w:t>
      </w:r>
      <w:r>
        <w:rPr/>
        <w:t>年第二次临时股东大会决议，本公司完成了变更注册资本的工商变更登记手</w:t>
      </w:r>
      <w:r>
        <w:rPr>
          <w:spacing w:val="-87"/>
        </w:rPr>
        <w:t> </w:t>
      </w:r>
      <w:r>
        <w:rPr>
          <w:spacing w:val="-87"/>
        </w:rPr>
      </w:r>
      <w:r>
        <w:rPr/>
        <w:t>续，注册资本由人民币</w:t>
      </w:r>
      <w:r>
        <w:rPr>
          <w:rFonts w:ascii="宋体" w:hAnsi="宋体" w:cs="宋体" w:eastAsia="宋体" w:hint="default"/>
        </w:rPr>
        <w:t>6,400</w:t>
      </w:r>
      <w:r>
        <w:rPr/>
        <w:t>万元变更为人民币</w:t>
      </w:r>
      <w:r>
        <w:rPr>
          <w:rFonts w:ascii="宋体" w:hAnsi="宋体" w:cs="宋体" w:eastAsia="宋体" w:hint="default"/>
        </w:rPr>
        <w:t>8,600</w:t>
      </w:r>
      <w:r>
        <w:rPr/>
        <w:t>万元。</w:t>
      </w:r>
    </w:p>
    <w:p>
      <w:pPr>
        <w:pStyle w:val="BodyText"/>
        <w:spacing w:line="316" w:lineRule="auto" w:before="17"/>
        <w:ind w:right="1130" w:firstLine="360"/>
        <w:jc w:val="both"/>
      </w:pPr>
      <w:r>
        <w:rPr/>
        <w:t>根据本公司</w:t>
      </w:r>
      <w:r>
        <w:rPr>
          <w:rFonts w:ascii="宋体" w:hAnsi="宋体" w:cs="宋体" w:eastAsia="宋体" w:hint="default"/>
        </w:rPr>
        <w:t>2010</w:t>
      </w:r>
      <w:r>
        <w:rPr/>
        <w:t>年度股东大会决议通过的《公司</w:t>
      </w:r>
      <w:r>
        <w:rPr>
          <w:rFonts w:ascii="宋体" w:hAnsi="宋体" w:cs="宋体" w:eastAsia="宋体" w:hint="default"/>
        </w:rPr>
        <w:t>2010</w:t>
      </w:r>
      <w:r>
        <w:rPr/>
        <w:t>年度利润分配及资本公积金转增股本的议案》，本公司于</w:t>
      </w:r>
      <w:r>
        <w:rPr>
          <w:rFonts w:ascii="宋体" w:hAnsi="宋体" w:cs="宋体" w:eastAsia="宋体" w:hint="default"/>
        </w:rPr>
        <w:t>2011</w:t>
      </w:r>
      <w:r>
        <w:rPr/>
        <w:t>年</w:t>
      </w:r>
      <w:r>
        <w:rPr>
          <w:rFonts w:ascii="宋体" w:hAnsi="宋体" w:cs="宋体" w:eastAsia="宋体" w:hint="default"/>
        </w:rPr>
        <w:t>7 </w:t>
      </w:r>
      <w:r>
        <w:rPr/>
        <w:t>月</w:t>
      </w:r>
      <w:r>
        <w:rPr>
          <w:rFonts w:ascii="宋体" w:hAnsi="宋体" w:cs="宋体" w:eastAsia="宋体" w:hint="default"/>
        </w:rPr>
        <w:t>7</w:t>
      </w:r>
      <w:r>
        <w:rPr/>
        <w:t>日以本公司总股本</w:t>
      </w:r>
      <w:r>
        <w:rPr>
          <w:rFonts w:ascii="宋体" w:hAnsi="宋体" w:cs="宋体" w:eastAsia="宋体" w:hint="default"/>
        </w:rPr>
        <w:t>8,600</w:t>
      </w:r>
      <w:r>
        <w:rPr/>
        <w:t>万股为基数，以资本公积向全体股东每</w:t>
      </w:r>
      <w:r>
        <w:rPr>
          <w:rFonts w:ascii="宋体" w:hAnsi="宋体" w:cs="宋体" w:eastAsia="宋体" w:hint="default"/>
        </w:rPr>
        <w:t>10</w:t>
      </w:r>
      <w:r>
        <w:rPr/>
        <w:t>股转增</w:t>
      </w:r>
      <w:r>
        <w:rPr>
          <w:rFonts w:ascii="宋体" w:hAnsi="宋体" w:cs="宋体" w:eastAsia="宋体" w:hint="default"/>
        </w:rPr>
        <w:t>10</w:t>
      </w:r>
      <w:r>
        <w:rPr/>
        <w:t>股。资本公积转增股本后，本公司总股本为</w:t>
      </w:r>
      <w:r>
        <w:rPr>
          <w:spacing w:val="-11"/>
        </w:rPr>
        <w:t> </w:t>
      </w:r>
      <w:r>
        <w:rPr>
          <w:spacing w:val="-11"/>
        </w:rPr>
      </w:r>
      <w:r>
        <w:rPr>
          <w:rFonts w:ascii="宋体" w:hAnsi="宋体" w:cs="宋体" w:eastAsia="宋体" w:hint="default"/>
          <w:spacing w:val="-2"/>
        </w:rPr>
        <w:t>17,200</w:t>
      </w:r>
      <w:r>
        <w:rPr>
          <w:spacing w:val="-2"/>
        </w:rPr>
        <w:t>万股。</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月本公司完成了变更注册资本的工商变更登记手续，注册资本由人民币</w:t>
      </w:r>
      <w:r>
        <w:rPr>
          <w:rFonts w:ascii="宋体" w:hAnsi="宋体" w:cs="宋体" w:eastAsia="宋体" w:hint="default"/>
          <w:spacing w:val="-2"/>
        </w:rPr>
        <w:t>8,600</w:t>
      </w:r>
      <w:r>
        <w:rPr>
          <w:spacing w:val="-2"/>
        </w:rPr>
        <w:t>万元变更为人民币</w:t>
      </w:r>
      <w:r>
        <w:rPr>
          <w:rFonts w:ascii="宋体" w:hAnsi="宋体" w:cs="宋体" w:eastAsia="宋体" w:hint="default"/>
          <w:spacing w:val="-2"/>
        </w:rPr>
        <w:t>17,200</w:t>
      </w:r>
      <w:r>
        <w:rPr>
          <w:rFonts w:ascii="宋体" w:hAnsi="宋体" w:cs="宋体" w:eastAsia="宋体" w:hint="default"/>
          <w:spacing w:val="-48"/>
        </w:rPr>
        <w:t> </w:t>
      </w:r>
      <w:r>
        <w:rPr>
          <w:rFonts w:ascii="宋体" w:hAnsi="宋体" w:cs="宋体" w:eastAsia="宋体" w:hint="default"/>
          <w:spacing w:val="-48"/>
        </w:rPr>
      </w:r>
      <w:r>
        <w:rPr/>
        <w:t>万元。</w:t>
      </w:r>
    </w:p>
    <w:p>
      <w:pPr>
        <w:pStyle w:val="BodyText"/>
        <w:spacing w:line="316" w:lineRule="auto" w:before="19"/>
        <w:ind w:right="1126" w:firstLine="360"/>
        <w:jc w:val="both"/>
      </w:pP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12</w:t>
      </w:r>
      <w:r>
        <w:rPr/>
        <w:t>日，本公司</w:t>
      </w:r>
      <w:r>
        <w:rPr>
          <w:rFonts w:ascii="宋体" w:hAnsi="宋体" w:cs="宋体" w:eastAsia="宋体" w:hint="default"/>
        </w:rPr>
        <w:t>2014</w:t>
      </w:r>
      <w:r>
        <w:rPr/>
        <w:t>年第一次临时股东大会审议通过了</w:t>
      </w:r>
      <w:r>
        <w:rPr>
          <w:rFonts w:ascii="宋体" w:hAnsi="宋体" w:cs="宋体" w:eastAsia="宋体" w:hint="default"/>
        </w:rPr>
        <w:t>2014</w:t>
      </w:r>
      <w:r>
        <w:rPr/>
        <w:t>年半年度资本公积转增股本方案：以</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30</w:t>
      </w:r>
      <w:r>
        <w:rPr>
          <w:rFonts w:ascii="宋体" w:hAnsi="宋体" w:cs="宋体" w:eastAsia="宋体" w:hint="default"/>
          <w:spacing w:val="-2"/>
        </w:rPr>
        <w:t> </w:t>
      </w:r>
      <w:r>
        <w:rPr>
          <w:spacing w:val="-4"/>
        </w:rPr>
        <w:t>日总股本</w:t>
      </w:r>
      <w:r>
        <w:rPr>
          <w:rFonts w:ascii="宋体" w:hAnsi="宋体" w:cs="宋体" w:eastAsia="宋体" w:hint="default"/>
          <w:spacing w:val="-4"/>
        </w:rPr>
        <w:t>17,200</w:t>
      </w:r>
      <w:r>
        <w:rPr>
          <w:spacing w:val="-4"/>
        </w:rPr>
        <w:t>万股为基数向全体股东每</w:t>
      </w:r>
      <w:r>
        <w:rPr>
          <w:rFonts w:ascii="宋体" w:hAnsi="宋体" w:cs="宋体" w:eastAsia="宋体" w:hint="default"/>
          <w:spacing w:val="-4"/>
        </w:rPr>
        <w:t>10</w:t>
      </w:r>
      <w:r>
        <w:rPr>
          <w:spacing w:val="-4"/>
        </w:rPr>
        <w:t>股转增</w:t>
      </w:r>
      <w:r>
        <w:rPr>
          <w:rFonts w:ascii="宋体" w:hAnsi="宋体" w:cs="宋体" w:eastAsia="宋体" w:hint="default"/>
          <w:spacing w:val="-4"/>
        </w:rPr>
        <w:t>15</w:t>
      </w:r>
      <w:r>
        <w:rPr>
          <w:spacing w:val="-4"/>
        </w:rPr>
        <w:t>股，共计转增</w:t>
      </w:r>
      <w:r>
        <w:rPr>
          <w:rFonts w:ascii="宋体" w:hAnsi="宋体" w:cs="宋体" w:eastAsia="宋体" w:hint="default"/>
          <w:spacing w:val="-4"/>
        </w:rPr>
        <w:t>25,800</w:t>
      </w:r>
      <w:r>
        <w:rPr>
          <w:spacing w:val="-4"/>
        </w:rPr>
        <w:t>万股，转增后公司总股本将增加至</w:t>
      </w:r>
      <w:r>
        <w:rPr>
          <w:rFonts w:ascii="宋体" w:hAnsi="宋体" w:cs="宋体" w:eastAsia="宋体" w:hint="default"/>
          <w:spacing w:val="-4"/>
        </w:rPr>
        <w:t>43,000</w:t>
      </w:r>
      <w:r>
        <w:rPr>
          <w:spacing w:val="-4"/>
        </w:rPr>
        <w:t>万股。</w:t>
      </w:r>
      <w:r>
        <w:rPr>
          <w:rFonts w:ascii="宋体" w:hAnsi="宋体" w:cs="宋体" w:eastAsia="宋体" w:hint="default"/>
          <w:spacing w:val="-4"/>
        </w:rPr>
        <w:t>2014</w:t>
      </w:r>
      <w:r>
        <w:rPr>
          <w:rFonts w:ascii="宋体" w:hAnsi="宋体" w:cs="宋体" w:eastAsia="宋体" w:hint="default"/>
          <w:spacing w:val="-88"/>
        </w:rPr>
        <w:t> </w:t>
      </w:r>
      <w:r>
        <w:rPr>
          <w:rFonts w:ascii="宋体" w:hAnsi="宋体" w:cs="宋体" w:eastAsia="宋体" w:hint="default"/>
          <w:spacing w:val="-88"/>
        </w:rPr>
      </w:r>
      <w:r>
        <w:rPr/>
        <w:t>年</w:t>
      </w:r>
      <w:r>
        <w:rPr>
          <w:rFonts w:ascii="宋体" w:hAnsi="宋体" w:cs="宋体" w:eastAsia="宋体" w:hint="default"/>
        </w:rPr>
        <w:t>9</w:t>
      </w:r>
      <w:r>
        <w:rPr/>
        <w:t>月本公司完成了变更注册资本的工商变更登记手续，注册资本由人民币</w:t>
      </w:r>
      <w:r>
        <w:rPr>
          <w:rFonts w:ascii="宋体" w:hAnsi="宋体" w:cs="宋体" w:eastAsia="宋体" w:hint="default"/>
        </w:rPr>
        <w:t>17,200</w:t>
      </w:r>
      <w:r>
        <w:rPr/>
        <w:t>万元变更为人民币</w:t>
      </w:r>
      <w:r>
        <w:rPr>
          <w:rFonts w:ascii="宋体" w:hAnsi="宋体" w:cs="宋体" w:eastAsia="宋体" w:hint="default"/>
        </w:rPr>
        <w:t>43,000</w:t>
      </w:r>
      <w:r>
        <w:rPr/>
        <w:t>万元。</w:t>
      </w:r>
    </w:p>
    <w:p>
      <w:pPr>
        <w:pStyle w:val="BodyText"/>
        <w:spacing w:line="319" w:lineRule="auto" w:before="19"/>
        <w:ind w:right="1135" w:firstLine="360"/>
        <w:jc w:val="both"/>
      </w:pPr>
      <w:r>
        <w:rPr>
          <w:spacing w:val="-2"/>
        </w:rPr>
        <w:t>本公司建立了股东大会、董事会、监事会的法人治理结构，目前设制卡中心、综合行政部、人力资源部、财务中心、总</w:t>
      </w:r>
      <w:r>
        <w:rPr/>
        <w:t> 经理办公室、战略投资部、市场战略及大商务事务部、董事会办公室和审计部等部门，拥有</w:t>
      </w:r>
      <w:r>
        <w:rPr>
          <w:rFonts w:ascii="宋体" w:hAnsi="宋体" w:cs="宋体" w:eastAsia="宋体" w:hint="default"/>
        </w:rPr>
        <w:t>43</w:t>
      </w:r>
      <w:r>
        <w:rPr/>
        <w:t>家子公司及孙公司。</w:t>
      </w:r>
    </w:p>
    <w:p>
      <w:pPr>
        <w:pStyle w:val="BodyText"/>
        <w:spacing w:line="316" w:lineRule="auto" w:before="17"/>
        <w:ind w:right="1040" w:firstLine="360"/>
        <w:jc w:val="both"/>
      </w:pPr>
      <w:r>
        <w:rPr>
          <w:spacing w:val="-4"/>
        </w:rPr>
        <w:t>本公司及其子公司（以下简称“本集团”）业务性质和主要经营活动（经营范围）：研发、设计、生产智能卡、银行卡；</w:t>
      </w:r>
      <w:r>
        <w:rPr/>
        <w:t> </w:t>
      </w:r>
      <w:r>
        <w:rPr>
          <w:spacing w:val="-4"/>
        </w:rPr>
        <w:t>销售智能卡；商务信息咨询；档案处理及档案电子化服务；第二类医疗器械批发；信息技术咨询服务；数据处理和存储服务；</w:t>
      </w:r>
      <w:r>
        <w:rPr>
          <w:spacing w:val="-42"/>
        </w:rPr>
        <w:t> </w:t>
      </w:r>
      <w:r>
        <w:rPr>
          <w:spacing w:val="-42"/>
        </w:rPr>
      </w:r>
      <w:r>
        <w:rPr>
          <w:spacing w:val="-4"/>
        </w:rPr>
        <w:t>集成电路设计；数字内容服务；呼叫中心（不含需经许可审批的项目）；计算机、软件及辅助设备批发和零售；对第一产业、</w:t>
      </w:r>
      <w:r>
        <w:rPr>
          <w:spacing w:val="-42"/>
        </w:rPr>
        <w:t> </w:t>
      </w:r>
      <w:r>
        <w:rPr>
          <w:spacing w:val="-42"/>
        </w:rPr>
      </w:r>
      <w:r>
        <w:rPr/>
        <w:t>第二产业、第三产业的投资；融资租赁；商业保理；保险经纪。</w:t>
      </w:r>
    </w:p>
    <w:p>
      <w:pPr>
        <w:pStyle w:val="BodyText"/>
        <w:spacing w:line="240" w:lineRule="auto" w:before="19"/>
        <w:ind w:left="513" w:right="0"/>
        <w:jc w:val="left"/>
      </w:pPr>
      <w:r>
        <w:rPr/>
        <w:t>本财务报表及财务报表附注业经本公司第四届董事会第九次会议于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19</w:t>
      </w:r>
      <w:r>
        <w:rPr/>
        <w:t>日批准。</w:t>
      </w:r>
    </w:p>
    <w:p>
      <w:pPr>
        <w:pStyle w:val="BodyText"/>
        <w:spacing w:line="316" w:lineRule="auto" w:before="76"/>
        <w:ind w:left="513" w:right="1033"/>
        <w:jc w:val="left"/>
      </w:pPr>
      <w:r>
        <w:rPr>
          <w:rFonts w:ascii="宋体" w:hAnsi="宋体" w:cs="宋体" w:eastAsia="宋体" w:hint="default"/>
        </w:rPr>
        <w:t>2</w:t>
      </w:r>
      <w:r>
        <w:rPr/>
        <w:t>、合并财务报表范围 本集团合并范围包括本公司及子公司，具体合并范围及其变动情况详见本“附注八、合并范围的变动”、本“附注九、</w:t>
      </w:r>
    </w:p>
    <w:p>
      <w:pPr>
        <w:pStyle w:val="BodyText"/>
        <w:spacing w:line="240" w:lineRule="auto" w:before="19"/>
        <w:ind w:right="0"/>
        <w:jc w:val="left"/>
      </w:pPr>
      <w:r>
        <w:rPr/>
        <w:t>在其他主体中的权益”披露。</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360"/>
        <w:jc w:val="left"/>
      </w:pPr>
      <w:r>
        <w:rPr>
          <w:spacing w:val="-4"/>
        </w:rPr>
        <w:t>本财务报表按照财政部颁布的企业会计准则及其应用指南、解释及其他有关规定（统称“企业会计准则”）编制。此外，</w:t>
      </w:r>
      <w:r>
        <w:rPr/>
        <w:t> </w:t>
      </w:r>
      <w:r>
        <w:rPr>
          <w:spacing w:val="-2"/>
        </w:rPr>
        <w:t>本集团还按照中国证监会《公开发行证券的公司信息披露编报规则第</w:t>
      </w:r>
      <w:r>
        <w:rPr>
          <w:rFonts w:ascii="宋体" w:hAnsi="宋体" w:cs="宋体" w:eastAsia="宋体" w:hint="default"/>
          <w:spacing w:val="-2"/>
        </w:rPr>
        <w:t>15</w:t>
      </w:r>
      <w:r>
        <w:rPr>
          <w:spacing w:val="-2"/>
        </w:rPr>
        <w:t>号—财务报告的一般规定》（</w:t>
      </w:r>
      <w:r>
        <w:rPr>
          <w:rFonts w:ascii="宋体" w:hAnsi="宋体" w:cs="宋体" w:eastAsia="宋体" w:hint="default"/>
          <w:spacing w:val="-2"/>
        </w:rPr>
        <w:t>2014</w:t>
      </w:r>
      <w:r>
        <w:rPr>
          <w:spacing w:val="-2"/>
        </w:rPr>
        <w:t>年修订）披露有关</w:t>
      </w:r>
      <w:r>
        <w:rPr>
          <w:spacing w:val="-61"/>
        </w:rPr>
        <w:t> </w:t>
      </w:r>
      <w:r>
        <w:rPr>
          <w:spacing w:val="-61"/>
        </w:rPr>
      </w:r>
      <w:r>
        <w:rPr/>
        <w:t>财务信息。</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513" w:right="1033"/>
        <w:jc w:val="left"/>
      </w:pPr>
      <w:r>
        <w:rPr/>
        <w:t>本财务报表以持续经营为基础列报。 本集团会计核算以权责发生制为基础。除某些金融工具外，本财务报表均以历史成本为计量基础。资产如果发生减值，</w:t>
      </w:r>
    </w:p>
    <w:p>
      <w:pPr>
        <w:pStyle w:val="BodyText"/>
        <w:spacing w:line="240" w:lineRule="auto" w:before="17"/>
        <w:ind w:right="0"/>
        <w:jc w:val="left"/>
      </w:pPr>
      <w:r>
        <w:rPr/>
        <w:t>则按照相关规定计提相应的减值准备。</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360" w:lineRule="auto" w:before="25"/>
        <w:ind w:right="8234"/>
        <w:jc w:val="left"/>
      </w:pPr>
      <w:r>
        <w:rPr/>
        <w:t>软件与信息技术服务业 具体会计政策和会计估计提示：</w:t>
      </w:r>
    </w:p>
    <w:p>
      <w:pPr>
        <w:pStyle w:val="BodyText"/>
        <w:spacing w:line="300" w:lineRule="auto" w:before="27"/>
        <w:ind w:right="1124" w:firstLine="360"/>
        <w:jc w:val="left"/>
      </w:pPr>
      <w:r>
        <w:rPr/>
        <w:t>本集团根据自身生产经营特点，确定研发费用资本化条件以及收入确认政策，具体会计政策见附注五、</w:t>
      </w:r>
      <w:r>
        <w:rPr>
          <w:rFonts w:ascii="Times New Roman" w:hAnsi="Times New Roman" w:cs="Times New Roman" w:eastAsia="Times New Roman" w:hint="default"/>
        </w:rPr>
        <w:t>21</w:t>
      </w:r>
      <w:r>
        <w:rPr/>
        <w:t>（</w:t>
      </w:r>
      <w:r>
        <w:rPr>
          <w:rFonts w:ascii="Times New Roman" w:hAnsi="Times New Roman" w:cs="Times New Roman" w:eastAsia="Times New Roman" w:hint="default"/>
        </w:rPr>
        <w:t>2</w:t>
      </w:r>
      <w:r>
        <w:rPr/>
        <w:t>）和附注 五、</w:t>
      </w:r>
      <w:r>
        <w:rPr>
          <w:rFonts w:ascii="Times New Roman" w:hAnsi="Times New Roman" w:cs="Times New Roman" w:eastAsia="Times New Roman" w:hint="default"/>
        </w:rPr>
        <w:t>28</w:t>
      </w:r>
      <w:r>
        <w:rPr/>
        <w:t>。</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360"/>
        <w:jc w:val="left"/>
      </w:pPr>
      <w:r>
        <w:rPr>
          <w:spacing w:val="-2"/>
        </w:rPr>
        <w:t>本财务报表符合企业会计准则的要求，真实、完整地反映了本公司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2018</w:t>
      </w:r>
      <w:r>
        <w:rPr>
          <w:spacing w:val="-2"/>
        </w:rPr>
        <w:t>年度</w:t>
      </w:r>
      <w:r>
        <w:rPr/>
        <w:t> 的合并及公司经营成果和合并及公司现金流量等有关信息。</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本集团会计期间采用公历年度，即每年自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本集团的营业周期为</w:t>
      </w:r>
      <w:r>
        <w:rPr>
          <w:rFonts w:ascii="Times New Roman" w:hAnsi="Times New Roman" w:cs="Times New Roman" w:eastAsia="Times New Roman" w:hint="default"/>
        </w:rPr>
        <w:t>12</w:t>
      </w:r>
      <w:r>
        <w:rPr/>
        <w:t>个月。</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本公司及子公司以人民币为记账本位币。本集团编制本财务报表时所采用的货币为人民币。</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）同一控制下的企业合并 </w:t>
      </w:r>
      <w:r>
        <w:rPr>
          <w:spacing w:val="-2"/>
        </w:rPr>
        <w:t>对于同一控制下的企业合并，合并方在合并中取得的被合并方的资产、负债，除因会计政策不同而进行的调整以外，按</w:t>
      </w:r>
    </w:p>
    <w:p>
      <w:pPr>
        <w:spacing w:after="0" w:line="30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合并日被合并方在最终控制方合并财务报表中的账面价值计量。合并对价的账面价值（或发行股份面值总额）与合并中取得</w:t>
      </w:r>
      <w:r>
        <w:rPr>
          <w:spacing w:val="-66"/>
        </w:rPr>
        <w:t> </w:t>
      </w:r>
      <w:r>
        <w:rPr>
          <w:spacing w:val="-66"/>
        </w:rPr>
      </w:r>
      <w:r>
        <w:rPr/>
        <w:t>的净资产账面价值的差额调整资本公积（股本溢价），资本公积不足（股本溢价）冲减的，调整留存收益。</w:t>
      </w:r>
    </w:p>
    <w:p>
      <w:pPr>
        <w:pStyle w:val="BodyText"/>
        <w:spacing w:line="316" w:lineRule="auto" w:before="19"/>
        <w:ind w:left="513" w:right="0"/>
        <w:jc w:val="left"/>
      </w:pPr>
      <w:r>
        <w:rPr/>
        <w:t>通过多次交易分步实现同一控制下的企业合并 </w:t>
      </w:r>
      <w:r>
        <w:rPr>
          <w:spacing w:val="-2"/>
        </w:rPr>
        <w:t>在个别财务报表中，以合并日持股比例计算的合并日应享有被合并方净资产在最终控制方合并财务报表中的账面价值的</w:t>
      </w:r>
    </w:p>
    <w:p>
      <w:pPr>
        <w:pStyle w:val="BodyText"/>
        <w:spacing w:line="316" w:lineRule="auto" w:before="19"/>
        <w:ind w:right="0"/>
        <w:jc w:val="left"/>
      </w:pPr>
      <w:r>
        <w:rPr>
          <w:spacing w:val="-2"/>
        </w:rPr>
        <w:t>份额作为该项投资的初始投资成本；初始投资成本与合并前持有投资的账面价值加上合并日新支付对价的账面价值之和的差</w:t>
      </w:r>
      <w:r>
        <w:rPr>
          <w:spacing w:val="-64"/>
        </w:rPr>
        <w:t> </w:t>
      </w:r>
      <w:r>
        <w:rPr>
          <w:spacing w:val="-64"/>
        </w:rPr>
      </w:r>
      <w:r>
        <w:rPr/>
        <w:t>额，调整资本公积（股本溢价），资本公积（股本溢价）不足冲减的，调整留存收益。</w:t>
      </w:r>
    </w:p>
    <w:p>
      <w:pPr>
        <w:pStyle w:val="BodyText"/>
        <w:spacing w:line="316" w:lineRule="auto" w:before="19"/>
        <w:ind w:right="1044" w:firstLine="360"/>
        <w:jc w:val="both"/>
      </w:pPr>
      <w:r>
        <w:rPr>
          <w:spacing w:val="-2"/>
        </w:rPr>
        <w:t>在合并财务报表中，合并方在合并中取得的被合并方的资产、负债，除因会计政策不同而进行的调整以外，按合并日在</w:t>
      </w:r>
      <w:r>
        <w:rPr/>
        <w:t> </w:t>
      </w:r>
      <w:r>
        <w:rPr>
          <w:spacing w:val="-2"/>
        </w:rPr>
        <w:t>最终控制方合并财务报表中的账面价值计量；合并前持有投资的账面价值加上合并日新支付对价的账面价值之和，与合并中</w:t>
      </w:r>
      <w:r>
        <w:rPr>
          <w:spacing w:val="-64"/>
        </w:rPr>
        <w:t> </w:t>
      </w:r>
      <w:r>
        <w:rPr>
          <w:spacing w:val="-64"/>
        </w:rPr>
      </w:r>
      <w:r>
        <w:rPr>
          <w:spacing w:val="-2"/>
        </w:rPr>
        <w:t>取得的净资产账面价值的差额，调整资本公积（股本溢价），资本公积（股本溢价）不足冲减的，调整留存收益。合并方在</w:t>
      </w:r>
      <w:r>
        <w:rPr>
          <w:spacing w:val="-66"/>
        </w:rPr>
        <w:t> </w:t>
      </w:r>
      <w:r>
        <w:rPr>
          <w:spacing w:val="-66"/>
        </w:rPr>
      </w:r>
      <w:r>
        <w:rPr>
          <w:spacing w:val="-2"/>
        </w:rPr>
        <w:t>取得被合并方控制权之前持有的长期股权投资，在取得原股权之日与合并方与被合并方同处于同一方最终控制之日孰晚日起</w:t>
      </w:r>
      <w:r>
        <w:rPr>
          <w:spacing w:val="-64"/>
        </w:rPr>
        <w:t> </w:t>
      </w:r>
      <w:r>
        <w:rPr>
          <w:spacing w:val="-64"/>
        </w:rPr>
      </w:r>
      <w:r>
        <w:rPr>
          <w:spacing w:val="-4"/>
        </w:rPr>
        <w:t>至合并日之间已确认有关损益、其他综合收益和其他所有者权益变动，应分别冲减比较报表期间的期初留存收益或当期损益。</w:t>
      </w:r>
    </w:p>
    <w:p>
      <w:pPr>
        <w:pStyle w:val="BodyText"/>
        <w:spacing w:line="300" w:lineRule="auto" w:before="19"/>
        <w:ind w:left="513" w:right="0"/>
        <w:jc w:val="left"/>
      </w:pPr>
      <w:r>
        <w:rPr/>
        <w:t>（</w:t>
      </w:r>
      <w:r>
        <w:rPr>
          <w:rFonts w:ascii="Times New Roman" w:hAnsi="Times New Roman" w:cs="Times New Roman" w:eastAsia="Times New Roman" w:hint="default"/>
        </w:rPr>
        <w:t>2</w:t>
      </w:r>
      <w:r>
        <w:rPr/>
        <w:t>）非同一控制下的企业合并 </w:t>
      </w:r>
      <w:r>
        <w:rPr>
          <w:spacing w:val="-2"/>
        </w:rPr>
        <w:t>对于非同一控制下的企业合并，合并成本为购买日为取得对被购买方的控制权而付出的资产、发生或承担的负债以及发</w:t>
      </w:r>
    </w:p>
    <w:p>
      <w:pPr>
        <w:pStyle w:val="BodyText"/>
        <w:spacing w:line="316" w:lineRule="auto" w:before="31"/>
        <w:ind w:left="513" w:right="0" w:hanging="361"/>
        <w:jc w:val="left"/>
      </w:pPr>
      <w:r>
        <w:rPr/>
        <w:t>行的权益性证券的公允价值。在购买日，取得的被购买方的资产、负债及或有负债按公允价值确认。 </w:t>
      </w:r>
      <w:r>
        <w:rPr>
          <w:spacing w:val="-2"/>
        </w:rPr>
        <w:t>对合并成本大于合并中取得的被购买方可辨认净资产公允价值份额的差额，确认为商誉，按成本扣除累计减值准备进行</w:t>
      </w:r>
    </w:p>
    <w:p>
      <w:pPr>
        <w:pStyle w:val="BodyText"/>
        <w:spacing w:line="316" w:lineRule="auto" w:before="19"/>
        <w:ind w:left="513" w:right="0" w:hanging="361"/>
        <w:jc w:val="left"/>
      </w:pPr>
      <w:r>
        <w:rPr/>
        <w:t>后续计量；对合并成本小于合并中取得的被购买方可辨认净资产公允价值份额的差额，经复核后计入当期损益。 通过多次交易分步实现非同一控制下的企业合并 </w:t>
      </w:r>
      <w:r>
        <w:rPr>
          <w:spacing w:val="-2"/>
        </w:rPr>
        <w:t>在个别财务报表中，以购买日之前所持被购买方的股权投资的账面价值与购买日新增投资成本之和，作为该项投资的初</w:t>
      </w:r>
    </w:p>
    <w:p>
      <w:pPr>
        <w:pStyle w:val="BodyText"/>
        <w:spacing w:line="319" w:lineRule="auto" w:before="19"/>
        <w:ind w:right="0"/>
        <w:jc w:val="left"/>
      </w:pPr>
      <w:r>
        <w:rPr>
          <w:spacing w:val="-4"/>
        </w:rPr>
        <w:t>始投资成本。购买日之前持有的股权投资因采用权益法核算而确认的其他综合收益，购买日对这部分其他综合收益不作处理，</w:t>
      </w:r>
      <w:r>
        <w:rPr>
          <w:spacing w:val="-44"/>
        </w:rPr>
        <w:t> </w:t>
      </w:r>
      <w:r>
        <w:rPr>
          <w:spacing w:val="-44"/>
        </w:rPr>
      </w:r>
      <w:r>
        <w:rPr>
          <w:spacing w:val="-2"/>
        </w:rPr>
        <w:t>在处置该项投资时采用与被投资单位直接处置相关资产或负债相同的基础进行会计处理；因被投资方除净损益、其他综合收</w:t>
      </w:r>
      <w:r>
        <w:rPr>
          <w:spacing w:val="-63"/>
        </w:rPr>
        <w:t> </w:t>
      </w:r>
      <w:r>
        <w:rPr>
          <w:spacing w:val="-63"/>
        </w:rPr>
      </w:r>
      <w:r>
        <w:rPr>
          <w:spacing w:val="-2"/>
        </w:rPr>
        <w:t>益和利润分配以外的其他所有者权益变动而确认的所有者权益，在处置该项投资时转入处置期间的当期损益。购买日之前持</w:t>
      </w:r>
      <w:r>
        <w:rPr>
          <w:spacing w:val="-65"/>
        </w:rPr>
        <w:t> </w:t>
      </w:r>
      <w:r>
        <w:rPr>
          <w:spacing w:val="-65"/>
        </w:rPr>
      </w:r>
      <w:r>
        <w:rPr/>
        <w:t>有的股权投资采用公允价值计量的，原计入其他综合收益的累计公允价值变动在改按成本法核算时转入当期损益。</w:t>
      </w:r>
    </w:p>
    <w:p>
      <w:pPr>
        <w:pStyle w:val="BodyText"/>
        <w:spacing w:line="316" w:lineRule="auto" w:before="17"/>
        <w:ind w:right="1034" w:firstLine="360"/>
        <w:jc w:val="left"/>
      </w:pPr>
      <w:r>
        <w:rPr/>
        <w:t>在合并财务报表中，合并成本为购买日支付的对价与购买日之前已经持有的被购买方的股权在购买日的公允价值之和。 </w:t>
      </w:r>
      <w:r>
        <w:rPr>
          <w:spacing w:val="-2"/>
        </w:rPr>
        <w:t>对于购买日之前已经持有的被购买方的股权，按照该股权在购买日的公允价值进行重新计量，公允价值与其账面价值之间的</w:t>
      </w:r>
      <w:r>
        <w:rPr>
          <w:spacing w:val="-64"/>
        </w:rPr>
        <w:t> </w:t>
      </w:r>
      <w:r>
        <w:rPr>
          <w:spacing w:val="-64"/>
        </w:rPr>
      </w:r>
      <w:r>
        <w:rPr/>
        <w:t>差额计入当期收益；购买日之前已经持有的被购买方的股权涉及其他综合收益、其他所有者权益变动转为购买日当期收益，</w:t>
      </w:r>
      <w:r>
        <w:rPr/>
        <w:t> 由于被投资方重新计量设定收益计划净负债或净资产变动而产生的其他综合收益除外。</w:t>
      </w:r>
    </w:p>
    <w:p>
      <w:pPr>
        <w:pStyle w:val="BodyText"/>
        <w:spacing w:line="300" w:lineRule="auto" w:before="19"/>
        <w:ind w:left="513" w:right="0"/>
        <w:jc w:val="left"/>
      </w:pPr>
      <w:r>
        <w:rPr/>
        <w:t>（</w:t>
      </w:r>
      <w:r>
        <w:rPr>
          <w:rFonts w:ascii="Times New Roman" w:hAnsi="Times New Roman" w:cs="Times New Roman" w:eastAsia="Times New Roman" w:hint="default"/>
        </w:rPr>
        <w:t>3</w:t>
      </w:r>
      <w:r>
        <w:rPr/>
        <w:t>）企业合并中有关交易费用的处理 </w:t>
      </w:r>
      <w:r>
        <w:rPr>
          <w:spacing w:val="-2"/>
        </w:rPr>
        <w:t>为进行企业合并发生的审计、法律服务、评估咨询等中介费用以及其他相关管理费用，于发生时计入当期损益。作为合</w:t>
      </w:r>
    </w:p>
    <w:p>
      <w:pPr>
        <w:pStyle w:val="BodyText"/>
        <w:spacing w:line="240" w:lineRule="auto" w:before="31"/>
        <w:ind w:right="0"/>
        <w:jc w:val="left"/>
      </w:pPr>
      <w:r>
        <w:rPr/>
        <w:t>并对价发行的权益性证券或债务性证券的交易费用，计入权益性证券或债务性证券的初始确认金额。</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119"/>
        <w:jc w:val="left"/>
      </w:pPr>
      <w:r>
        <w:rPr/>
        <w:t>（</w:t>
      </w:r>
      <w:r>
        <w:rPr>
          <w:rFonts w:ascii="Times New Roman" w:hAnsi="Times New Roman" w:cs="Times New Roman" w:eastAsia="Times New Roman" w:hint="default"/>
        </w:rPr>
        <w:t>1</w:t>
      </w:r>
      <w:r>
        <w:rPr/>
        <w:t>）合并范围 </w:t>
      </w:r>
      <w:r>
        <w:rPr>
          <w:spacing w:val="-2"/>
        </w:rPr>
        <w:t>合并财务报表的合并范围以控制为基础予以确定。控制，是指本公司拥有对被投资单位的权力，通过参与被投资单位的</w:t>
      </w:r>
    </w:p>
    <w:p>
      <w:pPr>
        <w:pStyle w:val="BodyText"/>
        <w:spacing w:line="316" w:lineRule="auto" w:before="31"/>
        <w:ind w:right="0"/>
        <w:jc w:val="left"/>
      </w:pPr>
      <w:r>
        <w:rPr>
          <w:spacing w:val="-2"/>
        </w:rPr>
        <w:t>相关活动而享有可变回报，并且有能力运用对被投资单位的权力影响其回报金额。子公司，是指被本公司控制的主体（含企</w:t>
      </w:r>
      <w:r>
        <w:rPr>
          <w:spacing w:val="-64"/>
        </w:rPr>
        <w:t> </w:t>
      </w:r>
      <w:r>
        <w:rPr>
          <w:spacing w:val="-64"/>
        </w:rPr>
      </w:r>
      <w:r>
        <w:rPr/>
        <w:t>业、被投资单位中可分割的部分、结构化主体等）。</w:t>
      </w:r>
    </w:p>
    <w:p>
      <w:pPr>
        <w:pStyle w:val="BodyText"/>
        <w:spacing w:line="300" w:lineRule="auto" w:before="16"/>
        <w:ind w:left="513" w:right="0"/>
        <w:jc w:val="left"/>
      </w:pPr>
      <w:r>
        <w:rPr/>
        <w:t>（</w:t>
      </w:r>
      <w:r>
        <w:rPr>
          <w:rFonts w:ascii="Times New Roman" w:hAnsi="Times New Roman" w:cs="Times New Roman" w:eastAsia="Times New Roman" w:hint="default"/>
        </w:rPr>
        <w:t>2</w:t>
      </w:r>
      <w:r>
        <w:rPr/>
        <w:t>）合并财务报表的编制方法 </w:t>
      </w:r>
      <w:r>
        <w:rPr>
          <w:spacing w:val="-2"/>
        </w:rPr>
        <w:t>合并财务报表以本公司和子公司的财务报表为基础，根据其他有关资料，由本公司编制。在编制合并财务报表时，本公</w:t>
      </w:r>
    </w:p>
    <w:p>
      <w:pPr>
        <w:pStyle w:val="BodyText"/>
        <w:spacing w:line="316" w:lineRule="auto" w:before="31"/>
        <w:ind w:left="513" w:right="0" w:hanging="361"/>
        <w:jc w:val="left"/>
      </w:pPr>
      <w:r>
        <w:rPr/>
        <w:t>司和子公司的会计政策和会计期间要求保持一致，公司间的重大交易和往来余额予以抵销。 </w:t>
      </w:r>
      <w:r>
        <w:rPr>
          <w:spacing w:val="-2"/>
        </w:rPr>
        <w:t>在报告期内因同一控制下企业合并增加的子公司以及业务，视同该子公司以及业务自同受最终控制方控制之日起纳入本</w:t>
      </w:r>
    </w:p>
    <w:p>
      <w:pPr>
        <w:pStyle w:val="BodyText"/>
        <w:spacing w:line="316" w:lineRule="auto" w:before="19"/>
        <w:ind w:left="513" w:right="1033" w:hanging="361"/>
        <w:jc w:val="left"/>
      </w:pPr>
      <w:r>
        <w:rPr/>
        <w:t>公司的合并范围，将其自同受最终控制方控制之日起的经营成果、现金流量分别纳入合并利润表、合并现金流量表中。 在报告期内因非同一控制下企业合并增加的子公司以及业务，将该子公司以及业务自购买日至报告期末的收入、费用、</w:t>
      </w:r>
    </w:p>
    <w:p>
      <w:pPr>
        <w:pStyle w:val="BodyText"/>
        <w:spacing w:line="316" w:lineRule="auto" w:before="19"/>
        <w:ind w:left="513" w:right="0" w:hanging="361"/>
        <w:jc w:val="left"/>
      </w:pPr>
      <w:r>
        <w:rPr/>
        <w:t>利润纳入合并利润表，将其现金流量纳入合并现金流量表。 </w:t>
      </w:r>
      <w:r>
        <w:rPr>
          <w:spacing w:val="-2"/>
        </w:rPr>
        <w:t>子公司的股东权益中不属于本公司所拥有的部分，作为少数股东权益在合并资产负债表中股东权益项下单独列示；子公</w:t>
      </w:r>
    </w:p>
    <w:p>
      <w:pPr>
        <w:spacing w:after="0" w:line="316"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4"/>
        <w:jc w:val="both"/>
      </w:pPr>
      <w:r>
        <w:rPr>
          <w:spacing w:val="-2"/>
        </w:rPr>
        <w:t>司当期净损益中属于少数股东权益的份额，在合并利润表中净利润项目下以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w:t>
      </w:r>
      <w:r>
        <w:rPr>
          <w:spacing w:val="-45"/>
        </w:rPr>
        <w:t> </w:t>
      </w:r>
      <w:r>
        <w:rPr>
          <w:spacing w:val="-45"/>
        </w:rPr>
      </w:r>
      <w:r>
        <w:rPr/>
        <w:t>司的亏损超过了少数股东在该子公司期初所有者权益中所享有的份额，其余额仍冲减少数股东权益。</w:t>
      </w:r>
    </w:p>
    <w:p>
      <w:pPr>
        <w:pStyle w:val="BodyText"/>
        <w:spacing w:line="300" w:lineRule="auto" w:before="31"/>
        <w:ind w:left="513" w:right="0"/>
        <w:jc w:val="left"/>
      </w:pPr>
      <w:r>
        <w:rPr/>
        <w:t>（</w:t>
      </w:r>
      <w:r>
        <w:rPr>
          <w:rFonts w:ascii="Times New Roman" w:hAnsi="Times New Roman" w:cs="Times New Roman" w:eastAsia="Times New Roman" w:hint="default"/>
        </w:rPr>
        <w:t>3</w:t>
      </w:r>
      <w:r>
        <w:rPr/>
        <w:t>）购买子公司少数股东股权 因购买少数股权新取得的长期股权投资成本与按照新增持股比例计算应享有子公司自购买日或合并日开始持续计算的</w:t>
      </w:r>
    </w:p>
    <w:p>
      <w:pPr>
        <w:pStyle w:val="BodyText"/>
        <w:spacing w:line="316" w:lineRule="auto" w:before="31"/>
        <w:ind w:right="1131"/>
        <w:jc w:val="both"/>
      </w:pPr>
      <w:r>
        <w:rPr>
          <w:spacing w:val="-2"/>
        </w:rPr>
        <w:t>净资产份额之间的差额，以及在不丧失控制权的情况下因部分处置对子公司的股权投资而取得的处置价款与处置长期股权投</w:t>
      </w:r>
      <w:r>
        <w:rPr>
          <w:spacing w:val="-64"/>
        </w:rPr>
        <w:t> </w:t>
      </w:r>
      <w:r>
        <w:rPr>
          <w:spacing w:val="-64"/>
        </w:rPr>
      </w:r>
      <w:r>
        <w:rPr>
          <w:spacing w:val="-2"/>
        </w:rPr>
        <w:t>资相对应享有子公司自购买日或合并日开始持续计算的净资产份额之间的差额，均调整合并资产负债表中的资本公积（股本</w:t>
      </w:r>
      <w:r>
        <w:rPr>
          <w:spacing w:val="-62"/>
        </w:rPr>
        <w:t> </w:t>
      </w:r>
      <w:r>
        <w:rPr>
          <w:spacing w:val="-62"/>
        </w:rPr>
      </w:r>
      <w:r>
        <w:rPr/>
        <w:t>溢价），资本公积（股本溢价）不足冲减的，调整留存收益。</w:t>
      </w:r>
    </w:p>
    <w:p>
      <w:pPr>
        <w:pStyle w:val="BodyText"/>
        <w:spacing w:line="300" w:lineRule="auto" w:before="19"/>
        <w:ind w:left="513" w:right="0"/>
        <w:jc w:val="left"/>
      </w:pPr>
      <w:r>
        <w:rPr/>
        <w:t>（</w:t>
      </w:r>
      <w:r>
        <w:rPr>
          <w:rFonts w:ascii="Times New Roman" w:hAnsi="Times New Roman" w:cs="Times New Roman" w:eastAsia="Times New Roman" w:hint="default"/>
        </w:rPr>
        <w:t>4</w:t>
      </w:r>
      <w:r>
        <w:rPr/>
        <w:t>）丧失子公司控制权的处理 </w:t>
      </w:r>
      <w:r>
        <w:rPr>
          <w:spacing w:val="-2"/>
        </w:rPr>
        <w:t>因处置部分股权投资或其他原因丧失了对原有子公司控制权的，剩余股权按照其在丧失控制权日的公允价值进行重新计</w:t>
      </w:r>
    </w:p>
    <w:p>
      <w:pPr>
        <w:pStyle w:val="BodyText"/>
        <w:spacing w:line="316" w:lineRule="auto" w:before="31"/>
        <w:ind w:right="1132"/>
        <w:jc w:val="both"/>
      </w:pPr>
      <w:r>
        <w:rPr>
          <w:spacing w:val="-2"/>
        </w:rPr>
        <w:t>量；处置股权取得的对价与剩余股权公允价值之和，减去按原持股比例计算应享有原有子公司自购买日开始持续计算的净资</w:t>
      </w:r>
      <w:r>
        <w:rPr>
          <w:spacing w:val="-64"/>
        </w:rPr>
        <w:t> </w:t>
      </w:r>
      <w:r>
        <w:rPr>
          <w:spacing w:val="-64"/>
        </w:rPr>
      </w:r>
      <w:r>
        <w:rPr/>
        <w:t>产账面价值的份额与商誉之和，形成的差额计入丧失控制权当期的投资收益。</w:t>
      </w:r>
    </w:p>
    <w:p>
      <w:pPr>
        <w:pStyle w:val="BodyText"/>
        <w:spacing w:line="316" w:lineRule="auto" w:before="19"/>
        <w:ind w:right="0" w:firstLine="360"/>
        <w:jc w:val="left"/>
      </w:pPr>
      <w:r>
        <w:rPr>
          <w:spacing w:val="-2"/>
        </w:rPr>
        <w:t>与原有子公司的股权投资相关的其他综合收益等，在丧失控制权时转入当期损益，由于被投资方重新计量设定受益计划</w:t>
      </w:r>
      <w:r>
        <w:rPr/>
        <w:t> 净负债或净资产变动而产生的其他综合收益除外。</w:t>
      </w:r>
    </w:p>
    <w:p>
      <w:pPr>
        <w:pStyle w:val="BodyText"/>
        <w:spacing w:line="300" w:lineRule="auto" w:before="19"/>
        <w:ind w:left="513" w:right="0"/>
        <w:jc w:val="left"/>
      </w:pPr>
      <w:r>
        <w:rPr/>
        <w:t>（</w:t>
      </w:r>
      <w:r>
        <w:rPr>
          <w:rFonts w:ascii="Times New Roman" w:hAnsi="Times New Roman" w:cs="Times New Roman" w:eastAsia="Times New Roman" w:hint="default"/>
        </w:rPr>
        <w:t>5</w:t>
      </w:r>
      <w:r>
        <w:rPr/>
        <w:t>）分步处置股权直至丧失控制权的处理 </w:t>
      </w:r>
      <w:r>
        <w:rPr>
          <w:spacing w:val="-2"/>
        </w:rPr>
        <w:t>通过多次交易分步处置股权直至丧失控制权的各项交易的条款、条件以及经济影响符合以下一种或多种情况的，本公司</w:t>
      </w:r>
    </w:p>
    <w:p>
      <w:pPr>
        <w:pStyle w:val="BodyText"/>
        <w:spacing w:line="240" w:lineRule="auto" w:before="31"/>
        <w:ind w:right="0"/>
        <w:jc w:val="both"/>
      </w:pPr>
      <w:r>
        <w:rPr/>
        <w:t>将多次交易事项作为一揽子交易进行会计处理：</w:t>
      </w:r>
    </w:p>
    <w:p>
      <w:pPr>
        <w:pStyle w:val="BodyText"/>
        <w:spacing w:line="240" w:lineRule="auto" w:before="76"/>
        <w:ind w:left="513" w:right="0"/>
        <w:jc w:val="left"/>
      </w:pPr>
      <w:r>
        <w:rPr/>
        <w:t>①这些交易是同时或者在考虑了彼此影响的情况下订立的；</w:t>
      </w:r>
    </w:p>
    <w:p>
      <w:pPr>
        <w:pStyle w:val="BodyText"/>
        <w:spacing w:line="240" w:lineRule="auto" w:before="76"/>
        <w:ind w:left="513" w:right="0"/>
        <w:jc w:val="left"/>
      </w:pPr>
      <w:r>
        <w:rPr/>
        <w:t>②这些交易整体才能达成一项完整的商业结果；</w:t>
      </w:r>
    </w:p>
    <w:p>
      <w:pPr>
        <w:pStyle w:val="BodyText"/>
        <w:spacing w:line="240" w:lineRule="auto" w:before="76"/>
        <w:ind w:left="513" w:right="0"/>
        <w:jc w:val="left"/>
      </w:pPr>
      <w:r>
        <w:rPr/>
        <w:t>③一项交易的发生取决于其他至少一项交易的发生；</w:t>
      </w:r>
    </w:p>
    <w:p>
      <w:pPr>
        <w:pStyle w:val="BodyText"/>
        <w:spacing w:line="316" w:lineRule="auto" w:before="76"/>
        <w:ind w:left="513" w:right="0"/>
        <w:jc w:val="left"/>
      </w:pPr>
      <w:r>
        <w:rPr/>
        <w:t>④一项交易单独看是不经济的，但是和其他交易一并考虑时是经济的。 </w:t>
      </w:r>
      <w:r>
        <w:rPr>
          <w:spacing w:val="-2"/>
        </w:rPr>
        <w:t>在个别财务报表中，分步处置股权直至丧失控制权的各项交易不属于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的，结转每一次处置股权相对应的长</w:t>
      </w:r>
    </w:p>
    <w:p>
      <w:pPr>
        <w:pStyle w:val="BodyText"/>
        <w:spacing w:line="309" w:lineRule="auto"/>
        <w:ind w:right="1131"/>
        <w:jc w:val="both"/>
      </w:pPr>
      <w:r>
        <w:rPr>
          <w:spacing w:val="-2"/>
        </w:rPr>
        <w:t>期股权投资的账面价值，所得价款与处置长期股权投资账面价值之间的差额计入当期投资收益；属于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的，在丧</w:t>
      </w:r>
      <w:r>
        <w:rPr>
          <w:spacing w:val="-44"/>
        </w:rPr>
        <w:t> </w:t>
      </w:r>
      <w:r>
        <w:rPr>
          <w:spacing w:val="-44"/>
        </w:rPr>
      </w:r>
      <w:r>
        <w:rPr>
          <w:spacing w:val="-2"/>
        </w:rPr>
        <w:t>失控制权之前每一次处置价款与所处置的股权对应的长期股权投资账面价值之间的差额，先确认为其他综合收益，到丧失控</w:t>
      </w:r>
      <w:r>
        <w:rPr>
          <w:spacing w:val="-63"/>
        </w:rPr>
        <w:t> </w:t>
      </w:r>
      <w:r>
        <w:rPr>
          <w:spacing w:val="-63"/>
        </w:rPr>
      </w:r>
      <w:r>
        <w:rPr/>
        <w:t>制权时再一并转入丧失控制权的当期损益。</w:t>
      </w:r>
    </w:p>
    <w:p>
      <w:pPr>
        <w:pStyle w:val="BodyText"/>
        <w:spacing w:line="300" w:lineRule="auto" w:before="24"/>
        <w:ind w:right="1133" w:firstLine="360"/>
        <w:jc w:val="both"/>
      </w:pPr>
      <w:r>
        <w:rPr/>
        <w:t>在合并财务报表中，分步处置股权直至丧失控制权时，剩余股权的计量以及有关处置股权损益的核算比照前述</w:t>
      </w:r>
      <w:r>
        <w:rPr>
          <w:rFonts w:ascii="Times New Roman" w:hAnsi="Times New Roman" w:cs="Times New Roman" w:eastAsia="Times New Roman" w:hint="default"/>
        </w:rPr>
        <w:t>“</w:t>
      </w:r>
      <w:r>
        <w:rPr/>
        <w:t>丧失子 公司控制权的处理</w:t>
      </w:r>
      <w:r>
        <w:rPr>
          <w:rFonts w:ascii="Times New Roman" w:hAnsi="Times New Roman" w:cs="Times New Roman" w:eastAsia="Times New Roman" w:hint="default"/>
        </w:rPr>
        <w:t>”</w:t>
      </w:r>
      <w:r>
        <w:rPr/>
        <w:t>。在丧失控制权之前每一次处置价款与处置投资对应的享有该子公司自购买日开始持续计算的净资产账</w:t>
      </w:r>
      <w:r>
        <w:rPr>
          <w:spacing w:val="-76"/>
        </w:rPr>
        <w:t> </w:t>
      </w:r>
      <w:r>
        <w:rPr>
          <w:spacing w:val="-76"/>
        </w:rPr>
      </w:r>
      <w:r>
        <w:rPr/>
        <w:t>面价值份额之间的差额，分别进行如下处理：</w:t>
      </w:r>
    </w:p>
    <w:p>
      <w:pPr>
        <w:pStyle w:val="BodyText"/>
        <w:spacing w:line="240" w:lineRule="auto" w:before="31"/>
        <w:ind w:left="513" w:right="0"/>
        <w:jc w:val="left"/>
      </w:pPr>
      <w:r>
        <w:rPr/>
        <w:t>①属于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的，确认为其他综合收益。在丧失控制权时一并转入丧失控制权当期的损益。</w:t>
      </w:r>
    </w:p>
    <w:p>
      <w:pPr>
        <w:pStyle w:val="BodyText"/>
        <w:spacing w:line="240" w:lineRule="auto" w:before="63"/>
        <w:ind w:left="513" w:right="0"/>
        <w:jc w:val="left"/>
      </w:pPr>
      <w:r>
        <w:rPr/>
        <w:t>②不属于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的，作为权益性交易计入资本公积。在丧失控制权时不得转入丧失控制权当期的损益。</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现金是指库存现金以及可以随时用于支付的存款。现金等价物，是指本集团持有的期限短、流动性强、易于转换为已知</w:t>
      </w:r>
      <w:r>
        <w:rPr/>
        <w:t> 金额现金、价值变动风险很小的投资。</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本集团发生外币业务，按交易发生日的即期汇率折算为记账本位币金额。 </w:t>
      </w:r>
      <w:r>
        <w:rPr>
          <w:spacing w:val="-2"/>
        </w:rPr>
        <w:t>资产负债表日，对外币货币性项目，采用资产负债表日即期汇率折算。因资产负债表日即期汇率与初始确认时或者前一</w:t>
      </w:r>
    </w:p>
    <w:p>
      <w:pPr>
        <w:pStyle w:val="BodyText"/>
        <w:spacing w:line="316" w:lineRule="auto" w:before="19"/>
        <w:ind w:right="1128"/>
        <w:jc w:val="both"/>
      </w:pPr>
      <w:r>
        <w:rPr>
          <w:spacing w:val="-2"/>
        </w:rPr>
        <w:t>资产负债表日即期汇率不同而产生的汇兑差额，计入当期损益；对以历史成本计量的外币非货币性项目，仍采用交易发生日</w:t>
      </w:r>
      <w:r>
        <w:rPr>
          <w:spacing w:val="-62"/>
        </w:rPr>
        <w:t> </w:t>
      </w:r>
      <w:r>
        <w:rPr>
          <w:spacing w:val="-62"/>
        </w:rPr>
      </w:r>
      <w:r>
        <w:rPr>
          <w:spacing w:val="-2"/>
        </w:rPr>
        <w:t>的即期汇率折算；对以公允价值计量的外币非货币性项目，采用公允价值确定日的即期汇率折算，折算后的记账本位币金额</w:t>
      </w:r>
    </w:p>
    <w:p>
      <w:pPr>
        <w:spacing w:after="0" w:line="316" w:lineRule="auto"/>
        <w:jc w:val="both"/>
        <w:sectPr>
          <w:footerReference w:type="default" r:id="rId20"/>
          <w:pgSz w:w="11910" w:h="16840"/>
          <w:pgMar w:footer="974" w:header="748" w:top="1060" w:bottom="1160" w:left="980" w:right="0"/>
          <w:pgNumType w:start="12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与原记账本位币金额的差额，计入当期损益。</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金融工具是指形成一个企业的金融资产，并形成其他单位的金融负债或权益工具的合同。</w:t>
      </w:r>
    </w:p>
    <w:p>
      <w:pPr>
        <w:pStyle w:val="BodyText"/>
        <w:spacing w:line="309" w:lineRule="auto" w:before="76"/>
        <w:ind w:left="513" w:right="4993"/>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24"/>
        <w:ind w:left="513" w:right="0"/>
        <w:jc w:val="left"/>
      </w:pPr>
      <w:r>
        <w:rPr/>
        <w:t>①</w:t>
      </w:r>
      <w:r>
        <w:rPr>
          <w:spacing w:val="-18"/>
        </w:rPr>
        <w:t> </w:t>
      </w:r>
      <w:r>
        <w:rPr/>
        <w:t>收取该金融资产现金流量的合同权利终止；</w:t>
      </w:r>
    </w:p>
    <w:p>
      <w:pPr>
        <w:pStyle w:val="BodyText"/>
        <w:spacing w:line="316" w:lineRule="auto" w:before="76"/>
        <w:ind w:left="513" w:right="0"/>
        <w:jc w:val="left"/>
      </w:pPr>
      <w:r>
        <w:rPr/>
        <w:t>②</w:t>
      </w:r>
      <w:r>
        <w:rPr>
          <w:spacing w:val="-18"/>
        </w:rPr>
        <w:t> </w:t>
      </w:r>
      <w:r>
        <w:rPr/>
        <w:t>该金融资产已转移，且符合下述金融资产转移的终止确认条件。</w:t>
      </w:r>
      <w:r>
        <w:rPr/>
        <w:t> </w:t>
      </w:r>
      <w:r>
        <w:rPr>
          <w:spacing w:val="-2"/>
        </w:rPr>
        <w:t>金融负债的现时义务全部或部分已经解除的，终止确认该金融负债或其一部分。本集团（债务人）与债权人之间签订协</w:t>
      </w:r>
    </w:p>
    <w:p>
      <w:pPr>
        <w:pStyle w:val="BodyText"/>
        <w:spacing w:line="316" w:lineRule="auto" w:before="19"/>
        <w:ind w:right="1130"/>
        <w:jc w:val="both"/>
      </w:pPr>
      <w:r>
        <w:rPr>
          <w:spacing w:val="-2"/>
        </w:rPr>
        <w:t>议，以承担新金融负债方式替换现存金融负债，且新金融负债与现存金融负债的合同条款实质上不同的，终止确认现存金融</w:t>
      </w:r>
      <w:r>
        <w:rPr>
          <w:spacing w:val="-63"/>
        </w:rPr>
        <w:t> </w:t>
      </w:r>
      <w:r>
        <w:rPr>
          <w:spacing w:val="-63"/>
        </w:rPr>
      </w:r>
      <w:r>
        <w:rPr/>
        <w:t>负债，并同时确认新金融负债。</w:t>
      </w:r>
    </w:p>
    <w:p>
      <w:pPr>
        <w:pStyle w:val="BodyText"/>
        <w:spacing w:line="240" w:lineRule="auto" w:before="19"/>
        <w:ind w:left="513" w:right="0"/>
        <w:jc w:val="left"/>
      </w:pPr>
      <w:r>
        <w:rPr/>
        <w:t>以常规方式买卖金融资产，按交易日进行会计确认和终止确认。</w:t>
      </w:r>
    </w:p>
    <w:p>
      <w:pPr>
        <w:pStyle w:val="BodyText"/>
        <w:spacing w:line="340" w:lineRule="auto" w:before="76"/>
        <w:ind w:left="513" w:right="0"/>
        <w:jc w:val="left"/>
      </w:pPr>
      <w:r>
        <w:rPr/>
        <w:t>（</w:t>
      </w:r>
      <w:r>
        <w:rPr>
          <w:rFonts w:ascii="Times New Roman" w:hAnsi="Times New Roman" w:cs="Times New Roman" w:eastAsia="Times New Roman" w:hint="default"/>
        </w:rPr>
        <w:t>2</w:t>
      </w:r>
      <w:r>
        <w:rPr/>
        <w:t>）金融资产分类和计量 </w:t>
      </w:r>
      <w:r>
        <w:rPr>
          <w:spacing w:val="-2"/>
        </w:rPr>
        <w:t>本集团的金融资产于初始确认时分为：应收款项、可供出售金融资产。金融资产在初始确认时以公允价值计量，相关交</w:t>
      </w:r>
    </w:p>
    <w:p>
      <w:pPr>
        <w:pStyle w:val="BodyText"/>
        <w:spacing w:line="360" w:lineRule="auto"/>
        <w:ind w:left="513" w:right="8414" w:hanging="361"/>
        <w:jc w:val="left"/>
      </w:pPr>
      <w:r>
        <w:rPr/>
        <w:t>易费用计入其初始确认金额。 应收款项</w:t>
      </w:r>
    </w:p>
    <w:p>
      <w:pPr>
        <w:pStyle w:val="BodyText"/>
        <w:spacing w:line="222" w:lineRule="exact"/>
        <w:ind w:right="0" w:firstLine="360"/>
        <w:jc w:val="left"/>
      </w:pPr>
      <w:r>
        <w:rPr/>
        <w:t>应收款项，是指在活跃市场中没有报价、回收金额固定或可确定的非衍生金融资产，包括应收票据、应收账款和其他应</w:t>
      </w:r>
    </w:p>
    <w:p>
      <w:pPr>
        <w:pStyle w:val="BodyText"/>
        <w:spacing w:line="300" w:lineRule="auto" w:before="76"/>
        <w:ind w:right="1133"/>
        <w:jc w:val="both"/>
      </w:pPr>
      <w:r>
        <w:rPr>
          <w:spacing w:val="-2"/>
        </w:rPr>
        <w:t>收款等（附注五、</w:t>
      </w:r>
      <w:r>
        <w:rPr>
          <w:rFonts w:ascii="Times New Roman" w:hAnsi="Times New Roman" w:cs="Times New Roman" w:eastAsia="Times New Roman" w:hint="default"/>
          <w:spacing w:val="-2"/>
        </w:rPr>
        <w:t>11</w:t>
      </w:r>
      <w:r>
        <w:rPr>
          <w:spacing w:val="-2"/>
        </w:rPr>
        <w:t>）。应收款项采用实际利率法，按摊余成本进行后续计量，在终止确认、发生减值或摊销时产生的利得</w:t>
      </w:r>
      <w:r>
        <w:rPr>
          <w:spacing w:val="-68"/>
        </w:rPr>
        <w:t> </w:t>
      </w:r>
      <w:r>
        <w:rPr>
          <w:spacing w:val="-68"/>
        </w:rPr>
      </w:r>
      <w:r>
        <w:rPr/>
        <w:t>或损失，计入当期损益。</w:t>
      </w:r>
    </w:p>
    <w:p>
      <w:pPr>
        <w:pStyle w:val="BodyText"/>
        <w:spacing w:line="316" w:lineRule="auto" w:before="32"/>
        <w:ind w:left="513" w:right="1033"/>
        <w:jc w:val="left"/>
      </w:pPr>
      <w:r>
        <w:rPr/>
        <w:t>可供出售金融资产 可供出售金融资产，是指初始确认时即指定为可供出售的非衍生金融资产，以及除上述金融资产类别以外的金融资产。</w:t>
      </w:r>
    </w:p>
    <w:p>
      <w:pPr>
        <w:pStyle w:val="BodyText"/>
        <w:spacing w:line="316" w:lineRule="auto" w:before="19"/>
        <w:ind w:right="1131"/>
        <w:jc w:val="both"/>
      </w:pPr>
      <w:r>
        <w:rPr>
          <w:spacing w:val="-2"/>
        </w:rPr>
        <w:t>可供出售金融资产采用公允价值进行后续计量，其折溢价采用实际利率法摊销并确认为利息收入。除减值损失及外币货币性</w:t>
      </w:r>
      <w:r>
        <w:rPr>
          <w:spacing w:val="-64"/>
        </w:rPr>
        <w:t> </w:t>
      </w:r>
      <w:r>
        <w:rPr>
          <w:spacing w:val="-64"/>
        </w:rPr>
      </w:r>
      <w:r>
        <w:rPr>
          <w:spacing w:val="-2"/>
        </w:rPr>
        <w:t>金融资产的汇兑差额确认为当期损益外，可供出售金融资产的公允价值变动确认为其他综合收益，在该金融资产终止确认时</w:t>
      </w:r>
      <w:r>
        <w:rPr>
          <w:spacing w:val="-63"/>
        </w:rPr>
        <w:t> </w:t>
      </w:r>
      <w:r>
        <w:rPr>
          <w:spacing w:val="-63"/>
        </w:rPr>
      </w:r>
      <w:r>
        <w:rPr/>
        <w:t>转出，计入当期损益。与可供出售金融资产相关的股利或利息收入，计入当期损益。</w:t>
      </w:r>
    </w:p>
    <w:p>
      <w:pPr>
        <w:pStyle w:val="BodyText"/>
        <w:spacing w:line="316" w:lineRule="auto" w:before="19"/>
        <w:ind w:right="0" w:firstLine="360"/>
        <w:jc w:val="left"/>
      </w:pPr>
      <w:r>
        <w:rPr>
          <w:spacing w:val="-2"/>
        </w:rPr>
        <w:t>对于在活跃市场中没有报价且其公允价值不能可靠计量的权益工具投资，以及与该权益工具挂钩并须通过交付该权益工</w:t>
      </w:r>
      <w:r>
        <w:rPr/>
        <w:t> 具结算的衍生金融资产，按成本计量。</w:t>
      </w:r>
    </w:p>
    <w:p>
      <w:pPr>
        <w:pStyle w:val="BodyText"/>
        <w:spacing w:line="300" w:lineRule="auto" w:before="19"/>
        <w:ind w:left="513" w:right="0"/>
        <w:jc w:val="left"/>
      </w:pPr>
      <w:r>
        <w:rPr/>
        <w:t>（</w:t>
      </w:r>
      <w:r>
        <w:rPr>
          <w:rFonts w:ascii="Times New Roman" w:hAnsi="Times New Roman" w:cs="Times New Roman" w:eastAsia="Times New Roman" w:hint="default"/>
        </w:rPr>
        <w:t>3</w:t>
      </w:r>
      <w:r>
        <w:rPr/>
        <w:t>）金融负债分类和计量 </w:t>
      </w:r>
      <w:r>
        <w:rPr>
          <w:spacing w:val="-2"/>
        </w:rPr>
        <w:t>本集团的金融负债于初始确认时分类为：其他金融负债。对于未划分为以公允价值计量且其变动计入当期损益的金融负</w:t>
      </w:r>
    </w:p>
    <w:p>
      <w:pPr>
        <w:pStyle w:val="BodyText"/>
        <w:spacing w:line="316" w:lineRule="auto" w:before="31"/>
        <w:ind w:left="513" w:right="7334" w:hanging="361"/>
        <w:jc w:val="left"/>
      </w:pPr>
      <w:r>
        <w:rPr/>
        <w:t>债的，相关交易费用计入其初始确认金额。 其他金融负债</w:t>
      </w:r>
    </w:p>
    <w:p>
      <w:pPr>
        <w:pStyle w:val="BodyText"/>
        <w:spacing w:line="316" w:lineRule="auto" w:before="19"/>
        <w:ind w:right="1130" w:firstLine="360"/>
        <w:jc w:val="both"/>
      </w:pPr>
      <w:r>
        <w:rPr>
          <w:spacing w:val="-2"/>
        </w:rPr>
        <w:t>与在活跃市场中没有报价、公允价值不能可靠计量的权益工具挂钩并须通过交付该权益工具结算的衍生金融负债，按照</w:t>
      </w:r>
      <w:r>
        <w:rPr/>
        <w:t> </w:t>
      </w:r>
      <w:r>
        <w:rPr>
          <w:spacing w:val="-2"/>
        </w:rPr>
        <w:t>成本进行后续计量。其他金融负债采用实际利率法，按摊余成本进行后续计量，终止确认或摊销产生的利得或损失计入当期</w:t>
      </w:r>
      <w:r>
        <w:rPr>
          <w:spacing w:val="-64"/>
        </w:rPr>
        <w:t> </w:t>
      </w:r>
      <w:r>
        <w:rPr>
          <w:spacing w:val="-64"/>
        </w:rPr>
      </w:r>
      <w:r>
        <w:rPr/>
        <w:t>损益。</w:t>
      </w:r>
    </w:p>
    <w:p>
      <w:pPr>
        <w:pStyle w:val="BodyText"/>
        <w:spacing w:line="316" w:lineRule="auto" w:before="19"/>
        <w:ind w:left="513" w:right="6973"/>
        <w:jc w:val="left"/>
      </w:pPr>
      <w:r>
        <w:rPr/>
        <w:t>金融负债与权益工具的区分 金融负债，是指符合下列条件之一的负债：</w:t>
      </w:r>
    </w:p>
    <w:p>
      <w:pPr>
        <w:pStyle w:val="BodyText"/>
        <w:spacing w:line="240" w:lineRule="auto" w:before="19"/>
        <w:ind w:left="513" w:right="0"/>
        <w:jc w:val="left"/>
      </w:pPr>
      <w:r>
        <w:rPr/>
        <w:t>①向其他方交付现金或其他金融资产的合同义务。</w:t>
      </w:r>
    </w:p>
    <w:p>
      <w:pPr>
        <w:pStyle w:val="BodyText"/>
        <w:spacing w:line="240" w:lineRule="auto" w:before="76"/>
        <w:ind w:left="513" w:right="0"/>
        <w:jc w:val="left"/>
      </w:pPr>
      <w:r>
        <w:rPr/>
        <w:t>②在潜在不利条件下，与其他方交换金融资产或金融负债的合同义务。</w:t>
      </w:r>
    </w:p>
    <w:p>
      <w:pPr>
        <w:pStyle w:val="BodyText"/>
        <w:spacing w:line="240" w:lineRule="auto" w:before="76"/>
        <w:ind w:left="513" w:right="0"/>
        <w:jc w:val="left"/>
      </w:pPr>
      <w:r>
        <w:rPr/>
        <w:t>③将来须用或可用企业自身权益工具进行结算的非衍生工具合同，且企业根据该合同将交付可变数量的自身权益工具。</w:t>
      </w:r>
    </w:p>
    <w:p>
      <w:pPr>
        <w:pStyle w:val="BodyText"/>
        <w:spacing w:line="316" w:lineRule="auto" w:before="76"/>
        <w:ind w:right="0" w:firstLine="360"/>
        <w:jc w:val="left"/>
      </w:pPr>
      <w:r>
        <w:rPr>
          <w:spacing w:val="-2"/>
        </w:rPr>
        <w:t>④将来须用或可用企业自身权益工具进行结算的衍生工具合同，但以固定数量的自身权益工具交换固定金额的现金或其</w:t>
      </w:r>
      <w:r>
        <w:rPr/>
        <w:t> 他金融资产的衍生工具合同除外。</w:t>
      </w:r>
    </w:p>
    <w:p>
      <w:pPr>
        <w:pStyle w:val="BodyText"/>
        <w:spacing w:line="316" w:lineRule="auto" w:before="19"/>
        <w:ind w:left="513" w:right="1213"/>
        <w:jc w:val="left"/>
      </w:pPr>
      <w:r>
        <w:rPr/>
        <w:t>权益工具，是指能证明拥有某个企业在扣除所有负债后的资产中剩余权益的合同。 如果本集团不能无条件地避免以交付现金或其他金融资产来履行一项合同义务，则该合同义务符合金融负债的定义。</w:t>
      </w:r>
    </w:p>
    <w:p>
      <w:pPr>
        <w:spacing w:after="0" w:line="316"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034" w:firstLine="360"/>
        <w:jc w:val="left"/>
      </w:pPr>
      <w:r>
        <w:rPr>
          <w:spacing w:val="-2"/>
        </w:rPr>
        <w:t>如果一项金融工具须用或可用本集团自身权益工具进行结算，需要考虑用于结算该工具的本集团自身权益工具，是作为</w:t>
      </w:r>
      <w:r>
        <w:rPr/>
        <w:t> 现金或其他金融资产的替代品，还是为了使该工具持有方享有在发行方扣除所有负债后的资产中的剩余权益。如果是前者， 该工具是本集团的金融负债；如果是后者，该工具是本集团的权益工具。</w:t>
      </w:r>
    </w:p>
    <w:p>
      <w:pPr>
        <w:pStyle w:val="BodyText"/>
        <w:spacing w:line="300" w:lineRule="auto" w:before="19"/>
        <w:ind w:left="513" w:right="0"/>
        <w:jc w:val="left"/>
      </w:pPr>
      <w:r>
        <w:rPr/>
        <w:t>（</w:t>
      </w:r>
      <w:r>
        <w:rPr>
          <w:rFonts w:ascii="Times New Roman" w:hAnsi="Times New Roman" w:cs="Times New Roman" w:eastAsia="Times New Roman" w:hint="default"/>
        </w:rPr>
        <w:t>4</w:t>
      </w:r>
      <w:r>
        <w:rPr/>
        <w:t>）金融资产减值 除了以公允价值计量且其变动计入当期损益的金融资产外，本集团于资产负债表日对其他金融资产的账面价值进行检</w:t>
      </w:r>
    </w:p>
    <w:p>
      <w:pPr>
        <w:pStyle w:val="BodyText"/>
        <w:spacing w:line="316" w:lineRule="auto" w:before="31"/>
        <w:ind w:right="0"/>
        <w:jc w:val="left"/>
      </w:pPr>
      <w:r>
        <w:rPr>
          <w:spacing w:val="-2"/>
        </w:rPr>
        <w:t>查，有客观证据表明该金融资产发生减值的，计提减值准备。表明金融资产发生减值的客观证据，是指金融资产初始确认后</w:t>
      </w:r>
      <w:r>
        <w:rPr>
          <w:spacing w:val="-65"/>
        </w:rPr>
        <w:t> </w:t>
      </w:r>
      <w:r>
        <w:rPr>
          <w:spacing w:val="-65"/>
        </w:rPr>
      </w:r>
      <w:r>
        <w:rPr/>
        <w:t>实际发生的、对该金融资产的预计未来现金流量有影响，且企业能够对该影响进行可靠计量的事项。</w:t>
      </w:r>
    </w:p>
    <w:p>
      <w:pPr>
        <w:pStyle w:val="BodyText"/>
        <w:spacing w:line="240" w:lineRule="auto" w:before="19"/>
        <w:ind w:left="513" w:right="0"/>
        <w:jc w:val="left"/>
      </w:pPr>
      <w:r>
        <w:rPr/>
        <w:t>金融资产发生减值的客观证据，包括下列可观察到的情形：</w:t>
      </w:r>
    </w:p>
    <w:p>
      <w:pPr>
        <w:pStyle w:val="BodyText"/>
        <w:spacing w:line="240" w:lineRule="auto" w:before="76"/>
        <w:ind w:left="513" w:right="0"/>
        <w:jc w:val="left"/>
      </w:pPr>
      <w:r>
        <w:rPr/>
        <w:t>①发行方或债务人发生严重财务困难；</w:t>
      </w:r>
    </w:p>
    <w:p>
      <w:pPr>
        <w:pStyle w:val="BodyText"/>
        <w:spacing w:line="240" w:lineRule="auto" w:before="76"/>
        <w:ind w:left="513" w:right="0"/>
        <w:jc w:val="left"/>
      </w:pPr>
      <w:r>
        <w:rPr/>
        <w:t>②债务人违反了合同条款，如偿付利息或本金发生违约或逾期等；</w:t>
      </w:r>
    </w:p>
    <w:p>
      <w:pPr>
        <w:pStyle w:val="BodyText"/>
        <w:spacing w:line="240" w:lineRule="auto" w:before="76"/>
        <w:ind w:left="513" w:right="0"/>
        <w:jc w:val="left"/>
      </w:pPr>
      <w:r>
        <w:rPr/>
        <w:t>③本集团出于经济或法律等方面因素的考虑，对发生财务困难的债务人作出让步；</w:t>
      </w:r>
    </w:p>
    <w:p>
      <w:pPr>
        <w:pStyle w:val="BodyText"/>
        <w:spacing w:line="240" w:lineRule="auto" w:before="77"/>
        <w:ind w:left="513" w:right="0"/>
        <w:jc w:val="left"/>
      </w:pPr>
      <w:r>
        <w:rPr/>
        <w:t>④债务人很可能倒闭或者进行其他财务重组；</w:t>
      </w:r>
    </w:p>
    <w:p>
      <w:pPr>
        <w:pStyle w:val="BodyText"/>
        <w:spacing w:line="240" w:lineRule="auto" w:before="76"/>
        <w:ind w:left="513" w:right="0"/>
        <w:jc w:val="left"/>
      </w:pPr>
      <w:r>
        <w:rPr/>
        <w:t>⑤因发行方发生重大财务困难，导致金融资产无法在活跃市场继续交易；</w:t>
      </w:r>
    </w:p>
    <w:p>
      <w:pPr>
        <w:pStyle w:val="BodyText"/>
        <w:spacing w:line="316" w:lineRule="auto" w:before="76"/>
        <w:ind w:right="0" w:firstLine="360"/>
        <w:jc w:val="left"/>
      </w:pPr>
      <w:r>
        <w:rPr>
          <w:spacing w:val="-2"/>
        </w:rPr>
        <w:t>⑥无法辨认一组金融资产中的某项资产的现金流量是否已经减少，但根据公开的数据对其进行总体评价后发现，该组金</w:t>
      </w:r>
      <w:r>
        <w:rPr/>
        <w:t> 融资产自初始确认以来的预计未来现金流量确已减少且可计量，包括：</w:t>
      </w:r>
    </w:p>
    <w:p>
      <w:pPr>
        <w:pStyle w:val="BodyText"/>
        <w:spacing w:line="240" w:lineRule="auto" w:before="19"/>
        <w:ind w:left="573"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该组金融资产的债务人支付能力逐步恶化；</w:t>
      </w:r>
    </w:p>
    <w:p>
      <w:pPr>
        <w:pStyle w:val="BodyText"/>
        <w:spacing w:line="240" w:lineRule="auto" w:before="63"/>
        <w:ind w:left="573"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债务人所在国家或地区经济出现了可能导致该组金融资产无法支付的状况；</w:t>
      </w:r>
    </w:p>
    <w:p>
      <w:pPr>
        <w:pStyle w:val="BodyText"/>
        <w:spacing w:line="240" w:lineRule="auto" w:before="63"/>
        <w:ind w:left="513" w:right="0"/>
        <w:jc w:val="left"/>
      </w:pPr>
      <w:r>
        <w:rPr/>
        <w:t>⑦债务人经营所处的技术、市场、经济或法律环境等发生重大不利变化，使权益工具投资人可能无法收回投资成本；</w:t>
      </w:r>
    </w:p>
    <w:p>
      <w:pPr>
        <w:pStyle w:val="BodyText"/>
        <w:spacing w:line="316" w:lineRule="auto" w:before="76"/>
        <w:ind w:right="0" w:firstLine="360"/>
        <w:jc w:val="left"/>
      </w:pPr>
      <w:r>
        <w:rPr>
          <w:spacing w:val="-2"/>
        </w:rPr>
        <w:t>⑧权益工具投资的公允价值发生严重或非暂时性下跌，如权益工具投资于资产负债表日的公允价值低于其初始投资成本</w:t>
      </w:r>
      <w:r>
        <w:rPr/>
        <w:t> 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）或低于其初始投资成本持续时间超过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w:t>
      </w:r>
    </w:p>
    <w:p>
      <w:pPr>
        <w:pStyle w:val="BodyText"/>
        <w:spacing w:line="300" w:lineRule="auto"/>
        <w:ind w:right="1119" w:firstLine="360"/>
        <w:jc w:val="left"/>
      </w:pPr>
      <w:r>
        <w:rPr>
          <w:spacing w:val="-2"/>
        </w:rPr>
        <w:t>低于其初始投资成本持续时间超过</w:t>
      </w:r>
      <w:r>
        <w:rPr>
          <w:rFonts w:ascii="Times New Roman" w:hAnsi="Times New Roman" w:cs="Times New Roman" w:eastAsia="Times New Roman" w:hint="default"/>
          <w:spacing w:val="-2"/>
        </w:rPr>
        <w:t>12</w:t>
      </w:r>
      <w:r>
        <w:rPr>
          <w:spacing w:val="-2"/>
        </w:rPr>
        <w:t>个月（含</w:t>
      </w:r>
      <w:r>
        <w:rPr>
          <w:rFonts w:ascii="Times New Roman" w:hAnsi="Times New Roman" w:cs="Times New Roman" w:eastAsia="Times New Roman" w:hint="default"/>
          <w:spacing w:val="-2"/>
        </w:rPr>
        <w:t>12</w:t>
      </w:r>
      <w:r>
        <w:rPr>
          <w:spacing w:val="-2"/>
        </w:rPr>
        <w:t>个月）是指，权益工具投资公允价值月度均值连续</w:t>
      </w:r>
      <w:r>
        <w:rPr>
          <w:rFonts w:ascii="Times New Roman" w:hAnsi="Times New Roman" w:cs="Times New Roman" w:eastAsia="Times New Roman" w:hint="default"/>
          <w:spacing w:val="-2"/>
        </w:rPr>
        <w:t>12</w:t>
      </w:r>
      <w:r>
        <w:rPr>
          <w:spacing w:val="-2"/>
        </w:rPr>
        <w:t>个月均低于其初始</w:t>
      </w:r>
      <w:r>
        <w:rPr/>
        <w:t> 投资成本。</w:t>
      </w:r>
    </w:p>
    <w:p>
      <w:pPr>
        <w:pStyle w:val="BodyText"/>
        <w:spacing w:line="316" w:lineRule="auto" w:before="31"/>
        <w:ind w:left="513" w:right="6973"/>
        <w:jc w:val="left"/>
      </w:pPr>
      <w:r>
        <w:rPr/>
        <w:t>⑨其他表明金融资产发生减值的客观证据。 以摊余成本计量的金融资产</w:t>
      </w:r>
    </w:p>
    <w:p>
      <w:pPr>
        <w:pStyle w:val="BodyText"/>
        <w:spacing w:line="232" w:lineRule="exact" w:before="5"/>
        <w:ind w:right="1132" w:firstLine="360"/>
        <w:jc w:val="both"/>
      </w:pPr>
      <w:r>
        <w:rPr>
          <w:spacing w:val="-2"/>
        </w:rPr>
        <w:t>如果有客观证据表明该金融资产发生减值，则将该金融资产的账面价值减记至预计未来现金流量（不包括尚未发生的未</w:t>
      </w:r>
      <w:r>
        <w:rPr/>
        <w:t> </w:t>
      </w:r>
      <w:r>
        <w:rPr>
          <w:spacing w:val="-2"/>
        </w:rPr>
        <w:t>来信用损失）现值，减记金额计入当期损益。预计未来现金流量现值，按照该金融资产原实际利率折现确定，并考虑相关担</w:t>
      </w:r>
      <w:r>
        <w:rPr>
          <w:spacing w:val="-67"/>
        </w:rPr>
        <w:t> </w:t>
      </w:r>
      <w:r>
        <w:rPr>
          <w:spacing w:val="-67"/>
        </w:rPr>
      </w:r>
      <w:r>
        <w:rPr/>
        <w:t>保物的价值。</w:t>
      </w:r>
    </w:p>
    <w:p>
      <w:pPr>
        <w:pStyle w:val="BodyText"/>
        <w:spacing w:line="232" w:lineRule="exact" w:before="41"/>
        <w:ind w:right="0" w:firstLine="360"/>
        <w:jc w:val="left"/>
      </w:pPr>
      <w:r>
        <w:rPr>
          <w:spacing w:val="-2"/>
        </w:rPr>
        <w:t>对单项金额重大的金融资产单独进行减值测试，如有客观证据表明其已发生减值，确认减值损失，计入当期损益；对单</w:t>
      </w:r>
      <w:r>
        <w:rPr/>
        <w:t> 项金额不重大的金融资产，单独进行减值测试或包括在具有类似信用风险特征的金融资产组合中进行减值测试。</w:t>
      </w:r>
    </w:p>
    <w:p>
      <w:pPr>
        <w:pStyle w:val="BodyText"/>
        <w:spacing w:line="232" w:lineRule="exact" w:before="41"/>
        <w:ind w:right="1026" w:firstLine="360"/>
        <w:jc w:val="left"/>
      </w:pPr>
      <w:r>
        <w:rPr/>
        <w:t>单独测试未发生减值的金融</w:t>
      </w:r>
      <w:r>
        <w:rPr>
          <w:spacing w:val="2"/>
        </w:rPr>
        <w:t>资</w:t>
      </w:r>
      <w:r>
        <w:rPr/>
        <w:t>产（包括单项金额重大和不</w:t>
      </w:r>
      <w:r>
        <w:rPr>
          <w:spacing w:val="2"/>
        </w:rPr>
        <w:t>重</w:t>
      </w:r>
      <w:r>
        <w:rPr/>
        <w:t>大的金融资产</w:t>
      </w:r>
      <w:r>
        <w:rPr>
          <w:spacing w:val="-89"/>
        </w:rPr>
        <w:t>）</w:t>
      </w:r>
      <w:r>
        <w:rPr/>
        <w:t>，包括在具有类似信用风险特征的金融资产</w:t>
      </w:r>
      <w:r>
        <w:rPr/>
        <w:t> 组合中再进行减值测试</w:t>
      </w:r>
      <w:r>
        <w:rPr>
          <w:spacing w:val="-87"/>
        </w:rPr>
        <w:t>；</w:t>
      </w:r>
      <w:r>
        <w:rPr/>
        <w:t>已单项确认减值损失的金融资产</w:t>
      </w:r>
      <w:r>
        <w:rPr>
          <w:spacing w:val="-87"/>
        </w:rPr>
        <w:t>，</w:t>
      </w:r>
      <w:r>
        <w:rPr/>
        <w:t>不包括在具有类似信用风险特征的金融资产组合中进行减</w:t>
      </w:r>
      <w:r>
        <w:rPr>
          <w:spacing w:val="2"/>
        </w:rPr>
        <w:t>值</w:t>
      </w:r>
      <w:r>
        <w:rPr/>
        <w:t>测试。</w:t>
      </w:r>
    </w:p>
    <w:p>
      <w:pPr>
        <w:pStyle w:val="BodyText"/>
        <w:spacing w:line="316" w:lineRule="auto" w:before="60"/>
        <w:ind w:right="1131" w:firstLine="360"/>
        <w:jc w:val="both"/>
      </w:pPr>
      <w:r>
        <w:rPr>
          <w:spacing w:val="-2"/>
        </w:rPr>
        <w:t>本集团对以摊余成本计量的金融资产确认减值损失后，如有客观证据表明该金融资产价值已恢复，且客观上与确认该损</w:t>
      </w:r>
      <w:r>
        <w:rPr/>
        <w:t> </w:t>
      </w:r>
      <w:r>
        <w:rPr>
          <w:spacing w:val="-2"/>
        </w:rPr>
        <w:t>失后发生的事项有关，原确认的减值损失予以转回，计入当期损益。但是，该转回后的账面价值不超过假定不计提减值准备</w:t>
      </w:r>
      <w:r>
        <w:rPr>
          <w:spacing w:val="-64"/>
        </w:rPr>
        <w:t> </w:t>
      </w:r>
      <w:r>
        <w:rPr>
          <w:spacing w:val="-64"/>
        </w:rPr>
      </w:r>
      <w:r>
        <w:rPr/>
        <w:t>情况下该金融资产在转回日的摊余成本。</w:t>
      </w:r>
    </w:p>
    <w:p>
      <w:pPr>
        <w:pStyle w:val="BodyText"/>
        <w:spacing w:line="316" w:lineRule="auto" w:before="19"/>
        <w:ind w:left="513" w:right="0"/>
        <w:jc w:val="left"/>
      </w:pPr>
      <w:r>
        <w:rPr/>
        <w:t>可供出售金融资产 </w:t>
      </w:r>
      <w:r>
        <w:rPr>
          <w:spacing w:val="-2"/>
        </w:rPr>
        <w:t>如果有客观证据表明该金融资产发生减值，原直接计入其他综合收益的因公允价值下降形成的累计损失，予以转出，计</w:t>
      </w:r>
    </w:p>
    <w:p>
      <w:pPr>
        <w:pStyle w:val="BodyText"/>
        <w:spacing w:line="316" w:lineRule="auto" w:before="19"/>
        <w:ind w:right="0"/>
        <w:jc w:val="left"/>
      </w:pPr>
      <w:r>
        <w:rPr>
          <w:spacing w:val="-2"/>
        </w:rPr>
        <w:t>入当期损益。该转出的累计损失，为可供出售金融资产的初始取得成本扣除已收回本金和已摊销金额、当前公允价值和原已</w:t>
      </w:r>
      <w:r>
        <w:rPr>
          <w:spacing w:val="-63"/>
        </w:rPr>
        <w:t> </w:t>
      </w:r>
      <w:r>
        <w:rPr>
          <w:spacing w:val="-63"/>
        </w:rPr>
      </w:r>
      <w:r>
        <w:rPr/>
        <w:t>计入损益的减值损失后的余额。</w:t>
      </w:r>
    </w:p>
    <w:p>
      <w:pPr>
        <w:pStyle w:val="BodyText"/>
        <w:spacing w:line="316" w:lineRule="auto" w:before="19"/>
        <w:ind w:right="0" w:firstLine="360"/>
        <w:jc w:val="left"/>
      </w:pPr>
      <w:r>
        <w:rPr>
          <w:spacing w:val="-2"/>
        </w:rPr>
        <w:t>对于已确认减值损失的可供出售债务工具，在随后的会计期间公允价值已上升且客观上与确认原减值损失确认后发生的</w:t>
      </w:r>
      <w:r>
        <w:rPr/>
        <w:t> 事项有关的，原确认的减值损失予以转回，计入当期损益。可供出售权益工具投资发生的减值损失，不通过损益转回。</w:t>
      </w:r>
    </w:p>
    <w:p>
      <w:pPr>
        <w:pStyle w:val="BodyText"/>
        <w:spacing w:line="319" w:lineRule="auto" w:before="19"/>
        <w:ind w:left="513" w:right="0"/>
        <w:jc w:val="left"/>
      </w:pPr>
      <w:r>
        <w:rPr/>
        <w:t>以成本计量的金融资产 </w:t>
      </w:r>
      <w:r>
        <w:rPr>
          <w:spacing w:val="-2"/>
        </w:rPr>
        <w:t>在活跃市场中没有报价且其公允价值不能可靠计量的权益工具投资，或与该权益工具挂钩并须通过交付该权益工具结算</w:t>
      </w:r>
    </w:p>
    <w:p>
      <w:pPr>
        <w:pStyle w:val="BodyText"/>
        <w:spacing w:line="316" w:lineRule="auto" w:before="17"/>
        <w:ind w:right="0"/>
        <w:jc w:val="left"/>
      </w:pPr>
      <w:r>
        <w:rPr>
          <w:spacing w:val="-2"/>
        </w:rPr>
        <w:t>的衍生金融资产发生减值时，将该金融资产的账面价值，与按照类似金融资产当时市场收益率对未来现金流量折现确定的现</w:t>
      </w:r>
      <w:r>
        <w:rPr>
          <w:spacing w:val="-64"/>
        </w:rPr>
        <w:t> </w:t>
      </w:r>
      <w:r>
        <w:rPr>
          <w:spacing w:val="-64"/>
        </w:rPr>
      </w:r>
      <w:r>
        <w:rPr/>
        <w:t>值之间的差额，确认为减值损失，计入当期损益。发生的减值损失一经确认，不得转回。</w:t>
      </w:r>
    </w:p>
    <w:p>
      <w:pPr>
        <w:pStyle w:val="BodyText"/>
        <w:spacing w:line="300" w:lineRule="auto" w:before="19"/>
        <w:ind w:left="513" w:right="3193"/>
        <w:jc w:val="left"/>
      </w:pPr>
      <w:r>
        <w:rPr/>
        <w:t>（</w:t>
      </w:r>
      <w:r>
        <w:rPr>
          <w:rFonts w:ascii="Times New Roman" w:hAnsi="Times New Roman" w:cs="Times New Roman" w:eastAsia="Times New Roman" w:hint="default"/>
        </w:rPr>
        <w:t>5</w:t>
      </w:r>
      <w:r>
        <w:rPr/>
        <w:t>）金融资产转移 金融资产转移，是指将金融资产让与或交付给该金融资产发行方以外的另一方（转入方）。</w:t>
      </w:r>
    </w:p>
    <w:p>
      <w:pPr>
        <w:spacing w:after="0" w:line="30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firstLine="360"/>
        <w:jc w:val="both"/>
      </w:pPr>
      <w:r>
        <w:rPr>
          <w:spacing w:val="-2"/>
        </w:rPr>
        <w:t>本集团已将金融资产所有权上几乎所有的风险和报酬转移给转入方的，终止确认该金融资产；保留了金融资产所有权上</w:t>
      </w:r>
      <w:r>
        <w:rPr/>
        <w:t> 几乎所有的风险和报酬的，不终止确认该金融资产。</w:t>
      </w:r>
    </w:p>
    <w:p>
      <w:pPr>
        <w:pStyle w:val="BodyText"/>
        <w:spacing w:line="316" w:lineRule="auto" w:before="19"/>
        <w:ind w:right="1130" w:firstLine="360"/>
        <w:jc w:val="both"/>
      </w:pPr>
      <w:r>
        <w:rPr>
          <w:spacing w:val="-2"/>
        </w:rPr>
        <w:t>本集团既没有转移也没有保留金融资产所有权上几乎所有的风险和报酬的，分别下列情况处理：放弃了对该金融资产控</w:t>
      </w:r>
      <w:r>
        <w:rPr/>
        <w:t> </w:t>
      </w:r>
      <w:r>
        <w:rPr>
          <w:spacing w:val="-2"/>
        </w:rPr>
        <w:t>制的，终止确认该金融资产并确认产生的资产和负债；未放弃对该金融资产控制的，按照其继续涉入所转移金融资产的程度</w:t>
      </w:r>
      <w:r>
        <w:rPr>
          <w:spacing w:val="-63"/>
        </w:rPr>
        <w:t> </w:t>
      </w:r>
      <w:r>
        <w:rPr>
          <w:spacing w:val="-63"/>
        </w:rPr>
      </w:r>
      <w:r>
        <w:rPr/>
        <w:t>确认有关金融资产，并相应确认有关负债。</w:t>
      </w:r>
    </w:p>
    <w:p>
      <w:pPr>
        <w:pStyle w:val="BodyText"/>
        <w:spacing w:line="300" w:lineRule="auto" w:before="19"/>
        <w:ind w:left="513" w:right="0"/>
        <w:jc w:val="left"/>
      </w:pPr>
      <w:r>
        <w:rPr/>
        <w:t>（</w:t>
      </w:r>
      <w:r>
        <w:rPr>
          <w:rFonts w:ascii="Times New Roman" w:hAnsi="Times New Roman" w:cs="Times New Roman" w:eastAsia="Times New Roman" w:hint="default"/>
        </w:rPr>
        <w:t>6</w:t>
      </w:r>
      <w:r>
        <w:rPr/>
        <w:t>）金融资产和金融负债的抵销 </w:t>
      </w:r>
      <w:r>
        <w:rPr>
          <w:spacing w:val="-2"/>
        </w:rPr>
        <w:t>当本集团具有抵销已确认金融资产和金融负债的法定权利，且目前可执行该种法定权利，同时本集团计划以净额结算或</w:t>
      </w:r>
    </w:p>
    <w:p>
      <w:pPr>
        <w:pStyle w:val="BodyText"/>
        <w:spacing w:line="316" w:lineRule="auto" w:before="31"/>
        <w:ind w:right="0"/>
        <w:jc w:val="left"/>
      </w:pPr>
      <w:r>
        <w:rPr>
          <w:spacing w:val="-2"/>
        </w:rPr>
        <w:t>同时变现该金融资产和清偿该金融负债时，金融资产和金融负债以相互抵销后的金额在资产负债表内列示。除此以外，金融</w:t>
      </w:r>
      <w:r>
        <w:rPr>
          <w:spacing w:val="-65"/>
        </w:rPr>
        <w:t> </w:t>
      </w:r>
      <w:r>
        <w:rPr>
          <w:spacing w:val="-65"/>
        </w:rPr>
      </w:r>
      <w:r>
        <w:rPr/>
        <w:t>资产和金融负债在资产负债表内分别列示，不予相互抵销。</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年末余额达到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万元）以上的应收款项为单 项金额重大的应收款项。</w:t>
            </w:r>
          </w:p>
        </w:tc>
      </w:tr>
      <w:tr>
        <w:trPr>
          <w:trHeight w:val="133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9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销售货款及提供服务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应收融资租赁款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0"/>
        <w:jc w:val="left"/>
      </w:pPr>
      <w:r>
        <w:rPr/>
        <w:t>组合中，采用余额百分比法计提坏账准备的：</w:t>
      </w:r>
    </w:p>
    <w:p>
      <w:pPr>
        <w:pStyle w:val="BodyText"/>
        <w:spacing w:line="340" w:lineRule="auto" w:before="115"/>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spacing w:after="0" w:line="3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应收保理款、应收融资租赁款及相关应 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正常类（未逾期）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应收保理款、应收融资租赁款及相关应 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关注类（逾期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 </w:t>
            </w:r>
            <w:r>
              <w:rPr>
                <w:rFonts w:ascii="宋体" w:hAnsi="宋体" w:cs="宋体" w:eastAsia="宋体" w:hint="default"/>
                <w:spacing w:val="-3"/>
                <w:sz w:val="18"/>
                <w:szCs w:val="18"/>
              </w:rPr>
              <w:t>天）</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应收保理款、应收融资租赁款及相关应 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次级类（逾期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91-180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应收保理款、应收融资租赁款及相关应 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可疑类（逾期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181-360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应收保理款、应收融资租赁款及相关应 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损失类（逾期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涉诉款项、客户信用状况恶化的应收款项。</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0"/>
        <w:jc w:val="left"/>
      </w:pPr>
      <w:r>
        <w:rPr/>
        <w:t>软件与信息技术服务业</w:t>
      </w:r>
    </w:p>
    <w:p>
      <w:pPr>
        <w:pStyle w:val="BodyText"/>
        <w:spacing w:line="300" w:lineRule="auto" w:before="117"/>
        <w:ind w:left="513" w:right="5713"/>
        <w:jc w:val="left"/>
      </w:pPr>
      <w:r>
        <w:rPr/>
        <w:t>（</w:t>
      </w:r>
      <w:r>
        <w:rPr>
          <w:rFonts w:ascii="Times New Roman" w:hAnsi="Times New Roman" w:cs="Times New Roman" w:eastAsia="Times New Roman" w:hint="default"/>
        </w:rPr>
        <w:t>1</w:t>
      </w:r>
      <w:r>
        <w:rPr/>
        <w:t>）存货的分类 本集团存货分为原材料、在产品、库存商品和发出商品等。</w:t>
      </w:r>
    </w:p>
    <w:p>
      <w:pPr>
        <w:pStyle w:val="BodyText"/>
        <w:spacing w:line="300" w:lineRule="auto" w:before="31"/>
        <w:ind w:left="513" w:right="1933"/>
        <w:jc w:val="left"/>
      </w:pPr>
      <w:r>
        <w:rPr/>
        <w:t>（</w:t>
      </w:r>
      <w:r>
        <w:rPr>
          <w:rFonts w:ascii="Times New Roman" w:hAnsi="Times New Roman" w:cs="Times New Roman" w:eastAsia="Times New Roman" w:hint="default"/>
        </w:rPr>
        <w:t>2</w:t>
      </w:r>
      <w:r>
        <w:rPr/>
        <w:t>）发出存货的计价方法 本集团存货取得时按实际成本计价。原材料、在产品、库存商品和发出商品等发出时采用加权平均法计价。</w:t>
      </w:r>
    </w:p>
    <w:p>
      <w:pPr>
        <w:pStyle w:val="BodyText"/>
        <w:spacing w:line="300" w:lineRule="auto" w:before="31"/>
        <w:ind w:left="513" w:right="0"/>
        <w:jc w:val="left"/>
      </w:pPr>
      <w:r>
        <w:rPr/>
        <w:t>（</w:t>
      </w:r>
      <w:r>
        <w:rPr>
          <w:rFonts w:ascii="Times New Roman" w:hAnsi="Times New Roman" w:cs="Times New Roman" w:eastAsia="Times New Roman" w:hint="default"/>
        </w:rPr>
        <w:t>3</w:t>
      </w:r>
      <w:r>
        <w:rPr/>
        <w:t>）存货可变现净值的确定依据及存货跌价准备的计提方法 </w:t>
      </w:r>
      <w:r>
        <w:rPr>
          <w:spacing w:val="-2"/>
        </w:rPr>
        <w:t>存货可变现净值是按存货的估计售价减去至完工时估计将要发生的成本、估计的销售费用以及相关税费后的金额。在确</w:t>
      </w:r>
    </w:p>
    <w:p>
      <w:pPr>
        <w:pStyle w:val="BodyText"/>
        <w:spacing w:line="316" w:lineRule="auto" w:before="31"/>
        <w:ind w:left="513" w:right="1033" w:hanging="361"/>
        <w:jc w:val="left"/>
      </w:pPr>
      <w:r>
        <w:rPr/>
        <w:t>定存货的可变现净值时，以取得的确凿证据为基础，同时考虑持有存货的目的以及资产负债表日后事项的影响。 资产负债表日，存货成本高于其可变现净值的，计提存货跌价准备。本集团通常按照单个存货项目计提存货跌价准备，</w:t>
      </w:r>
    </w:p>
    <w:p>
      <w:pPr>
        <w:pStyle w:val="BodyText"/>
        <w:spacing w:line="240" w:lineRule="auto" w:before="19"/>
        <w:ind w:right="0"/>
        <w:jc w:val="left"/>
      </w:pPr>
      <w:r>
        <w:rPr/>
        <w:t>资产负债表日，以前减记存货价值的影响因素已经消失的，存货跌价准备在原已计提的金额内转回。</w:t>
      </w:r>
    </w:p>
    <w:p>
      <w:pPr>
        <w:pStyle w:val="BodyText"/>
        <w:spacing w:line="300" w:lineRule="auto" w:before="76"/>
        <w:ind w:left="513" w:right="7333"/>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300" w:lineRule="auto" w:before="31"/>
        <w:ind w:left="513" w:right="6793"/>
        <w:jc w:val="left"/>
      </w:pPr>
      <w:r>
        <w:rPr/>
        <w:t>（</w:t>
      </w:r>
      <w:r>
        <w:rPr>
          <w:rFonts w:ascii="Times New Roman" w:hAnsi="Times New Roman" w:cs="Times New Roman" w:eastAsia="Times New Roman" w:hint="default"/>
        </w:rPr>
        <w:t>5</w:t>
      </w:r>
      <w:r>
        <w:rPr/>
        <w:t>）周转材料的摊销方法 本集团周转材料领用时采用一次转销法摊销。</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footerReference w:type="default" r:id="rId21"/>
          <w:pgSz w:w="11910" w:h="16840"/>
          <w:pgMar w:footer="974" w:header="748" w:top="1060" w:bottom="1160" w:left="980" w:right="0"/>
          <w:pgNumType w:start="124"/>
        </w:sectPr>
      </w:pPr>
    </w:p>
    <w:p>
      <w:pPr>
        <w:spacing w:line="240" w:lineRule="auto" w:before="8"/>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spacing w:val="-4"/>
        </w:rPr>
        <w:t>长期股权投资包括对子公司、联营企业的权益性投资。本集团能够对被投资单位施加重大影响的，为本集团的联营企业。</w:t>
      </w:r>
    </w:p>
    <w:p>
      <w:pPr>
        <w:pStyle w:val="BodyText"/>
        <w:spacing w:line="300" w:lineRule="auto" w:before="76"/>
        <w:ind w:left="513" w:right="0"/>
        <w:jc w:val="left"/>
      </w:pPr>
      <w:r>
        <w:rPr/>
        <w:t>（</w:t>
      </w:r>
      <w:r>
        <w:rPr>
          <w:rFonts w:ascii="Times New Roman" w:hAnsi="Times New Roman" w:cs="Times New Roman" w:eastAsia="Times New Roman" w:hint="default"/>
        </w:rPr>
        <w:t>1</w:t>
      </w:r>
      <w:r>
        <w:rPr/>
        <w:t>）初始投资成本确定 </w:t>
      </w:r>
      <w:r>
        <w:rPr>
          <w:spacing w:val="-2"/>
        </w:rPr>
        <w:t>形成企业合并的长期股权投资：同一控制下企业合并取得的长期股权投资，在合并日按照取得被合并方所有者权益在最</w:t>
      </w:r>
    </w:p>
    <w:p>
      <w:pPr>
        <w:pStyle w:val="BodyText"/>
        <w:spacing w:line="316" w:lineRule="auto" w:before="31"/>
        <w:ind w:right="1133"/>
        <w:jc w:val="both"/>
      </w:pPr>
      <w:r>
        <w:rPr>
          <w:spacing w:val="-2"/>
        </w:rPr>
        <w:t>终控制方合并财务报表中的账面价值份额作为投资成本；非同一控制下企业合并取得的长期股权投资，按照合并成本作为长</w:t>
      </w:r>
      <w:r>
        <w:rPr>
          <w:spacing w:val="-64"/>
        </w:rPr>
        <w:t> </w:t>
      </w:r>
      <w:r>
        <w:rPr>
          <w:spacing w:val="-64"/>
        </w:rPr>
      </w:r>
      <w:r>
        <w:rPr/>
        <w:t>期股权投资的投资成本。</w:t>
      </w:r>
    </w:p>
    <w:p>
      <w:pPr>
        <w:pStyle w:val="BodyText"/>
        <w:spacing w:line="316" w:lineRule="auto" w:before="19"/>
        <w:ind w:right="1130" w:firstLine="360"/>
        <w:jc w:val="both"/>
      </w:pPr>
      <w:r>
        <w:rPr>
          <w:spacing w:val="-2"/>
        </w:rPr>
        <w:t>对于其他方式取得的长期股权投资：支付现金取得的长期股权投资，按照实际支付的购买价款作为初始投资成本；发行</w:t>
      </w:r>
      <w:r>
        <w:rPr/>
        <w:t> 权益性证券取得的长期股权投资，以发行权益性证券的公允价值作为初始投资成本。</w:t>
      </w:r>
    </w:p>
    <w:p>
      <w:pPr>
        <w:pStyle w:val="BodyText"/>
        <w:spacing w:line="309" w:lineRule="auto" w:before="19"/>
        <w:ind w:left="513" w:right="0"/>
        <w:jc w:val="left"/>
      </w:pPr>
      <w:r>
        <w:rPr/>
        <w:t>（</w:t>
      </w:r>
      <w:r>
        <w:rPr>
          <w:rFonts w:ascii="Times New Roman" w:hAnsi="Times New Roman" w:cs="Times New Roman" w:eastAsia="Times New Roman" w:hint="default"/>
        </w:rPr>
        <w:t>2</w:t>
      </w:r>
      <w:r>
        <w:rPr/>
        <w:t>）后续计量及损益确认方法 对子公司的投资，采用成本法核算，除非投资符合持有待售的条件；对联营企业的投资，采用权益法核算。 采用成本法核算的长期股权投资，除取得投资时实际支付的价款或对价中包含的已宣告但尚未发放的现金股利或利润</w:t>
      </w:r>
    </w:p>
    <w:p>
      <w:pPr>
        <w:pStyle w:val="BodyText"/>
        <w:spacing w:line="316" w:lineRule="auto" w:before="24"/>
        <w:ind w:left="513" w:right="0" w:hanging="361"/>
        <w:jc w:val="left"/>
      </w:pPr>
      <w:r>
        <w:rPr/>
        <w:t>外，被投资单位宣告分派的现金股利或利润，确认为投资收益计入当期损益。 </w:t>
      </w:r>
      <w:r>
        <w:rPr>
          <w:spacing w:val="-2"/>
        </w:rPr>
        <w:t>采用权益法核算的长期股权投资，初始投资成本大于投资时应享有被投资单位可辨认净资产公允价值份额的，不调整长</w:t>
      </w:r>
    </w:p>
    <w:p>
      <w:pPr>
        <w:pStyle w:val="BodyText"/>
        <w:spacing w:line="316" w:lineRule="auto" w:before="19"/>
        <w:ind w:right="1131"/>
        <w:jc w:val="both"/>
      </w:pPr>
      <w:r>
        <w:rPr>
          <w:spacing w:val="-2"/>
        </w:rPr>
        <w:t>期股权投资的投资成本；初始投资成本小于投资时应享有被投资单位可辨认净资产公允价值份额的，对长期股权投资的账面</w:t>
      </w:r>
      <w:r>
        <w:rPr>
          <w:spacing w:val="-62"/>
        </w:rPr>
        <w:t> </w:t>
      </w:r>
      <w:r>
        <w:rPr>
          <w:spacing w:val="-62"/>
        </w:rPr>
      </w:r>
      <w:r>
        <w:rPr/>
        <w:t>价值进行调整，差额计入投资当期的损益。</w:t>
      </w:r>
    </w:p>
    <w:p>
      <w:pPr>
        <w:pStyle w:val="BodyText"/>
        <w:spacing w:line="316" w:lineRule="auto" w:before="19"/>
        <w:ind w:right="1130" w:firstLine="360"/>
        <w:jc w:val="both"/>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3"/>
        </w:rPr>
        <w:t> </w:t>
      </w:r>
      <w:r>
        <w:rPr>
          <w:spacing w:val="-63"/>
        </w:rPr>
      </w:r>
      <w:r>
        <w:rPr>
          <w:spacing w:val="-2"/>
        </w:rPr>
        <w:t>期股权投资的账面价值；被投资单位除净损益、其他综合收益和利润分配以外所有者权益的其他变动，调整长期股权投资的</w:t>
      </w:r>
      <w:r>
        <w:rPr>
          <w:spacing w:val="-63"/>
        </w:rPr>
        <w:t> </w:t>
      </w:r>
      <w:r>
        <w:rPr>
          <w:spacing w:val="-63"/>
        </w:rPr>
      </w:r>
      <w:r>
        <w:rPr>
          <w:spacing w:val="-2"/>
        </w:rPr>
        <w:t>账面价值并计入资本公积（其他资本公积）。在确认应享有被投资单位净损益的份额时，以取得投资时被投资单位各项可辨</w:t>
      </w:r>
      <w:r>
        <w:rPr>
          <w:spacing w:val="-64"/>
        </w:rPr>
        <w:t> </w:t>
      </w:r>
      <w:r>
        <w:rPr>
          <w:spacing w:val="-64"/>
        </w:rPr>
      </w:r>
      <w:r>
        <w:rPr/>
        <w:t>认资产等的公允价值为基础，并按照本集团的会计政策及会计期间，对被投资单位的净利润进行调整后确认。</w:t>
      </w:r>
    </w:p>
    <w:p>
      <w:pPr>
        <w:pStyle w:val="BodyText"/>
        <w:spacing w:line="316" w:lineRule="auto" w:before="19"/>
        <w:ind w:right="1130" w:firstLine="360"/>
        <w:jc w:val="both"/>
      </w:pPr>
      <w:r>
        <w:rPr>
          <w:spacing w:val="-2"/>
        </w:rPr>
        <w:t>因追加投资等原因能够对被投资单位施加重大影响或实施共同控制但不构成控制的，在转换日，按照原股权的公允价值</w:t>
      </w:r>
      <w:r>
        <w:rPr/>
        <w:t> </w:t>
      </w:r>
      <w:r>
        <w:rPr>
          <w:spacing w:val="-2"/>
        </w:rPr>
        <w:t>加上新增投资成本之和，作为改按权益法核算的初始投资成本。原股权于转换日的公允价值与账面价值之间的差额，以及原</w:t>
      </w:r>
      <w:r>
        <w:rPr>
          <w:spacing w:val="-63"/>
        </w:rPr>
        <w:t> </w:t>
      </w:r>
      <w:r>
        <w:rPr>
          <w:spacing w:val="-63"/>
        </w:rPr>
      </w:r>
      <w:r>
        <w:rPr/>
        <w:t>计入其他综合收益的累计公允价值变动转入改按权益法核算的当期损益。</w:t>
      </w:r>
    </w:p>
    <w:p>
      <w:pPr>
        <w:pStyle w:val="BodyText"/>
        <w:spacing w:line="312" w:lineRule="auto" w:before="19"/>
        <w:ind w:right="1034" w:firstLine="360"/>
        <w:jc w:val="left"/>
      </w:pPr>
      <w:r>
        <w:rPr>
          <w:spacing w:val="-2"/>
        </w:rPr>
        <w:t>因处置部分股权投资等原因丧失了对被投资单位的共同控制或重大影响的，处置后的剩余股权在丧失共同控制或重大影</w:t>
      </w:r>
      <w:r>
        <w:rPr/>
        <w:t> 响之日改按《企业会计准则第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金融工具确认和计量》进行会计处理，公允价值与账面价值之间的差额计入当期损益。 </w:t>
      </w:r>
      <w:r>
        <w:rPr>
          <w:spacing w:val="-2"/>
        </w:rPr>
        <w:t>原股权投资因采用权益法核算而确认的其他综合收益，在终止采用权益法核算时采用与被投资单位直接处置相关资产或负债</w:t>
      </w:r>
      <w:r>
        <w:rPr>
          <w:spacing w:val="-64"/>
        </w:rPr>
        <w:t> </w:t>
      </w:r>
      <w:r>
        <w:rPr>
          <w:spacing w:val="-64"/>
        </w:rPr>
      </w:r>
      <w:r>
        <w:rPr/>
        <w:t>相同的基础进行会计处理；原股权投资相关的其他所有者权益变动转入当期损益。</w:t>
      </w:r>
    </w:p>
    <w:p>
      <w:pPr>
        <w:pStyle w:val="BodyText"/>
        <w:spacing w:line="312" w:lineRule="auto" w:before="22"/>
        <w:ind w:right="1128" w:firstLine="360"/>
        <w:jc w:val="both"/>
      </w:pPr>
      <w:r>
        <w:rPr>
          <w:spacing w:val="-2"/>
        </w:rPr>
        <w:t>因处置部分股权投资等原因丧失了对被投资单位的控制的，处置后的剩余股权能够对被投资单位实施共同控制或施加重</w:t>
      </w:r>
      <w:r>
        <w:rPr/>
        <w:t> </w:t>
      </w:r>
      <w:r>
        <w:rPr>
          <w:spacing w:val="-2"/>
        </w:rPr>
        <w:t>大影响的，改按权益法核算，并对该剩余股权视同自取得时即采用权益法核算进行调整；处置后的剩余股权不能对被投资单</w:t>
      </w:r>
      <w:r>
        <w:rPr>
          <w:spacing w:val="-65"/>
        </w:rPr>
        <w:t> </w:t>
      </w:r>
      <w:r>
        <w:rPr>
          <w:spacing w:val="-65"/>
        </w:rPr>
      </w:r>
      <w:r>
        <w:rPr>
          <w:spacing w:val="-2"/>
        </w:rPr>
        <w:t>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w:t>
      </w:r>
      <w:r>
        <w:rPr>
          <w:spacing w:val="-61"/>
        </w:rPr>
        <w:t> </w:t>
      </w:r>
      <w:r>
        <w:rPr>
          <w:spacing w:val="-61"/>
        </w:rPr>
      </w:r>
      <w:r>
        <w:rPr/>
        <w:t>失控制之日的公允价值与账面价值之间的差额计入当期损益。</w:t>
      </w:r>
    </w:p>
    <w:p>
      <w:pPr>
        <w:pStyle w:val="BodyText"/>
        <w:spacing w:line="316" w:lineRule="auto" w:before="23"/>
        <w:ind w:right="1132" w:firstLine="360"/>
        <w:jc w:val="both"/>
      </w:pPr>
      <w:r>
        <w:rPr>
          <w:spacing w:val="-2"/>
        </w:rPr>
        <w:t>因其他投资方增资而导致本公司持股比例下降、从而丧失控制权但能对被投资单位实施共同控制或施加重大影响的，按</w:t>
      </w:r>
      <w:r>
        <w:rPr/>
        <w:t> </w:t>
      </w:r>
      <w:r>
        <w:rPr>
          <w:spacing w:val="-2"/>
        </w:rPr>
        <w:t>照新的持股比例确认本公司应享有的被投资单位因增资扩股而增加净资产的份额，与应结转持股比例下降部分所对应的长期</w:t>
      </w:r>
      <w:r>
        <w:rPr>
          <w:spacing w:val="-64"/>
        </w:rPr>
        <w:t> </w:t>
      </w:r>
      <w:r>
        <w:rPr>
          <w:spacing w:val="-64"/>
        </w:rPr>
      </w:r>
      <w:r>
        <w:rPr/>
        <w:t>股权投资原账面价值之间的差额计入当期损益；然后，按照新的持股比例视同自取得投资时即采用权益法核算进行调整。</w:t>
      </w:r>
    </w:p>
    <w:p>
      <w:pPr>
        <w:pStyle w:val="BodyText"/>
        <w:spacing w:line="316" w:lineRule="auto" w:before="16"/>
        <w:ind w:right="1126" w:firstLine="360"/>
        <w:jc w:val="both"/>
      </w:pPr>
      <w:r>
        <w:rPr/>
        <w:t>本集团与联营企业之间发生的未实现内部交易损益按照持股比例计算归属于本集团的部分，在抵销基础上确认投资损 益。但本集团与被投资单位发生的未实现内部交易损失，属于所转让资产减值损失的，不予以抵销。</w:t>
      </w:r>
    </w:p>
    <w:p>
      <w:pPr>
        <w:pStyle w:val="BodyText"/>
        <w:spacing w:line="300" w:lineRule="auto" w:before="19"/>
        <w:ind w:left="513" w:right="0"/>
        <w:jc w:val="left"/>
      </w:pPr>
      <w:r>
        <w:rPr/>
        <w:t>（</w:t>
      </w:r>
      <w:r>
        <w:rPr>
          <w:rFonts w:ascii="Times New Roman" w:hAnsi="Times New Roman" w:cs="Times New Roman" w:eastAsia="Times New Roman" w:hint="default"/>
        </w:rPr>
        <w:t>3</w:t>
      </w:r>
      <w:r>
        <w:rPr/>
        <w:t>）确定对被投资单位具有重大影响的依据 </w:t>
      </w:r>
      <w:r>
        <w:rPr>
          <w:spacing w:val="-2"/>
        </w:rPr>
        <w:t>重大影响，是指投资方对被投资单位的财务和经营政策有参与决策的权力，但并不能够控制或者与其他方一起共同控制</w:t>
      </w:r>
    </w:p>
    <w:p>
      <w:pPr>
        <w:pStyle w:val="BodyText"/>
        <w:spacing w:line="316" w:lineRule="auto" w:before="31"/>
        <w:ind w:right="1133"/>
        <w:jc w:val="both"/>
      </w:pP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w:t>
      </w:r>
    </w:p>
    <w:p>
      <w:pPr>
        <w:pStyle w:val="BodyText"/>
        <w:spacing w:line="300" w:lineRule="auto" w:before="19"/>
        <w:ind w:right="1130" w:firstLine="36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 </w:t>
      </w:r>
      <w:r>
        <w:rPr>
          <w:spacing w:val="-2"/>
        </w:rPr>
        <w:t>位具有重大影响，除非有明确证据表明该种情况下不能参与被投资单位的生产经营决策，不形成重大影响；本集团拥有被投</w:t>
      </w:r>
    </w:p>
    <w:p>
      <w:pPr>
        <w:spacing w:after="0" w:line="300"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19"/>
        <w:jc w:val="left"/>
      </w:pPr>
      <w:r>
        <w:rPr>
          <w:spacing w:val="-1"/>
        </w:rPr>
        <w:t>资单位</w:t>
      </w:r>
      <w:r>
        <w:rPr>
          <w:rFonts w:ascii="Times New Roman" w:hAnsi="Times New Roman" w:cs="Times New Roman" w:eastAsia="Times New Roman" w:hint="default"/>
          <w:spacing w:val="-1"/>
        </w:rPr>
        <w:t>20%</w:t>
      </w:r>
      <w:r>
        <w:rPr>
          <w:spacing w:val="-1"/>
        </w:rPr>
        <w:t>（不含）以下的表决权股份时，一般不认为对被投资单位具有重大影响，除非有明确证据表明该种情况下能够参</w:t>
      </w:r>
      <w:r>
        <w:rPr/>
        <w:t> 与被投资单位的生产经营决策，形成重大影响。</w:t>
      </w:r>
    </w:p>
    <w:p>
      <w:pPr>
        <w:pStyle w:val="BodyText"/>
        <w:spacing w:line="300" w:lineRule="auto" w:before="31"/>
        <w:ind w:left="513" w:right="5173"/>
        <w:jc w:val="left"/>
      </w:pPr>
      <w:r>
        <w:rPr/>
        <w:t>（</w:t>
      </w:r>
      <w:r>
        <w:rPr>
          <w:rFonts w:ascii="Times New Roman" w:hAnsi="Times New Roman" w:cs="Times New Roman" w:eastAsia="Times New Roman" w:hint="default"/>
        </w:rPr>
        <w:t>4</w:t>
      </w:r>
      <w:r>
        <w:rPr/>
        <w:t>）减值测试方法及减值准备计提方法 对子公司、联营企业的投资，计提资产减值的方法见附注五、</w:t>
      </w:r>
      <w:r>
        <w:rPr>
          <w:rFonts w:ascii="Times New Roman" w:hAnsi="Times New Roman" w:cs="Times New Roman" w:eastAsia="Times New Roman" w:hint="default"/>
        </w:rPr>
        <w:t>22</w:t>
      </w:r>
      <w:r>
        <w:rPr/>
        <w:t>。</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954"/>
        <w:jc w:val="left"/>
      </w:pPr>
      <w:r>
        <w:rPr/>
        <w:t>投资性房地产计量模式 不适用</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本集团固定资产是指为生产商品、提供劳务、出租或经营管理而持有的，使用寿命超过一个会计年度的有形资产。与该</w:t>
      </w:r>
      <w:r>
        <w:rPr/>
        <w:t> 固定资产有关的经济利益很可能流入企业，并且该固定资产的成本能够可靠地计量时，固定资产才能予以确认。</w:t>
      </w:r>
    </w:p>
    <w:p>
      <w:pPr>
        <w:pStyle w:val="BodyText"/>
        <w:spacing w:line="240" w:lineRule="auto" w:before="59"/>
        <w:ind w:left="513" w:right="0"/>
        <w:jc w:val="left"/>
      </w:pPr>
      <w:r>
        <w:rPr/>
        <w:t>本集团固定资产按照取得时的实际成本进行初始计量。</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5"/>
        <w:gridCol w:w="1914"/>
        <w:gridCol w:w="1913"/>
        <w:gridCol w:w="1916"/>
      </w:tblGrid>
      <w:tr>
        <w:trPr>
          <w:trHeight w:val="39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8"/>
              <w:ind w:left="22" w:right="0"/>
              <w:jc w:val="left"/>
              <w:rPr>
                <w:rFonts w:ascii="Times New Roman" w:hAnsi="Times New Roman" w:cs="Times New Roman" w:eastAsia="Times New Roman" w:hint="default"/>
                <w:sz w:val="18"/>
                <w:szCs w:val="18"/>
              </w:rPr>
            </w:pPr>
            <w:r>
              <w:rPr>
                <w:rFonts w:ascii="Times New Roman"/>
                <w:sz w:val="18"/>
              </w:rPr>
              <w:t>10-40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8"/>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8"/>
              <w:ind w:left="23" w:right="0"/>
              <w:jc w:val="left"/>
              <w:rPr>
                <w:rFonts w:ascii="Times New Roman" w:hAnsi="Times New Roman" w:cs="Times New Roman" w:eastAsia="Times New Roman" w:hint="default"/>
                <w:sz w:val="18"/>
                <w:szCs w:val="18"/>
              </w:rPr>
            </w:pPr>
            <w:r>
              <w:rPr>
                <w:rFonts w:ascii="Times New Roman"/>
                <w:sz w:val="18"/>
              </w:rPr>
              <w:t>9.5%-2.375%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6</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15.83%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11.875%</w:t>
            </w:r>
          </w:p>
        </w:tc>
      </w:tr>
    </w:tbl>
    <w:p>
      <w:pPr>
        <w:pStyle w:val="BodyText"/>
        <w:spacing w:line="316" w:lineRule="auto" w:before="10"/>
        <w:ind w:right="2834"/>
        <w:jc w:val="left"/>
      </w:pPr>
      <w:r>
        <w:rPr/>
        <w:t>其中，已计提减值准备的固定资产，还应扣除已计提的固定资产减值准备累计金额计算确定折旧率。 固定资产的减值测试方法、减值准备计提方法见附注五、</w:t>
      </w:r>
      <w:r>
        <w:rPr>
          <w:rFonts w:ascii="Times New Roman" w:hAnsi="Times New Roman" w:cs="Times New Roman" w:eastAsia="Times New Roman" w:hint="default"/>
        </w:rPr>
        <w:t>22</w:t>
      </w:r>
      <w:r>
        <w:rPr/>
        <w:t>。</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t>当本集团租入的固定资产符合下列一项或数项标准时，确认为融资租入固定资产：</w:t>
      </w:r>
    </w:p>
    <w:p>
      <w:pPr>
        <w:pStyle w:val="BodyText"/>
        <w:spacing w:line="240" w:lineRule="auto" w:before="76"/>
        <w:ind w:left="513" w:right="0"/>
        <w:jc w:val="left"/>
      </w:pPr>
      <w:r>
        <w:rPr/>
        <w:t>①在租赁期届满时，租赁资产的所有权转移给本集团。</w:t>
      </w:r>
    </w:p>
    <w:p>
      <w:pPr>
        <w:pStyle w:val="BodyText"/>
        <w:spacing w:line="316" w:lineRule="auto" w:before="76"/>
        <w:ind w:right="0" w:firstLine="360"/>
        <w:jc w:val="left"/>
      </w:pPr>
      <w:r>
        <w:rPr>
          <w:spacing w:val="-2"/>
        </w:rPr>
        <w:t>②本集团有购买租赁资产的选择权，所订立的购买价款预计将远低于行使选择权时租赁资产的公允价值，因而在租赁开</w:t>
      </w:r>
      <w:r>
        <w:rPr/>
        <w:t> 始日就可以合理确定本集团将会行使这种选择权。</w:t>
      </w:r>
    </w:p>
    <w:p>
      <w:pPr>
        <w:pStyle w:val="BodyText"/>
        <w:spacing w:line="240" w:lineRule="auto" w:before="19"/>
        <w:ind w:left="513" w:right="0"/>
        <w:jc w:val="left"/>
      </w:pPr>
      <w:r>
        <w:rPr/>
        <w:t>③即使资产的所有权不转移，但租赁期占租赁资产使用寿命的大部分。</w:t>
      </w:r>
    </w:p>
    <w:p>
      <w:pPr>
        <w:pStyle w:val="BodyText"/>
        <w:spacing w:line="240" w:lineRule="auto" w:before="76"/>
        <w:ind w:left="513" w:right="0"/>
        <w:jc w:val="left"/>
      </w:pPr>
      <w:r>
        <w:rPr/>
        <w:t>④本集团在租赁开始日的最低租赁付款额现值，几乎相当于租赁开始日租赁资产公允价值。</w:t>
      </w:r>
    </w:p>
    <w:p>
      <w:pPr>
        <w:pStyle w:val="BodyText"/>
        <w:spacing w:line="316" w:lineRule="auto" w:before="76"/>
        <w:ind w:left="513" w:right="0"/>
        <w:jc w:val="left"/>
      </w:pPr>
      <w:r>
        <w:rPr/>
        <w:t>⑤租赁资产性质特殊，如果不作较大改造，只有本集团才能使用。 </w:t>
      </w:r>
      <w:r>
        <w:rPr>
          <w:spacing w:val="-2"/>
        </w:rPr>
        <w:t>融资租赁租入的固定资产，按租赁开始日租赁资产公允价值与最低租赁付款额的现值两者中较低者，作为入账价值。最</w:t>
      </w:r>
    </w:p>
    <w:p>
      <w:pPr>
        <w:pStyle w:val="BodyText"/>
        <w:spacing w:line="319" w:lineRule="auto" w:before="19"/>
        <w:ind w:right="1130"/>
        <w:jc w:val="both"/>
      </w:pPr>
      <w:r>
        <w:rPr>
          <w:spacing w:val="-2"/>
        </w:rPr>
        <w:t>低租赁付款额作为长期应付款的入账价值，其差额作为未确认融资费用。在租赁谈判和签订租赁合同过程中发生的，可归属</w:t>
      </w:r>
      <w:r>
        <w:rPr>
          <w:spacing w:val="-63"/>
        </w:rPr>
        <w:t> </w:t>
      </w:r>
      <w:r>
        <w:rPr>
          <w:spacing w:val="-63"/>
        </w:rPr>
      </w:r>
      <w:r>
        <w:rPr>
          <w:spacing w:val="-2"/>
        </w:rPr>
        <w:t>于租赁项目的手续费、律师费、差旅费、印花税等初始直接费用，计入租入资产价值。未确认融资费用在租赁期内各个期间</w:t>
      </w:r>
      <w:r>
        <w:rPr>
          <w:spacing w:val="-68"/>
        </w:rPr>
        <w:t> </w:t>
      </w:r>
      <w:r>
        <w:rPr>
          <w:spacing w:val="-68"/>
        </w:rPr>
      </w:r>
      <w:r>
        <w:rPr/>
        <w:t>采用实际利率法进行分摊。</w:t>
      </w:r>
    </w:p>
    <w:p>
      <w:pPr>
        <w:pStyle w:val="BodyText"/>
        <w:spacing w:line="240" w:lineRule="auto" w:before="17"/>
        <w:ind w:left="513" w:right="0"/>
        <w:jc w:val="left"/>
      </w:pPr>
      <w:r>
        <w:rPr/>
        <w:t>融资租入的固定资产采用与自有固定资产一致的政策计提租赁资产折旧</w:t>
      </w:r>
      <w:r>
        <w:rPr>
          <w:spacing w:val="-82"/>
        </w:rPr>
        <w:t>。</w:t>
      </w:r>
      <w:r>
        <w:rPr/>
        <w:t>能够合理确定租赁期届满时将会取得租赁资产</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所有权的，在租赁资产尚可使用年限内计提折旧；无法合理确定租赁期届满时能够取得租赁资产所有权的，在租赁期与租赁</w:t>
      </w:r>
      <w:r>
        <w:rPr>
          <w:spacing w:val="-63"/>
        </w:rPr>
        <w:t> </w:t>
      </w:r>
      <w:r>
        <w:rPr>
          <w:spacing w:val="-63"/>
        </w:rPr>
      </w:r>
      <w:r>
        <w:rPr/>
        <w:t>资产尚可使用年限两者中较短的期间内计提折旧。</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）每年年度终了，本集团对固定资产的使用寿命、预计净残值和折旧方法进行复核。</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9" w:firstLine="360"/>
        <w:jc w:val="left"/>
      </w:pPr>
      <w:r>
        <w:rPr>
          <w:spacing w:val="-2"/>
        </w:rPr>
        <w:t>使用寿命预计数与原先估计数有差异的，调整固定资产使用寿命；预计净残值预计数与原先估计数有差异的，调整预计</w:t>
      </w:r>
      <w:r>
        <w:rPr/>
        <w:t> 净残值。</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）大修理费用</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360"/>
        <w:jc w:val="left"/>
      </w:pPr>
      <w:r>
        <w:rPr>
          <w:spacing w:val="-4"/>
        </w:rPr>
        <w:t>本集团对固定资产进行定期检查发生的大修理费用，有确凿证据表明符合固定资产确认条件的部分，计入固定资产成本，</w:t>
      </w:r>
      <w:r>
        <w:rPr/>
        <w:t> 不符合固定资产确认条件的计入当期损益。固定资产在定期大修理间隔期间，照提折旧。</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360" w:lineRule="auto" w:before="29"/>
        <w:ind w:left="513" w:right="0" w:hanging="361"/>
        <w:jc w:val="left"/>
      </w:pPr>
      <w:r>
        <w:rPr/>
        <w:t>软件与信息技术服务业 </w:t>
      </w:r>
      <w:r>
        <w:rPr>
          <w:spacing w:val="-2"/>
        </w:rPr>
        <w:t>本集团在建工程成本按实际工程支出确定，包括在建期间发生的各项必要工程支出、工程达到预定可使用状态前的应予</w:t>
      </w:r>
    </w:p>
    <w:p>
      <w:pPr>
        <w:pStyle w:val="BodyText"/>
        <w:spacing w:line="222" w:lineRule="exact"/>
        <w:ind w:right="0"/>
        <w:jc w:val="left"/>
      </w:pPr>
      <w:r>
        <w:rPr/>
        <w:t>资本化的借款费用以及其他相关费用等。</w:t>
      </w:r>
    </w:p>
    <w:p>
      <w:pPr>
        <w:pStyle w:val="BodyText"/>
        <w:spacing w:line="319" w:lineRule="auto" w:before="76"/>
        <w:ind w:left="513" w:right="6433"/>
        <w:jc w:val="left"/>
      </w:pPr>
      <w:r>
        <w:rPr/>
        <w:t>在建工程在达到预定可使用状态时转入固定资产。 在建工程计提资产减值方法见附注五、</w:t>
      </w:r>
      <w:r>
        <w:rPr>
          <w:rFonts w:ascii="Times New Roman" w:hAnsi="Times New Roman" w:cs="Times New Roman" w:eastAsia="Times New Roman" w:hint="default"/>
        </w:rPr>
        <w:t>22</w:t>
      </w:r>
      <w:r>
        <w:rPr/>
        <w:t>。</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357" w:lineRule="auto" w:before="27"/>
        <w:ind w:left="513" w:right="7873" w:hanging="361"/>
        <w:jc w:val="left"/>
      </w:pPr>
      <w:r>
        <w:rPr/>
        <w:t>软件与信息技术服务业 本集团无形资产为计算机软件。</w:t>
      </w:r>
    </w:p>
    <w:p>
      <w:pPr>
        <w:pStyle w:val="BodyText"/>
        <w:spacing w:line="224" w:lineRule="exact"/>
        <w:ind w:left="513" w:right="0"/>
        <w:jc w:val="left"/>
      </w:pPr>
      <w:r>
        <w:rPr/>
        <w:t>无形资产按照成本进行初始计量，并于取得无形资产时分析判断其使用寿命。使用寿命为有限的，自无形资产可供使用</w:t>
      </w:r>
    </w:p>
    <w:p>
      <w:pPr>
        <w:spacing w:after="0" w:line="224" w:lineRule="exact"/>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时起，采用能反映与该资产有关的经济利益的预期实现方式的摊销方法，在预计使用年限内摊销；无法可靠确定预期实现方</w:t>
      </w:r>
      <w:r>
        <w:rPr>
          <w:spacing w:val="-63"/>
        </w:rPr>
        <w:t> </w:t>
      </w:r>
      <w:r>
        <w:rPr>
          <w:spacing w:val="-63"/>
        </w:rPr>
      </w:r>
      <w:r>
        <w:rPr/>
        <w:t>式的，采用直线法摊销；使用寿命不确定的无形资产，不作摊销。</w:t>
      </w:r>
    </w:p>
    <w:p>
      <w:pPr>
        <w:pStyle w:val="BodyText"/>
        <w:spacing w:line="240" w:lineRule="auto" w:before="19"/>
        <w:ind w:left="513" w:right="0"/>
        <w:jc w:val="left"/>
      </w:pPr>
      <w:r>
        <w:rPr/>
        <w:t>使用寿命有限的无形资产摊销方法如下：</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042"/>
        <w:gridCol w:w="2018"/>
        <w:gridCol w:w="2364"/>
        <w:gridCol w:w="1858"/>
      </w:tblGrid>
      <w:tr>
        <w:trPr>
          <w:trHeight w:val="341"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b/>
                <w:bCs/>
                <w:w w:val="95"/>
                <w:sz w:val="18"/>
                <w:szCs w:val="18"/>
              </w:rPr>
              <w:t>使用寿命</w:t>
            </w:r>
            <w:r>
              <w:rPr>
                <w:rFonts w:ascii="宋体" w:hAnsi="宋体" w:cs="宋体" w:eastAsia="宋体" w:hint="default"/>
                <w:sz w:val="18"/>
                <w:szCs w:val="18"/>
              </w:rPr>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b/>
                <w:bCs/>
                <w:w w:val="95"/>
                <w:sz w:val="18"/>
                <w:szCs w:val="18"/>
              </w:rPr>
              <w:t>摊销方法</w:t>
            </w:r>
            <w:r>
              <w:rPr>
                <w:rFonts w:ascii="宋体" w:hAnsi="宋体" w:cs="宋体" w:eastAsia="宋体" w:hint="default"/>
                <w:sz w:val="18"/>
                <w:szCs w:val="18"/>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3"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直线法</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w:t>
            </w:r>
          </w:p>
        </w:tc>
      </w:tr>
    </w:tbl>
    <w:p>
      <w:pPr>
        <w:pStyle w:val="BodyText"/>
        <w:spacing w:line="316" w:lineRule="auto" w:before="10"/>
        <w:ind w:right="1130" w:firstLine="360"/>
        <w:jc w:val="both"/>
      </w:pPr>
      <w:r>
        <w:rPr>
          <w:spacing w:val="-2"/>
        </w:rPr>
        <w:t>本集团于每年年度终了，对使用寿命有限的无形资产的使用寿命及摊销方法进行复核，与以前估计不同的，调整原先估</w:t>
      </w:r>
      <w:r>
        <w:rPr/>
        <w:t> 计数，并按会计估计变更处理。</w:t>
      </w:r>
    </w:p>
    <w:p>
      <w:pPr>
        <w:pStyle w:val="BodyText"/>
        <w:spacing w:line="316" w:lineRule="auto" w:before="19"/>
        <w:ind w:left="513" w:right="1033"/>
        <w:jc w:val="left"/>
      </w:pPr>
      <w:r>
        <w:rPr/>
        <w:t>资产负债表日预计某项无形资产已经不能给企业带来未来经济利益的，将该项无形资产的账面价值全部转入当期损益。 无形资产计提资产减值方法见附注五、</w:t>
      </w:r>
      <w:r>
        <w:rPr>
          <w:rFonts w:ascii="Times New Roman" w:hAnsi="Times New Roman" w:cs="Times New Roman" w:eastAsia="Times New Roman" w:hint="default"/>
        </w:rPr>
        <w:t>22</w:t>
      </w:r>
      <w:r>
        <w:rPr/>
        <w:t>。</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119"/>
        <w:jc w:val="left"/>
      </w:pPr>
      <w:r>
        <w:rPr/>
        <w:t>本集团将内部研究开发项目的支出，区分为研究阶段支出和开发阶段支出。 研究阶段的支出，于发生时计入当期损益。 </w:t>
      </w:r>
      <w:r>
        <w:rPr>
          <w:spacing w:val="-2"/>
        </w:rPr>
        <w:t>开发阶段的支出，同时满足下列条件的，才能予以资本化，即：完成该无形资产以使其能够使用或出售在技术上具有可</w:t>
      </w:r>
    </w:p>
    <w:p>
      <w:pPr>
        <w:pStyle w:val="BodyText"/>
        <w:spacing w:line="316" w:lineRule="auto" w:before="19"/>
        <w:ind w:right="1130"/>
        <w:jc w:val="both"/>
      </w:pPr>
      <w:r>
        <w:rPr>
          <w:spacing w:val="-2"/>
        </w:rPr>
        <w:t>行性；具有完成该无形资产并使用或出售的意图；无形资产产生经济利益的方式，包括能够证明运用该无形资产生产的产品</w:t>
      </w:r>
      <w:r>
        <w:rPr>
          <w:spacing w:val="-63"/>
        </w:rPr>
        <w:t> </w:t>
      </w:r>
      <w:r>
        <w:rPr>
          <w:spacing w:val="-63"/>
        </w:rPr>
      </w:r>
      <w:r>
        <w:rPr>
          <w:spacing w:val="-2"/>
        </w:rPr>
        <w:t>存在市场或无形资产自身存在市场，无形资产将在内部使用的，能够证明其有用性；有足够的技术、财务资源和其他资源支</w:t>
      </w:r>
      <w:r>
        <w:rPr>
          <w:spacing w:val="-64"/>
        </w:rPr>
        <w:t> </w:t>
      </w:r>
      <w:r>
        <w:rPr>
          <w:spacing w:val="-64"/>
        </w:rPr>
      </w:r>
      <w:r>
        <w:rPr>
          <w:spacing w:val="-2"/>
        </w:rPr>
        <w:t>持，以完成该无形资产的开发，并有能力使用或出售该无形资产；归属于该无形资产开发阶段的支出能够可靠地计量。不满</w:t>
      </w:r>
      <w:r>
        <w:rPr>
          <w:spacing w:val="-65"/>
        </w:rPr>
        <w:t> </w:t>
      </w:r>
      <w:r>
        <w:rPr>
          <w:spacing w:val="-65"/>
        </w:rPr>
      </w:r>
      <w:r>
        <w:rPr/>
        <w:t>足上述条件的开发支出计入当期损益。</w:t>
      </w:r>
    </w:p>
    <w:p>
      <w:pPr>
        <w:pStyle w:val="BodyText"/>
        <w:spacing w:line="316" w:lineRule="auto" w:before="19"/>
        <w:ind w:left="513" w:right="1753"/>
        <w:jc w:val="left"/>
      </w:pPr>
      <w:r>
        <w:rPr/>
        <w:t>本集团研究开发项目在满足上述条件，通过技术可行性及经济可行性研究，形成项目立项后，进入开发阶段。 已资本化的开发阶段的支出在资产负债表上列示为开发支出，自该项目达到预定用途之日转为无形资产。</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3" w:firstLine="360"/>
        <w:jc w:val="both"/>
      </w:pPr>
      <w:r>
        <w:rPr>
          <w:spacing w:val="-4"/>
        </w:rPr>
        <w:t>对子公司和联营企业的长期股权投资、固定资产、在建工程、无形资产、商誉（存货、递延所得税资产、金融资产除外）</w:t>
      </w:r>
      <w:r>
        <w:rPr/>
        <w:t> 的资产减值，按以下方法确定：</w:t>
      </w:r>
    </w:p>
    <w:p>
      <w:pPr>
        <w:pStyle w:val="BodyText"/>
        <w:spacing w:line="316" w:lineRule="auto" w:before="19"/>
        <w:ind w:right="0" w:firstLine="360"/>
        <w:jc w:val="left"/>
      </w:pPr>
      <w:r>
        <w:rPr>
          <w:spacing w:val="-4"/>
        </w:rPr>
        <w:t>于资产负债表日判断资产是否存在可能发生减值的迹象，存在减值迹象的，本集团将估计其可收回金额，进行减值测试。</w:t>
      </w:r>
      <w:r>
        <w:rPr/>
        <w:t> </w:t>
      </w:r>
      <w:r>
        <w:rPr>
          <w:spacing w:val="-2"/>
        </w:rPr>
        <w:t>对因企业合并所形成的商誉、使用寿命不确定的无形资产和尚未达到可使用状态的无形资产无论是否存在减值迹象，每年都</w:t>
      </w:r>
      <w:r>
        <w:rPr>
          <w:spacing w:val="-63"/>
        </w:rPr>
        <w:t> </w:t>
      </w:r>
      <w:r>
        <w:rPr>
          <w:spacing w:val="-63"/>
        </w:rPr>
      </w:r>
      <w:r>
        <w:rPr/>
        <w:t>进行减值测试。</w:t>
      </w:r>
    </w:p>
    <w:p>
      <w:pPr>
        <w:pStyle w:val="BodyText"/>
        <w:spacing w:line="316" w:lineRule="auto" w:before="19"/>
        <w:ind w:right="1132" w:firstLine="360"/>
        <w:jc w:val="both"/>
      </w:pPr>
      <w:r>
        <w:rPr>
          <w:spacing w:val="-2"/>
        </w:rPr>
        <w:t>可收回金额根据资产的公允价值减去处置费用后的净额与资产预计未来现金流量的现值两者之间较高者确定。本集团以</w:t>
      </w:r>
      <w:r>
        <w:rPr/>
        <w:t> </w:t>
      </w: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p>
    <w:p>
      <w:pPr>
        <w:pStyle w:val="BodyText"/>
        <w:spacing w:line="316" w:lineRule="auto" w:before="19"/>
        <w:ind w:right="1051" w:firstLine="360"/>
        <w:jc w:val="both"/>
      </w:pPr>
      <w:r>
        <w:rPr/>
        <w:t>当资产或资产组的可收回金额低于其账面价值时，本集团将其账面价值减记至可收回金额，减记的金额计入当期损益， 同时计提相应的资产减值准备。</w:t>
      </w:r>
    </w:p>
    <w:p>
      <w:pPr>
        <w:pStyle w:val="BodyText"/>
        <w:spacing w:line="316" w:lineRule="auto" w:before="19"/>
        <w:ind w:right="1129" w:firstLine="360"/>
        <w:jc w:val="both"/>
      </w:pPr>
      <w:r>
        <w:rPr>
          <w:spacing w:val="-2"/>
        </w:rPr>
        <w:t>就商誉的减值测试而言，对于因企业合并形成的商誉的账面价值，自购买日起按照合理的方法分摊至相关的资产组；难</w:t>
      </w:r>
      <w:r>
        <w:rPr/>
        <w:t> </w:t>
      </w:r>
      <w:r>
        <w:rPr>
          <w:spacing w:val="-2"/>
        </w:rPr>
        <w:t>以分摊至相关的资产组的，将其分摊至相关的资产组组合。相关的资产组或资产组组合，是能够从企业合并的协同效应中受</w:t>
      </w:r>
      <w:r>
        <w:rPr>
          <w:spacing w:val="-63"/>
        </w:rPr>
        <w:t> </w:t>
      </w:r>
      <w:r>
        <w:rPr>
          <w:spacing w:val="-63"/>
        </w:rPr>
      </w:r>
      <w:r>
        <w:rPr/>
        <w:t>益的资产组或者资产组组合，且不大于本集团确定的报告分部。</w:t>
      </w:r>
    </w:p>
    <w:p>
      <w:pPr>
        <w:pStyle w:val="BodyText"/>
        <w:spacing w:line="316" w:lineRule="auto" w:before="19"/>
        <w:ind w:right="1131" w:firstLine="360"/>
        <w:jc w:val="both"/>
      </w:pPr>
      <w:r>
        <w:rPr>
          <w:spacing w:val="-2"/>
        </w:rPr>
        <w:t>减值测试时，如与商誉相关的资产组或者资产组组合存在减值迹象的，首先对不包含商誉的资产组或者资产组组合进行</w:t>
      </w:r>
      <w:r>
        <w:rPr/>
        <w:t> </w:t>
      </w:r>
      <w:r>
        <w:rPr>
          <w:spacing w:val="-2"/>
        </w:rPr>
        <w:t>减值测试，计算可收回金额，确认相应的减值损失。然后对包含商誉的资产组或者资产组组合进行减值测试，比较其账面价</w:t>
      </w:r>
      <w:r>
        <w:rPr>
          <w:spacing w:val="-64"/>
        </w:rPr>
        <w:t> </w:t>
      </w:r>
      <w:r>
        <w:rPr>
          <w:spacing w:val="-64"/>
        </w:rPr>
      </w:r>
      <w:r>
        <w:rPr/>
        <w:t>值与可收回金额，如可收回金额低于账面价值的，确认商誉的减值损失。</w:t>
      </w:r>
    </w:p>
    <w:p>
      <w:pPr>
        <w:pStyle w:val="BodyText"/>
        <w:spacing w:line="240" w:lineRule="auto" w:before="19"/>
        <w:ind w:left="513" w:right="0"/>
        <w:jc w:val="left"/>
      </w:pPr>
      <w:r>
        <w:rPr/>
        <w:t>资产减值损失一经确认，在以后会计期间不再转回。</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本集团发生的长期待摊费用按实际成本计价，并按预计受益期限平均摊销。对不能使以后会计期间受益的长期待摊费用</w:t>
      </w:r>
      <w:r>
        <w:rPr/>
        <w:t> 项目，其摊余价值全部计入当期损益。</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033"/>
        <w:jc w:val="left"/>
      </w:pPr>
      <w:r>
        <w:rPr>
          <w:rFonts w:ascii="Times New Roman" w:hAnsi="Times New Roman" w:cs="Times New Roman" w:eastAsia="Times New Roman" w:hint="default"/>
        </w:rPr>
        <w:t>1</w:t>
      </w:r>
      <w:r>
        <w:rPr/>
        <w:t>）职工薪酬的范围 职工薪酬，是指企业为获得职工提供的服务或解除劳动关系而给予的各种形式的报酬或补偿。职工薪酬包括短期薪酬、</w:t>
      </w:r>
    </w:p>
    <w:p>
      <w:pPr>
        <w:pStyle w:val="BodyText"/>
        <w:spacing w:line="309" w:lineRule="auto" w:before="32"/>
        <w:ind w:left="513" w:right="2623" w:hanging="361"/>
        <w:jc w:val="left"/>
      </w:pPr>
      <w:r>
        <w:rPr/>
        <w:t>离职后福利、辞退福利和其他长期职工福利。 根据流动性，职工薪酬分别列示于资产负债表的</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项目和</w:t>
      </w:r>
      <w:r>
        <w:rPr>
          <w:rFonts w:ascii="Times New Roman" w:hAnsi="Times New Roman" w:cs="Times New Roman" w:eastAsia="Times New Roman" w:hint="default"/>
        </w:rPr>
        <w:t>“</w:t>
      </w:r>
      <w:r>
        <w:rPr/>
        <w:t>长期应付职工薪酬</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项目。 </w:t>
      </w:r>
      <w:r>
        <w:rPr>
          <w:rFonts w:ascii="Times New Roman" w:hAnsi="Times New Roman" w:cs="Times New Roman" w:eastAsia="Times New Roman" w:hint="default"/>
        </w:rPr>
        <w:t>2</w:t>
      </w:r>
      <w:r>
        <w:rPr/>
        <w:t>）短期薪酬</w:t>
      </w:r>
    </w:p>
    <w:p>
      <w:pPr>
        <w:pStyle w:val="BodyText"/>
        <w:spacing w:line="316" w:lineRule="auto" w:before="5"/>
        <w:ind w:right="1133" w:firstLine="360"/>
        <w:jc w:val="both"/>
      </w:pPr>
      <w:r>
        <w:rPr>
          <w:spacing w:val="-2"/>
        </w:rPr>
        <w:t>本集团在职工提供服务的会计期间，将实际发生的职工工资、奖金、按规定的基准和比例为职工缴纳的医疗保险费、工</w:t>
      </w:r>
      <w:r>
        <w:rPr/>
        <w:t> 伤保险费和生育保险费等社会保险费和住房公积金，确认为负债，并计入当期损益或相关资产成本。</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60"/>
        <w:jc w:val="both"/>
      </w:pPr>
      <w:r>
        <w:rPr>
          <w:spacing w:val="-2"/>
        </w:rPr>
        <w:t>离职后福利计划包括设定提存计划和设定受益计划。其中，设定提存计划，是指向独立的基金缴存固定费用后，企业不</w:t>
      </w:r>
      <w:r>
        <w:rPr/>
        <w:t> </w:t>
      </w:r>
      <w:r>
        <w:rPr>
          <w:spacing w:val="-2"/>
        </w:rPr>
        <w:t>再承担进一步支付义务的离职后福利计划；设定受益计划，是指除设定提存计划以外的离职后福利计划。本集团仅涉及设定</w:t>
      </w:r>
      <w:r>
        <w:rPr>
          <w:spacing w:val="-63"/>
        </w:rPr>
        <w:t> </w:t>
      </w:r>
      <w:r>
        <w:rPr>
          <w:spacing w:val="-63"/>
        </w:rPr>
      </w:r>
      <w:r>
        <w:rPr/>
        <w:t>提存计划。</w:t>
      </w:r>
    </w:p>
    <w:p>
      <w:pPr>
        <w:pStyle w:val="BodyText"/>
        <w:spacing w:line="316" w:lineRule="auto" w:before="19"/>
        <w:ind w:left="513" w:right="1393"/>
        <w:jc w:val="left"/>
      </w:pPr>
      <w:r>
        <w:rPr/>
        <w:t>设定提存计划包括基本养老保险、失业保险以及企业年金计划等。 在职工提供服务的会计期间，根据设定提存计划计算的应缴存金额确认为负债，并计入当期损益或相关资产成本。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本集团向职工提供辞退福利的，在下列两者孰早日确认辞退福利产生的职工薪酬负债，并计入当期损益：本集团不能单</w:t>
      </w:r>
      <w:r>
        <w:rPr/>
        <w:t> 方面撤回因解除劳动关系计划或裁减建议所提供的辞退福利时；本集团确认与涉及支付辞退福利的重组相关的成本或费用</w:t>
      </w:r>
      <w:r>
        <w:rPr>
          <w:spacing w:val="-11"/>
        </w:rPr>
        <w:t> </w:t>
      </w:r>
      <w:r>
        <w:rPr>
          <w:spacing w:val="-11"/>
        </w:rPr>
      </w:r>
      <w:r>
        <w:rPr/>
        <w:t>时。</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如果与或有事项相关的义务同时符合以下条件，本集团将其确认为预计负债：</w:t>
      </w:r>
    </w:p>
    <w:p>
      <w:pPr>
        <w:pStyle w:val="BodyText"/>
        <w:spacing w:line="240" w:lineRule="auto" w:before="76"/>
        <w:ind w:left="513" w:right="0"/>
        <w:jc w:val="left"/>
      </w:pPr>
      <w:r>
        <w:rPr/>
        <w:t>（</w:t>
      </w:r>
      <w:r>
        <w:rPr>
          <w:rFonts w:ascii="Times New Roman" w:hAnsi="Times New Roman" w:cs="Times New Roman" w:eastAsia="Times New Roman" w:hint="default"/>
        </w:rPr>
        <w:t>1</w:t>
      </w:r>
      <w:r>
        <w:rPr/>
        <w:t>）该义务是本集团承担的现时义务；</w:t>
      </w:r>
    </w:p>
    <w:p>
      <w:pPr>
        <w:pStyle w:val="BodyText"/>
        <w:spacing w:line="240" w:lineRule="auto" w:before="63"/>
        <w:ind w:left="513" w:right="0"/>
        <w:jc w:val="left"/>
      </w:pPr>
      <w:r>
        <w:rPr/>
        <w:t>（</w:t>
      </w:r>
      <w:r>
        <w:rPr>
          <w:rFonts w:ascii="Times New Roman" w:hAnsi="Times New Roman" w:cs="Times New Roman" w:eastAsia="Times New Roman" w:hint="default"/>
        </w:rPr>
        <w:t>2</w:t>
      </w:r>
      <w:r>
        <w:rPr/>
        <w:t>）该义务的履行很可能导致经济利益流出本集团；</w:t>
      </w:r>
    </w:p>
    <w:p>
      <w:pPr>
        <w:pStyle w:val="BodyText"/>
        <w:spacing w:line="300" w:lineRule="auto" w:before="63"/>
        <w:ind w:left="513" w:right="0"/>
        <w:jc w:val="left"/>
      </w:pPr>
      <w:r>
        <w:rPr/>
        <w:t>（</w:t>
      </w:r>
      <w:r>
        <w:rPr>
          <w:rFonts w:ascii="Times New Roman" w:hAnsi="Times New Roman" w:cs="Times New Roman" w:eastAsia="Times New Roman" w:hint="default"/>
        </w:rPr>
        <w:t>3</w:t>
      </w:r>
      <w:r>
        <w:rPr/>
        <w:t>）该义务的金额能够可靠地计量。 </w:t>
      </w:r>
      <w:r>
        <w:rPr>
          <w:spacing w:val="-2"/>
        </w:rPr>
        <w:t>预计负债按照履行相关现时义务所需支出的最佳估计数进行初始计量，并综合考虑与或有事项有关的风险、不确定性和</w:t>
      </w:r>
    </w:p>
    <w:p>
      <w:pPr>
        <w:pStyle w:val="BodyText"/>
        <w:spacing w:line="316" w:lineRule="auto" w:before="32"/>
        <w:ind w:right="0"/>
        <w:jc w:val="left"/>
      </w:pPr>
      <w:r>
        <w:rPr>
          <w:spacing w:val="-2"/>
        </w:rPr>
        <w:t>货币时间价值等因素。货币时间价值影响重大的，通过对相关未来现金流出进行折现后确定最佳估计数。本集团于资产负债</w:t>
      </w:r>
      <w:r>
        <w:rPr>
          <w:spacing w:val="-63"/>
        </w:rPr>
        <w:t> </w:t>
      </w:r>
      <w:r>
        <w:rPr>
          <w:spacing w:val="-63"/>
        </w:rPr>
      </w:r>
      <w:r>
        <w:rPr/>
        <w:t>表日对预计负债的账面价值进行复核，并对账面价值进行调整以反映当前最佳估计数。</w:t>
      </w:r>
    </w:p>
    <w:p>
      <w:pPr>
        <w:spacing w:after="0" w:line="316"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firstLine="360"/>
        <w:jc w:val="left"/>
      </w:pPr>
      <w:r>
        <w:rPr>
          <w:spacing w:val="-2"/>
        </w:rPr>
        <w:t>如果清偿已确认预计负债所需支出全部或部分预期由第三方或其他方补偿，则补偿金额只能在基本确定能收到时，作为</w:t>
      </w:r>
      <w:r>
        <w:rPr/>
        <w:t> 资产单独确认。确认的补偿金额不超过所确认负债的账面价值。</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0"/>
        <w:jc w:val="left"/>
      </w:pPr>
      <w:r>
        <w:rPr/>
        <w:t>软件与信息技术服务业</w:t>
      </w:r>
    </w:p>
    <w:p>
      <w:pPr>
        <w:pStyle w:val="BodyText"/>
        <w:spacing w:line="297" w:lineRule="auto" w:before="117"/>
        <w:ind w:left="513" w:right="1120"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本集团收入包括：客户定制软件设计开发收入、</w:t>
      </w:r>
      <w:r>
        <w:rPr>
          <w:rFonts w:ascii="宋体" w:hAnsi="宋体" w:cs="宋体" w:eastAsia="宋体" w:hint="default"/>
        </w:rPr>
        <w:t>IC</w:t>
      </w:r>
      <w:r>
        <w:rPr>
          <w:rFonts w:ascii="宋体" w:hAnsi="宋体" w:cs="宋体" w:eastAsia="宋体" w:hint="default"/>
          <w:spacing w:val="3"/>
        </w:rPr>
        <w:t> </w:t>
      </w:r>
      <w:r>
        <w:rPr/>
        <w:t>卡销售收入、系统维护服务收入、系统集成及外购硬件销售收入、</w:t>
      </w:r>
    </w:p>
    <w:p>
      <w:pPr>
        <w:pStyle w:val="BodyText"/>
        <w:spacing w:line="191" w:lineRule="exact"/>
        <w:ind w:right="0"/>
        <w:jc w:val="left"/>
      </w:pPr>
      <w:r>
        <w:rPr/>
        <w:t>自制硬件销售收入、让渡资产使用权收入和咨询服务收入。</w:t>
      </w:r>
    </w:p>
    <w:p>
      <w:pPr>
        <w:pStyle w:val="BodyText"/>
        <w:spacing w:line="232" w:lineRule="exact" w:before="23"/>
        <w:ind w:left="513" w:right="0"/>
        <w:jc w:val="left"/>
      </w:pPr>
      <w:r>
        <w:rPr/>
        <w:t>（</w:t>
      </w:r>
      <w:r>
        <w:rPr>
          <w:rFonts w:ascii="宋体" w:hAnsi="宋体" w:cs="宋体" w:eastAsia="宋体" w:hint="default"/>
        </w:rPr>
        <w:t>1</w:t>
      </w:r>
      <w:r>
        <w:rPr/>
        <w:t>）客户定制软件设计开发收入 本集团客户定制软件设计开发项目指本集团依据客户特定要求在本集团原有软件平台基础上进行开发实施或根据客户</w:t>
      </w:r>
    </w:p>
    <w:p>
      <w:pPr>
        <w:pStyle w:val="BodyText"/>
        <w:spacing w:line="212" w:lineRule="exact"/>
        <w:ind w:right="0"/>
        <w:jc w:val="left"/>
      </w:pPr>
      <w:r>
        <w:rPr/>
        <w:t>要求定制的软件设计和开发项目。</w:t>
      </w:r>
    </w:p>
    <w:p>
      <w:pPr>
        <w:pStyle w:val="BodyText"/>
        <w:spacing w:line="232" w:lineRule="exact" w:before="24"/>
        <w:ind w:right="1034" w:firstLine="360"/>
        <w:jc w:val="left"/>
      </w:pPr>
      <w:r>
        <w:rPr/>
        <w:t>本集团客户定制软件设计开发项目实质为提供劳务，本集团在资产负债表日，对于提供劳务交易结果能够可靠估计的， 采用完工百分比法确认提供的劳务收入。</w:t>
      </w:r>
    </w:p>
    <w:p>
      <w:pPr>
        <w:pStyle w:val="BodyText"/>
        <w:spacing w:line="210" w:lineRule="exact"/>
        <w:ind w:left="513" w:right="0"/>
        <w:jc w:val="left"/>
      </w:pPr>
      <w:r>
        <w:rPr/>
        <w:t>提供劳务交易的结果能够可靠估计，是指同时满足下列条件：</w:t>
      </w:r>
    </w:p>
    <w:p>
      <w:pPr>
        <w:pStyle w:val="BodyText"/>
        <w:spacing w:line="234" w:lineRule="exact"/>
        <w:ind w:left="513" w:right="0"/>
        <w:jc w:val="left"/>
      </w:pPr>
      <w:r>
        <w:rPr/>
        <w:t>①收入的金额能够可靠地计量；</w:t>
      </w:r>
    </w:p>
    <w:p>
      <w:pPr>
        <w:pStyle w:val="BodyText"/>
        <w:spacing w:line="234" w:lineRule="exact"/>
        <w:ind w:left="513" w:right="0"/>
        <w:jc w:val="left"/>
      </w:pPr>
      <w:r>
        <w:rPr/>
        <w:t>②相关的经济利益很可能流入企业；</w:t>
      </w:r>
    </w:p>
    <w:p>
      <w:pPr>
        <w:pStyle w:val="BodyText"/>
        <w:spacing w:line="233" w:lineRule="exact"/>
        <w:ind w:left="513" w:right="0"/>
        <w:jc w:val="left"/>
      </w:pPr>
      <w:r>
        <w:rPr/>
        <w:t>③交易的完工进度能够可靠地确定；</w:t>
      </w:r>
    </w:p>
    <w:p>
      <w:pPr>
        <w:pStyle w:val="BodyText"/>
        <w:spacing w:line="232" w:lineRule="exact" w:before="23"/>
        <w:ind w:left="513" w:right="4453"/>
        <w:jc w:val="left"/>
      </w:pPr>
      <w:r>
        <w:rPr/>
        <w:t>④交易中已发生和将发生的成本能够可靠地计量。 在资产负债表日提供劳务交易结果不能够可靠估计的，分别下列情况处理：</w:t>
      </w:r>
    </w:p>
    <w:p>
      <w:pPr>
        <w:pStyle w:val="BodyText"/>
        <w:spacing w:line="232" w:lineRule="exact" w:before="3"/>
        <w:ind w:right="1119" w:firstLine="360"/>
        <w:jc w:val="left"/>
      </w:pPr>
      <w:r>
        <w:rPr>
          <w:spacing w:val="-2"/>
        </w:rPr>
        <w:t>①已经发生的劳务成本预计能够得到补偿的，按照已经发生的劳务成本金额确认提供劳务收入，并按相同金额结转劳务</w:t>
      </w:r>
      <w:r>
        <w:rPr/>
        <w:t> 成本。</w:t>
      </w:r>
    </w:p>
    <w:p>
      <w:pPr>
        <w:pStyle w:val="BodyText"/>
        <w:spacing w:line="212" w:lineRule="exact"/>
        <w:ind w:left="513" w:right="0"/>
        <w:jc w:val="left"/>
      </w:pPr>
      <w:r>
        <w:rPr/>
        <w:t>②已经发生的劳务成本预计不能够得到补偿的，将已经发生的劳务成本计入当期损益，不确认提供劳务收入。</w:t>
      </w:r>
    </w:p>
    <w:p>
      <w:pPr>
        <w:pStyle w:val="BodyText"/>
        <w:spacing w:line="234" w:lineRule="exact"/>
        <w:ind w:left="513" w:right="0"/>
        <w:jc w:val="left"/>
      </w:pPr>
      <w:r>
        <w:rPr/>
        <w:t>本集团采用已经完成的合同工作量占合同预计总工作量的比例确定合同完工进度。</w:t>
      </w:r>
    </w:p>
    <w:p>
      <w:pPr>
        <w:pStyle w:val="BodyText"/>
        <w:spacing w:line="233" w:lineRule="exact"/>
        <w:ind w:left="513" w:right="0"/>
        <w:jc w:val="left"/>
      </w:pPr>
      <w:r>
        <w:rPr/>
        <w:t>（</w:t>
      </w:r>
      <w:r>
        <w:rPr>
          <w:rFonts w:ascii="宋体" w:hAnsi="宋体" w:cs="宋体" w:eastAsia="宋体" w:hint="default"/>
        </w:rPr>
        <w:t>2</w:t>
      </w:r>
      <w:r>
        <w:rPr/>
        <w:t>）</w:t>
      </w:r>
      <w:r>
        <w:rPr>
          <w:rFonts w:ascii="宋体" w:hAnsi="宋体" w:cs="宋体" w:eastAsia="宋体" w:hint="default"/>
        </w:rPr>
        <w:t>IC</w:t>
      </w:r>
      <w:r>
        <w:rPr>
          <w:rFonts w:ascii="宋体" w:hAnsi="宋体" w:cs="宋体" w:eastAsia="宋体" w:hint="default"/>
          <w:spacing w:val="-45"/>
        </w:rPr>
        <w:t> </w:t>
      </w:r>
      <w:r>
        <w:rPr/>
        <w:t>卡销售收入</w:t>
      </w:r>
    </w:p>
    <w:p>
      <w:pPr>
        <w:pStyle w:val="BodyText"/>
        <w:spacing w:line="234" w:lineRule="exact" w:before="21"/>
        <w:ind w:right="1129" w:firstLine="360"/>
        <w:jc w:val="left"/>
      </w:pPr>
      <w:r>
        <w:rPr/>
        <w:t>本集团</w:t>
      </w:r>
      <w:r>
        <w:rPr>
          <w:spacing w:val="-46"/>
        </w:rPr>
        <w:t> </w:t>
      </w:r>
      <w:r>
        <w:rPr>
          <w:rFonts w:ascii="宋体" w:hAnsi="宋体" w:cs="宋体" w:eastAsia="宋体" w:hint="default"/>
        </w:rPr>
        <w:t>IC</w:t>
      </w:r>
      <w:r>
        <w:rPr>
          <w:rFonts w:ascii="宋体" w:hAnsi="宋体" w:cs="宋体" w:eastAsia="宋体" w:hint="default"/>
          <w:spacing w:val="-45"/>
        </w:rPr>
        <w:t> </w:t>
      </w:r>
      <w:r>
        <w:rPr/>
        <w:t>卡销售业务包括</w:t>
      </w:r>
      <w:r>
        <w:rPr>
          <w:spacing w:val="-46"/>
        </w:rPr>
        <w:t> </w:t>
      </w:r>
      <w:r>
        <w:rPr>
          <w:rFonts w:ascii="宋体" w:hAnsi="宋体" w:cs="宋体" w:eastAsia="宋体" w:hint="default"/>
        </w:rPr>
        <w:t>IC</w:t>
      </w:r>
      <w:r>
        <w:rPr>
          <w:rFonts w:ascii="宋体" w:hAnsi="宋体" w:cs="宋体" w:eastAsia="宋体" w:hint="default"/>
          <w:spacing w:val="-46"/>
        </w:rPr>
        <w:t> </w:t>
      </w:r>
      <w:r>
        <w:rPr/>
        <w:t>卡介质的销售及</w:t>
      </w:r>
      <w:r>
        <w:rPr>
          <w:spacing w:val="-46"/>
        </w:rPr>
        <w:t> </w:t>
      </w:r>
      <w:r>
        <w:rPr>
          <w:rFonts w:ascii="宋体" w:hAnsi="宋体" w:cs="宋体" w:eastAsia="宋体" w:hint="default"/>
        </w:rPr>
        <w:t>IC</w:t>
      </w:r>
      <w:r>
        <w:rPr>
          <w:rFonts w:ascii="宋体" w:hAnsi="宋体" w:cs="宋体" w:eastAsia="宋体" w:hint="default"/>
          <w:spacing w:val="-45"/>
        </w:rPr>
        <w:t> </w:t>
      </w:r>
      <w:r>
        <w:rPr/>
        <w:t>卡嵌入式软件销售收入，由于</w:t>
      </w:r>
      <w:r>
        <w:rPr>
          <w:spacing w:val="-46"/>
        </w:rPr>
        <w:t> </w:t>
      </w:r>
      <w:r>
        <w:rPr>
          <w:rFonts w:ascii="宋体" w:hAnsi="宋体" w:cs="宋体" w:eastAsia="宋体" w:hint="default"/>
        </w:rPr>
        <w:t>IC</w:t>
      </w:r>
      <w:r>
        <w:rPr>
          <w:rFonts w:ascii="宋体" w:hAnsi="宋体" w:cs="宋体" w:eastAsia="宋体" w:hint="default"/>
          <w:spacing w:val="-45"/>
        </w:rPr>
        <w:t> </w:t>
      </w:r>
      <w:r>
        <w:rPr/>
        <w:t>卡嵌入式软件是随同</w:t>
      </w:r>
      <w:r>
        <w:rPr>
          <w:spacing w:val="-45"/>
        </w:rPr>
        <w:t> </w:t>
      </w:r>
      <w:r>
        <w:rPr>
          <w:rFonts w:ascii="宋体" w:hAnsi="宋体" w:cs="宋体" w:eastAsia="宋体" w:hint="default"/>
        </w:rPr>
        <w:t>IC</w:t>
      </w:r>
      <w:r>
        <w:rPr>
          <w:rFonts w:ascii="宋体" w:hAnsi="宋体" w:cs="宋体" w:eastAsia="宋体" w:hint="default"/>
          <w:spacing w:val="-45"/>
        </w:rPr>
        <w:t> </w:t>
      </w:r>
      <w:r>
        <w:rPr/>
        <w:t>卡介质一并 交付，故该嵌入式软件收入确认原则与</w:t>
      </w:r>
      <w:r>
        <w:rPr>
          <w:spacing w:val="-45"/>
        </w:rPr>
        <w:t> </w:t>
      </w:r>
      <w:r>
        <w:rPr>
          <w:rFonts w:ascii="宋体" w:hAnsi="宋体" w:cs="宋体" w:eastAsia="宋体" w:hint="default"/>
        </w:rPr>
        <w:t>IC</w:t>
      </w:r>
      <w:r>
        <w:rPr>
          <w:rFonts w:ascii="宋体" w:hAnsi="宋体" w:cs="宋体" w:eastAsia="宋体" w:hint="default"/>
          <w:spacing w:val="-45"/>
        </w:rPr>
        <w:t> </w:t>
      </w:r>
      <w:r>
        <w:rPr/>
        <w:t>卡介质收入确认原则相同。</w:t>
      </w:r>
    </w:p>
    <w:p>
      <w:pPr>
        <w:pStyle w:val="BodyText"/>
        <w:spacing w:line="232" w:lineRule="exact" w:before="2"/>
        <w:ind w:right="1122" w:firstLine="360"/>
        <w:jc w:val="left"/>
      </w:pPr>
      <w:r>
        <w:rPr/>
        <w:t>本集团</w:t>
      </w:r>
      <w:r>
        <w:rPr>
          <w:spacing w:val="-47"/>
        </w:rPr>
        <w:t> </w:t>
      </w:r>
      <w:r>
        <w:rPr>
          <w:rFonts w:ascii="宋体" w:hAnsi="宋体" w:cs="宋体" w:eastAsia="宋体" w:hint="default"/>
        </w:rPr>
        <w:t>IC</w:t>
      </w:r>
      <w:r>
        <w:rPr>
          <w:rFonts w:ascii="宋体" w:hAnsi="宋体" w:cs="宋体" w:eastAsia="宋体" w:hint="default"/>
          <w:spacing w:val="-46"/>
        </w:rPr>
        <w:t> </w:t>
      </w:r>
      <w:r>
        <w:rPr>
          <w:spacing w:val="-3"/>
        </w:rPr>
        <w:t>卡根据《企业会计准则第</w:t>
      </w:r>
      <w:r>
        <w:rPr>
          <w:spacing w:val="-46"/>
        </w:rPr>
        <w:t> </w:t>
      </w:r>
      <w:r>
        <w:rPr>
          <w:rFonts w:ascii="宋体" w:hAnsi="宋体" w:cs="宋体" w:eastAsia="宋体" w:hint="default"/>
        </w:rPr>
        <w:t>14</w:t>
      </w:r>
      <w:r>
        <w:rPr>
          <w:rFonts w:ascii="宋体" w:hAnsi="宋体" w:cs="宋体" w:eastAsia="宋体" w:hint="default"/>
          <w:spacing w:val="-46"/>
        </w:rPr>
        <w:t> </w:t>
      </w:r>
      <w:r>
        <w:rPr>
          <w:spacing w:val="-3"/>
        </w:rPr>
        <w:t>号</w:t>
      </w:r>
      <w:r>
        <w:rPr>
          <w:rFonts w:ascii="宋体" w:hAnsi="宋体" w:cs="宋体" w:eastAsia="宋体" w:hint="default"/>
          <w:spacing w:val="-3"/>
        </w:rPr>
        <w:t>-</w:t>
      </w:r>
      <w:r>
        <w:rPr>
          <w:spacing w:val="-3"/>
        </w:rPr>
        <w:t>收入》中销售商品确认原则，在</w:t>
      </w:r>
      <w:r>
        <w:rPr>
          <w:spacing w:val="-46"/>
        </w:rPr>
        <w:t> </w:t>
      </w:r>
      <w:r>
        <w:rPr>
          <w:rFonts w:ascii="宋体" w:hAnsi="宋体" w:cs="宋体" w:eastAsia="宋体" w:hint="default"/>
        </w:rPr>
        <w:t>IC</w:t>
      </w:r>
      <w:r>
        <w:rPr>
          <w:rFonts w:ascii="宋体" w:hAnsi="宋体" w:cs="宋体" w:eastAsia="宋体" w:hint="default"/>
          <w:spacing w:val="-46"/>
        </w:rPr>
        <w:t> </w:t>
      </w:r>
      <w:r>
        <w:rPr/>
        <w:t>卡交付并取得客户验收确认后，相关的收 入已经实现或取得收款的证据，本集团确认</w:t>
      </w:r>
      <w:r>
        <w:rPr>
          <w:spacing w:val="-46"/>
        </w:rPr>
        <w:t> </w:t>
      </w:r>
      <w:r>
        <w:rPr>
          <w:rFonts w:ascii="宋体" w:hAnsi="宋体" w:cs="宋体" w:eastAsia="宋体" w:hint="default"/>
        </w:rPr>
        <w:t>IC</w:t>
      </w:r>
      <w:r>
        <w:rPr>
          <w:rFonts w:ascii="宋体" w:hAnsi="宋体" w:cs="宋体" w:eastAsia="宋体" w:hint="default"/>
          <w:spacing w:val="-45"/>
        </w:rPr>
        <w:t> </w:t>
      </w:r>
      <w:r>
        <w:rPr/>
        <w:t>卡销售收入实现。</w:t>
      </w:r>
    </w:p>
    <w:p>
      <w:pPr>
        <w:pStyle w:val="BodyText"/>
        <w:spacing w:line="232" w:lineRule="exact"/>
        <w:ind w:left="513" w:right="3553"/>
        <w:jc w:val="left"/>
      </w:pPr>
      <w:r>
        <w:rPr/>
        <w:t>（</w:t>
      </w:r>
      <w:r>
        <w:rPr>
          <w:rFonts w:ascii="宋体" w:hAnsi="宋体" w:cs="宋体" w:eastAsia="宋体" w:hint="default"/>
        </w:rPr>
        <w:t>3</w:t>
      </w:r>
      <w:r>
        <w:rPr/>
        <w:t>）技术服务收入 本集团在提供技术服务期间内，在劳务提供后，根据合同约定服务期间分期确认收入。</w:t>
      </w:r>
    </w:p>
    <w:p>
      <w:pPr>
        <w:pStyle w:val="BodyText"/>
        <w:spacing w:line="232" w:lineRule="exact" w:before="3"/>
        <w:ind w:left="513" w:right="4273"/>
        <w:jc w:val="left"/>
      </w:pPr>
      <w:r>
        <w:rPr/>
        <w:t>（</w:t>
      </w:r>
      <w:r>
        <w:rPr>
          <w:rFonts w:ascii="宋体" w:hAnsi="宋体" w:cs="宋体" w:eastAsia="宋体" w:hint="default"/>
        </w:rPr>
        <w:t>4</w:t>
      </w:r>
      <w:r>
        <w:rPr/>
        <w:t>）系统集成及外购硬件销售收入 本集团系统集成及外购硬件销售收入包括系统集成收入及外购硬件销售收入。</w:t>
      </w:r>
    </w:p>
    <w:p>
      <w:pPr>
        <w:pStyle w:val="BodyText"/>
        <w:spacing w:line="232" w:lineRule="exact"/>
        <w:ind w:left="513" w:right="0"/>
        <w:jc w:val="left"/>
      </w:pPr>
      <w:r>
        <w:rPr/>
        <w:t>①本集团系统集成项目指本集团依客户要求提供采购硬件、软件并进行集成安装及调试的项目。 </w:t>
      </w:r>
      <w:r>
        <w:rPr>
          <w:spacing w:val="-2"/>
        </w:rPr>
        <w:t>本集团系统集成项目在系统安装调试完毕且项目经过客户初步验收后，相关的收入已经实现或取得收款的证据，本集团</w:t>
      </w:r>
    </w:p>
    <w:p>
      <w:pPr>
        <w:pStyle w:val="BodyText"/>
        <w:spacing w:line="213" w:lineRule="exact"/>
        <w:ind w:right="0"/>
        <w:jc w:val="left"/>
      </w:pPr>
      <w:r>
        <w:rPr/>
        <w:t>确认系统集成收入实现。</w:t>
      </w:r>
    </w:p>
    <w:p>
      <w:pPr>
        <w:pStyle w:val="BodyText"/>
        <w:spacing w:line="237" w:lineRule="auto"/>
        <w:ind w:right="1130" w:firstLine="360"/>
        <w:jc w:val="both"/>
      </w:pPr>
      <w:r>
        <w:rPr>
          <w:spacing w:val="-2"/>
        </w:rPr>
        <w:t>②本集团外购硬件销售业务指本集团为客户提供系统集成所需硬件及配套办公设备，该等硬件均为本集团外购硬件。本</w:t>
      </w:r>
      <w:r>
        <w:rPr/>
        <w:t> </w:t>
      </w:r>
      <w:r>
        <w:rPr>
          <w:spacing w:val="-2"/>
        </w:rPr>
        <w:t>集团外购硬件业务根据《企业会计准则第</w:t>
      </w:r>
      <w:r>
        <w:rPr>
          <w:spacing w:val="-36"/>
        </w:rPr>
        <w:t> </w:t>
      </w:r>
      <w:r>
        <w:rPr>
          <w:rFonts w:ascii="宋体" w:hAnsi="宋体" w:cs="宋体" w:eastAsia="宋体" w:hint="default"/>
        </w:rPr>
        <w:t>14</w:t>
      </w:r>
      <w:r>
        <w:rPr>
          <w:rFonts w:ascii="宋体" w:hAnsi="宋体" w:cs="宋体" w:eastAsia="宋体" w:hint="default"/>
          <w:spacing w:val="-36"/>
        </w:rPr>
        <w:t> </w:t>
      </w:r>
      <w:r>
        <w:rPr>
          <w:spacing w:val="-2"/>
        </w:rPr>
        <w:t>号</w:t>
      </w:r>
      <w:r>
        <w:rPr>
          <w:rFonts w:ascii="宋体" w:hAnsi="宋体" w:cs="宋体" w:eastAsia="宋体" w:hint="default"/>
          <w:spacing w:val="-2"/>
        </w:rPr>
        <w:t>-</w:t>
      </w:r>
      <w:r>
        <w:rPr>
          <w:spacing w:val="-2"/>
        </w:rPr>
        <w:t>收入》中销售商品收入确认原则，在商品交付并经客户验收后，相关的收入</w:t>
      </w:r>
      <w:r>
        <w:rPr>
          <w:spacing w:val="-88"/>
        </w:rPr>
        <w:t> </w:t>
      </w:r>
      <w:r>
        <w:rPr>
          <w:spacing w:val="-88"/>
        </w:rPr>
      </w:r>
      <w:r>
        <w:rPr/>
        <w:t>已经实现或取得收款的证据，本集团确认外购硬件销售收入实现。</w:t>
      </w:r>
    </w:p>
    <w:p>
      <w:pPr>
        <w:pStyle w:val="BodyText"/>
        <w:spacing w:line="232" w:lineRule="exact"/>
        <w:ind w:left="513" w:right="0"/>
        <w:jc w:val="left"/>
      </w:pPr>
      <w:r>
        <w:rPr/>
        <w:t>（</w:t>
      </w:r>
      <w:r>
        <w:rPr>
          <w:rFonts w:ascii="宋体" w:hAnsi="宋体" w:cs="宋体" w:eastAsia="宋体" w:hint="default"/>
        </w:rPr>
        <w:t>5</w:t>
      </w:r>
      <w:r>
        <w:rPr/>
        <w:t>）自制硬件销售收入</w:t>
      </w:r>
    </w:p>
    <w:p>
      <w:pPr>
        <w:pStyle w:val="BodyText"/>
        <w:spacing w:line="237" w:lineRule="auto" w:before="1"/>
        <w:ind w:right="1036" w:firstLine="360"/>
        <w:jc w:val="left"/>
      </w:pPr>
      <w:r>
        <w:rPr/>
        <w:t>本集团自制硬件指本集团自主研发的硬件设备，采用</w:t>
      </w:r>
      <w:r>
        <w:rPr>
          <w:spacing w:val="-44"/>
        </w:rPr>
        <w:t> </w:t>
      </w:r>
      <w:r>
        <w:rPr>
          <w:rFonts w:ascii="宋体" w:hAnsi="宋体" w:cs="宋体" w:eastAsia="宋体" w:hint="default"/>
        </w:rPr>
        <w:t>OEM</w:t>
      </w:r>
      <w:r>
        <w:rPr>
          <w:rFonts w:ascii="宋体" w:hAnsi="宋体" w:cs="宋体" w:eastAsia="宋体" w:hint="default"/>
          <w:spacing w:val="-43"/>
        </w:rPr>
        <w:t> </w:t>
      </w:r>
      <w:r>
        <w:rPr/>
        <w:t>方式生产，主要包括</w:t>
      </w:r>
      <w:r>
        <w:rPr>
          <w:spacing w:val="-44"/>
        </w:rPr>
        <w:t> </w:t>
      </w:r>
      <w:r>
        <w:rPr>
          <w:rFonts w:ascii="宋体" w:hAnsi="宋体" w:cs="宋体" w:eastAsia="宋体" w:hint="default"/>
        </w:rPr>
        <w:t>IC</w:t>
      </w:r>
      <w:r>
        <w:rPr>
          <w:rFonts w:ascii="宋体" w:hAnsi="宋体" w:cs="宋体" w:eastAsia="宋体" w:hint="default"/>
          <w:spacing w:val="-43"/>
        </w:rPr>
        <w:t> </w:t>
      </w:r>
      <w:r>
        <w:rPr/>
        <w:t>卡读写设备、民生自助服务终端等。 本集团自制硬件销售业务收入根据《企业会计准则第</w:t>
      </w:r>
      <w:r>
        <w:rPr>
          <w:spacing w:val="-46"/>
        </w:rPr>
        <w:t> </w:t>
      </w:r>
      <w:r>
        <w:rPr>
          <w:rFonts w:ascii="宋体" w:hAnsi="宋体" w:cs="宋体" w:eastAsia="宋体" w:hint="default"/>
        </w:rPr>
        <w:t>14</w:t>
      </w:r>
      <w:r>
        <w:rPr>
          <w:rFonts w:ascii="宋体" w:hAnsi="宋体" w:cs="宋体" w:eastAsia="宋体" w:hint="default"/>
          <w:spacing w:val="-46"/>
        </w:rPr>
        <w:t> </w:t>
      </w:r>
      <w:r>
        <w:rPr/>
        <w:t>号</w:t>
      </w:r>
      <w:r>
        <w:rPr>
          <w:rFonts w:ascii="宋体" w:hAnsi="宋体" w:cs="宋体" w:eastAsia="宋体" w:hint="default"/>
        </w:rPr>
        <w:t>-</w:t>
      </w:r>
      <w:r>
        <w:rPr/>
        <w:t>收入》中销售商品收入确认原则，在商品交付并经客户验收后， 相关的收入已经实现或取得收款的证据，本集团确认自制硬件销售收入实现。</w:t>
      </w:r>
    </w:p>
    <w:p>
      <w:pPr>
        <w:spacing w:after="0" w:line="237" w:lineRule="auto"/>
        <w:jc w:val="left"/>
        <w:sectPr>
          <w:pgSz w:w="11910" w:h="16840"/>
          <w:pgMar w:header="748" w:footer="974" w:top="1060" w:bottom="1160" w:left="980" w:right="0"/>
        </w:sectPr>
      </w:pPr>
    </w:p>
    <w:p>
      <w:pPr>
        <w:spacing w:line="240" w:lineRule="auto" w:before="8"/>
        <w:rPr>
          <w:rFonts w:ascii="宋体" w:hAnsi="宋体" w:cs="宋体" w:eastAsia="宋体" w:hint="default"/>
          <w:sz w:val="22"/>
          <w:szCs w:val="22"/>
        </w:rPr>
      </w:pPr>
    </w:p>
    <w:p>
      <w:pPr>
        <w:pStyle w:val="BodyText"/>
        <w:spacing w:line="237" w:lineRule="auto" w:before="46"/>
        <w:ind w:left="513" w:right="0"/>
        <w:jc w:val="left"/>
      </w:pPr>
      <w:r>
        <w:rPr/>
        <w:t>（</w:t>
      </w:r>
      <w:r>
        <w:rPr>
          <w:rFonts w:ascii="宋体" w:hAnsi="宋体" w:cs="宋体" w:eastAsia="宋体" w:hint="default"/>
        </w:rPr>
        <w:t>6</w:t>
      </w:r>
      <w:r>
        <w:rPr/>
        <w:t>）让渡资产使用权收入 本集团在与让渡资产使用权相关的经济利益能够流入和收入的金额能够可靠的计量时确认让渡资产使用权收入。 </w:t>
      </w:r>
      <w:r>
        <w:rPr>
          <w:spacing w:val="-2"/>
        </w:rPr>
        <w:t>利息收入按使用货币资金的使用时间和适用利率计算确定。使用费收入金额，按照有关合同或协议约定的收费时间和方</w:t>
      </w:r>
    </w:p>
    <w:p>
      <w:pPr>
        <w:pStyle w:val="BodyText"/>
        <w:spacing w:line="232" w:lineRule="exact"/>
        <w:ind w:right="0"/>
        <w:jc w:val="left"/>
      </w:pPr>
      <w:r>
        <w:rPr/>
        <w:t>法计算确定。</w:t>
      </w:r>
    </w:p>
    <w:p>
      <w:pPr>
        <w:pStyle w:val="BodyText"/>
        <w:spacing w:line="237" w:lineRule="auto"/>
        <w:ind w:left="513" w:right="0"/>
        <w:jc w:val="left"/>
      </w:pPr>
      <w:r>
        <w:rPr/>
        <w:t>本集团商业保理利息收入按照其他方使用本集团货币资金的时间，采用合同利率计算确定。 </w:t>
      </w:r>
      <w:r>
        <w:rPr>
          <w:spacing w:val="-4"/>
        </w:rPr>
        <w:t>本集团融资租赁收入确认方法：在租赁期间内，采用实际利率法对未实现融资收益进行分配，将其确认为融资租赁收入。</w:t>
      </w:r>
      <w:r>
        <w:rPr>
          <w:spacing w:val="-52"/>
        </w:rPr>
        <w:t> </w:t>
      </w:r>
      <w:r>
        <w:rPr>
          <w:spacing w:val="-52"/>
        </w:rPr>
      </w:r>
      <w:r>
        <w:rPr>
          <w:spacing w:val="-2"/>
        </w:rPr>
        <w:t>保险经纪收入指为客户拟订投保或分保方案、办理投保手续、代办检验、索赔等业务的收入，本集团在合同约定的劳务</w:t>
      </w:r>
    </w:p>
    <w:p>
      <w:pPr>
        <w:pStyle w:val="BodyText"/>
        <w:spacing w:line="232" w:lineRule="exact"/>
        <w:ind w:right="0"/>
        <w:jc w:val="left"/>
      </w:pPr>
      <w:r>
        <w:rPr/>
        <w:t>全部完成时确认经纪佣金收入。</w:t>
      </w:r>
    </w:p>
    <w:p>
      <w:pPr>
        <w:pStyle w:val="BodyText"/>
        <w:spacing w:line="232" w:lineRule="exact" w:before="23"/>
        <w:ind w:left="513" w:right="4813"/>
        <w:jc w:val="left"/>
      </w:pPr>
      <w:r>
        <w:rPr/>
        <w:t>（</w:t>
      </w:r>
      <w:r>
        <w:rPr>
          <w:rFonts w:ascii="宋体" w:hAnsi="宋体" w:cs="宋体" w:eastAsia="宋体" w:hint="default"/>
        </w:rPr>
        <w:t>7</w:t>
      </w:r>
      <w:r>
        <w:rPr/>
        <w:t>）咨询服务收入 本集团在咨询服务提供后，相关的收入已经实现时确认咨询服务收入。</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0"/>
        <w:jc w:val="left"/>
      </w:pPr>
      <w:r>
        <w:rPr/>
        <w:t>政府补助在满足政府补助所附条件并能够收到时确认。 </w:t>
      </w:r>
      <w:r>
        <w:rPr>
          <w:spacing w:val="-2"/>
        </w:rPr>
        <w:t>对于货币性资产的政府补助，按照收到或应收的金额计量。对于非货币性资产的政府补助，按照公允价值计量；公允价</w:t>
      </w:r>
    </w:p>
    <w:p>
      <w:pPr>
        <w:pStyle w:val="BodyText"/>
        <w:spacing w:line="300" w:lineRule="auto" w:before="19"/>
        <w:ind w:left="513" w:right="0" w:hanging="361"/>
        <w:jc w:val="left"/>
      </w:pPr>
      <w:r>
        <w:rPr/>
        <w:t>值不能够可靠取得的，按照名义金额</w:t>
      </w:r>
      <w:r>
        <w:rPr>
          <w:rFonts w:ascii="Times New Roman" w:hAnsi="Times New Roman" w:cs="Times New Roman" w:eastAsia="Times New Roman" w:hint="default"/>
        </w:rPr>
        <w:t>1</w:t>
      </w:r>
      <w:r>
        <w:rPr/>
        <w:t>元计量。 </w:t>
      </w:r>
      <w:r>
        <w:rPr>
          <w:spacing w:val="-2"/>
        </w:rPr>
        <w:t>与资产相关的政府补助，是指本集团取得的、用于购建或以其他方式形成长期资产的政府补助；除此之外，作为与收益</w:t>
      </w:r>
    </w:p>
    <w:p>
      <w:pPr>
        <w:pStyle w:val="BodyText"/>
        <w:spacing w:line="316" w:lineRule="auto" w:before="31"/>
        <w:ind w:left="513" w:right="1119" w:hanging="361"/>
        <w:jc w:val="left"/>
      </w:pPr>
      <w:r>
        <w:rPr/>
        <w:t>相关的政府补助。 </w:t>
      </w:r>
      <w:r>
        <w:rPr>
          <w:spacing w:val="-2"/>
        </w:rPr>
        <w:t>对于政府文件未明确规定补助对象的，能够形成长期资产的，与资产价值相对应的政府补助部分作为与资产相关的政府</w:t>
      </w:r>
    </w:p>
    <w:p>
      <w:pPr>
        <w:pStyle w:val="BodyText"/>
        <w:spacing w:line="316" w:lineRule="auto" w:before="19"/>
        <w:ind w:left="513" w:right="0" w:hanging="361"/>
        <w:jc w:val="left"/>
      </w:pPr>
      <w:r>
        <w:rPr/>
        <w:t>补助，其余部分作为与收益相关的政府补助；难以区分的，将政府补助整体作为与收益相关的政府补助。 </w:t>
      </w:r>
      <w:r>
        <w:rPr>
          <w:spacing w:val="-2"/>
        </w:rPr>
        <w:t>与资产相关的政府补助，确认为递延收益在相关资产使用期限内按照合理、系统的方法分期计入损益。与收益相关的政</w:t>
      </w:r>
    </w:p>
    <w:p>
      <w:pPr>
        <w:pStyle w:val="BodyText"/>
        <w:spacing w:line="316" w:lineRule="auto" w:before="19"/>
        <w:ind w:right="1130"/>
        <w:jc w:val="both"/>
      </w:pPr>
      <w:r>
        <w:rPr>
          <w:spacing w:val="-2"/>
        </w:rPr>
        <w:t>府补助，用于补偿已发生的相关成本费用或损失的，计入当期损益或冲减相关成本；用于补偿以后期间的相关成本费用或损</w:t>
      </w:r>
      <w:r>
        <w:rPr>
          <w:spacing w:val="-63"/>
        </w:rPr>
        <w:t> </w:t>
      </w:r>
      <w:r>
        <w:rPr>
          <w:spacing w:val="-63"/>
        </w:rPr>
      </w:r>
      <w:r>
        <w:rPr>
          <w:spacing w:val="-2"/>
        </w:rPr>
        <w:t>失的，则计入递延收益，于相关成本费用或损失确认期间计入当期损益或冲减相关成本。按照名义金额计量的政府补助，直</w:t>
      </w:r>
      <w:r>
        <w:rPr>
          <w:spacing w:val="-66"/>
        </w:rPr>
        <w:t> </w:t>
      </w:r>
      <w:r>
        <w:rPr>
          <w:spacing w:val="-66"/>
        </w:rPr>
      </w:r>
      <w:r>
        <w:rPr/>
        <w:t>接计入当期损益。本集团对相同或类似的政府补助业务，采用一致的方法处理。</w:t>
      </w:r>
    </w:p>
    <w:p>
      <w:pPr>
        <w:pStyle w:val="BodyText"/>
        <w:spacing w:line="316" w:lineRule="auto" w:before="19"/>
        <w:ind w:left="513" w:right="0"/>
        <w:jc w:val="left"/>
      </w:pPr>
      <w:r>
        <w:rPr/>
        <w:t>与日常活动相关的政府补助，按照经济业务实质，计入其他收益。与日常活动无关的政府补助，计入营业外收支。 </w:t>
      </w:r>
      <w:r>
        <w:rPr>
          <w:spacing w:val="-2"/>
        </w:rPr>
        <w:t>已确认的政府补助需要返还时，存在相关递延收益余额的，冲减相关递延收益账面余额，超出部分计入当期损益；不存</w:t>
      </w:r>
    </w:p>
    <w:p>
      <w:pPr>
        <w:pStyle w:val="BodyText"/>
        <w:spacing w:line="240" w:lineRule="auto" w:before="19"/>
        <w:ind w:right="0"/>
        <w:jc w:val="left"/>
      </w:pPr>
      <w:r>
        <w:rPr/>
        <w:t>在相关递延收益余额的，直接计入当期损益。</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所得税包括当期所得税和递延所得税。除由于企业合并产生的调整商誉，或与直接计入所有者权益的交易或者事项相关</w:t>
      </w:r>
      <w:r>
        <w:rPr/>
        <w:t> 的递延所得税计入所有者权益外，均作为所得税费用计入当期损益。</w:t>
      </w:r>
    </w:p>
    <w:p>
      <w:pPr>
        <w:pStyle w:val="BodyText"/>
        <w:spacing w:line="240" w:lineRule="auto" w:before="19"/>
        <w:ind w:left="513" w:right="0"/>
        <w:jc w:val="left"/>
      </w:pPr>
      <w:r>
        <w:rPr/>
        <w:t>本集团根据资产、负债于资产负债表日的账面价值与计税基础之间的暂时性差异，采用资产负债表债务法确认递延所得</w:t>
      </w:r>
    </w:p>
    <w:p>
      <w:pPr>
        <w:pStyle w:val="BodyText"/>
        <w:spacing w:line="240" w:lineRule="auto" w:before="76"/>
        <w:ind w:right="0"/>
        <w:jc w:val="left"/>
      </w:pPr>
      <w:r>
        <w:rPr/>
        <w:t>税。</w:t>
      </w:r>
    </w:p>
    <w:p>
      <w:pPr>
        <w:pStyle w:val="BodyText"/>
        <w:spacing w:line="240" w:lineRule="auto" w:before="77"/>
        <w:ind w:left="513" w:right="0"/>
        <w:jc w:val="left"/>
      </w:pPr>
      <w:r>
        <w:rPr/>
        <w:t>各项应纳税暂时性差异均确认相关的递延所得税负债，除非该应纳税暂时性差异是在以下交易中产生的：</w:t>
      </w:r>
    </w:p>
    <w:p>
      <w:pPr>
        <w:pStyle w:val="BodyText"/>
        <w:spacing w:line="240" w:lineRule="auto" w:before="76"/>
        <w:ind w:left="513" w:right="0"/>
        <w:jc w:val="left"/>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w:t>
      </w:r>
    </w:p>
    <w:p>
      <w:pPr>
        <w:pStyle w:val="BodyText"/>
        <w:spacing w:line="240" w:lineRule="auto" w:before="63"/>
        <w:ind w:right="0"/>
        <w:jc w:val="left"/>
      </w:pPr>
      <w:r>
        <w:rPr/>
        <w:t>生时既不影响会计利润也不影响应纳税所得额；</w:t>
      </w:r>
    </w:p>
    <w:p>
      <w:pPr>
        <w:pStyle w:val="BodyText"/>
        <w:spacing w:line="300" w:lineRule="auto" w:before="76"/>
        <w:ind w:right="1124" w:firstLine="360"/>
        <w:jc w:val="left"/>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 时性差异在可预见的未来很可能不会转回。</w:t>
      </w:r>
    </w:p>
    <w:p>
      <w:pPr>
        <w:pStyle w:val="BodyText"/>
        <w:spacing w:line="316" w:lineRule="auto" w:before="31"/>
        <w:ind w:right="1034" w:firstLine="360"/>
        <w:jc w:val="left"/>
      </w:pPr>
      <w:r>
        <w:rPr>
          <w:spacing w:val="-4"/>
        </w:rPr>
        <w:t>对于可抵扣暂时性差异、能够结转以后年度的可抵扣亏损和税款抵减，本集团以很可能取得用来抵扣可抵扣暂时性差异、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2"/>
        </w:rPr>
        <w:t> </w:t>
      </w:r>
      <w:r>
        <w:rPr>
          <w:spacing w:val="-62"/>
        </w:rPr>
      </w:r>
      <w:r>
        <w:rPr/>
        <w:t>中产生的：</w:t>
      </w:r>
    </w:p>
    <w:p>
      <w:pPr>
        <w:pStyle w:val="BodyText"/>
        <w:spacing w:line="240" w:lineRule="auto" w:before="19"/>
        <w:ind w:left="513" w:right="0"/>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pStyle w:val="BodyText"/>
        <w:spacing w:line="312" w:lineRule="auto" w:before="63"/>
        <w:ind w:right="1124" w:firstLine="360"/>
        <w:jc w:val="left"/>
      </w:pPr>
      <w:r>
        <w:rPr/>
        <w:t>（</w:t>
      </w: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 </w:t>
      </w:r>
      <w:r>
        <w:rPr>
          <w:spacing w:val="-2"/>
        </w:rPr>
        <w:t>于资产负债表日，本集团对递延所得税资产和递延所得税负债，按照预期收回该资产或清偿该负债期间的适用税率计量，并</w:t>
      </w:r>
      <w:r>
        <w:rPr>
          <w:spacing w:val="-63"/>
        </w:rPr>
        <w:t> </w:t>
      </w:r>
      <w:r>
        <w:rPr>
          <w:spacing w:val="-63"/>
        </w:rPr>
      </w:r>
      <w:r>
        <w:rPr/>
        <w:t>反映资产负债表日预期收回资产或清偿负债方式的所得税影响。</w:t>
      </w:r>
    </w:p>
    <w:p>
      <w:pPr>
        <w:spacing w:after="0" w:line="312"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0" w:firstLine="360"/>
        <w:jc w:val="both"/>
      </w:pPr>
      <w:r>
        <w:rPr>
          <w:spacing w:val="-2"/>
        </w:rPr>
        <w:t>于资产负债表日，本集团对递延所得税资产的账面价值进行复核。如果未来期间很可能无法获得足够的应纳税所得额用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3"/>
        </w:rPr>
        <w:t> </w:t>
      </w:r>
      <w:r>
        <w:rPr>
          <w:spacing w:val="-63"/>
        </w:rPr>
      </w:r>
      <w:r>
        <w:rPr/>
        <w:t>回。</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经营租赁中的租金，本集团在租赁期内各个期间按照直线法计入相关资产成本或当期损益；发生的初始直接费用，计入</w:t>
      </w:r>
      <w:r>
        <w:rPr/>
        <w:t> 当期损益。</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本集团将实质上转移了与资产所有权有关的全部风险和报酬的租赁确认为融资租赁，除融资租赁之外的其他租赁确认为</w:t>
      </w:r>
      <w:r>
        <w:rPr/>
        <w:t> 经营租赁。</w:t>
      </w:r>
    </w:p>
    <w:p>
      <w:pPr>
        <w:pStyle w:val="BodyText"/>
        <w:spacing w:line="316" w:lineRule="auto" w:before="19"/>
        <w:ind w:left="513" w:right="0"/>
        <w:jc w:val="left"/>
      </w:pPr>
      <w:r>
        <w:rPr/>
        <w:t>①本集团作为出租人 </w:t>
      </w:r>
      <w:r>
        <w:rPr>
          <w:spacing w:val="-2"/>
        </w:rPr>
        <w:t>融资租赁中，在租赁期开始日本集团按最低租赁收款额与初始直接费用之和作为应收融资租赁款的入账价值，同时记录</w:t>
      </w:r>
    </w:p>
    <w:p>
      <w:pPr>
        <w:pStyle w:val="BodyText"/>
        <w:spacing w:line="316" w:lineRule="auto" w:before="19"/>
        <w:ind w:right="0"/>
        <w:jc w:val="left"/>
      </w:pPr>
      <w:r>
        <w:rPr>
          <w:spacing w:val="-2"/>
        </w:rPr>
        <w:t>未担保余值；将最低租赁收款额、初始直接费用及未担保余值之和与其现值之和的差额确认为未实现融资收益。未实现融资</w:t>
      </w:r>
      <w:r>
        <w:rPr>
          <w:spacing w:val="-63"/>
        </w:rPr>
        <w:t> </w:t>
      </w:r>
      <w:r>
        <w:rPr>
          <w:spacing w:val="-63"/>
        </w:rPr>
      </w:r>
      <w:r>
        <w:rPr/>
        <w:t>收益在租赁期内各个期间采用实际利率法计算确认当期的融资收入。</w:t>
      </w:r>
    </w:p>
    <w:p>
      <w:pPr>
        <w:pStyle w:val="BodyText"/>
        <w:spacing w:line="316" w:lineRule="auto" w:before="19"/>
        <w:ind w:left="513" w:right="0"/>
        <w:jc w:val="left"/>
      </w:pPr>
      <w:r>
        <w:rPr/>
        <w:t>②本集团作为承租人 融资租赁中，在租赁期开始日本集团将租赁资产公允价值与最低租赁付款额现值两者中较低者作为租入资产的入账价</w:t>
      </w:r>
    </w:p>
    <w:p>
      <w:pPr>
        <w:pStyle w:val="BodyText"/>
        <w:spacing w:line="319" w:lineRule="auto" w:before="19"/>
        <w:ind w:right="1130"/>
        <w:jc w:val="both"/>
      </w:pPr>
      <w:r>
        <w:rPr>
          <w:spacing w:val="-2"/>
        </w:rPr>
        <w:t>值，将最低租赁付款额作为长期应付款的入账价值，其差额作为未确认融资费用。初始直接费用计入租入资产价值。未确认</w:t>
      </w:r>
      <w:r>
        <w:rPr>
          <w:spacing w:val="-64"/>
        </w:rPr>
        <w:t> </w:t>
      </w:r>
      <w:r>
        <w:rPr>
          <w:spacing w:val="-64"/>
        </w:rPr>
      </w:r>
      <w:r>
        <w:rPr>
          <w:spacing w:val="-2"/>
        </w:rPr>
        <w:t>融资费用在租赁期内各个期间采用实际利率法计算确认当期的融资费用。本集团采用与自有固定资产相一致的折旧政策计提</w:t>
      </w:r>
      <w:r>
        <w:rPr>
          <w:spacing w:val="-64"/>
        </w:rPr>
        <w:t> </w:t>
      </w:r>
      <w:r>
        <w:rPr>
          <w:spacing w:val="-64"/>
        </w:rPr>
      </w:r>
      <w:r>
        <w:rPr/>
        <w:t>租赁资产折旧。</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51" w:firstLine="360"/>
        <w:jc w:val="both"/>
      </w:pPr>
      <w:r>
        <w:rPr/>
        <w:t>本集团根据历史经验和其它因素，包括对未来事项的合理预期，对所采用的重要会计估计和关键假设进行持续的评价， 主要包括递延所得税资产的确认、定制软件设计开发按完工进度确认收入。</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pict>
          <v:shape style="position:absolute;margin-left:210.529999pt;margin-top:37.751724pt;width:165.05pt;height:126.75pt;mso-position-horizontal-relative:page;mso-position-vertical-relative:paragraph;z-index:-11317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546" w:hRule="exact"/>
        </w:trPr>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日发布了《关</w:t>
            </w:r>
          </w:p>
          <w:p>
            <w:pPr>
              <w:pStyle w:val="TableParagraph"/>
              <w:spacing w:line="316" w:lineRule="auto" w:before="74"/>
              <w:ind w:left="22" w:right="19"/>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55"/>
                <w:sz w:val="18"/>
                <w:szCs w:val="18"/>
              </w:rPr>
              <w:t> </w:t>
            </w: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年度一般企业财务报表 </w:t>
            </w:r>
            <w:r>
              <w:rPr>
                <w:rFonts w:ascii="宋体" w:hAnsi="宋体" w:cs="宋体" w:eastAsia="宋体" w:hint="default"/>
                <w:spacing w:val="-6"/>
                <w:sz w:val="18"/>
                <w:szCs w:val="18"/>
              </w:rPr>
              <w:t>格式的通知》（财会〔</w:t>
            </w:r>
            <w:r>
              <w:rPr>
                <w:rFonts w:ascii="宋体" w:hAnsi="宋体" w:cs="宋体" w:eastAsia="宋体" w:hint="default"/>
                <w:spacing w:val="-6"/>
                <w:sz w:val="18"/>
                <w:szCs w:val="18"/>
              </w:rPr>
              <w:t>2018</w:t>
            </w:r>
            <w:r>
              <w:rPr>
                <w:rFonts w:ascii="宋体" w:hAnsi="宋体" w:cs="宋体" w:eastAsia="宋体" w:hint="default"/>
                <w:spacing w:val="-6"/>
                <w:sz w:val="18"/>
                <w:szCs w:val="18"/>
              </w:rPr>
              <w:t>〕</w:t>
            </w:r>
            <w:r>
              <w:rPr>
                <w:rFonts w:ascii="宋体" w:hAnsi="宋体" w:cs="宋体" w:eastAsia="宋体" w:hint="default"/>
                <w:spacing w:val="-6"/>
                <w:sz w:val="18"/>
                <w:szCs w:val="18"/>
              </w:rPr>
              <w:t>15</w:t>
            </w:r>
            <w:r>
              <w:rPr>
                <w:rFonts w:ascii="宋体" w:hAnsi="宋体" w:cs="宋体" w:eastAsia="宋体" w:hint="default"/>
                <w:spacing w:val="3"/>
                <w:sz w:val="18"/>
                <w:szCs w:val="18"/>
              </w:rPr>
              <w:t> </w:t>
            </w:r>
            <w:r>
              <w:rPr>
                <w:rFonts w:ascii="宋体" w:hAnsi="宋体" w:cs="宋体" w:eastAsia="宋体" w:hint="default"/>
                <w:spacing w:val="-25"/>
                <w:sz w:val="18"/>
                <w:szCs w:val="18"/>
              </w:rPr>
              <w:t>号），要</w:t>
            </w:r>
            <w:r>
              <w:rPr>
                <w:rFonts w:ascii="宋体" w:hAnsi="宋体" w:cs="宋体" w:eastAsia="宋体" w:hint="default"/>
                <w:sz w:val="18"/>
                <w:szCs w:val="18"/>
              </w:rPr>
              <w:t> 求执行企业会计准则的非金融企业按照 修订后的一般企业财务报表格式编制财 务报表。另外财政部于</w:t>
            </w:r>
            <w:r>
              <w:rPr>
                <w:rFonts w:ascii="宋体" w:hAnsi="宋体" w:cs="宋体" w:eastAsia="宋体" w:hint="default"/>
                <w:spacing w:val="-48"/>
                <w:sz w:val="18"/>
                <w:szCs w:val="18"/>
              </w:rPr>
              <w:t> </w:t>
            </w:r>
            <w:r>
              <w:rPr>
                <w:rFonts w:ascii="宋体" w:hAnsi="宋体" w:cs="宋体" w:eastAsia="宋体" w:hint="default"/>
                <w:sz w:val="18"/>
                <w:szCs w:val="18"/>
              </w:rPr>
              <w:t>2018</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日</w:t>
            </w:r>
          </w:p>
          <w:p>
            <w:pPr>
              <w:pStyle w:val="TableParagraph"/>
              <w:spacing w:line="316" w:lineRule="auto" w:before="19"/>
              <w:ind w:left="22" w:right="22"/>
              <w:jc w:val="left"/>
              <w:rPr>
                <w:rFonts w:ascii="宋体" w:hAnsi="宋体" w:cs="宋体" w:eastAsia="宋体" w:hint="default"/>
                <w:sz w:val="18"/>
                <w:szCs w:val="18"/>
              </w:rPr>
            </w:pPr>
            <w:r>
              <w:rPr>
                <w:rFonts w:ascii="宋体" w:hAnsi="宋体" w:cs="宋体" w:eastAsia="宋体" w:hint="default"/>
                <w:spacing w:val="-3"/>
                <w:sz w:val="18"/>
                <w:szCs w:val="18"/>
              </w:rPr>
              <w:t>发布了《关于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年度一般企业财务报 </w:t>
            </w:r>
            <w:r>
              <w:rPr>
                <w:rFonts w:ascii="宋体" w:hAnsi="宋体" w:cs="宋体" w:eastAsia="宋体" w:hint="default"/>
                <w:spacing w:val="-10"/>
                <w:sz w:val="18"/>
                <w:szCs w:val="18"/>
              </w:rPr>
              <w:t>表格式有关问题的解读》，对财会〔</w:t>
            </w:r>
            <w:r>
              <w:rPr>
                <w:rFonts w:ascii="宋体" w:hAnsi="宋体" w:cs="宋体" w:eastAsia="宋体" w:hint="default"/>
                <w:spacing w:val="-10"/>
                <w:sz w:val="18"/>
                <w:szCs w:val="18"/>
              </w:rPr>
              <w:t>2018</w:t>
            </w:r>
          </w:p>
        </w:tc>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经第四届董事会第九次会议、第四届监 事会第八次会议决议通过</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90"/>
      </w:tblGrid>
      <w:tr>
        <w:trPr>
          <w:trHeight w:val="1611" w:hRule="exact"/>
        </w:trPr>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2" w:right="51"/>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号通知中的相关问题等进行了明确。 按照上述通知及相关解读的规定和要 求，公司需对原会计政策进行相应的变 更，并按以上文件规定的起始日开始执 行上述会计准则。</w:t>
            </w:r>
          </w:p>
        </w:tc>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pStyle w:val="BodyText"/>
        <w:spacing w:line="204" w:lineRule="exact"/>
        <w:ind w:left="513" w:right="0"/>
        <w:jc w:val="left"/>
      </w:pPr>
      <w:r>
        <w:rPr/>
        <w:t>①根据财政</w:t>
      </w:r>
      <w:r>
        <w:rPr>
          <w:spacing w:val="-8"/>
        </w:rPr>
        <w:t>部</w:t>
      </w:r>
      <w:r>
        <w:rPr/>
        <w:t>《关于修</w:t>
      </w:r>
      <w:r>
        <w:rPr>
          <w:spacing w:val="-1"/>
        </w:rPr>
        <w:t>订</w:t>
      </w:r>
      <w:r>
        <w:rPr/>
        <w:t>印发</w:t>
      </w:r>
      <w:r>
        <w:rPr>
          <w:spacing w:val="-44"/>
        </w:rPr>
        <w:t> </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rPr>
        <w:t>8</w:t>
      </w:r>
      <w:r>
        <w:rPr>
          <w:rFonts w:ascii="宋体" w:hAnsi="宋体" w:cs="宋体" w:eastAsia="宋体" w:hint="default"/>
          <w:spacing w:val="-44"/>
        </w:rPr>
        <w:t> </w:t>
      </w:r>
      <w:r>
        <w:rPr/>
        <w:t>年度一般企业财务报表</w:t>
      </w:r>
      <w:r>
        <w:rPr>
          <w:spacing w:val="-3"/>
        </w:rPr>
        <w:t>格</w:t>
      </w:r>
      <w:r>
        <w:rPr/>
        <w:t>式的通知</w:t>
      </w:r>
      <w:r>
        <w:rPr>
          <w:spacing w:val="-99"/>
        </w:rPr>
        <w:t>》</w:t>
      </w:r>
      <w:r>
        <w:rPr/>
        <w:t>（财</w:t>
      </w:r>
      <w:r>
        <w:rPr>
          <w:spacing w:val="-7"/>
        </w:rPr>
        <w:t>会</w:t>
      </w:r>
      <w:r>
        <w:rPr/>
        <w:t>〔</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8</w:t>
      </w:r>
      <w:r>
        <w:rPr>
          <w:spacing w:val="-8"/>
        </w:rPr>
        <w:t>〕</w:t>
      </w:r>
      <w:r>
        <w:rPr>
          <w:rFonts w:ascii="宋体" w:hAnsi="宋体" w:cs="宋体" w:eastAsia="宋体" w:hint="default"/>
          <w:spacing w:val="-2"/>
        </w:rPr>
        <w:t>1</w:t>
      </w:r>
      <w:r>
        <w:rPr>
          <w:rFonts w:ascii="宋体" w:hAnsi="宋体" w:cs="宋体" w:eastAsia="宋体" w:hint="default"/>
        </w:rPr>
        <w:t>5</w:t>
      </w:r>
      <w:r>
        <w:rPr>
          <w:rFonts w:ascii="宋体" w:hAnsi="宋体" w:cs="宋体" w:eastAsia="宋体" w:hint="default"/>
          <w:spacing w:val="-44"/>
        </w:rPr>
        <w:t> </w:t>
      </w:r>
      <w:r>
        <w:rPr>
          <w:spacing w:val="-3"/>
        </w:rPr>
        <w:t>号</w:t>
      </w:r>
      <w:r>
        <w:rPr>
          <w:spacing w:val="-92"/>
        </w:rPr>
        <w:t>）</w:t>
      </w:r>
      <w:r>
        <w:rPr>
          <w:spacing w:val="-8"/>
        </w:rPr>
        <w:t>，</w:t>
      </w:r>
      <w:r>
        <w:rPr/>
        <w:t>本集团对财务报表格式</w:t>
      </w:r>
    </w:p>
    <w:p>
      <w:pPr>
        <w:pStyle w:val="BodyText"/>
        <w:spacing w:line="234" w:lineRule="exact"/>
        <w:ind w:right="0"/>
        <w:jc w:val="left"/>
      </w:pPr>
      <w:r>
        <w:rPr/>
        <w:t>进行了以下修订：</w:t>
      </w:r>
    </w:p>
    <w:p>
      <w:pPr>
        <w:pStyle w:val="BodyText"/>
        <w:spacing w:line="300" w:lineRule="auto" w:before="40"/>
        <w:ind w:left="513" w:right="4694"/>
        <w:jc w:val="left"/>
      </w:pPr>
      <w:r>
        <w:rPr>
          <w:rFonts w:ascii="Times New Roman" w:hAnsi="Times New Roman" w:cs="Times New Roman" w:eastAsia="Times New Roman" w:hint="default"/>
        </w:rPr>
        <w:t>A</w:t>
      </w:r>
      <w:r>
        <w:rPr/>
        <w:t>、资产负债表 将原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 将原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w:t>
      </w:r>
    </w:p>
    <w:p>
      <w:pPr>
        <w:pStyle w:val="BodyText"/>
        <w:spacing w:line="300" w:lineRule="auto" w:before="13"/>
        <w:ind w:left="513" w:right="7373"/>
        <w:jc w:val="left"/>
      </w:pPr>
      <w:r>
        <w:rPr>
          <w:rFonts w:ascii="Times New Roman" w:hAnsi="Times New Roman" w:cs="Times New Roman" w:eastAsia="Times New Roman" w:hint="default"/>
        </w:rPr>
        <w:t>B</w:t>
      </w:r>
      <w:r>
        <w:rPr/>
        <w:t>、利润表 从原</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中分拆出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w:t>
      </w:r>
    </w:p>
    <w:p>
      <w:pPr>
        <w:pStyle w:val="BodyText"/>
        <w:spacing w:line="240" w:lineRule="auto" w:before="13"/>
        <w:ind w:left="513" w:right="0"/>
        <w:jc w:val="left"/>
      </w:pP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行项目下分别列示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w:t>
      </w:r>
    </w:p>
    <w:p>
      <w:pPr>
        <w:pStyle w:val="BodyText"/>
        <w:spacing w:line="300" w:lineRule="auto" w:before="63"/>
        <w:ind w:left="513" w:right="0"/>
        <w:jc w:val="left"/>
      </w:pPr>
      <w:r>
        <w:rPr>
          <w:rFonts w:ascii="Times New Roman" w:hAnsi="Times New Roman" w:cs="Times New Roman" w:eastAsia="Times New Roman" w:hint="default"/>
        </w:rPr>
        <w:t>C</w:t>
      </w:r>
      <w:r>
        <w:rPr/>
        <w:t>、股东权益变动表 在</w:t>
      </w:r>
      <w:r>
        <w:rPr>
          <w:rFonts w:ascii="Times New Roman" w:hAnsi="Times New Roman" w:cs="Times New Roman" w:eastAsia="Times New Roman" w:hint="default"/>
        </w:rPr>
        <w:t>“</w:t>
      </w:r>
      <w:r>
        <w:rPr/>
        <w:t>股东权益内部结转</w:t>
      </w:r>
      <w:r>
        <w:rPr>
          <w:rFonts w:ascii="Times New Roman" w:hAnsi="Times New Roman" w:cs="Times New Roman" w:eastAsia="Times New Roman" w:hint="default"/>
        </w:rPr>
        <w:t>”</w:t>
      </w:r>
      <w:r>
        <w:rPr/>
        <w:t>行项目下，将原</w:t>
      </w:r>
      <w:r>
        <w:rPr>
          <w:rFonts w:ascii="Times New Roman" w:hAnsi="Times New Roman" w:cs="Times New Roman" w:eastAsia="Times New Roman" w:hint="default"/>
        </w:rPr>
        <w:t>“</w:t>
      </w:r>
      <w:r>
        <w:rPr/>
        <w:t>结转重新计量设定受益计划净负债或净资产所产生的变动</w:t>
      </w:r>
      <w:r>
        <w:rPr>
          <w:rFonts w:ascii="Times New Roman" w:hAnsi="Times New Roman" w:cs="Times New Roman" w:eastAsia="Times New Roman" w:hint="default"/>
        </w:rPr>
        <w:t>”</w:t>
      </w:r>
      <w:r>
        <w:rPr/>
        <w:t>改为</w:t>
      </w:r>
      <w:r>
        <w:rPr>
          <w:rFonts w:ascii="Times New Roman" w:hAnsi="Times New Roman" w:cs="Times New Roman" w:eastAsia="Times New Roman" w:hint="default"/>
        </w:rPr>
        <w:t>“</w:t>
      </w:r>
      <w:r>
        <w:rPr/>
        <w:t>设定受益计划</w:t>
      </w:r>
    </w:p>
    <w:p>
      <w:pPr>
        <w:pStyle w:val="BodyText"/>
        <w:spacing w:line="300" w:lineRule="auto" w:before="13"/>
        <w:ind w:left="513" w:right="5173" w:hanging="361"/>
        <w:jc w:val="left"/>
      </w:pPr>
      <w:r>
        <w:rPr/>
        <w:t>变动额结转留存收益</w:t>
      </w:r>
      <w:r>
        <w:rPr>
          <w:rFonts w:ascii="Times New Roman" w:hAnsi="Times New Roman" w:cs="Times New Roman" w:eastAsia="Times New Roman" w:hint="default"/>
        </w:rPr>
        <w:t>”</w:t>
      </w:r>
      <w:r>
        <w:rPr/>
        <w:t>。 本集团对可比期间的比较数据按照财会〔</w:t>
      </w:r>
      <w:r>
        <w:rPr>
          <w:rFonts w:ascii="宋体" w:hAnsi="宋体" w:cs="宋体" w:eastAsia="宋体" w:hint="default"/>
        </w:rPr>
        <w:t>2018</w:t>
      </w:r>
      <w:r>
        <w:rPr/>
        <w:t>〕</w:t>
      </w:r>
      <w:r>
        <w:rPr>
          <w:rFonts w:ascii="Times New Roman" w:hAnsi="Times New Roman" w:cs="Times New Roman" w:eastAsia="Times New Roman" w:hint="default"/>
        </w:rPr>
        <w:t>15</w:t>
      </w:r>
      <w:r>
        <w:rPr/>
        <w:t>号文进行调整。</w:t>
      </w:r>
    </w:p>
    <w:p>
      <w:pPr>
        <w:pStyle w:val="BodyText"/>
        <w:spacing w:line="240" w:lineRule="auto" w:before="13"/>
        <w:ind w:left="513" w:right="0"/>
        <w:jc w:val="left"/>
      </w:pPr>
      <w:r>
        <w:rPr/>
        <w:t>财务报表格式的修订对本集团的资产总额、负债总额、净利润、其他综合收益等无影响。</w:t>
      </w:r>
    </w:p>
    <w:p>
      <w:pPr>
        <w:pStyle w:val="BodyText"/>
        <w:spacing w:line="338" w:lineRule="auto" w:before="117"/>
        <w:ind w:left="513" w:right="0"/>
        <w:jc w:val="left"/>
      </w:pPr>
      <w:r>
        <w:rPr/>
        <w:t>②根据财政部《关于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年度一般企业财务报表格式有关问题的解读》 </w:t>
      </w:r>
      <w:r>
        <w:rPr>
          <w:spacing w:val="-2"/>
        </w:rPr>
        <w:t>本集团作为个人所得税的扣缴义务人，根据《中华人民共和国个人所得税法》收到的扣缴税款手续费在</w:t>
      </w:r>
      <w:r>
        <w:rPr>
          <w:rFonts w:ascii="Times New Roman" w:hAnsi="Times New Roman" w:cs="Times New Roman" w:eastAsia="Times New Roman" w:hint="default"/>
          <w:spacing w:val="-2"/>
        </w:rPr>
        <w:t>“</w:t>
      </w:r>
      <w:r>
        <w:rPr>
          <w:spacing w:val="-2"/>
        </w:rPr>
        <w:t>其他收益</w:t>
      </w:r>
      <w:r>
        <w:rPr>
          <w:rFonts w:ascii="Times New Roman" w:hAnsi="Times New Roman" w:cs="Times New Roman" w:eastAsia="Times New Roman" w:hint="default"/>
          <w:spacing w:val="-2"/>
        </w:rPr>
        <w:t>”</w:t>
      </w:r>
      <w:r>
        <w:rPr>
          <w:spacing w:val="-2"/>
        </w:rPr>
        <w:t>中填</w:t>
      </w:r>
    </w:p>
    <w:p>
      <w:pPr>
        <w:pStyle w:val="BodyText"/>
        <w:spacing w:line="217" w:lineRule="exact"/>
        <w:ind w:right="0"/>
        <w:jc w:val="left"/>
      </w:pPr>
      <w:r>
        <w:rPr/>
        <w:t>列。</w:t>
      </w:r>
    </w:p>
    <w:p>
      <w:pPr>
        <w:pStyle w:val="BodyText"/>
        <w:spacing w:line="240" w:lineRule="auto" w:before="76"/>
        <w:ind w:left="513" w:right="0"/>
        <w:jc w:val="left"/>
      </w:pPr>
      <w:r>
        <w:rPr/>
        <w:t>本集团实际收到的政府补助，无论是与资产相关还是与收益相关，在编制现金流量表时均作为经营活动产生的现金流量</w:t>
      </w:r>
    </w:p>
    <w:p>
      <w:pPr>
        <w:pStyle w:val="BodyText"/>
        <w:spacing w:line="240" w:lineRule="auto" w:before="76"/>
        <w:ind w:right="0"/>
        <w:jc w:val="left"/>
      </w:pPr>
      <w:r>
        <w:rPr/>
        <w:t>列报。</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六、税项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04" w:lineRule="exact"/>
        <w:ind w:left="510" w:right="0"/>
        <w:jc w:val="left"/>
      </w:pPr>
      <w:r>
        <w:rPr/>
        <w:t>说明</w:t>
      </w:r>
      <w:r>
        <w:rPr>
          <w:spacing w:val="-46"/>
        </w:rPr>
        <w:t> </w:t>
      </w:r>
      <w:r>
        <w:rPr>
          <w:rFonts w:ascii="宋体" w:hAnsi="宋体" w:cs="宋体" w:eastAsia="宋体" w:hint="default"/>
        </w:rPr>
        <w:t>1</w:t>
      </w:r>
      <w:r>
        <w:rPr/>
        <w:t>：根据“财税〔</w:t>
      </w:r>
      <w:r>
        <w:rPr>
          <w:rFonts w:ascii="宋体" w:hAnsi="宋体" w:cs="宋体" w:eastAsia="宋体" w:hint="default"/>
        </w:rPr>
        <w:t>2018</w:t>
      </w:r>
      <w:r>
        <w:rPr/>
        <w:t>〕</w:t>
      </w:r>
      <w:r>
        <w:rPr>
          <w:rFonts w:ascii="宋体" w:hAnsi="宋体" w:cs="宋体" w:eastAsia="宋体" w:hint="default"/>
        </w:rPr>
        <w:t>32</w:t>
      </w:r>
      <w:r>
        <w:rPr>
          <w:rFonts w:ascii="宋体" w:hAnsi="宋体" w:cs="宋体" w:eastAsia="宋体" w:hint="default"/>
          <w:spacing w:val="-44"/>
        </w:rPr>
        <w:t> </w:t>
      </w:r>
      <w:r>
        <w:rPr/>
        <w:t>号”文《关于调整增值税税率的通知》的规定，自</w:t>
      </w:r>
      <w:r>
        <w:rPr>
          <w:spacing w:val="-46"/>
        </w:rPr>
        <w:t> </w:t>
      </w:r>
      <w:r>
        <w:rPr>
          <w:rFonts w:ascii="宋体" w:hAnsi="宋体" w:cs="宋体" w:eastAsia="宋体" w:hint="default"/>
        </w:rPr>
        <w:t>2018</w:t>
      </w:r>
      <w:r>
        <w:rPr>
          <w:rFonts w:ascii="宋体" w:hAnsi="宋体" w:cs="宋体" w:eastAsia="宋体" w:hint="default"/>
          <w:spacing w:val="-47"/>
        </w:rPr>
        <w:t> </w:t>
      </w:r>
      <w:r>
        <w:rPr/>
        <w:t>年</w:t>
      </w:r>
      <w:r>
        <w:rPr>
          <w:spacing w:val="-46"/>
        </w:rPr>
        <w:t> </w:t>
      </w:r>
      <w:r>
        <w:rPr>
          <w:rFonts w:ascii="宋体" w:hAnsi="宋体" w:cs="宋体" w:eastAsia="宋体" w:hint="default"/>
        </w:rPr>
        <w:t>5</w:t>
      </w:r>
      <w:r>
        <w:rPr>
          <w:rFonts w:ascii="宋体" w:hAnsi="宋体" w:cs="宋体" w:eastAsia="宋体" w:hint="default"/>
          <w:spacing w:val="-45"/>
        </w:rPr>
        <w:t> </w:t>
      </w:r>
      <w:r>
        <w:rPr/>
        <w:t>月</w:t>
      </w:r>
      <w:r>
        <w:rPr>
          <w:spacing w:val="-45"/>
        </w:rPr>
        <w:t> </w:t>
      </w:r>
      <w:r>
        <w:rPr>
          <w:rFonts w:ascii="宋体" w:hAnsi="宋体" w:cs="宋体" w:eastAsia="宋体" w:hint="default"/>
        </w:rPr>
        <w:t>1</w:t>
      </w:r>
      <w:r>
        <w:rPr>
          <w:rFonts w:ascii="宋体" w:hAnsi="宋体" w:cs="宋体" w:eastAsia="宋体" w:hint="default"/>
          <w:spacing w:val="-45"/>
        </w:rPr>
        <w:t> </w:t>
      </w:r>
      <w:r>
        <w:rPr/>
        <w:t>日，本公司及子公司</w:t>
      </w:r>
    </w:p>
    <w:p>
      <w:pPr>
        <w:pStyle w:val="BodyText"/>
        <w:spacing w:line="234" w:lineRule="exact"/>
        <w:ind w:left="150" w:right="0"/>
        <w:jc w:val="left"/>
      </w:pPr>
      <w:r>
        <w:rPr/>
        <w:t>发生增值税应税销售行为，原适用</w:t>
      </w:r>
      <w:r>
        <w:rPr>
          <w:spacing w:val="-45"/>
        </w:rPr>
        <w:t> </w:t>
      </w:r>
      <w:r>
        <w:rPr>
          <w:rFonts w:ascii="宋体" w:hAnsi="宋体" w:cs="宋体" w:eastAsia="宋体" w:hint="default"/>
        </w:rPr>
        <w:t>17%</w:t>
      </w:r>
      <w:r>
        <w:rPr/>
        <w:t>和</w:t>
      </w:r>
      <w:r>
        <w:rPr>
          <w:spacing w:val="-46"/>
        </w:rPr>
        <w:t> </w:t>
      </w:r>
      <w:r>
        <w:rPr>
          <w:rFonts w:ascii="宋体" w:hAnsi="宋体" w:cs="宋体" w:eastAsia="宋体" w:hint="default"/>
        </w:rPr>
        <w:t>11%</w:t>
      </w:r>
      <w:r>
        <w:rPr/>
        <w:t>税率的，税率分别调整为</w:t>
      </w:r>
      <w:r>
        <w:rPr>
          <w:spacing w:val="-46"/>
        </w:rPr>
        <w:t> </w:t>
      </w:r>
      <w:r>
        <w:rPr>
          <w:rFonts w:ascii="宋体" w:hAnsi="宋体" w:cs="宋体" w:eastAsia="宋体" w:hint="default"/>
        </w:rPr>
        <w:t>16%</w:t>
      </w:r>
      <w:r>
        <w:rPr/>
        <w:t>、</w:t>
      </w:r>
      <w:r>
        <w:rPr>
          <w:rFonts w:ascii="宋体" w:hAnsi="宋体" w:cs="宋体" w:eastAsia="宋体" w:hint="default"/>
        </w:rPr>
        <w:t>10%</w:t>
      </w:r>
      <w:r>
        <w:rPr/>
        <w:t>。</w:t>
      </w:r>
    </w:p>
    <w:p>
      <w:pPr>
        <w:pStyle w:val="BodyText"/>
        <w:spacing w:line="232" w:lineRule="exact" w:before="24"/>
        <w:ind w:right="1130" w:firstLine="360"/>
        <w:jc w:val="both"/>
      </w:pPr>
      <w:r>
        <w:rPr/>
        <w:t>说明</w:t>
      </w:r>
      <w:r>
        <w:rPr>
          <w:spacing w:val="-36"/>
        </w:rPr>
        <w:t> </w:t>
      </w:r>
      <w:r>
        <w:rPr>
          <w:rFonts w:ascii="宋体" w:hAnsi="宋体" w:cs="宋体" w:eastAsia="宋体" w:hint="default"/>
        </w:rPr>
        <w:t>2</w:t>
      </w:r>
      <w:r>
        <w:rPr/>
        <w:t>：根据“财税</w:t>
      </w:r>
      <w:r>
        <w:rPr>
          <w:rFonts w:ascii="宋体" w:hAnsi="宋体" w:cs="宋体" w:eastAsia="宋体" w:hint="default"/>
        </w:rPr>
        <w:t>[2011]100</w:t>
      </w:r>
      <w:r>
        <w:rPr>
          <w:rFonts w:ascii="宋体" w:hAnsi="宋体" w:cs="宋体" w:eastAsia="宋体" w:hint="default"/>
          <w:spacing w:val="-36"/>
        </w:rPr>
        <w:t> </w:t>
      </w:r>
      <w:r>
        <w:rPr/>
        <w:t>号”文《财政部 国家税务总局关于软件产品增值税政策的通知》的规定，自</w:t>
      </w:r>
      <w:r>
        <w:rPr>
          <w:spacing w:val="-35"/>
        </w:rPr>
        <w:t> </w:t>
      </w:r>
      <w:r>
        <w:rPr>
          <w:rFonts w:ascii="宋体" w:hAnsi="宋体" w:cs="宋体" w:eastAsia="宋体" w:hint="default"/>
        </w:rPr>
        <w:t>2011</w:t>
      </w:r>
      <w:r>
        <w:rPr>
          <w:rFonts w:ascii="宋体" w:hAnsi="宋体" w:cs="宋体" w:eastAsia="宋体" w:hint="default"/>
          <w:spacing w:val="-35"/>
        </w:rPr>
        <w:t> </w:t>
      </w:r>
      <w:r>
        <w:rPr/>
        <w:t>年</w:t>
      </w:r>
      <w:r>
        <w:rPr>
          <w:spacing w:val="-36"/>
        </w:rPr>
        <w:t> </w:t>
      </w:r>
      <w:r>
        <w:rPr>
          <w:rFonts w:ascii="宋体" w:hAnsi="宋体" w:cs="宋体" w:eastAsia="宋体" w:hint="default"/>
        </w:rPr>
        <w:t>1 </w:t>
      </w:r>
      <w:r>
        <w:rPr/>
        <w:t>月</w:t>
      </w:r>
      <w:r>
        <w:rPr>
          <w:spacing w:val="-29"/>
        </w:rPr>
        <w:t> </w:t>
      </w:r>
      <w:r>
        <w:rPr>
          <w:rFonts w:ascii="宋体" w:hAnsi="宋体" w:cs="宋体" w:eastAsia="宋体" w:hint="default"/>
        </w:rPr>
        <w:t>1</w:t>
      </w:r>
      <w:r>
        <w:rPr>
          <w:rFonts w:ascii="宋体" w:hAnsi="宋体" w:cs="宋体" w:eastAsia="宋体" w:hint="default"/>
          <w:spacing w:val="-28"/>
        </w:rPr>
        <w:t> </w:t>
      </w:r>
      <w:r>
        <w:rPr/>
        <w:t>日起，本公司及子公司销售自行开发生产的软件产品，按</w:t>
      </w:r>
      <w:r>
        <w:rPr>
          <w:spacing w:val="-29"/>
        </w:rPr>
        <w:t> </w:t>
      </w:r>
      <w:r>
        <w:rPr>
          <w:rFonts w:ascii="宋体" w:hAnsi="宋体" w:cs="宋体" w:eastAsia="宋体" w:hint="default"/>
        </w:rPr>
        <w:t>17%</w:t>
      </w:r>
      <w:r>
        <w:rPr/>
        <w:t>（</w:t>
      </w:r>
      <w:r>
        <w:rPr>
          <w:rFonts w:ascii="宋体" w:hAnsi="宋体" w:cs="宋体" w:eastAsia="宋体" w:hint="default"/>
        </w:rPr>
        <w:t>16%</w:t>
      </w:r>
      <w:r>
        <w:rPr/>
        <w:t>）的法定税率征收增值税后，对其增值税实际税负 超过</w:t>
      </w:r>
      <w:r>
        <w:rPr>
          <w:spacing w:val="-46"/>
        </w:rPr>
        <w:t> </w:t>
      </w:r>
      <w:r>
        <w:rPr>
          <w:rFonts w:ascii="宋体" w:hAnsi="宋体" w:cs="宋体" w:eastAsia="宋体" w:hint="default"/>
        </w:rPr>
        <w:t>3%</w:t>
      </w:r>
      <w:r>
        <w:rPr/>
        <w:t>的部分实行即征即退政策。</w:t>
      </w:r>
    </w:p>
    <w:p>
      <w:pPr>
        <w:pStyle w:val="BodyText"/>
        <w:spacing w:line="319" w:lineRule="auto" w:before="17"/>
        <w:ind w:right="1140" w:firstLine="360"/>
        <w:jc w:val="both"/>
      </w:pPr>
      <w:r>
        <w:rPr/>
        <w:t>说明</w:t>
      </w:r>
      <w:r>
        <w:rPr>
          <w:spacing w:val="-49"/>
        </w:rPr>
        <w:t> </w:t>
      </w:r>
      <w:r>
        <w:rPr>
          <w:rFonts w:ascii="宋体" w:hAnsi="宋体" w:cs="宋体" w:eastAsia="宋体" w:hint="default"/>
        </w:rPr>
        <w:t>3</w:t>
      </w:r>
      <w:r>
        <w:rPr/>
        <w:t>：根据财政部和国家税务总局“财税字</w:t>
      </w:r>
      <w:r>
        <w:rPr>
          <w:rFonts w:ascii="宋体" w:hAnsi="宋体" w:cs="宋体" w:eastAsia="宋体" w:hint="default"/>
        </w:rPr>
        <w:t>[1999]273</w:t>
      </w:r>
      <w:r>
        <w:rPr>
          <w:rFonts w:ascii="宋体" w:hAnsi="宋体" w:cs="宋体" w:eastAsia="宋体" w:hint="default"/>
          <w:spacing w:val="-47"/>
        </w:rPr>
        <w:t> </w:t>
      </w:r>
      <w:r>
        <w:rPr/>
        <w:t>号”文《关于贯彻落实〈中共中央国务院关于加强技术创新， </w:t>
      </w:r>
      <w:r>
        <w:rPr>
          <w:spacing w:val="-2"/>
        </w:rPr>
        <w:t>发展高科技，实现产业化的决定〉有关税收问题的通知》，从事技术转让、技术开发业务和与之相关的技术咨询、技术服务</w:t>
      </w:r>
      <w:r>
        <w:rPr>
          <w:spacing w:val="-72"/>
        </w:rPr>
        <w:t> </w:t>
      </w:r>
      <w:r>
        <w:rPr>
          <w:spacing w:val="-72"/>
        </w:rPr>
      </w:r>
      <w:r>
        <w:rPr/>
        <w:t>业务取得的收入，免征营业税。本公司及子公司的技术开发、技术转让收入免征营业税，营改增后免征增值税。</w:t>
      </w:r>
    </w:p>
    <w:p>
      <w:pPr>
        <w:pStyle w:val="BodyText"/>
        <w:spacing w:line="240" w:lineRule="auto" w:before="58"/>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厦门市纵达科技有限公司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福州市鼓楼区易思达系统集成有限公司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宁夏易联众信息技术有限公司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厦门易联众商业保理有限公司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易康吉保险经纪有限责任公司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厦门易联众网络科技有限公司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厦门易联众融资租赁有限公司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三明易联众信息技术有限公司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易联众（厦门）人力资源服务有限公司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广州易联众睿图信息技术有限公司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山西易联众民生科技有限公司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湖州百路源投资管理有限公司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安徽易惠天下软件科技有限公司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山西无感付科技有限公司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福州欣贝康医药科技有限公司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保睿通（厦门）信息科技有限公司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福建易联众医卫信息技术有限公司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厦门易联众长青科技有限公司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福建易联众易达迅教育科技有限公司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易联众通达易（厦门）信息科技有限公司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安徽易联众民生科技有限公司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北京易联众智康科技有限公司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123"/>
        <w:jc w:val="left"/>
      </w:pPr>
      <w:r>
        <w:rPr/>
        <w:t>（</w:t>
      </w:r>
      <w:r>
        <w:rPr>
          <w:rFonts w:ascii="Times New Roman" w:hAnsi="Times New Roman" w:cs="Times New Roman" w:eastAsia="Times New Roman" w:hint="default"/>
        </w:rPr>
        <w:t>1</w:t>
      </w:r>
      <w:r>
        <w:rPr/>
        <w:t>）增值税 根据《国务院关于印发进一步鼓励软件产业和集成电路产业发展若干政策的通知》（国发〔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号）、《关于软件</w:t>
      </w:r>
    </w:p>
    <w:p>
      <w:pPr>
        <w:pStyle w:val="BodyText"/>
        <w:spacing w:line="300" w:lineRule="auto" w:before="13"/>
        <w:ind w:right="1124"/>
        <w:jc w:val="left"/>
      </w:pPr>
      <w:r>
        <w:rPr/>
        <w:t>产品增值税政策的通知》（财税</w:t>
      </w:r>
      <w:r>
        <w:rPr>
          <w:rFonts w:ascii="宋体" w:hAnsi="宋体" w:cs="宋体" w:eastAsia="宋体" w:hint="default"/>
        </w:rPr>
        <w:t>[2011]100</w:t>
      </w:r>
      <w:r>
        <w:rPr/>
        <w:t>号）规定，对增值税一般纳税人销售其自行开发生产的软件产品，按</w:t>
      </w:r>
      <w:r>
        <w:rPr>
          <w:rFonts w:ascii="Times New Roman" w:hAnsi="Times New Roman" w:cs="Times New Roman" w:eastAsia="Times New Roman" w:hint="default"/>
        </w:rPr>
        <w:t>17</w:t>
      </w:r>
      <w:r>
        <w:rPr/>
        <w:t>％的法定 税率征收增值税后，对其增值税实际税负超过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300" w:lineRule="auto" w:before="13"/>
        <w:ind w:left="513" w:right="1123"/>
        <w:jc w:val="left"/>
      </w:pPr>
      <w:r>
        <w:rPr/>
        <w:t>（</w:t>
      </w:r>
      <w:r>
        <w:rPr>
          <w:rFonts w:ascii="Times New Roman" w:hAnsi="Times New Roman" w:cs="Times New Roman" w:eastAsia="Times New Roman" w:hint="default"/>
        </w:rPr>
        <w:t>2</w:t>
      </w:r>
      <w:r>
        <w:rPr/>
        <w:t>）企业所得税 说明</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日通过复审，被厦门市科学技术局等相关部门继续认定为高新技术企业，根据《中华人</w:t>
      </w:r>
    </w:p>
    <w:p>
      <w:pPr>
        <w:pStyle w:val="BodyText"/>
        <w:spacing w:line="300" w:lineRule="auto" w:before="13"/>
        <w:ind w:left="513" w:right="1123" w:hanging="361"/>
        <w:jc w:val="left"/>
      </w:pPr>
      <w:r>
        <w:rPr/>
        <w:t>民共和国企业所得税法》及相关法规规定，本公司</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年减按</w:t>
      </w:r>
      <w:r>
        <w:rPr>
          <w:rFonts w:ascii="Times New Roman" w:hAnsi="Times New Roman" w:cs="Times New Roman" w:eastAsia="Times New Roman" w:hint="default"/>
        </w:rPr>
        <w:t>15%</w:t>
      </w:r>
      <w:r>
        <w:rPr/>
        <w:t>税率缴纳企业所得税。 说明</w:t>
      </w:r>
      <w:r>
        <w:rPr>
          <w:rFonts w:ascii="Times New Roman" w:hAnsi="Times New Roman" w:cs="Times New Roman" w:eastAsia="Times New Roman" w:hint="default"/>
        </w:rPr>
        <w:t>2</w:t>
      </w:r>
      <w:r>
        <w:rPr/>
        <w:t>：安徽易联众于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日被安徽省科学技术厅等相关部门认定为高新技术企业。根据《中华人民共和国企</w:t>
      </w:r>
    </w:p>
    <w:p>
      <w:pPr>
        <w:pStyle w:val="BodyText"/>
        <w:spacing w:line="300" w:lineRule="auto" w:before="13"/>
        <w:ind w:left="513" w:right="1123" w:hanging="361"/>
        <w:jc w:val="left"/>
      </w:pPr>
      <w:r>
        <w:rPr/>
        <w:t>业所得税法》及相关法规规定，</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年减按</w:t>
      </w:r>
      <w:r>
        <w:rPr>
          <w:rFonts w:ascii="Times New Roman" w:hAnsi="Times New Roman" w:cs="Times New Roman" w:eastAsia="Times New Roman" w:hint="default"/>
        </w:rPr>
        <w:t>15%</w:t>
      </w:r>
      <w:r>
        <w:rPr/>
        <w:t>税率缴纳企业所得税。 说明</w:t>
      </w:r>
      <w:r>
        <w:rPr>
          <w:rFonts w:ascii="Times New Roman" w:hAnsi="Times New Roman" w:cs="Times New Roman" w:eastAsia="Times New Roman" w:hint="default"/>
        </w:rPr>
        <w:t>3</w:t>
      </w:r>
      <w:r>
        <w:rPr/>
        <w:t>：山西易联众于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日被山西省科学技术厅等相关部门认定为高新技术企业。根据《中华人民共和国企</w:t>
      </w:r>
    </w:p>
    <w:p>
      <w:pPr>
        <w:pStyle w:val="BodyText"/>
        <w:spacing w:line="300" w:lineRule="auto" w:before="13"/>
        <w:ind w:left="513" w:right="1123" w:hanging="361"/>
        <w:jc w:val="left"/>
      </w:pPr>
      <w:r>
        <w:rPr/>
        <w:t>业所得税法》及相关法规规定，</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年减按</w:t>
      </w:r>
      <w:r>
        <w:rPr>
          <w:rFonts w:ascii="Times New Roman" w:hAnsi="Times New Roman" w:cs="Times New Roman" w:eastAsia="Times New Roman" w:hint="default"/>
        </w:rPr>
        <w:t>15%</w:t>
      </w:r>
      <w:r>
        <w:rPr/>
        <w:t>税率缴纳企业所得税。 说明</w:t>
      </w:r>
      <w:r>
        <w:rPr>
          <w:rFonts w:ascii="Times New Roman" w:hAnsi="Times New Roman" w:cs="Times New Roman" w:eastAsia="Times New Roman" w:hint="default"/>
        </w:rPr>
        <w:t>4</w:t>
      </w:r>
      <w:r>
        <w:rPr/>
        <w:t>：电子科技于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月被福建省科学技术厅等相关部门认定为高新技术企业，根据《中华人民共和国企业所得</w:t>
      </w:r>
    </w:p>
    <w:p>
      <w:pPr>
        <w:pStyle w:val="BodyText"/>
        <w:spacing w:line="300" w:lineRule="auto" w:before="13"/>
        <w:ind w:left="513" w:right="1123" w:hanging="361"/>
        <w:jc w:val="left"/>
      </w:pPr>
      <w:r>
        <w:rPr/>
        <w:t>税法》及相关法规规定，电子科技</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年减按</w:t>
      </w:r>
      <w:r>
        <w:rPr>
          <w:rFonts w:ascii="Times New Roman" w:hAnsi="Times New Roman" w:cs="Times New Roman" w:eastAsia="Times New Roman" w:hint="default"/>
        </w:rPr>
        <w:t>15%</w:t>
      </w:r>
      <w:r>
        <w:rPr/>
        <w:t>税率缴纳企业所得税。 说明</w:t>
      </w:r>
      <w:r>
        <w:rPr>
          <w:rFonts w:ascii="Times New Roman" w:hAnsi="Times New Roman" w:cs="Times New Roman" w:eastAsia="Times New Roman" w:hint="default"/>
        </w:rPr>
        <w:t>5</w:t>
      </w:r>
      <w:r>
        <w:rPr/>
        <w:t>：湖南易联众于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日被湖南省科学技术厅等相关部门认定为高新技术企业，根据《中华人民共和国企业</w:t>
      </w:r>
    </w:p>
    <w:p>
      <w:pPr>
        <w:spacing w:after="0" w:line="30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left="513" w:right="1123" w:hanging="361"/>
        <w:jc w:val="left"/>
      </w:pPr>
      <w:r>
        <w:rPr/>
        <w:t>所得税法》及相关法规规定，湖南易联众</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年减按</w:t>
      </w:r>
      <w:r>
        <w:rPr>
          <w:rFonts w:ascii="Times New Roman" w:hAnsi="Times New Roman" w:cs="Times New Roman" w:eastAsia="Times New Roman" w:hint="default"/>
        </w:rPr>
        <w:t>15%</w:t>
      </w:r>
      <w:r>
        <w:rPr/>
        <w:t>税率缴纳企业所得税。 说明</w:t>
      </w:r>
      <w:r>
        <w:rPr>
          <w:rFonts w:ascii="Times New Roman" w:hAnsi="Times New Roman" w:cs="Times New Roman" w:eastAsia="Times New Roman" w:hint="default"/>
        </w:rPr>
        <w:t>6</w:t>
      </w:r>
      <w:r>
        <w:rPr/>
        <w:t>：广西易联众于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日被广西壮族自治区科学技术厅等相关部门认定为高新技术企业，根据《中华人民</w:t>
      </w:r>
    </w:p>
    <w:p>
      <w:pPr>
        <w:pStyle w:val="BodyText"/>
        <w:spacing w:line="300" w:lineRule="auto" w:before="13"/>
        <w:ind w:left="513" w:right="1123" w:hanging="361"/>
        <w:jc w:val="left"/>
      </w:pPr>
      <w:r>
        <w:rPr/>
        <w:t>共和国企业所得税法》及相关法规规定，广西易联众</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年减按</w:t>
      </w:r>
      <w:r>
        <w:rPr>
          <w:rFonts w:ascii="Times New Roman" w:hAnsi="Times New Roman" w:cs="Times New Roman" w:eastAsia="Times New Roman" w:hint="default"/>
        </w:rPr>
        <w:t>15%</w:t>
      </w:r>
      <w:r>
        <w:rPr/>
        <w:t>税率缴纳企业所得税。 说明</w:t>
      </w:r>
      <w:r>
        <w:rPr>
          <w:rFonts w:ascii="Times New Roman" w:hAnsi="Times New Roman" w:cs="Times New Roman" w:eastAsia="Times New Roman" w:hint="default"/>
        </w:rPr>
        <w:t>7</w:t>
      </w:r>
      <w:r>
        <w:rPr/>
        <w:t>：厦门纵达于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月被福建省科学技术厅等相关部门认定为高新技术企业，根据《中华人民共和国企业所得</w:t>
      </w:r>
    </w:p>
    <w:p>
      <w:pPr>
        <w:pStyle w:val="BodyText"/>
        <w:spacing w:line="300" w:lineRule="auto" w:before="13"/>
        <w:ind w:left="513" w:right="0" w:hanging="361"/>
        <w:jc w:val="left"/>
        <w:rPr>
          <w:rFonts w:ascii="Times New Roman" w:hAnsi="Times New Roman" w:cs="Times New Roman" w:eastAsia="Times New Roman" w:hint="default"/>
        </w:rPr>
      </w:pPr>
      <w:r>
        <w:rPr/>
        <w:t>税法》及相关法规规定，</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年减按</w:t>
      </w:r>
      <w:r>
        <w:rPr>
          <w:rFonts w:ascii="Times New Roman" w:hAnsi="Times New Roman" w:cs="Times New Roman" w:eastAsia="Times New Roman" w:hint="default"/>
        </w:rPr>
        <w:t>15%</w:t>
      </w:r>
      <w:r>
        <w:rPr/>
        <w:t>税率缴纳企业所得税。 说明</w:t>
      </w:r>
      <w:r>
        <w:rPr>
          <w:rFonts w:ascii="Times New Roman" w:hAnsi="Times New Roman" w:cs="Times New Roman" w:eastAsia="Times New Roman" w:hint="default"/>
        </w:rPr>
        <w:t>8</w:t>
      </w:r>
      <w:r>
        <w:rPr/>
        <w:t>：根据《国务院关于经济特区和上海浦东新区新设立高新技术企业实行过渡性税收优惠的通知》（国发</w:t>
      </w:r>
      <w:r>
        <w:rPr>
          <w:rFonts w:ascii="Times New Roman" w:hAnsi="Times New Roman" w:cs="Times New Roman" w:eastAsia="Times New Roman" w:hint="default"/>
        </w:rPr>
        <w:t>[2017]40</w:t>
      </w:r>
    </w:p>
    <w:p>
      <w:pPr>
        <w:pStyle w:val="BodyText"/>
        <w:spacing w:line="304" w:lineRule="auto" w:before="13"/>
        <w:ind w:right="1130"/>
        <w:jc w:val="both"/>
      </w:pPr>
      <w:r>
        <w:rPr>
          <w:spacing w:val="-1"/>
        </w:rPr>
        <w:t>号）、《财政部、国家税务总局关于贯彻落实国务院关于实施企业所得税过渡优惠有关问题的通知》（财税</w:t>
      </w:r>
      <w:r>
        <w:rPr>
          <w:rFonts w:ascii="Times New Roman" w:hAnsi="Times New Roman" w:cs="Times New Roman" w:eastAsia="Times New Roman" w:hint="default"/>
          <w:spacing w:val="-1"/>
        </w:rPr>
        <w:t>[2008]21</w:t>
      </w:r>
      <w:r>
        <w:rPr>
          <w:spacing w:val="-1"/>
        </w:rPr>
        <w:t>号）的</w:t>
      </w:r>
      <w:r>
        <w:rPr>
          <w:spacing w:val="-60"/>
        </w:rPr>
        <w:t> </w:t>
      </w:r>
      <w:r>
        <w:rPr>
          <w:spacing w:val="-60"/>
        </w:rPr>
      </w:r>
      <w:r>
        <w:rPr/>
        <w:t>有关规定</w:t>
      </w:r>
      <w:r>
        <w:rPr>
          <w:rFonts w:ascii="Times New Roman" w:hAnsi="Times New Roman" w:cs="Times New Roman" w:eastAsia="Times New Roman" w:hint="default"/>
        </w:rPr>
        <w:t>“</w:t>
      </w:r>
      <w:r>
        <w:rPr/>
        <w:t>经济特区和上海浦东新区内，在</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日（含）之后完成注册的国家需要重点扶持的高新技术企业，在经济</w:t>
      </w:r>
      <w:r>
        <w:rPr>
          <w:spacing w:val="-77"/>
        </w:rPr>
        <w:t> </w:t>
      </w:r>
      <w:r>
        <w:rPr>
          <w:spacing w:val="-77"/>
        </w:rPr>
      </w:r>
      <w:r>
        <w:rPr>
          <w:spacing w:val="-2"/>
        </w:rPr>
        <w:t>特区和上海浦东新区内取得的所得，自取得第一笔生产经营收入所属纳税年度起，第一年至第二年免征企业所得税，第三年</w:t>
      </w:r>
      <w:r>
        <w:rPr>
          <w:spacing w:val="-63"/>
        </w:rPr>
        <w:t> </w:t>
      </w:r>
      <w:r>
        <w:rPr>
          <w:spacing w:val="-63"/>
        </w:rPr>
      </w:r>
      <w:r>
        <w:rPr>
          <w:spacing w:val="-1"/>
        </w:rPr>
        <w:t>至第五年按照</w:t>
      </w:r>
      <w:r>
        <w:rPr>
          <w:rFonts w:ascii="Times New Roman" w:hAnsi="Times New Roman" w:cs="Times New Roman" w:eastAsia="Times New Roman" w:hint="default"/>
          <w:spacing w:val="-1"/>
        </w:rPr>
        <w:t>25%</w:t>
      </w:r>
      <w:r>
        <w:rPr>
          <w:spacing w:val="-1"/>
        </w:rPr>
        <w:t>法定税率减半征收企业所得税。智能科技于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月取得国家高新技术企业证书，</w:t>
      </w:r>
      <w:r>
        <w:rPr>
          <w:rFonts w:ascii="Times New Roman" w:hAnsi="Times New Roman" w:cs="Times New Roman" w:eastAsia="Times New Roman" w:hint="default"/>
          <w:spacing w:val="-1"/>
        </w:rPr>
        <w:t>2018</w:t>
      </w:r>
      <w:r>
        <w:rPr>
          <w:spacing w:val="-1"/>
        </w:rPr>
        <w:t>年度为第二个生</w:t>
      </w:r>
      <w:r>
        <w:rPr>
          <w:spacing w:val="-88"/>
        </w:rPr>
        <w:t> </w:t>
      </w:r>
      <w:r>
        <w:rPr>
          <w:spacing w:val="-88"/>
        </w:rPr>
      </w:r>
      <w:r>
        <w:rPr/>
        <w:t>产经营年度，免缴企业所得税。</w:t>
      </w:r>
    </w:p>
    <w:p>
      <w:pPr>
        <w:pStyle w:val="BodyText"/>
        <w:spacing w:line="300" w:lineRule="auto" w:before="28"/>
        <w:ind w:right="1133" w:firstLine="360"/>
        <w:jc w:val="both"/>
      </w:pPr>
      <w:r>
        <w:rPr/>
        <w:t>说明</w:t>
      </w:r>
      <w:r>
        <w:rPr>
          <w:rFonts w:ascii="Times New Roman" w:hAnsi="Times New Roman" w:cs="Times New Roman" w:eastAsia="Times New Roman" w:hint="default"/>
        </w:rPr>
        <w:t>9</w:t>
      </w:r>
      <w:r>
        <w:rPr/>
        <w:t>：根据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文《财政部、国家税务总局关于进一步鼓励软件产业和集成电路产业发展企业所得税政 策的通知》的有关规定</w:t>
      </w:r>
      <w:r>
        <w:rPr>
          <w:rFonts w:ascii="Times New Roman" w:hAnsi="Times New Roman" w:cs="Times New Roman" w:eastAsia="Times New Roman" w:hint="default"/>
        </w:rPr>
        <w:t>“</w:t>
      </w:r>
      <w:r>
        <w:rPr/>
        <w:t>我国境内新办软件生产企业经认定后，自获利年度起，第一年和第二年免缴企业所得税，第三年至</w:t>
      </w:r>
      <w:r>
        <w:rPr>
          <w:spacing w:val="-76"/>
        </w:rPr>
        <w:t> </w:t>
      </w:r>
      <w:r>
        <w:rPr>
          <w:spacing w:val="-76"/>
        </w:rPr>
      </w:r>
      <w:r>
        <w:rPr/>
        <w:t>第五年减半征收企业所得税</w:t>
      </w:r>
      <w:r>
        <w:rPr>
          <w:rFonts w:ascii="Times New Roman" w:hAnsi="Times New Roman" w:cs="Times New Roman" w:eastAsia="Times New Roman" w:hint="default"/>
        </w:rPr>
        <w:t>”</w:t>
      </w:r>
      <w:r>
        <w:rPr/>
        <w:t>，民生科技于</w:t>
      </w:r>
      <w:r>
        <w:rPr>
          <w:rFonts w:ascii="Times New Roman" w:hAnsi="Times New Roman" w:cs="Times New Roman" w:eastAsia="Times New Roman" w:hint="default"/>
        </w:rPr>
        <w:t>2017</w:t>
      </w:r>
      <w:r>
        <w:rPr/>
        <w:t>年申请税收优惠备案，</w:t>
      </w:r>
      <w:r>
        <w:rPr>
          <w:rFonts w:ascii="Times New Roman" w:hAnsi="Times New Roman" w:cs="Times New Roman" w:eastAsia="Times New Roman" w:hint="default"/>
        </w:rPr>
        <w:t>2018</w:t>
      </w:r>
      <w:r>
        <w:rPr/>
        <w:t>年度为第二个获利年度，免缴企业所得税。</w:t>
      </w:r>
    </w:p>
    <w:p>
      <w:pPr>
        <w:pStyle w:val="BodyText"/>
        <w:spacing w:line="300" w:lineRule="auto" w:before="13"/>
        <w:ind w:right="1042" w:firstLine="360"/>
        <w:jc w:val="both"/>
      </w:pPr>
      <w:r>
        <w:rPr/>
        <w:t>说明</w:t>
      </w:r>
      <w:r>
        <w:rPr>
          <w:rFonts w:ascii="Times New Roman" w:hAnsi="Times New Roman" w:cs="Times New Roman" w:eastAsia="Times New Roman" w:hint="default"/>
        </w:rPr>
        <w:t>10</w:t>
      </w:r>
      <w:r>
        <w:rPr/>
        <w:t>：根据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文《财政部、国家税务总局关于进一步鼓励软件产业和集成电路产业发展企业所得税政 策的通知》的有关规定</w:t>
      </w:r>
      <w:r>
        <w:rPr>
          <w:rFonts w:ascii="Times New Roman" w:hAnsi="Times New Roman" w:cs="Times New Roman" w:eastAsia="Times New Roman" w:hint="default"/>
        </w:rPr>
        <w:t>“</w:t>
      </w:r>
      <w:r>
        <w:rPr/>
        <w:t>我国境内新办软件生产企业经认定后，自获利年度起，第一年和第二年免缴企业所得税，第三年至</w:t>
      </w:r>
      <w:r>
        <w:rPr>
          <w:spacing w:val="-76"/>
        </w:rPr>
        <w:t> </w:t>
      </w:r>
      <w:r>
        <w:rPr>
          <w:spacing w:val="-76"/>
        </w:rPr>
      </w:r>
      <w:r>
        <w:rPr>
          <w:spacing w:val="-2"/>
        </w:rPr>
        <w:t>第五年减半征收企业所得税</w:t>
      </w:r>
      <w:r>
        <w:rPr>
          <w:rFonts w:ascii="Times New Roman" w:hAnsi="Times New Roman" w:cs="Times New Roman" w:eastAsia="Times New Roman" w:hint="default"/>
          <w:spacing w:val="-2"/>
        </w:rPr>
        <w:t>”</w:t>
      </w:r>
      <w:r>
        <w:rPr>
          <w:spacing w:val="-2"/>
        </w:rPr>
        <w:t>，易惠科技于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日申请税收优惠备案，</w:t>
      </w:r>
      <w:r>
        <w:rPr>
          <w:rFonts w:ascii="Times New Roman" w:hAnsi="Times New Roman" w:cs="Times New Roman" w:eastAsia="Times New Roman" w:hint="default"/>
          <w:spacing w:val="-2"/>
        </w:rPr>
        <w:t>2018</w:t>
      </w:r>
      <w:r>
        <w:rPr>
          <w:spacing w:val="-2"/>
        </w:rPr>
        <w:t>年度为第二个获利年度，免缴企业所得税。</w:t>
      </w:r>
    </w:p>
    <w:p>
      <w:pPr>
        <w:pStyle w:val="BodyText"/>
        <w:spacing w:line="300" w:lineRule="auto" w:before="13"/>
        <w:ind w:left="513" w:right="1113"/>
        <w:jc w:val="left"/>
      </w:pPr>
      <w:r>
        <w:rPr/>
        <w:t>说明</w:t>
      </w:r>
      <w:r>
        <w:rPr>
          <w:rFonts w:ascii="Times New Roman" w:hAnsi="Times New Roman" w:cs="Times New Roman" w:eastAsia="Times New Roman" w:hint="default"/>
        </w:rPr>
        <w:t>11</w:t>
      </w:r>
      <w:r>
        <w:rPr/>
        <w:t>：人力资源公司、山西民生公司、山西无感付公司</w:t>
      </w:r>
      <w:r>
        <w:rPr>
          <w:rFonts w:ascii="Times New Roman" w:hAnsi="Times New Roman" w:cs="Times New Roman" w:eastAsia="Times New Roman" w:hint="default"/>
        </w:rPr>
        <w:t>2018</w:t>
      </w:r>
      <w:r>
        <w:rPr/>
        <w:t>年度符合小型微利企业标准，适用</w:t>
      </w:r>
      <w:r>
        <w:rPr>
          <w:rFonts w:ascii="Times New Roman" w:hAnsi="Times New Roman" w:cs="Times New Roman" w:eastAsia="Times New Roman" w:hint="default"/>
        </w:rPr>
        <w:t>10%</w:t>
      </w:r>
      <w:r>
        <w:rPr/>
        <w:t>的所得税税率。 说明</w:t>
      </w:r>
      <w:r>
        <w:rPr>
          <w:rFonts w:ascii="Times New Roman" w:hAnsi="Times New Roman" w:cs="Times New Roman" w:eastAsia="Times New Roman" w:hint="default"/>
        </w:rPr>
        <w:t>12</w:t>
      </w:r>
      <w:r>
        <w:rPr/>
        <w:t>：根据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文《财政部、国家税务总局关于进一步鼓励软件产业和集成电路产业发展企业所得税政</w:t>
      </w:r>
    </w:p>
    <w:p>
      <w:pPr>
        <w:pStyle w:val="BodyText"/>
        <w:spacing w:line="300" w:lineRule="auto" w:before="13"/>
        <w:ind w:right="0"/>
        <w:jc w:val="left"/>
      </w:pPr>
      <w:r>
        <w:rPr/>
        <w:t>策的通知》的有关规定</w:t>
      </w:r>
      <w:r>
        <w:rPr>
          <w:rFonts w:ascii="Times New Roman" w:hAnsi="Times New Roman" w:cs="Times New Roman" w:eastAsia="Times New Roman" w:hint="default"/>
        </w:rPr>
        <w:t>“</w:t>
      </w:r>
      <w:r>
        <w:rPr/>
        <w:t>我国境内新办软件生产企业经认定后，自获利年度起，第一年和第二年免缴企业所得税，第三年至</w:t>
      </w:r>
      <w:r>
        <w:rPr>
          <w:spacing w:val="-76"/>
        </w:rPr>
        <w:t> </w:t>
      </w:r>
      <w:r>
        <w:rPr>
          <w:spacing w:val="-76"/>
        </w:rPr>
      </w:r>
      <w:r>
        <w:rPr/>
        <w:t>第五年减半征收企业所得税</w:t>
      </w:r>
      <w:r>
        <w:rPr>
          <w:rFonts w:ascii="Times New Roman" w:hAnsi="Times New Roman" w:cs="Times New Roman" w:eastAsia="Times New Roman" w:hint="default"/>
        </w:rPr>
        <w:t>”</w:t>
      </w:r>
      <w:r>
        <w:rPr/>
        <w:t>，医疗信息于</w:t>
      </w:r>
      <w:r>
        <w:rPr>
          <w:rFonts w:ascii="Times New Roman" w:hAnsi="Times New Roman" w:cs="Times New Roman" w:eastAsia="Times New Roman" w:hint="default"/>
        </w:rPr>
        <w:t>2018</w:t>
      </w:r>
      <w:r>
        <w:rPr/>
        <w:t>年申请税收优惠备案，</w:t>
      </w:r>
      <w:r>
        <w:rPr>
          <w:rFonts w:ascii="Times New Roman" w:hAnsi="Times New Roman" w:cs="Times New Roman" w:eastAsia="Times New Roman" w:hint="default"/>
        </w:rPr>
        <w:t>2018</w:t>
      </w:r>
      <w:r>
        <w:rPr/>
        <w:t>年度为第二个获利年度，免缴企业所得税。</w:t>
      </w:r>
    </w:p>
    <w:p>
      <w:pPr>
        <w:pStyle w:val="BodyText"/>
        <w:spacing w:line="300" w:lineRule="auto" w:before="13"/>
        <w:ind w:right="1132" w:firstLine="360"/>
        <w:jc w:val="both"/>
      </w:pPr>
      <w:r>
        <w:rPr/>
        <w:t>说明</w:t>
      </w:r>
      <w:r>
        <w:rPr>
          <w:rFonts w:ascii="Times New Roman" w:hAnsi="Times New Roman" w:cs="Times New Roman" w:eastAsia="Times New Roman" w:hint="default"/>
        </w:rPr>
        <w:t>13</w:t>
      </w:r>
      <w:r>
        <w:rPr/>
        <w:t>：根据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文《财政部、国家税务总局关于进一步鼓励软件产业和集成电路产业发展企业所得税政 策的通知》的有关规定</w:t>
      </w:r>
      <w:r>
        <w:rPr>
          <w:rFonts w:ascii="Times New Roman" w:hAnsi="Times New Roman" w:cs="Times New Roman" w:eastAsia="Times New Roman" w:hint="default"/>
        </w:rPr>
        <w:t>“</w:t>
      </w:r>
      <w:r>
        <w:rPr/>
        <w:t>我国境内新办软件生产企业经认定后，自获利年度起，第一年和第二年免缴企业所得税，第三年至</w:t>
      </w:r>
      <w:r>
        <w:rPr>
          <w:spacing w:val="-76"/>
        </w:rPr>
        <w:t> </w:t>
      </w:r>
      <w:r>
        <w:rPr>
          <w:spacing w:val="-76"/>
        </w:rPr>
      </w:r>
      <w:r>
        <w:rPr/>
        <w:t>第五年减半征收企业所得税</w:t>
      </w:r>
      <w:r>
        <w:rPr>
          <w:rFonts w:ascii="Times New Roman" w:hAnsi="Times New Roman" w:cs="Times New Roman" w:eastAsia="Times New Roman" w:hint="default"/>
        </w:rPr>
        <w:t>”</w:t>
      </w:r>
      <w:r>
        <w:rPr/>
        <w:t>，医卫信息于</w:t>
      </w:r>
      <w:r>
        <w:rPr>
          <w:rFonts w:ascii="Times New Roman" w:hAnsi="Times New Roman" w:cs="Times New Roman" w:eastAsia="Times New Roman" w:hint="default"/>
        </w:rPr>
        <w:t>2018</w:t>
      </w:r>
      <w:r>
        <w:rPr/>
        <w:t>年申请税收优惠备案，</w:t>
      </w:r>
      <w:r>
        <w:rPr>
          <w:rFonts w:ascii="Times New Roman" w:hAnsi="Times New Roman" w:cs="Times New Roman" w:eastAsia="Times New Roman" w:hint="default"/>
        </w:rPr>
        <w:t>2018</w:t>
      </w:r>
      <w:r>
        <w:rPr/>
        <w:t>年度为第一个获利年度，免缴企业所得税。</w:t>
      </w:r>
    </w:p>
    <w:p>
      <w:pPr>
        <w:pStyle w:val="BodyText"/>
        <w:spacing w:line="240" w:lineRule="auto" w:before="13"/>
        <w:ind w:left="513" w:right="0"/>
        <w:jc w:val="left"/>
      </w:pPr>
      <w:r>
        <w:rPr/>
        <w:t>说明</w:t>
      </w:r>
      <w:r>
        <w:rPr>
          <w:rFonts w:ascii="Times New Roman" w:hAnsi="Times New Roman" w:cs="Times New Roman" w:eastAsia="Times New Roman" w:hint="default"/>
        </w:rPr>
        <w:t>14</w:t>
      </w:r>
      <w:r>
        <w:rPr/>
        <w:t>：根据财政部、税务总局、科技部于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日发布的《关于提高研究开发费用税前加计扣除比例的通知》</w:t>
      </w:r>
    </w:p>
    <w:p>
      <w:pPr>
        <w:pStyle w:val="BodyText"/>
        <w:spacing w:line="300" w:lineRule="auto" w:before="63"/>
        <w:ind w:right="0"/>
        <w:jc w:val="left"/>
      </w:pPr>
      <w:r>
        <w:rPr>
          <w:spacing w:val="-2"/>
        </w:rPr>
        <w:t>（财税〔</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99</w:t>
      </w:r>
      <w:r>
        <w:rPr>
          <w:spacing w:val="-2"/>
        </w:rPr>
        <w:t>号），在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日期间，公司开展研发活动中实际发生的研发费用，未形成无形资</w:t>
      </w:r>
      <w:r>
        <w:rPr>
          <w:spacing w:val="-56"/>
        </w:rPr>
        <w:t> </w:t>
      </w:r>
      <w:r>
        <w:rPr>
          <w:spacing w:val="-56"/>
        </w:rPr>
      </w:r>
      <w:r>
        <w:rPr/>
        <w:t>产计入当期损益的，在按规定据实扣除的基础上，享受再按照实际发生额的</w:t>
      </w:r>
      <w:r>
        <w:rPr>
          <w:rFonts w:ascii="Times New Roman" w:hAnsi="Times New Roman" w:cs="Times New Roman" w:eastAsia="Times New Roman" w:hint="default"/>
        </w:rPr>
        <w:t>75%</w:t>
      </w:r>
      <w:r>
        <w:rPr/>
        <w:t>在税前加计扣除的优惠。</w:t>
      </w:r>
    </w:p>
    <w:p>
      <w:pPr>
        <w:pStyle w:val="BodyText"/>
        <w:spacing w:line="316" w:lineRule="auto" w:before="13"/>
        <w:ind w:right="1124" w:firstLine="360"/>
        <w:jc w:val="left"/>
      </w:pPr>
      <w:r>
        <w:rPr/>
        <w:t>说明</w:t>
      </w:r>
      <w:r>
        <w:rPr>
          <w:rFonts w:ascii="宋体" w:hAnsi="宋体" w:cs="宋体" w:eastAsia="宋体" w:hint="default"/>
        </w:rPr>
        <w:t>15</w:t>
      </w:r>
      <w:r>
        <w:rPr/>
        <w:t>：根据财政部、税务总局于</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11</w:t>
      </w:r>
      <w:r>
        <w:rPr/>
        <w:t>日发布的《关于延长高新技术企业和科技型中小企业亏损结转年限的通 </w:t>
      </w:r>
      <w:r>
        <w:rPr>
          <w:spacing w:val="-2"/>
        </w:rPr>
        <w:t>知》（财税〔</w:t>
      </w:r>
      <w:r>
        <w:rPr>
          <w:rFonts w:ascii="宋体" w:hAnsi="宋体" w:cs="宋体" w:eastAsia="宋体" w:hint="default"/>
          <w:spacing w:val="-2"/>
        </w:rPr>
        <w:t>2018</w:t>
      </w:r>
      <w:r>
        <w:rPr>
          <w:spacing w:val="-2"/>
        </w:rPr>
        <w:t>〕</w:t>
      </w:r>
      <w:r>
        <w:rPr>
          <w:rFonts w:ascii="宋体" w:hAnsi="宋体" w:cs="宋体" w:eastAsia="宋体" w:hint="default"/>
          <w:spacing w:val="-2"/>
        </w:rPr>
        <w:t>76</w:t>
      </w:r>
      <w:r>
        <w:rPr>
          <w:spacing w:val="-2"/>
        </w:rPr>
        <w:t>号），自</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日起，当年具备高新技术企业或科技型中小企业资格的企业，其具备资格年度之</w:t>
      </w:r>
      <w:r>
        <w:rPr>
          <w:spacing w:val="-61"/>
        </w:rPr>
        <w:t> </w:t>
      </w:r>
      <w:r>
        <w:rPr>
          <w:spacing w:val="-61"/>
        </w:rPr>
      </w:r>
      <w:r>
        <w:rPr/>
        <w:t>前</w:t>
      </w:r>
      <w:r>
        <w:rPr>
          <w:rFonts w:ascii="宋体" w:hAnsi="宋体" w:cs="宋体" w:eastAsia="宋体" w:hint="default"/>
        </w:rPr>
        <w:t>5</w:t>
      </w:r>
      <w:r>
        <w:rPr/>
        <w:t>个年度发生的尚未弥补完的亏损，准予结转以后年度弥补，最长结转年限由</w:t>
      </w:r>
      <w:r>
        <w:rPr>
          <w:rFonts w:ascii="宋体" w:hAnsi="宋体" w:cs="宋体" w:eastAsia="宋体" w:hint="default"/>
        </w:rPr>
        <w:t>5</w:t>
      </w:r>
      <w:r>
        <w:rPr/>
        <w:t>年延长至</w:t>
      </w:r>
      <w:r>
        <w:rPr>
          <w:rFonts w:ascii="宋体" w:hAnsi="宋体" w:cs="宋体" w:eastAsia="宋体" w:hint="default"/>
        </w:rPr>
        <w:t>10</w:t>
      </w:r>
      <w:r>
        <w:rPr/>
        <w:t>年。 公司需遵守《深圳证券交易所行业信息披露指引第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七、合并财务报表项目注释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876,148.44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76,219.55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330,633,014.52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419,674,701.71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11,994,513.42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15,270,271.08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343,503,676.38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435,021,192.34</w:t>
            </w:r>
          </w:p>
        </w:tc>
      </w:tr>
    </w:tbl>
    <w:p>
      <w:pPr>
        <w:pStyle w:val="BodyText"/>
        <w:spacing w:line="240" w:lineRule="auto" w:before="51"/>
        <w:ind w:right="0"/>
        <w:jc w:val="left"/>
      </w:pPr>
      <w:r>
        <w:rPr/>
        <w:t>其他说明</w:t>
      </w:r>
    </w:p>
    <w:p>
      <w:pPr>
        <w:pStyle w:val="BodyText"/>
        <w:spacing w:line="300" w:lineRule="auto" w:before="115"/>
        <w:ind w:right="0" w:firstLine="360"/>
        <w:jc w:val="left"/>
      </w:pPr>
      <w:r>
        <w:rPr>
          <w:spacing w:val="-1"/>
        </w:rPr>
        <w:t>说明</w:t>
      </w:r>
      <w:r>
        <w:rPr>
          <w:rFonts w:ascii="Times New Roman" w:hAnsi="Times New Roman" w:cs="Times New Roman" w:eastAsia="Times New Roman" w:hint="default"/>
          <w:spacing w:val="-1"/>
        </w:rPr>
        <w:t>1</w:t>
      </w:r>
      <w:r>
        <w:rPr>
          <w:spacing w:val="-1"/>
        </w:rPr>
        <w:t>：银行存款年末余额中包含预收中国银行莆田分行货款</w:t>
      </w:r>
      <w:r>
        <w:rPr>
          <w:rFonts w:ascii="Times New Roman" w:hAnsi="Times New Roman" w:cs="Times New Roman" w:eastAsia="Times New Roman" w:hint="default"/>
          <w:spacing w:val="-1"/>
        </w:rPr>
        <w:t>725,416.79</w:t>
      </w:r>
      <w:r>
        <w:rPr>
          <w:spacing w:val="-1"/>
        </w:rPr>
        <w:t>元、保证金</w:t>
      </w:r>
      <w:r>
        <w:rPr>
          <w:rFonts w:ascii="Times New Roman" w:hAnsi="Times New Roman" w:cs="Times New Roman" w:eastAsia="Times New Roman" w:hint="default"/>
          <w:spacing w:val="-1"/>
        </w:rPr>
        <w:t>500.00</w:t>
      </w:r>
      <w:r>
        <w:rPr>
          <w:spacing w:val="-1"/>
        </w:rPr>
        <w:t>元，此部分款项不能随时用于</w:t>
      </w:r>
      <w:r>
        <w:rPr/>
        <w:t> 支付，在编制现金流量表时不作为现金及现金等价物。</w:t>
      </w:r>
    </w:p>
    <w:p>
      <w:pPr>
        <w:pStyle w:val="BodyText"/>
        <w:spacing w:line="300" w:lineRule="auto" w:before="31"/>
        <w:ind w:right="0" w:firstLine="360"/>
        <w:jc w:val="left"/>
      </w:pPr>
      <w:r>
        <w:rPr>
          <w:spacing w:val="-1"/>
        </w:rPr>
        <w:t>说明</w:t>
      </w:r>
      <w:r>
        <w:rPr>
          <w:rFonts w:ascii="Times New Roman" w:hAnsi="Times New Roman" w:cs="Times New Roman" w:eastAsia="Times New Roman" w:hint="default"/>
          <w:spacing w:val="-1"/>
        </w:rPr>
        <w:t>2</w:t>
      </w:r>
      <w:r>
        <w:rPr>
          <w:spacing w:val="-1"/>
        </w:rPr>
        <w:t>：银行存款年末余额中包含定期存款</w:t>
      </w:r>
      <w:r>
        <w:rPr>
          <w:rFonts w:ascii="Times New Roman" w:hAnsi="Times New Roman" w:cs="Times New Roman" w:eastAsia="Times New Roman" w:hint="default"/>
          <w:spacing w:val="-1"/>
        </w:rPr>
        <w:t>5,002,000.06</w:t>
      </w:r>
      <w:r>
        <w:rPr>
          <w:spacing w:val="-1"/>
        </w:rPr>
        <w:t>元，系根据保监会要求缴存的经营保证金及账户利息，在编制现</w:t>
      </w:r>
      <w:r>
        <w:rPr/>
        <w:t> 金流量表时不作为现金及现金等价物。</w:t>
      </w:r>
    </w:p>
    <w:p>
      <w:pPr>
        <w:pStyle w:val="BodyText"/>
        <w:spacing w:line="300" w:lineRule="auto" w:before="31"/>
        <w:ind w:right="0" w:firstLine="360"/>
        <w:jc w:val="left"/>
      </w:pPr>
      <w:r>
        <w:rPr/>
        <w:t>说明</w:t>
      </w:r>
      <w:r>
        <w:rPr>
          <w:rFonts w:ascii="Times New Roman" w:hAnsi="Times New Roman" w:cs="Times New Roman" w:eastAsia="Times New Roman" w:hint="default"/>
        </w:rPr>
        <w:t>3</w:t>
      </w:r>
      <w:r>
        <w:rPr/>
        <w:t>：其他货币资金年末余额</w:t>
      </w:r>
      <w:r>
        <w:rPr>
          <w:rFonts w:ascii="Times New Roman" w:hAnsi="Times New Roman" w:cs="Times New Roman" w:eastAsia="Times New Roman" w:hint="default"/>
        </w:rPr>
        <w:t>11,994,513.42</w:t>
      </w:r>
      <w:r>
        <w:rPr/>
        <w:t>元，系保函保证金，此部分款项不能随时用于支付，在编制现金流量表时 不作为现金及现金等价物。</w:t>
      </w:r>
    </w:p>
    <w:p>
      <w:pPr>
        <w:pStyle w:val="BodyText"/>
        <w:spacing w:line="300" w:lineRule="auto" w:before="32"/>
        <w:ind w:right="1124" w:firstLine="360"/>
        <w:jc w:val="left"/>
      </w:pPr>
      <w:r>
        <w:rPr/>
        <w:t>说明</w:t>
      </w:r>
      <w:r>
        <w:rPr>
          <w:rFonts w:ascii="Times New Roman" w:hAnsi="Times New Roman" w:cs="Times New Roman" w:eastAsia="Times New Roman" w:hint="default"/>
        </w:rPr>
        <w:t>4</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日止，除上述说明外，本集团不存在抵押、质押或冻结等对使用有限制的款项，不存在存放 在境外且资金汇回受到限制的款项。</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739,844,880.10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683,185,951.26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739,844,880.10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683,185,951.26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9164"/>
        <w:jc w:val="left"/>
      </w:pPr>
      <w:r>
        <w:rPr>
          <w:rFonts w:ascii="Times New Roman" w:hAnsi="Times New Roman" w:cs="Times New Roman" w:eastAsia="Times New Roman" w:hint="default"/>
        </w:rPr>
        <w:t>1)</w:t>
      </w:r>
      <w:r>
        <w:rPr/>
        <w:t>应收票据分类列示</w:t>
      </w:r>
      <w:r>
        <w:rPr>
          <w:w w:val="99"/>
        </w:rPr>
        <w:t> </w:t>
      </w:r>
      <w:r>
        <w:rPr/>
        <w:t>无</w:t>
      </w:r>
    </w:p>
    <w:p>
      <w:pPr>
        <w:pStyle w:val="BodyText"/>
        <w:spacing w:line="340" w:lineRule="auto" w:before="39"/>
        <w:ind w:right="8444"/>
        <w:jc w:val="left"/>
      </w:pPr>
      <w:r>
        <w:rPr>
          <w:rFonts w:ascii="Times New Roman" w:hAnsi="Times New Roman" w:cs="Times New Roman" w:eastAsia="Times New Roman" w:hint="default"/>
        </w:rPr>
        <w:t>2)</w:t>
      </w:r>
      <w:r>
        <w:rPr/>
        <w:t>期末公司已质押的应收票据</w:t>
      </w:r>
      <w:r>
        <w:rPr>
          <w:w w:val="99"/>
        </w:rPr>
        <w:t> </w:t>
      </w:r>
      <w:r>
        <w:rPr/>
        <w:t>无</w:t>
      </w:r>
    </w:p>
    <w:p>
      <w:pPr>
        <w:pStyle w:val="BodyText"/>
        <w:spacing w:line="338" w:lineRule="auto" w:before="41"/>
        <w:ind w:right="5744"/>
        <w:jc w:val="left"/>
      </w:pPr>
      <w:r>
        <w:rPr>
          <w:rFonts w:ascii="Times New Roman" w:hAnsi="Times New Roman" w:cs="Times New Roman" w:eastAsia="Times New Roman" w:hint="default"/>
        </w:rPr>
        <w:t>3)</w:t>
      </w:r>
      <w:r>
        <w:rPr/>
        <w:t>期末公司已背书或贴现且在资产负债表日尚未到期的应收票据</w:t>
      </w:r>
      <w:r>
        <w:rPr>
          <w:w w:val="99"/>
        </w:rPr>
        <w:t> </w:t>
      </w:r>
      <w:r>
        <w:rPr/>
        <w:t>无</w:t>
      </w:r>
    </w:p>
    <w:p>
      <w:pPr>
        <w:pStyle w:val="BodyText"/>
        <w:spacing w:line="340" w:lineRule="auto" w:before="43"/>
        <w:ind w:right="6644"/>
        <w:jc w:val="left"/>
      </w:pPr>
      <w:r>
        <w:rPr>
          <w:rFonts w:ascii="Times New Roman" w:hAnsi="Times New Roman" w:cs="Times New Roman" w:eastAsia="Times New Roman" w:hint="default"/>
        </w:rPr>
        <w:t>4)</w:t>
      </w:r>
      <w:r>
        <w:rPr/>
        <w:t>期末公司因出票人未履约而将其转应收账款的票据</w:t>
      </w:r>
      <w:r>
        <w:rPr>
          <w:w w:val="99"/>
        </w:rPr>
        <w:t> </w:t>
      </w:r>
      <w:r>
        <w:rPr/>
        <w:t>无</w:t>
      </w:r>
    </w:p>
    <w:p>
      <w:pPr>
        <w:pStyle w:val="BodyText"/>
        <w:spacing w:line="360" w:lineRule="auto" w:before="39"/>
        <w:ind w:right="10034"/>
        <w:jc w:val="left"/>
      </w:pPr>
      <w:r>
        <w:rPr/>
        <w:t>其他说明 无</w:t>
      </w:r>
    </w:p>
    <w:p>
      <w:pPr>
        <w:spacing w:after="0" w:line="36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766"/>
        <w:gridCol w:w="708"/>
        <w:gridCol w:w="853"/>
        <w:gridCol w:w="838"/>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3"/>
              <w:ind w:left="417"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801,735,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332.87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99.33%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61,890,4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52.77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739,844,8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80.10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740,497,</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634.31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99.78%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57,311,68</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3.05</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683,185,95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1.26</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2,869,13</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9.01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2,869,13</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9.01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1,609,37</w:t>
            </w:r>
          </w:p>
          <w:p>
            <w:pPr>
              <w:pStyle w:val="TableParagraph"/>
              <w:spacing w:line="240" w:lineRule="auto" w:before="102"/>
              <w:ind w:left="419" w:right="0"/>
              <w:jc w:val="left"/>
              <w:rPr>
                <w:rFonts w:ascii="Times New Roman" w:hAnsi="Times New Roman" w:cs="Times New Roman" w:eastAsia="Times New Roman" w:hint="default"/>
                <w:sz w:val="18"/>
                <w:szCs w:val="18"/>
              </w:rPr>
            </w:pPr>
            <w:r>
              <w:rPr>
                <w:rFonts w:ascii="Times New Roman"/>
                <w:sz w:val="18"/>
              </w:rPr>
              <w:t>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1,609,374.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807,104,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471.88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67,259,5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91.78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739,844,8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80.10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742,107,</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008.31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58,921,05</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7.05</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683,185,95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1.26</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福建中合农产品市场有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保理客户，信用状态不 良，逾期时间长</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8"/>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113" w:space="471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293,289,706.36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14,664,485.33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74,138,998.71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7,413,899.88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35,334,696.91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7,066,939.39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13,593,316.47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6,796,658.25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10,413,182.02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10,413,182.02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15,424,882.40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15,424,882.40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442,194,782.87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61,780,047.27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13.97%</w:t>
            </w:r>
          </w:p>
        </w:tc>
      </w:tr>
    </w:tbl>
    <w:p>
      <w:pPr>
        <w:pStyle w:val="BodyText"/>
        <w:spacing w:line="357" w:lineRule="auto" w:before="51"/>
        <w:ind w:right="8774"/>
        <w:jc w:val="left"/>
      </w:pPr>
      <w:r>
        <w:rPr/>
        <w:t>确定该组合依据的说明： 无</w:t>
      </w:r>
    </w:p>
    <w:p>
      <w:pPr>
        <w:pStyle w:val="BodyText"/>
        <w:spacing w:line="240" w:lineRule="auto" w:before="29"/>
        <w:ind w:right="0"/>
        <w:jc w:val="left"/>
      </w:pPr>
      <w:r>
        <w:rPr/>
        <w:t>组合中，采用余额百分比法计提坏账准备的应收账款：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0"/>
        <w:rPr>
          <w:rFonts w:ascii="宋体" w:hAnsi="宋体" w:cs="宋体" w:eastAsia="宋体" w:hint="default"/>
          <w:sz w:val="18"/>
          <w:szCs w:val="18"/>
        </w:rPr>
      </w:pPr>
    </w:p>
    <w:p>
      <w:pPr>
        <w:pStyle w:val="BodyText"/>
        <w:spacing w:line="240" w:lineRule="auto" w:before="128"/>
        <w:ind w:right="0"/>
        <w:jc w:val="left"/>
      </w:pPr>
      <w:r>
        <w:rPr/>
        <w:t>应收保理款和应收融资租赁款组合，按风险等级计提坏账准备的应收账款：</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421"/>
        <w:gridCol w:w="1700"/>
        <w:gridCol w:w="1418"/>
        <w:gridCol w:w="1560"/>
        <w:gridCol w:w="1493"/>
        <w:gridCol w:w="1479"/>
      </w:tblGrid>
      <w:tr>
        <w:trPr>
          <w:trHeight w:val="341" w:hRule="exact"/>
        </w:trPr>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20"/>
              <w:ind w:left="346" w:right="0"/>
              <w:jc w:val="left"/>
              <w:rPr>
                <w:rFonts w:ascii="宋体" w:hAnsi="宋体" w:cs="宋体" w:eastAsia="宋体" w:hint="default"/>
                <w:sz w:val="18"/>
                <w:szCs w:val="18"/>
              </w:rPr>
            </w:pPr>
            <w:r>
              <w:rPr>
                <w:rFonts w:ascii="宋体" w:hAnsi="宋体" w:cs="宋体" w:eastAsia="宋体" w:hint="default"/>
                <w:b/>
                <w:bCs/>
                <w:sz w:val="18"/>
                <w:szCs w:val="18"/>
              </w:rPr>
              <w:t>风险类型</w:t>
            </w:r>
            <w:r>
              <w:rPr>
                <w:rFonts w:ascii="宋体" w:hAnsi="宋体" w:cs="宋体" w:eastAsia="宋体" w:hint="default"/>
                <w:sz w:val="18"/>
                <w:szCs w:val="18"/>
              </w:rPr>
            </w:r>
          </w:p>
        </w:tc>
        <w:tc>
          <w:tcPr>
            <w:tcW w:w="7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r>
      <w:tr>
        <w:trPr>
          <w:trHeight w:val="343" w:hRule="exact"/>
        </w:trPr>
        <w:tc>
          <w:tcPr>
            <w:tcW w:w="1421"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9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hAnsi="宋体" w:cs="宋体" w:eastAsia="宋体" w:hint="default"/>
                <w:b/>
                <w:bCs/>
                <w:sz w:val="18"/>
                <w:szCs w:val="18"/>
              </w:rPr>
              <w:t>净额</w:t>
            </w:r>
            <w:r>
              <w:rPr>
                <w:rFonts w:ascii="宋体" w:hAnsi="宋体" w:cs="宋体" w:eastAsia="宋体" w:hint="default"/>
                <w:sz w:val="18"/>
                <w:szCs w:val="18"/>
              </w:rPr>
            </w:r>
          </w:p>
        </w:tc>
      </w:tr>
      <w:tr>
        <w:trPr>
          <w:trHeight w:val="34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正常类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348,600,000.00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96.95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348,600,000.00</w:t>
            </w:r>
          </w:p>
        </w:tc>
      </w:tr>
      <w:tr>
        <w:trPr>
          <w:trHeight w:val="34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关注类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10,915,550.00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109,155.50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10,806,394.50</w:t>
            </w:r>
          </w:p>
        </w:tc>
      </w:tr>
      <w:tr>
        <w:trPr>
          <w:trHeight w:val="34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次级类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1,250.00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23,750.00</w:t>
            </w:r>
          </w:p>
        </w:tc>
      </w:tr>
      <w:tr>
        <w:trPr>
          <w:trHeight w:val="34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9"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359,540,550.00</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110,405.50</w:t>
            </w:r>
            <w:r>
              <w:rPr>
                <w:rFonts w:ascii="Times New Roman"/>
                <w:spacing w:val="-1"/>
                <w:sz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0.03</w:t>
            </w:r>
            <w:r>
              <w:rPr>
                <w:rFonts w:ascii="Times New Roman"/>
                <w:spacing w:val="-1"/>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359,430,144.50</w:t>
            </w:r>
            <w:r>
              <w:rPr>
                <w:rFonts w:ascii="Times New Roman"/>
                <w:spacing w:val="-1"/>
                <w:sz w:val="18"/>
              </w:rPr>
            </w:r>
          </w:p>
        </w:tc>
      </w:tr>
    </w:tbl>
    <w:p>
      <w:pPr>
        <w:pStyle w:val="BodyText"/>
        <w:spacing w:line="338" w:lineRule="auto" w:before="51"/>
        <w:ind w:right="1844"/>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无</w:t>
      </w:r>
    </w:p>
    <w:p>
      <w:pPr>
        <w:pStyle w:val="BodyText"/>
        <w:spacing w:line="240" w:lineRule="auto" w:before="44"/>
        <w:ind w:right="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4365"/>
        <w:jc w:val="left"/>
      </w:pPr>
      <w:r>
        <w:rPr/>
        <w:t>本期计提坏账准备金额</w:t>
      </w:r>
      <w:r>
        <w:rPr>
          <w:spacing w:val="-46"/>
        </w:rPr>
        <w:t> </w:t>
      </w:r>
      <w:r>
        <w:rPr>
          <w:rFonts w:ascii="Times New Roman" w:hAnsi="Times New Roman" w:cs="Times New Roman" w:eastAsia="Times New Roman" w:hint="default"/>
        </w:rPr>
        <w:t>15,525,452.90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 </w:t>
      </w:r>
      <w:r>
        <w:rPr/>
        <w:t>元。 其中本期坏账准备收回或转回金额重要的：无</w:t>
      </w:r>
    </w:p>
    <w:p>
      <w:pPr>
        <w:pStyle w:val="BodyText"/>
        <w:spacing w:line="240" w:lineRule="auto" w:before="43"/>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7,186,918.17</w:t>
            </w:r>
          </w:p>
        </w:tc>
      </w:tr>
    </w:tbl>
    <w:p>
      <w:pPr>
        <w:pStyle w:val="BodyText"/>
        <w:spacing w:line="240" w:lineRule="auto" w:before="51"/>
        <w:ind w:right="0"/>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5"/>
        <w:gridCol w:w="1595"/>
        <w:gridCol w:w="1594"/>
        <w:gridCol w:w="1594"/>
      </w:tblGrid>
      <w:tr>
        <w:trPr>
          <w:trHeight w:val="709"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20"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120"/>
              <w:jc w:val="left"/>
              <w:rPr>
                <w:rFonts w:ascii="宋体" w:hAnsi="宋体" w:cs="宋体" w:eastAsia="宋体" w:hint="default"/>
                <w:sz w:val="18"/>
                <w:szCs w:val="18"/>
              </w:rPr>
            </w:pPr>
            <w:r>
              <w:rPr>
                <w:rFonts w:ascii="宋体" w:hAnsi="宋体" w:cs="宋体" w:eastAsia="宋体" w:hint="default"/>
                <w:sz w:val="18"/>
                <w:szCs w:val="18"/>
              </w:rPr>
              <w:t>福建省劳动就业服 务局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441,000.00</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2"/>
                <w:sz w:val="18"/>
                <w:szCs w:val="18"/>
              </w:rPr>
              <w:t>、</w:t>
            </w:r>
            <w:r>
              <w:rPr>
                <w:rFonts w:ascii="宋体" w:hAnsi="宋体" w:cs="宋体" w:eastAsia="宋体" w:hint="default"/>
                <w:sz w:val="18"/>
                <w:szCs w:val="18"/>
              </w:rPr>
              <w:t>监事会审批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中国工商银行股份 有限公司泉州市分 行</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755,000.00</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0"/>
              <w:jc w:val="righ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2"/>
                <w:sz w:val="18"/>
                <w:szCs w:val="18"/>
              </w:rPr>
              <w:t>、</w:t>
            </w:r>
            <w:r>
              <w:rPr>
                <w:rFonts w:ascii="宋体" w:hAnsi="宋体" w:cs="宋体" w:eastAsia="宋体" w:hint="default"/>
                <w:sz w:val="18"/>
                <w:szCs w:val="18"/>
              </w:rPr>
              <w:t>监事会审批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厦门市职业介绍服 务中心</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108,000.00</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2"/>
                <w:sz w:val="18"/>
                <w:szCs w:val="18"/>
              </w:rPr>
              <w:t>、</w:t>
            </w:r>
            <w:r>
              <w:rPr>
                <w:rFonts w:ascii="宋体" w:hAnsi="宋体" w:cs="宋体" w:eastAsia="宋体" w:hint="default"/>
                <w:sz w:val="18"/>
                <w:szCs w:val="18"/>
              </w:rPr>
              <w:t>监事会审批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福建莆田农村商业 银行股份有限公司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3,804,646.51</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2"/>
                <w:sz w:val="18"/>
                <w:szCs w:val="18"/>
              </w:rPr>
              <w:t>、</w:t>
            </w:r>
            <w:r>
              <w:rPr>
                <w:rFonts w:ascii="宋体" w:hAnsi="宋体" w:cs="宋体" w:eastAsia="宋体" w:hint="default"/>
                <w:sz w:val="18"/>
                <w:szCs w:val="18"/>
              </w:rPr>
              <w:t>监事会审批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5"/>
        <w:gridCol w:w="1595"/>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山西劳动和社会保 障厅</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455,200.00</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2"/>
                <w:sz w:val="18"/>
                <w:szCs w:val="18"/>
              </w:rPr>
              <w:t>、</w:t>
            </w:r>
            <w:r>
              <w:rPr>
                <w:rFonts w:ascii="宋体" w:hAnsi="宋体" w:cs="宋体" w:eastAsia="宋体" w:hint="default"/>
                <w:sz w:val="18"/>
                <w:szCs w:val="18"/>
              </w:rPr>
              <w:t>监事会审批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岳阳市劳动信息保 障中心</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315,000.00</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2"/>
                <w:sz w:val="18"/>
                <w:szCs w:val="18"/>
              </w:rPr>
              <w:t>、</w:t>
            </w:r>
            <w:r>
              <w:rPr>
                <w:rFonts w:ascii="宋体" w:hAnsi="宋体" w:cs="宋体" w:eastAsia="宋体" w:hint="default"/>
                <w:sz w:val="18"/>
                <w:szCs w:val="18"/>
              </w:rPr>
              <w:t>监事会审批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朔州市朔城区就业 和再就业</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2"/>
                <w:sz w:val="18"/>
                <w:szCs w:val="18"/>
              </w:rPr>
              <w:t>、</w:t>
            </w:r>
            <w:r>
              <w:rPr>
                <w:rFonts w:ascii="宋体" w:hAnsi="宋体" w:cs="宋体" w:eastAsia="宋体" w:hint="default"/>
                <w:sz w:val="18"/>
                <w:szCs w:val="18"/>
              </w:rPr>
              <w:t>监事会审批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2" w:right="19"/>
              <w:jc w:val="left"/>
              <w:rPr>
                <w:rFonts w:ascii="宋体" w:hAnsi="宋体" w:cs="宋体" w:eastAsia="宋体" w:hint="default"/>
                <w:sz w:val="18"/>
                <w:szCs w:val="18"/>
              </w:rPr>
            </w:pPr>
            <w:r>
              <w:rPr>
                <w:rFonts w:ascii="宋体" w:hAnsi="宋体" w:cs="宋体" w:eastAsia="宋体" w:hint="default"/>
                <w:spacing w:val="-9"/>
                <w:sz w:val="18"/>
                <w:szCs w:val="18"/>
              </w:rPr>
              <w:t>大同市金保工程（养</w:t>
            </w:r>
            <w:r>
              <w:rPr>
                <w:rFonts w:ascii="宋体" w:hAnsi="宋体" w:cs="宋体" w:eastAsia="宋体" w:hint="default"/>
                <w:sz w:val="18"/>
                <w:szCs w:val="18"/>
              </w:rPr>
              <w:t> 老、医保）</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175,078.86</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2"/>
                <w:sz w:val="18"/>
                <w:szCs w:val="18"/>
              </w:rPr>
              <w:t>、</w:t>
            </w:r>
            <w:r>
              <w:rPr>
                <w:rFonts w:ascii="宋体" w:hAnsi="宋体" w:cs="宋体" w:eastAsia="宋体" w:hint="default"/>
                <w:sz w:val="18"/>
                <w:szCs w:val="18"/>
              </w:rPr>
              <w:t>监事会审批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邵阳市劳动和社会 保障局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148,000.00</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2"/>
                <w:sz w:val="18"/>
                <w:szCs w:val="18"/>
              </w:rPr>
              <w:t>、</w:t>
            </w:r>
            <w:r>
              <w:rPr>
                <w:rFonts w:ascii="宋体" w:hAnsi="宋体" w:cs="宋体" w:eastAsia="宋体" w:hint="default"/>
                <w:sz w:val="18"/>
                <w:szCs w:val="18"/>
              </w:rPr>
              <w:t>监事会审批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永州社会劳动保险 管理处</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129,800.00</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2"/>
                <w:sz w:val="18"/>
                <w:szCs w:val="18"/>
              </w:rPr>
              <w:t>、</w:t>
            </w:r>
            <w:r>
              <w:rPr>
                <w:rFonts w:ascii="宋体" w:hAnsi="宋体" w:cs="宋体" w:eastAsia="宋体" w:hint="default"/>
                <w:sz w:val="18"/>
                <w:szCs w:val="18"/>
              </w:rPr>
              <w:t>监事会审批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娄底市社保局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95,080.00</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2"/>
                <w:sz w:val="18"/>
                <w:szCs w:val="18"/>
              </w:rPr>
              <w:t>、</w:t>
            </w:r>
            <w:r>
              <w:rPr>
                <w:rFonts w:ascii="宋体" w:hAnsi="宋体" w:cs="宋体" w:eastAsia="宋体" w:hint="default"/>
                <w:sz w:val="18"/>
                <w:szCs w:val="18"/>
              </w:rPr>
              <w:t>监事会审批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湘西自治州社会保 险管理服</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80,500.00</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2"/>
                <w:sz w:val="18"/>
                <w:szCs w:val="18"/>
              </w:rPr>
              <w:t>、</w:t>
            </w:r>
            <w:r>
              <w:rPr>
                <w:rFonts w:ascii="宋体" w:hAnsi="宋体" w:cs="宋体" w:eastAsia="宋体" w:hint="default"/>
                <w:sz w:val="18"/>
                <w:szCs w:val="18"/>
              </w:rPr>
              <w:t>监事会审批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6,767,305.37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134"/>
        <w:jc w:val="left"/>
      </w:pPr>
      <w:r>
        <w:rPr/>
        <w:t>应收账款核销说明： 无</w:t>
      </w:r>
    </w:p>
    <w:p>
      <w:pPr>
        <w:pStyle w:val="BodyText"/>
        <w:spacing w:line="338" w:lineRule="auto" w:before="29"/>
        <w:ind w:right="6824"/>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360" w:lineRule="auto" w:before="43"/>
        <w:ind w:right="8954"/>
        <w:jc w:val="left"/>
      </w:pPr>
      <w:r>
        <w:rPr/>
        <w:t>是 软件与信息技术服务业</w:t>
      </w:r>
    </w:p>
    <w:tbl>
      <w:tblPr>
        <w:tblW w:w="0" w:type="auto"/>
        <w:jc w:val="left"/>
        <w:tblInd w:w="148" w:type="dxa"/>
        <w:tblLayout w:type="fixed"/>
        <w:tblCellMar>
          <w:top w:w="0" w:type="dxa"/>
          <w:left w:w="0" w:type="dxa"/>
          <w:bottom w:w="0" w:type="dxa"/>
          <w:right w:w="0" w:type="dxa"/>
        </w:tblCellMar>
        <w:tblLook w:val="01E0"/>
      </w:tblPr>
      <w:tblGrid>
        <w:gridCol w:w="3469"/>
        <w:gridCol w:w="1932"/>
        <w:gridCol w:w="1980"/>
        <w:gridCol w:w="1690"/>
      </w:tblGrid>
      <w:tr>
        <w:trPr>
          <w:trHeight w:val="734"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22"/>
              <w:ind w:left="602" w:right="596"/>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444" w:right="80" w:hanging="36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占应收账款年末余额合</w:t>
            </w:r>
            <w:r>
              <w:rPr>
                <w:rFonts w:ascii="宋体" w:hAnsi="宋体" w:cs="宋体" w:eastAsia="宋体" w:hint="default"/>
                <w:b/>
                <w:bCs/>
                <w:w w:val="99"/>
                <w:sz w:val="18"/>
                <w:szCs w:val="18"/>
              </w:rPr>
              <w:t> </w:t>
            </w:r>
            <w:r>
              <w:rPr>
                <w:rFonts w:ascii="宋体" w:hAnsi="宋体" w:cs="宋体" w:eastAsia="宋体" w:hint="default"/>
                <w:b/>
                <w:bCs/>
                <w:sz w:val="18"/>
                <w:szCs w:val="18"/>
              </w:rPr>
              <w:t>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22"/>
              <w:ind w:left="478" w:right="478"/>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厦门东屿行进出口有限公司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12.39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r>
        <w:trPr>
          <w:trHeight w:val="34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厦门虹鑫建筑有限公司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63,600,000.00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7.88</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r>
        <w:trPr>
          <w:trHeight w:val="34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厦门中马进出口有限公司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60,000,000.00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7.43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4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成美融资租赁（天津）有限公司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6.19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r>
        <w:trPr>
          <w:trHeight w:val="34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深圳中科强华科技有限公司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42,700,000.00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5.29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519,000.00</w:t>
            </w:r>
          </w:p>
        </w:tc>
      </w:tr>
      <w:tr>
        <w:trPr>
          <w:trHeight w:val="34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b/>
                <w:spacing w:val="-1"/>
                <w:sz w:val="18"/>
              </w:rPr>
              <w:t>316,300,000.00</w:t>
            </w:r>
            <w:r>
              <w:rPr>
                <w:rFonts w:ascii="Times New Roman"/>
                <w:spacing w:val="-1"/>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b/>
                <w:sz w:val="18"/>
              </w:rPr>
              <w:t>39.19</w:t>
            </w:r>
            <w:r>
              <w:rPr>
                <w:rFonts w:ascii="Times New Roman"/>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b/>
                <w:spacing w:val="-1"/>
                <w:sz w:val="18"/>
              </w:rPr>
              <w:t>619,000.00</w:t>
            </w:r>
            <w:r>
              <w:rPr>
                <w:rFonts w:ascii="Times New Roman"/>
                <w:spacing w:val="-1"/>
                <w:sz w:val="18"/>
              </w:rPr>
            </w:r>
          </w:p>
        </w:tc>
      </w:tr>
    </w:tbl>
    <w:p>
      <w:pPr>
        <w:spacing w:line="240" w:lineRule="auto" w:before="9"/>
        <w:rPr>
          <w:rFonts w:ascii="宋体" w:hAnsi="宋体" w:cs="宋体" w:eastAsia="宋体" w:hint="default"/>
          <w:sz w:val="7"/>
          <w:szCs w:val="7"/>
        </w:rPr>
      </w:pPr>
    </w:p>
    <w:p>
      <w:pPr>
        <w:pStyle w:val="BodyText"/>
        <w:spacing w:line="300" w:lineRule="auto" w:before="44"/>
        <w:ind w:right="1169" w:firstLine="360"/>
        <w:jc w:val="left"/>
      </w:pPr>
      <w:r>
        <w:rPr/>
        <w:t>说明：除了应收深圳中科强华科技有限公司余额中包含</w:t>
      </w:r>
      <w:r>
        <w:rPr>
          <w:rFonts w:ascii="Times New Roman" w:hAnsi="Times New Roman" w:cs="Times New Roman" w:eastAsia="Times New Roman" w:hint="default"/>
        </w:rPr>
        <w:t>2,700,000.00</w:t>
      </w:r>
      <w:r>
        <w:rPr/>
        <w:t>元的应收销售货款外，应收账款年末余额前五名均 为应收保理款，因此补充披露应收销售货款和提供服务的前五名：</w:t>
      </w:r>
    </w:p>
    <w:p>
      <w:pPr>
        <w:spacing w:line="240" w:lineRule="auto" w:before="10"/>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971"/>
        <w:gridCol w:w="1704"/>
        <w:gridCol w:w="1702"/>
        <w:gridCol w:w="1695"/>
      </w:tblGrid>
      <w:tr>
        <w:trPr>
          <w:trHeight w:val="73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22"/>
              <w:ind w:left="484" w:right="485"/>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213" w:right="29" w:hanging="18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占应收账款年末余额</w:t>
            </w:r>
            <w:r>
              <w:rPr>
                <w:rFonts w:ascii="宋体" w:hAnsi="宋体" w:cs="宋体" w:eastAsia="宋体" w:hint="default"/>
                <w:b/>
                <w:bCs/>
                <w:w w:val="99"/>
                <w:sz w:val="18"/>
                <w:szCs w:val="18"/>
              </w:rPr>
              <w:t> </w:t>
            </w:r>
            <w:r>
              <w:rPr>
                <w:rFonts w:ascii="宋体" w:hAnsi="宋体" w:cs="宋体" w:eastAsia="宋体" w:hint="default"/>
                <w:b/>
                <w:bCs/>
                <w:sz w:val="18"/>
                <w:szCs w:val="18"/>
              </w:rPr>
              <w:t>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22"/>
              <w:ind w:left="480" w:right="48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合肥市劳动和社会保障计算机信息和管理中心</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20,106,673.53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2.49</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1,336,113.05</w:t>
            </w:r>
          </w:p>
        </w:tc>
      </w:tr>
      <w:tr>
        <w:trPr>
          <w:trHeight w:val="34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广西医大开元埌东医院有限责任公司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16,811,140.00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2.08</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1,011,599.00</w:t>
            </w:r>
          </w:p>
        </w:tc>
      </w:tr>
      <w:tr>
        <w:trPr>
          <w:trHeight w:val="34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湖南省人力资源和社会保障厅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16,093,978.12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1.99</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1,016,134.63</w:t>
            </w:r>
          </w:p>
        </w:tc>
      </w:tr>
      <w:tr>
        <w:trPr>
          <w:trHeight w:val="34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福建海峡银行股份有限公司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14,301,000.00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1.77</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715,050.00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971"/>
        <w:gridCol w:w="1704"/>
        <w:gridCol w:w="1702"/>
        <w:gridCol w:w="1695"/>
      </w:tblGrid>
      <w:tr>
        <w:trPr>
          <w:trHeight w:val="34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广西壮族自治区农村信用社联合社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13,715,504.63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919,093.83</w:t>
            </w:r>
          </w:p>
        </w:tc>
      </w:tr>
      <w:tr>
        <w:trPr>
          <w:trHeight w:val="34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b/>
                <w:spacing w:val="-1"/>
                <w:sz w:val="18"/>
              </w:rPr>
              <w:t>81,028,296.28</w:t>
            </w:r>
            <w:r>
              <w:rPr>
                <w:rFonts w:ascii="Times New Roman"/>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b/>
                <w:sz w:val="18"/>
              </w:rPr>
              <w:t>10.04</w:t>
            </w:r>
            <w:r>
              <w:rPr>
                <w:rFonts w:ascii="Times New Roman"/>
                <w:sz w:val="18"/>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b/>
                <w:spacing w:val="-1"/>
                <w:sz w:val="18"/>
              </w:rPr>
              <w:t>4,997,990.51</w:t>
            </w:r>
            <w:r>
              <w:rPr>
                <w:rFonts w:ascii="Times New Roman"/>
                <w:spacing w:val="-1"/>
                <w:sz w:val="18"/>
              </w:rPr>
            </w:r>
          </w:p>
        </w:tc>
      </w:tr>
    </w:tbl>
    <w:p>
      <w:pPr>
        <w:pStyle w:val="BodyText"/>
        <w:spacing w:line="340" w:lineRule="auto" w:before="51"/>
        <w:ind w:right="7544"/>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40" w:lineRule="auto" w:before="39"/>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pStyle w:val="BodyText"/>
        <w:spacing w:line="357" w:lineRule="auto" w:before="4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12,742,784.59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4,272,514.89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84.67%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562,789.46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381,453.16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7.56%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243,256.60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32,928.70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0.65%</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81,154.59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359,092.41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7.12%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13,629,985.24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5,045,989.16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5896"/>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920"/>
        <w:gridCol w:w="2271"/>
        <w:gridCol w:w="3092"/>
      </w:tblGrid>
      <w:tr>
        <w:trPr>
          <w:trHeight w:val="65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1536" w:right="0"/>
              <w:jc w:val="right"/>
              <w:rPr>
                <w:rFonts w:ascii="宋体" w:hAnsi="宋体" w:cs="宋体" w:eastAsia="宋体" w:hint="default"/>
                <w:sz w:val="18"/>
                <w:szCs w:val="18"/>
              </w:rPr>
            </w:pPr>
            <w:r>
              <w:rPr>
                <w:rFonts w:ascii="宋体" w:hAnsi="宋体" w:cs="宋体" w:eastAsia="宋体" w:hint="default"/>
                <w:b/>
                <w:bCs/>
                <w:w w:val="95"/>
                <w:sz w:val="18"/>
                <w:szCs w:val="18"/>
              </w:rPr>
              <w:t>预付款项</w:t>
            </w:r>
            <w:r>
              <w:rPr>
                <w:rFonts w:ascii="宋体" w:hAnsi="宋体" w:cs="宋体" w:eastAsia="宋体" w:hint="default"/>
                <w:b/>
                <w:bCs/>
                <w:spacing w:val="-64"/>
                <w:w w:val="95"/>
                <w:sz w:val="18"/>
                <w:szCs w:val="18"/>
              </w:rPr>
              <w:t> </w:t>
            </w:r>
            <w:r>
              <w:rPr>
                <w:rFonts w:ascii="宋体" w:hAnsi="宋体" w:cs="宋体" w:eastAsia="宋体" w:hint="default"/>
                <w:b/>
                <w:bCs/>
                <w:spacing w:val="-64"/>
                <w:w w:val="95"/>
                <w:sz w:val="18"/>
                <w:szCs w:val="18"/>
              </w:rPr>
            </w: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1812" w:right="0" w:hanging="36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占预付款项年末余额</w:t>
            </w:r>
            <w:r>
              <w:rPr>
                <w:rFonts w:ascii="宋体" w:hAnsi="宋体" w:cs="宋体" w:eastAsia="宋体" w:hint="default"/>
                <w:b/>
                <w:bCs/>
                <w:w w:val="99"/>
                <w:sz w:val="18"/>
                <w:szCs w:val="18"/>
              </w:rPr>
              <w:t> </w:t>
            </w:r>
            <w:r>
              <w:rPr>
                <w:rFonts w:ascii="宋体" w:hAnsi="宋体" w:cs="宋体" w:eastAsia="宋体" w:hint="default"/>
                <w:b/>
                <w:bCs/>
                <w:sz w:val="18"/>
                <w:szCs w:val="18"/>
              </w:rPr>
              <w:t>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福建七次方信息科技有限公司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4,350,000.00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z w:val="18"/>
              </w:rPr>
              <w:t>31.91</w:t>
            </w:r>
          </w:p>
        </w:tc>
      </w:tr>
      <w:tr>
        <w:trPr>
          <w:trHeight w:val="34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厦门医联康信息技术有限公司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794,284.50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pacing w:val="-1"/>
                <w:sz w:val="18"/>
              </w:rPr>
              <w:t>5.83</w:t>
            </w:r>
          </w:p>
        </w:tc>
      </w:tr>
      <w:tr>
        <w:trPr>
          <w:trHeight w:val="34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汇鋒（福建）信息技术有限公司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717,000.00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5.26</w:t>
            </w:r>
          </w:p>
        </w:tc>
      </w:tr>
      <w:tr>
        <w:trPr>
          <w:trHeight w:val="34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北京银联金卡科技有限公司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609,380.00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pacing w:val="-1"/>
                <w:sz w:val="18"/>
              </w:rPr>
              <w:t>4.47</w:t>
            </w:r>
          </w:p>
        </w:tc>
      </w:tr>
      <w:tr>
        <w:trPr>
          <w:trHeight w:val="34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合肥蓝静创信息科技有限公司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565,600.00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4.15</w:t>
            </w:r>
          </w:p>
        </w:tc>
      </w:tr>
      <w:tr>
        <w:trPr>
          <w:trHeight w:val="34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7,036,264.50</w:t>
            </w:r>
            <w:r>
              <w:rPr>
                <w:rFonts w:ascii="Times New Roman"/>
                <w:spacing w:val="-1"/>
                <w:sz w:val="18"/>
              </w:rPr>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b/>
                <w:sz w:val="18"/>
              </w:rPr>
              <w:t>51.62</w:t>
            </w:r>
            <w:r>
              <w:rPr>
                <w:rFonts w:ascii="Times New Roman"/>
                <w:sz w:val="18"/>
              </w:rPr>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3,706,866.66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1,018,334.39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18,846,203.60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25,274,980.04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22,553,070.26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26,293,314.43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应收保理利息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3,706,866.66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1,018,334.39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3,706,866.66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1,018,334.39</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0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3" w:right="51"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103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福建中合农产品市场有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6"/>
              <w:ind w:left="23" w:right="77"/>
              <w:jc w:val="both"/>
              <w:rPr>
                <w:rFonts w:ascii="宋体" w:hAnsi="宋体" w:cs="宋体" w:eastAsia="宋体" w:hint="default"/>
                <w:sz w:val="18"/>
                <w:szCs w:val="18"/>
              </w:rPr>
            </w:pPr>
            <w:r>
              <w:rPr>
                <w:rFonts w:ascii="宋体" w:hAnsi="宋体" w:cs="宋体" w:eastAsia="宋体" w:hint="default"/>
                <w:sz w:val="18"/>
                <w:szCs w:val="18"/>
              </w:rPr>
              <w:t>客户信用状况不良，逾 期时间较长，收回可能 小</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福建中合农产品市场有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77"/>
              <w:jc w:val="both"/>
              <w:rPr>
                <w:rFonts w:ascii="宋体" w:hAnsi="宋体" w:cs="宋体" w:eastAsia="宋体" w:hint="default"/>
                <w:sz w:val="18"/>
                <w:szCs w:val="18"/>
              </w:rPr>
            </w:pPr>
            <w:r>
              <w:rPr>
                <w:rFonts w:ascii="宋体" w:hAnsi="宋体" w:cs="宋体" w:eastAsia="宋体" w:hint="default"/>
                <w:sz w:val="18"/>
                <w:szCs w:val="18"/>
              </w:rPr>
              <w:t>客户信用状况不良，逾 期时间较长，收回可能 小</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福建中合农产品市场有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77"/>
              <w:jc w:val="both"/>
              <w:rPr>
                <w:rFonts w:ascii="宋体" w:hAnsi="宋体" w:cs="宋体" w:eastAsia="宋体" w:hint="default"/>
                <w:sz w:val="18"/>
                <w:szCs w:val="18"/>
              </w:rPr>
            </w:pPr>
            <w:r>
              <w:rPr>
                <w:rFonts w:ascii="宋体" w:hAnsi="宋体" w:cs="宋体" w:eastAsia="宋体" w:hint="default"/>
                <w:sz w:val="18"/>
                <w:szCs w:val="18"/>
              </w:rPr>
              <w:t>客户信用状况不良，逾 期时间较长，收回可能 小</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辽宁凯奇贸易有限公司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10,833.33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逾期</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辽宁凯奇贸易有限公司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31,777.78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逾期</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辽宁凯奇贸易有限公司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22,027.78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逾期</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厦门基源医疗科技有限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逾期</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厦门中马进出口有限公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29,166.67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逾期</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厦门中马进出口有限公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逾期</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厦门中马进出口有限公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逾期</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厦门中马进出口有限公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逾期</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厦门中马进出口有限公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逾期</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天津龙津国源物流有限 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794,444.44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逾期</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天津龙津国源物流有限 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306,250.00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逾期</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天津龙津国源物流有限 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逾期</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天津龙津国源物流有限 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141,666.67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逾期</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3,813,666.67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240" w:lineRule="auto" w:before="115"/>
        <w:ind w:left="513" w:right="0"/>
        <w:jc w:val="left"/>
      </w:pPr>
      <w:r>
        <w:rPr/>
        <w:t>辽宁凯奇贸易有限公司、天津龙津国源物流有限责任公司逾期利息已分别于</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2019</w:t>
      </w:r>
      <w:r>
        <w:rPr/>
        <w:t>年</w:t>
      </w:r>
      <w:r>
        <w:rPr>
          <w:rFonts w:ascii="宋体" w:hAnsi="宋体" w:cs="宋体" w:eastAsia="宋体" w:hint="default"/>
        </w:rPr>
        <w:t>1</w:t>
      </w:r>
      <w:r>
        <w:rPr/>
        <w:t>月收回。</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9884"/>
        <w:jc w:val="left"/>
      </w:pPr>
      <w:r>
        <w:rPr>
          <w:rFonts w:ascii="Times New Roman" w:hAnsi="Times New Roman" w:cs="Times New Roman" w:eastAsia="Times New Roman" w:hint="default"/>
        </w:rPr>
        <w:t>1)</w:t>
      </w:r>
      <w:r>
        <w:rPr/>
        <w:t>应收股利</w:t>
      </w:r>
      <w:r>
        <w:rPr>
          <w:w w:val="99"/>
        </w:rPr>
        <w:t> </w:t>
      </w:r>
      <w:r>
        <w:rPr/>
        <w:t>无</w:t>
      </w:r>
    </w:p>
    <w:p>
      <w:pPr>
        <w:pStyle w:val="BodyText"/>
        <w:spacing w:line="340" w:lineRule="auto" w:before="39"/>
        <w:ind w:right="8085"/>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 </w:t>
      </w:r>
      <w:r>
        <w:rPr/>
        <w:t>年的应收股利</w:t>
      </w:r>
      <w:r>
        <w:rPr>
          <w:w w:val="99"/>
        </w:rPr>
        <w:t> </w:t>
      </w:r>
      <w:r>
        <w:rPr/>
        <w:t>无</w:t>
      </w:r>
    </w:p>
    <w:p>
      <w:pPr>
        <w:pStyle w:val="BodyText"/>
        <w:spacing w:line="240" w:lineRule="auto" w:before="4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25,082,2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81.89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6,236,07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24.86%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18,846,20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3.60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30,822,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416.83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5,547,436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25,274,980.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25,082,2</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81.89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6,236,07</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8.29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24.86%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18,846,20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3.60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30,822,</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416.83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5,547,436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25,274,980.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13,444,782.22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672,239.11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4,383,238.88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438,323.89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1,255,847.45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251,169.48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2,248,135.07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1,124,067.54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804,943.57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804,943.57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2,945,334.70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2,945,334.70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25,082,281.89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6,236,078.29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24.86%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357" w:lineRule="auto" w:before="51"/>
        <w:ind w:right="4172"/>
        <w:jc w:val="left"/>
      </w:pPr>
      <w:r>
        <w:rPr/>
        <w:t>确定该组合依据的说明： 无</w:t>
      </w:r>
    </w:p>
    <w:p>
      <w:pPr>
        <w:pStyle w:val="BodyText"/>
        <w:spacing w:line="240" w:lineRule="auto" w:before="29"/>
        <w:ind w:right="-10"/>
        <w:jc w:val="left"/>
      </w:pPr>
      <w:r>
        <w:rPr/>
        <w:t>组合中，采用余额百分比法计提坏账准备的其他应收款：</w:t>
      </w:r>
    </w:p>
    <w:p>
      <w:pPr>
        <w:pStyle w:val="BodyText"/>
        <w:spacing w:line="338" w:lineRule="auto" w:before="117"/>
        <w:ind w:right="2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4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0"/>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10"/>
        <w:jc w:val="left"/>
      </w:pPr>
      <w:r>
        <w:rPr/>
        <w:t>本期计提坏账准备金额</w:t>
      </w:r>
      <w:r>
        <w:rPr>
          <w:spacing w:val="-47"/>
        </w:rPr>
        <w:t> </w:t>
      </w:r>
      <w:r>
        <w:rPr>
          <w:rFonts w:ascii="Times New Roman" w:hAnsi="Times New Roman" w:cs="Times New Roman" w:eastAsia="Times New Roman" w:hint="default"/>
        </w:rPr>
        <w:t>691,241.50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pStyle w:val="BodyText"/>
        <w:spacing w:line="240" w:lineRule="auto" w:before="41"/>
        <w:ind w:right="4172"/>
        <w:jc w:val="left"/>
      </w:pPr>
      <w:r>
        <w:rPr/>
        <w:t>无</w:t>
      </w:r>
    </w:p>
    <w:p>
      <w:pPr>
        <w:pStyle w:val="BodyText"/>
        <w:spacing w:line="240" w:lineRule="auto" w:before="76"/>
        <w:ind w:right="-10"/>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325" w:space="2504"/>
            <w:col w:w="2101"/>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398"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6" w:hRule="exact"/>
        </w:trPr>
        <w:tc>
          <w:tcPr>
            <w:tcW w:w="47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w w:val="95"/>
                <w:sz w:val="18"/>
              </w:rPr>
              <w:t>2,600.00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0" w:lineRule="auto" w:before="51"/>
        <w:ind w:right="-19"/>
        <w:jc w:val="left"/>
      </w:pPr>
      <w:r>
        <w:rPr/>
        <w:t>其中重要的其他应收款核销情况：无 其他应收款核销说明：</w:t>
      </w:r>
    </w:p>
    <w:p>
      <w:pPr>
        <w:pStyle w:val="BodyText"/>
        <w:spacing w:line="240" w:lineRule="auto" w:before="25"/>
        <w:ind w:right="-19"/>
        <w:jc w:val="left"/>
      </w:pPr>
      <w:r>
        <w:rPr/>
        <w:t>无</w:t>
      </w:r>
    </w:p>
    <w:p>
      <w:pPr>
        <w:pStyle w:val="BodyText"/>
        <w:spacing w:line="240" w:lineRule="auto" w:before="117"/>
        <w:ind w:right="-19"/>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034" w:space="5795"/>
            <w:col w:w="2101"/>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917,276.97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1,716,274.75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20,316,808.81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15,759,150.99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3,848,196.11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13,346,991.09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25,082,281.89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30,822,416.83</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67"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2" w:right="118"/>
              <w:jc w:val="left"/>
              <w:rPr>
                <w:rFonts w:ascii="宋体" w:hAnsi="宋体" w:cs="宋体" w:eastAsia="宋体" w:hint="default"/>
                <w:sz w:val="18"/>
                <w:szCs w:val="18"/>
              </w:rPr>
            </w:pPr>
            <w:r>
              <w:rPr>
                <w:rFonts w:ascii="宋体" w:hAnsi="宋体" w:cs="宋体" w:eastAsia="宋体" w:hint="default"/>
                <w:sz w:val="18"/>
                <w:szCs w:val="18"/>
              </w:rPr>
              <w:t>安徽合肥公共资源 交易中心</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3,042,150.00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3,030,900.00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152,670.00</w:t>
            </w:r>
          </w:p>
        </w:tc>
      </w:tr>
      <w:tr>
        <w:trPr>
          <w:trHeight w:val="1378"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吉林大学第一医院</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1,515,000.00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315,000.00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240" w:lineRule="auto" w:before="11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1,200,000.00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631,500.00</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18"/>
              <w:jc w:val="left"/>
              <w:rPr>
                <w:rFonts w:ascii="宋体" w:hAnsi="宋体" w:cs="宋体" w:eastAsia="宋体" w:hint="default"/>
                <w:sz w:val="18"/>
                <w:szCs w:val="18"/>
              </w:rPr>
            </w:pPr>
            <w:r>
              <w:rPr>
                <w:rFonts w:ascii="宋体" w:hAnsi="宋体" w:cs="宋体" w:eastAsia="宋体" w:hint="default"/>
                <w:sz w:val="18"/>
                <w:szCs w:val="18"/>
              </w:rPr>
              <w:t>福建省机关事业社 会保险局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1,029,600.00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1,029,600.00</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left"/>
              <w:rPr>
                <w:rFonts w:ascii="宋体" w:hAnsi="宋体" w:cs="宋体" w:eastAsia="宋体" w:hint="default"/>
                <w:sz w:val="18"/>
                <w:szCs w:val="18"/>
              </w:rPr>
            </w:pPr>
            <w:r>
              <w:rPr>
                <w:rFonts w:ascii="宋体" w:hAnsi="宋体" w:cs="宋体" w:eastAsia="宋体" w:hint="default"/>
                <w:sz w:val="18"/>
                <w:szCs w:val="18"/>
              </w:rPr>
              <w:t>北京喜盟资产管理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832,486.14</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83,248.61</w:t>
            </w:r>
          </w:p>
        </w:tc>
      </w:tr>
      <w:tr>
        <w:trPr>
          <w:trHeight w:val="1066"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厦门市儿童医院</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731,980.00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682,180.00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49,800.00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78,178.00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7,151,216.14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28.51%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1,975,196.61</w:t>
            </w:r>
          </w:p>
        </w:tc>
      </w:tr>
    </w:tbl>
    <w:p>
      <w:pPr>
        <w:pStyle w:val="BodyText"/>
        <w:spacing w:line="338" w:lineRule="auto" w:before="51"/>
        <w:ind w:right="8624"/>
        <w:jc w:val="left"/>
      </w:pPr>
      <w:r>
        <w:rPr>
          <w:rFonts w:ascii="Times New Roman" w:hAnsi="Times New Roman" w:cs="Times New Roman" w:eastAsia="Times New Roman" w:hint="default"/>
        </w:rPr>
        <w:t>6)</w:t>
      </w:r>
      <w:r>
        <w:rPr/>
        <w:t>涉及政府补助的应收款项</w:t>
      </w:r>
      <w:r>
        <w:rPr>
          <w:w w:val="99"/>
        </w:rPr>
        <w:t> </w:t>
      </w:r>
      <w:r>
        <w:rPr/>
        <w:t>无</w:t>
      </w:r>
    </w:p>
    <w:p>
      <w:pPr>
        <w:pStyle w:val="BodyText"/>
        <w:spacing w:line="300" w:lineRule="auto" w:before="3"/>
        <w:ind w:right="7364"/>
        <w:jc w:val="left"/>
      </w:pPr>
      <w:r>
        <w:rPr>
          <w:rFonts w:ascii="Times New Roman" w:hAnsi="Times New Roman" w:cs="Times New Roman" w:eastAsia="Times New Roman" w:hint="default"/>
        </w:rPr>
        <w:t>7)</w:t>
      </w:r>
      <w:r>
        <w:rPr/>
        <w:t>因金融资产转移而终止确认的其他应收款</w:t>
      </w:r>
      <w:r>
        <w:rPr>
          <w:w w:val="99"/>
        </w:rPr>
        <w:t> </w:t>
      </w:r>
      <w:r>
        <w:rPr/>
        <w:t>无</w:t>
      </w:r>
    </w:p>
    <w:p>
      <w:pPr>
        <w:pStyle w:val="BodyText"/>
        <w:spacing w:line="338" w:lineRule="auto" w:before="72"/>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pStyle w:val="BodyText"/>
        <w:spacing w:line="360" w:lineRule="auto" w:before="43"/>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514"/>
        <w:jc w:val="left"/>
      </w:pPr>
      <w:r>
        <w:rPr/>
        <w:t>公司是否需要遵守房地产行业的披露要求 否</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）存货期末余额中利息资本化率的情况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）存货受限情况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3,389,029.68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3,389,029.68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1,809,986.05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1,809,986.05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22,722,933.05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22,722,933.05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17,832,262.77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17,832,262.77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27,604,363.59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11,588,396.43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16,015,967.16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26,000,560.85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8,684,389.05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17,316,171.80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66,683,389.69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2,329,380.56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64,354,009.13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61,628,556.08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369,561.19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61,258,994.89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120,399,716.01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13,917,776.99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106,481,939.02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107,271,365.75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9,053,950.24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98,217,415.51</w:t>
            </w:r>
          </w:p>
        </w:tc>
      </w:tr>
    </w:tbl>
    <w:p>
      <w:pPr>
        <w:pStyle w:val="BodyText"/>
        <w:spacing w:line="340" w:lineRule="auto" w:before="51"/>
        <w:ind w:right="24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39"/>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757"/>
        <w:jc w:val="left"/>
      </w:pPr>
      <w:r>
        <w:rPr/>
        <w:t>公司是否需遵守《深圳证券交易所创业板行业信息披露指引第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）存货跌价准备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8,684,389.05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2,904,007.38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11,588,396.43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369,561.19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1,959,819.37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2,329,380.56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9,053,950.24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4,863,826.75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13,917,776.99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1959"/>
        <w:gridCol w:w="3349"/>
        <w:gridCol w:w="3764"/>
      </w:tblGrid>
      <w:tr>
        <w:trPr>
          <w:trHeight w:val="341"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确定可变现净值的具体依据</w:t>
            </w:r>
            <w:r>
              <w:rPr>
                <w:rFonts w:ascii="宋体" w:hAnsi="宋体" w:cs="宋体" w:eastAsia="宋体" w:hint="default"/>
                <w:sz w:val="18"/>
                <w:szCs w:val="18"/>
              </w:rPr>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本年转回或转销存货跌价准备的原因</w:t>
            </w:r>
            <w:r>
              <w:rPr>
                <w:rFonts w:ascii="宋体" w:hAnsi="宋体" w:cs="宋体" w:eastAsia="宋体" w:hint="default"/>
                <w:sz w:val="18"/>
                <w:szCs w:val="18"/>
              </w:rPr>
            </w:r>
          </w:p>
        </w:tc>
      </w:tr>
      <w:tr>
        <w:trPr>
          <w:trHeight w:val="65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4" w:right="92"/>
              <w:jc w:val="left"/>
              <w:rPr>
                <w:rFonts w:ascii="宋体" w:hAnsi="宋体" w:cs="宋体" w:eastAsia="宋体" w:hint="default"/>
                <w:sz w:val="18"/>
                <w:szCs w:val="18"/>
              </w:rPr>
            </w:pPr>
            <w:r>
              <w:rPr>
                <w:rFonts w:ascii="宋体" w:hAnsi="宋体" w:cs="宋体" w:eastAsia="宋体" w:hint="default"/>
                <w:sz w:val="18"/>
                <w:szCs w:val="18"/>
              </w:rPr>
              <w:t>硬件根据预计售价确定，软件根据库龄及 版本更新情况确定</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65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92"/>
              <w:jc w:val="left"/>
              <w:rPr>
                <w:rFonts w:ascii="宋体" w:hAnsi="宋体" w:cs="宋体" w:eastAsia="宋体" w:hint="default"/>
                <w:sz w:val="18"/>
                <w:szCs w:val="18"/>
              </w:rPr>
            </w:pPr>
            <w:r>
              <w:rPr>
                <w:rFonts w:ascii="宋体" w:hAnsi="宋体" w:cs="宋体" w:eastAsia="宋体" w:hint="default"/>
                <w:sz w:val="18"/>
                <w:szCs w:val="18"/>
              </w:rPr>
              <w:t>对发出时间长、确定无法变现的项目全额 计提跌价</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9</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年内到期的融资租赁款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75,134,784.28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61,257,048.58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年内到期的分期收款提供劳务款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75,747,784.28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61,257,048.58</w:t>
            </w:r>
          </w:p>
        </w:tc>
      </w:tr>
    </w:tbl>
    <w:p>
      <w:pPr>
        <w:pStyle w:val="BodyText"/>
        <w:spacing w:line="357" w:lineRule="auto" w:before="51"/>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8,514,615.50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1,769,561.05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8,896.38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1,728,013.52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353,582.07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1,752.42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28,704.63</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10,253,277.82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2,151,847.75</w:t>
            </w:r>
          </w:p>
        </w:tc>
      </w:tr>
    </w:tbl>
    <w:p>
      <w:pPr>
        <w:pStyle w:val="BodyText"/>
        <w:spacing w:line="240" w:lineRule="auto" w:before="51"/>
        <w:ind w:right="0"/>
        <w:jc w:val="left"/>
      </w:pPr>
      <w:r>
        <w:rPr/>
        <w:t>其他说明：</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6"/>
        <w:gridCol w:w="1198"/>
        <w:gridCol w:w="1196"/>
        <w:gridCol w:w="1248"/>
        <w:gridCol w:w="1369"/>
        <w:gridCol w:w="1366"/>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46,000,000.00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46,000,000.00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46,000,000.00</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7" w:right="0"/>
              <w:jc w:val="center"/>
              <w:rPr>
                <w:rFonts w:ascii="Times New Roman" w:hAnsi="Times New Roman" w:cs="Times New Roman" w:eastAsia="Times New Roman" w:hint="default"/>
                <w:sz w:val="18"/>
                <w:szCs w:val="18"/>
              </w:rPr>
            </w:pPr>
            <w:r>
              <w:rPr>
                <w:rFonts w:ascii="Times New Roman"/>
                <w:sz w:val="18"/>
              </w:rPr>
              <w:t>46,000,000.00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7" w:right="0"/>
              <w:jc w:val="center"/>
              <w:rPr>
                <w:rFonts w:ascii="Times New Roman" w:hAnsi="Times New Roman" w:cs="Times New Roman" w:eastAsia="Times New Roman" w:hint="default"/>
                <w:sz w:val="18"/>
                <w:szCs w:val="18"/>
              </w:rPr>
            </w:pPr>
            <w:r>
              <w:rPr>
                <w:rFonts w:ascii="Times New Roman"/>
                <w:sz w:val="18"/>
              </w:rPr>
              <w:t>46,000,000.00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9" w:right="0"/>
              <w:jc w:val="left"/>
              <w:rPr>
                <w:rFonts w:ascii="Times New Roman" w:hAnsi="Times New Roman" w:cs="Times New Roman" w:eastAsia="Times New Roman" w:hint="default"/>
                <w:sz w:val="18"/>
                <w:szCs w:val="18"/>
              </w:rPr>
            </w:pPr>
            <w:r>
              <w:rPr>
                <w:rFonts w:ascii="Times New Roman"/>
                <w:sz w:val="18"/>
              </w:rPr>
              <w:t>46,000,000.00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46,000,000.00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9" w:right="0"/>
              <w:jc w:val="center"/>
              <w:rPr>
                <w:rFonts w:ascii="Times New Roman" w:hAnsi="Times New Roman" w:cs="Times New Roman" w:eastAsia="Times New Roman" w:hint="default"/>
                <w:sz w:val="18"/>
                <w:szCs w:val="18"/>
              </w:rPr>
            </w:pPr>
            <w:r>
              <w:rPr>
                <w:rFonts w:ascii="Times New Roman"/>
                <w:sz w:val="18"/>
              </w:rPr>
              <w:t>46,000,000.00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46,000,000.00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1"/>
        <w:gridCol w:w="869"/>
        <w:gridCol w:w="871"/>
        <w:gridCol w:w="869"/>
        <w:gridCol w:w="871"/>
        <w:gridCol w:w="869"/>
        <w:gridCol w:w="872"/>
        <w:gridCol w:w="869"/>
        <w:gridCol w:w="871"/>
      </w:tblGrid>
      <w:tr>
        <w:trPr>
          <w:trHeight w:val="404"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厦门农商 金融控股 集团有限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易联众</w:t>
            </w:r>
          </w:p>
          <w:p>
            <w:pPr>
              <w:pStyle w:val="TableParagraph"/>
              <w:spacing w:line="319" w:lineRule="auto" w:before="76"/>
              <w:ind w:left="22" w:right="108"/>
              <w:jc w:val="both"/>
              <w:rPr>
                <w:rFonts w:ascii="宋体" w:hAnsi="宋体" w:cs="宋体" w:eastAsia="宋体" w:hint="default"/>
                <w:sz w:val="18"/>
                <w:szCs w:val="18"/>
              </w:rPr>
            </w:pPr>
            <w:r>
              <w:rPr>
                <w:rFonts w:ascii="宋体" w:hAnsi="宋体" w:cs="宋体" w:eastAsia="宋体" w:hint="default"/>
                <w:sz w:val="18"/>
                <w:szCs w:val="18"/>
              </w:rPr>
              <w:t>（厦门） 医生集团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6434"/>
        <w:jc w:val="left"/>
      </w:pPr>
      <w:r>
        <w:rPr/>
        <w:t>其他说明 说明：可供出售金融资产的质押情况详见附注七、</w:t>
      </w:r>
      <w:r>
        <w:rPr>
          <w:rFonts w:ascii="宋体" w:hAnsi="宋体" w:cs="宋体" w:eastAsia="宋体" w:hint="default"/>
        </w:rPr>
        <w:t>70</w:t>
      </w:r>
      <w:r>
        <w:rPr/>
        <w:t>。</w:t>
      </w:r>
    </w:p>
    <w:p>
      <w:pPr>
        <w:spacing w:after="0" w:line="36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00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401" w:hRule="exact"/>
        </w:trPr>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4" w:hRule="exact"/>
        </w:trPr>
        <w:tc>
          <w:tcPr>
            <w:tcW w:w="1404"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75,134,784.28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75,134,784.28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63,476,848.68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63,476,848.68</w:t>
            </w:r>
          </w:p>
        </w:tc>
        <w:tc>
          <w:tcPr>
            <w:tcW w:w="1164"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3,452,515.72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3,452,515.72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2,422,151.32</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2" w:right="0"/>
              <w:jc w:val="center"/>
              <w:rPr>
                <w:rFonts w:ascii="Times New Roman" w:hAnsi="Times New Roman" w:cs="Times New Roman" w:eastAsia="Times New Roman" w:hint="default"/>
                <w:sz w:val="18"/>
                <w:szCs w:val="18"/>
              </w:rPr>
            </w:pPr>
            <w:r>
              <w:rPr>
                <w:rFonts w:ascii="Times New Roman"/>
                <w:sz w:val="18"/>
              </w:rPr>
              <w:t>2,422,151.32</w:t>
            </w:r>
          </w:p>
        </w:tc>
        <w:tc>
          <w:tcPr>
            <w:tcW w:w="1164"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5,697,867.23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5,697,867.23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3,032,469.70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4" w:right="0"/>
              <w:jc w:val="center"/>
              <w:rPr>
                <w:rFonts w:ascii="Times New Roman" w:hAnsi="Times New Roman" w:cs="Times New Roman" w:eastAsia="Times New Roman" w:hint="default"/>
                <w:sz w:val="18"/>
                <w:szCs w:val="18"/>
              </w:rPr>
            </w:pPr>
            <w:r>
              <w:rPr>
                <w:rFonts w:ascii="Times New Roman"/>
                <w:sz w:val="18"/>
              </w:rPr>
              <w:t>3,032,469.70</w:t>
            </w:r>
          </w:p>
        </w:tc>
        <w:tc>
          <w:tcPr>
            <w:tcW w:w="1164"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16"/>
                <w:sz w:val="18"/>
                <w:szCs w:val="18"/>
              </w:rPr>
              <w:t>减：</w:t>
            </w:r>
            <w:r>
              <w:rPr>
                <w:rFonts w:ascii="Times New Roman" w:hAnsi="Times New Roman" w:cs="Times New Roman" w:eastAsia="Times New Roman" w:hint="default"/>
                <w:spacing w:val="-16"/>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 长期应收款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-75,747,784.28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-75,747,784.28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-61,257,048.58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-61,257,048.58</w:t>
            </w:r>
          </w:p>
        </w:tc>
        <w:tc>
          <w:tcPr>
            <w:tcW w:w="1164"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5,084,867.23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5,084,867.23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5,252,269.80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2" w:right="0"/>
              <w:jc w:val="center"/>
              <w:rPr>
                <w:rFonts w:ascii="Times New Roman" w:hAnsi="Times New Roman" w:cs="Times New Roman" w:eastAsia="Times New Roman" w:hint="default"/>
                <w:sz w:val="18"/>
                <w:szCs w:val="18"/>
              </w:rPr>
            </w:pPr>
            <w:r>
              <w:rPr>
                <w:rFonts w:ascii="Times New Roman"/>
                <w:sz w:val="18"/>
              </w:rPr>
              <w:t>5,252,269.80</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0034"/>
        <w:jc w:val="left"/>
      </w:pPr>
      <w:r>
        <w:rPr/>
        <w:t>无 其他说明 无</w:t>
      </w:r>
    </w:p>
    <w:p>
      <w:pPr>
        <w:spacing w:after="0" w:line="36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百川通信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36,929,45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-127,046.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36,802,40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福建易联 众基因检 测分析技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423,137.7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-423,137.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厦门麟腾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-21,497.9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1,778,502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厦门易联 众金融技 术服务股 份有限公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1,151,451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-1,151,45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北京尚洋 易捷信息 技术股份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11,368,56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6,296,639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1,441,614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16,223,58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黑龙江易 联众信息 工程技术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749,859.3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-147,631.</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602,228.2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广州桔叶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6,904,209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-285,301.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6,618,908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广东易联 众民生信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991,382.2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-1,346,29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0.25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206,091.9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1337"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福建医联 康护信息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20,053,48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5,289,600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25,343,08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41"/>
              <w:jc w:val="both"/>
              <w:rPr>
                <w:rFonts w:ascii="宋体" w:hAnsi="宋体" w:cs="宋体" w:eastAsia="宋体" w:hint="default"/>
                <w:sz w:val="18"/>
                <w:szCs w:val="18"/>
              </w:rPr>
            </w:pPr>
            <w:r>
              <w:rPr>
                <w:rFonts w:ascii="宋体" w:hAnsi="宋体" w:cs="宋体" w:eastAsia="宋体" w:hint="default"/>
                <w:sz w:val="18"/>
                <w:szCs w:val="18"/>
              </w:rPr>
              <w:t>海保人寿 保险股份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294,392,6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04.80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-5,821,70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1,159,187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289,730,0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90.96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福建省星 民易付多 卡融合信 息科技有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5,396,334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-1,728,52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3,667,808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378,360,4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76.85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2,361,000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533,655.3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1,159,187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1,441,614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380,972,7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04.91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378,360,4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76.85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2,361,000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533,655.3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1,159,187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1,441,614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380,972,7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04.91</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00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188"/>
        <w:gridCol w:w="3188"/>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72,949,527.30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84,036,164.30</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72,949,527.30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84,036,164.30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办公及其他设备</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70,275,499.48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20,191,921.20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42,671,335.69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10,438,948.05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21,863,526.01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165,441,230.43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567,508.40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1,850,450.39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802,938.62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1,100,476.25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18,965.52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4,340,339.18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1,850,450.39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763,771.13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999,116.07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18,965.52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3,632,303.11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567,508.40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39,167.49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101,360.18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708,036.07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1,792,085.00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10,871,294.73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351,109.62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326,740.58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13,341,229.93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1,792,085.00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10,871,294.73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351,109.62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326,740.58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13,341,229.93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70,843,007.88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20,250,286.59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32,602,979.58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11,188,314.68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21,555,750.95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156,440,339.68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16,961,945.95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14,353,176.51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25,467,025.44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6,823,627.91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17,799,290.32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81,405,066.13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2,763,041.94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2,000,842.10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4,261,244.19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1,186,431.27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2,979,194.01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13,190,753.51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2,763,041.94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2,000,842.10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4,252,441.53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1,186,431.27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2,979,194.01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13,181,950.85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8,802.66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8,802.66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1,679,144.44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8,857,020.80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322,579.59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246,262.43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11,105,007.26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1,679,144.44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8,857,020.80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313,776.93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246,262.43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11,096,204.60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8,802.66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8,802.66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19,724,987.89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14,674,874.17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20,871,248.83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7,687,479.59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20,532,221.90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83,490,812.38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51,118,019.99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5,575,412.42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11,731,730.75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3,500,835.09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1,023,529.05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72,949,527.30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53,313,553.53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5,838,744.69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17,204,310.25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3,615,320.14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4,064,235.69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84,036,164.30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3,443,534.62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2,785,937.75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657,596.87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5,817,631.04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4,961,059.52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856,571.52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4"/>
        <w:gridCol w:w="318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福州软件园产业基地二期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24,212,857.10</w:t>
            </w:r>
          </w:p>
        </w:tc>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福州软件园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区需要通过整体验收才能 办理产权</w:t>
            </w:r>
          </w:p>
        </w:tc>
      </w:tr>
    </w:tbl>
    <w:p>
      <w:pPr>
        <w:pStyle w:val="BodyText"/>
        <w:spacing w:line="240" w:lineRule="auto" w:before="51"/>
        <w:ind w:right="0"/>
        <w:jc w:val="left"/>
      </w:pPr>
      <w:r>
        <w:rPr/>
        <w:t>其他说明</w:t>
      </w:r>
    </w:p>
    <w:p>
      <w:pPr>
        <w:pStyle w:val="BodyText"/>
        <w:spacing w:line="300" w:lineRule="auto" w:before="117"/>
        <w:ind w:right="0" w:firstLine="365"/>
        <w:jc w:val="left"/>
      </w:pPr>
      <w:r>
        <w:rPr/>
        <w:t>本公司与厦门弘信博格融资租赁有限公司签订《融资租赁合同》，通过售后回租的方式取得融资款</w:t>
      </w:r>
      <w:r>
        <w:rPr>
          <w:rFonts w:ascii="Times New Roman" w:hAnsi="Times New Roman" w:cs="Times New Roman" w:eastAsia="Times New Roman" w:hint="default"/>
        </w:rPr>
        <w:t>800</w:t>
      </w:r>
      <w:r>
        <w:rPr/>
        <w:t>万元，租期为</w:t>
      </w:r>
      <w:r>
        <w:rPr>
          <w:rFonts w:ascii="Times New Roman" w:hAnsi="Times New Roman" w:cs="Times New Roman" w:eastAsia="Times New Roman" w:hint="default"/>
        </w:rPr>
        <w:t>2 </w:t>
      </w:r>
      <w:r>
        <w:rPr/>
        <w:t>年，租金总额为</w:t>
      </w:r>
      <w:r>
        <w:rPr>
          <w:rFonts w:ascii="Times New Roman" w:hAnsi="Times New Roman" w:cs="Times New Roman" w:eastAsia="Times New Roman" w:hint="default"/>
        </w:rPr>
        <w:t>843.34</w:t>
      </w:r>
      <w:r>
        <w:rPr/>
        <w:t>万元。</w:t>
      </w:r>
    </w:p>
    <w:p>
      <w:pPr>
        <w:spacing w:after="0" w:line="30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100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96"/>
        <w:gridCol w:w="3815"/>
        <w:gridCol w:w="3860"/>
      </w:tblGrid>
      <w:tr>
        <w:trPr>
          <w:trHeight w:val="402"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437,311.93</w:t>
            </w:r>
          </w:p>
        </w:tc>
        <w:tc>
          <w:tcPr>
            <w:tcW w:w="38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437,311.93</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福州办公室装修 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437,311.93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437,311.93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437,311.93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437,311.93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1003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3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82,086,809.79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82,086,809.79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82,086,809.79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82,086,809.79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5,774,640.07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5,774,640.07</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341,509.42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341,509.42</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5,433,130.65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5,433,130.65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87,861,449.86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87,861,449.86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45,770,414.60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45,770,414.60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12,405,484.25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12,405,484.25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12,405,484.25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12,405,484.25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58,175,898.85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58,175,898.85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29,685,551.01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29,685,551.01</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36,316,395.19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36,316,395.19</w:t>
            </w:r>
          </w:p>
        </w:tc>
      </w:tr>
    </w:tbl>
    <w:p>
      <w:pPr>
        <w:pStyle w:val="BodyText"/>
        <w:spacing w:line="240" w:lineRule="auto" w:before="51"/>
        <w:ind w:right="0"/>
        <w:jc w:val="left"/>
      </w:pPr>
      <w:r>
        <w:rPr/>
        <w:t>本期末通过公司内部研发形成的无形资产占无形资产余额的比例</w:t>
      </w:r>
      <w:r>
        <w:rPr>
          <w:spacing w:val="-1"/>
        </w:rPr>
        <w:t> </w:t>
      </w:r>
      <w:r>
        <w:rPr>
          <w:rFonts w:ascii="Times New Roman" w:hAnsi="Times New Roman" w:cs="Times New Roman" w:eastAsia="Times New Roman" w:hint="default"/>
        </w:rPr>
        <w:t>97.25%</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398"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8"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家加社保二 期项目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1,990,609.48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1,990,609.48</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易联众个人 </w:t>
            </w:r>
            <w:r>
              <w:rPr>
                <w:rFonts w:ascii="宋体" w:hAnsi="宋体" w:cs="宋体" w:eastAsia="宋体" w:hint="default"/>
                <w:spacing w:val="-12"/>
                <w:sz w:val="18"/>
                <w:szCs w:val="18"/>
              </w:rPr>
              <w:t>健康云、家庭</w:t>
            </w:r>
            <w:r>
              <w:rPr>
                <w:rFonts w:ascii="宋体" w:hAnsi="宋体" w:cs="宋体" w:eastAsia="宋体" w:hint="default"/>
                <w:sz w:val="18"/>
                <w:szCs w:val="18"/>
              </w:rPr>
              <w:t> 签约平台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1,563,061.77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92,883.42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1,655,945.19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易联众医疗 保险智能监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1,759,710.76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1,759,710.76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36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105"/>
              <w:jc w:val="center"/>
              <w:rPr>
                <w:rFonts w:ascii="宋体" w:hAnsi="宋体" w:cs="宋体" w:eastAsia="宋体" w:hint="default"/>
                <w:sz w:val="18"/>
                <w:szCs w:val="18"/>
              </w:rPr>
            </w:pPr>
            <w:r>
              <w:rPr>
                <w:rFonts w:ascii="宋体" w:hAnsi="宋体" w:cs="宋体" w:eastAsia="宋体" w:hint="default"/>
                <w:sz w:val="18"/>
                <w:szCs w:val="18"/>
              </w:rPr>
              <w:t>察风控平台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exact" w:before="12"/>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易联众医卫 公共卫生管 理信息系统 </w:t>
            </w:r>
            <w:r>
              <w:rPr>
                <w:rFonts w:ascii="Times New Roman" w:hAnsi="Times New Roman" w:cs="Times New Roman" w:eastAsia="Times New Roman" w:hint="default"/>
                <w:sz w:val="18"/>
                <w:szCs w:val="18"/>
              </w:rPr>
              <w:t>V3.0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1,658,328.44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1,658,328.44</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易联众运营 决策分析平 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1,450,826.03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1,450,826.03</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易联众长青 医养软件平 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263,602.14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263,602.14</w:t>
            </w:r>
          </w:p>
        </w:tc>
      </w:tr>
      <w:tr>
        <w:trPr>
          <w:trHeight w:val="227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福建省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 </w:t>
            </w:r>
            <w:r>
              <w:rPr>
                <w:rFonts w:ascii="Times New Roman" w:hAnsi="Times New Roman" w:cs="Times New Roman" w:eastAsia="Times New Roman" w:hint="default"/>
                <w:sz w:val="18"/>
                <w:szCs w:val="18"/>
              </w:rPr>
              <w:t>DRG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疾病分 组省级平台 及医保结算 支付系统和 稽核改造项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2,617,502.62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2,617,502.62</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易联众三医 联动医改监 测平台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682,782.86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682,782.86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易联众定点 医疗机构医 保服务软件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2,418,633.49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2,418,633.49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大数据开发 者平台开发 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675,769.11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675,769.11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2,245,844.63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12,927,865.4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5,433,130.65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9,740,579.47</w:t>
            </w:r>
          </w:p>
        </w:tc>
      </w:tr>
    </w:tbl>
    <w:p>
      <w:pPr>
        <w:pStyle w:val="BodyText"/>
        <w:spacing w:line="240" w:lineRule="auto" w:before="52"/>
        <w:ind w:right="0"/>
        <w:jc w:val="left"/>
      </w:pPr>
      <w:r>
        <w:rPr/>
        <w:t>其他说明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692"/>
        <w:gridCol w:w="1887"/>
        <w:gridCol w:w="2083"/>
        <w:gridCol w:w="1695"/>
      </w:tblGrid>
      <w:tr>
        <w:trPr>
          <w:trHeight w:val="34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资本化开始时点</w:t>
            </w:r>
            <w:r>
              <w:rPr>
                <w:rFonts w:ascii="宋体" w:hAnsi="宋体" w:cs="宋体" w:eastAsia="宋体" w:hint="default"/>
                <w:sz w:val="18"/>
                <w:szCs w:val="18"/>
              </w:rPr>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b/>
                <w:bCs/>
                <w:sz w:val="18"/>
                <w:szCs w:val="18"/>
              </w:rPr>
              <w:t>资本化的具体依据</w:t>
            </w:r>
            <w:r>
              <w:rPr>
                <w:rFonts w:ascii="宋体" w:hAnsi="宋体" w:cs="宋体" w:eastAsia="宋体" w:hint="default"/>
                <w:sz w:val="18"/>
                <w:szCs w:val="18"/>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hAnsi="宋体" w:cs="宋体" w:eastAsia="宋体" w:hint="default"/>
                <w:b/>
                <w:bCs/>
                <w:w w:val="95"/>
                <w:sz w:val="18"/>
                <w:szCs w:val="18"/>
              </w:rPr>
              <w:t>截至年末的研发进度</w:t>
            </w:r>
            <w:r>
              <w:rPr>
                <w:rFonts w:ascii="宋体" w:hAnsi="宋体" w:cs="宋体" w:eastAsia="宋体" w:hint="default"/>
                <w:sz w:val="18"/>
                <w:szCs w:val="18"/>
              </w:rPr>
            </w:r>
          </w:p>
        </w:tc>
      </w:tr>
      <w:tr>
        <w:trPr>
          <w:trHeight w:val="34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家加社保二期项目</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95%</w:t>
            </w:r>
          </w:p>
        </w:tc>
      </w:tr>
      <w:tr>
        <w:trPr>
          <w:trHeight w:val="34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易联众个人健康云、家庭签约平台</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z w:val="18"/>
              </w:rPr>
              <w:t>100%</w:t>
            </w:r>
          </w:p>
        </w:tc>
      </w:tr>
      <w:tr>
        <w:trPr>
          <w:trHeight w:val="34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易联众医疗保险智能监察风控平台</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25%</w:t>
            </w:r>
          </w:p>
        </w:tc>
      </w:tr>
      <w:tr>
        <w:trPr>
          <w:trHeight w:val="34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易联众医卫公共卫生管理信息系统</w:t>
            </w:r>
            <w:r>
              <w:rPr>
                <w:rFonts w:ascii="Times New Roman" w:hAnsi="Times New Roman" w:cs="Times New Roman" w:eastAsia="Times New Roman" w:hint="default"/>
                <w:sz w:val="18"/>
                <w:szCs w:val="18"/>
              </w:rPr>
              <w:t>V3.0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z w:val="18"/>
              </w:rPr>
              <w:t>50%</w:t>
            </w:r>
          </w:p>
        </w:tc>
      </w:tr>
      <w:tr>
        <w:trPr>
          <w:trHeight w:val="34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易联众运营决策分析平台</w:t>
            </w:r>
            <w:r>
              <w:rPr>
                <w:rFonts w:ascii="Times New Roman" w:hAnsi="Times New Roman" w:cs="Times New Roman" w:eastAsia="Times New Roman" w:hint="default"/>
                <w:sz w:val="18"/>
                <w:szCs w:val="18"/>
              </w:rPr>
              <w:t>V2.0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40%</w:t>
            </w:r>
          </w:p>
        </w:tc>
      </w:tr>
      <w:tr>
        <w:trPr>
          <w:trHeight w:val="34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易联众长青医养软件平台</w:t>
            </w:r>
            <w:r>
              <w:rPr>
                <w:rFonts w:ascii="Times New Roman" w:hAnsi="Times New Roman" w:cs="Times New Roman" w:eastAsia="Times New Roman" w:hint="default"/>
                <w:sz w:val="18"/>
                <w:szCs w:val="18"/>
              </w:rPr>
              <w:t>V2.0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z w:val="18"/>
              </w:rPr>
              <w:t>70%</w:t>
            </w:r>
          </w:p>
        </w:tc>
      </w:tr>
      <w:tr>
        <w:trPr>
          <w:trHeight w:val="65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114"/>
              <w:jc w:val="left"/>
              <w:rPr>
                <w:rFonts w:ascii="宋体" w:hAnsi="宋体" w:cs="宋体" w:eastAsia="宋体" w:hint="default"/>
                <w:sz w:val="18"/>
                <w:szCs w:val="18"/>
              </w:rPr>
            </w:pPr>
            <w:r>
              <w:rPr>
                <w:rFonts w:ascii="宋体" w:hAnsi="宋体" w:cs="宋体" w:eastAsia="宋体" w:hint="default"/>
                <w:sz w:val="18"/>
                <w:szCs w:val="18"/>
              </w:rPr>
              <w:t>福建省</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r>
              <w:rPr>
                <w:rFonts w:ascii="Times New Roman" w:hAnsi="Times New Roman" w:cs="Times New Roman" w:eastAsia="Times New Roman" w:hint="default"/>
                <w:sz w:val="18"/>
                <w:szCs w:val="18"/>
              </w:rPr>
              <w:t>DRG</w:t>
            </w:r>
            <w:r>
              <w:rPr>
                <w:rFonts w:ascii="宋体" w:hAnsi="宋体" w:cs="宋体" w:eastAsia="宋体" w:hint="default"/>
                <w:sz w:val="18"/>
                <w:szCs w:val="18"/>
              </w:rPr>
              <w:t>疾病分组省级平台及医保结算 支付系统和稽核改造项目</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25%</w:t>
            </w:r>
          </w:p>
        </w:tc>
      </w:tr>
      <w:tr>
        <w:trPr>
          <w:trHeight w:val="34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易联众三医联动医改监测平台</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692"/>
        <w:gridCol w:w="1887"/>
        <w:gridCol w:w="2083"/>
        <w:gridCol w:w="1695"/>
      </w:tblGrid>
      <w:tr>
        <w:trPr>
          <w:trHeight w:val="34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易联众定点医疗机构医保服务软件</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100%</w:t>
            </w:r>
          </w:p>
        </w:tc>
      </w:tr>
      <w:tr>
        <w:trPr>
          <w:trHeight w:val="34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大数据开发者平台开发项目</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厦门市纵达科技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692,278.33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692,278.33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海南易联众信息 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9,583,464.97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9,583,464.97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10,275,743.30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10,275,743.30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7514" w:hanging="361"/>
        <w:jc w:val="left"/>
      </w:pPr>
      <w:r>
        <w:rPr/>
        <w:t>商誉所在资产组或资产组组合的相关信息 资产组的认定</w:t>
      </w:r>
    </w:p>
    <w:p>
      <w:pPr>
        <w:pStyle w:val="BodyText"/>
        <w:spacing w:line="224" w:lineRule="exact"/>
        <w:ind w:left="513" w:right="0"/>
        <w:jc w:val="left"/>
      </w:pPr>
      <w:r>
        <w:rPr/>
        <w:t>本集团并购厦门纵达、海南易联众股权，是基于市场价值基础的定价，资产组包含在厦门纵达、海南易联众相关的经营</w:t>
      </w:r>
    </w:p>
    <w:p>
      <w:pPr>
        <w:pStyle w:val="BodyText"/>
        <w:spacing w:line="316" w:lineRule="auto" w:before="76"/>
        <w:ind w:left="513" w:right="3194" w:hanging="361"/>
        <w:jc w:val="left"/>
      </w:pPr>
      <w:r>
        <w:rPr/>
        <w:t>性资产、负债中。本年确定资产组合与购买日、以前年度商誉减值测试时所确定的资产组一致。 商誉减值准备</w:t>
      </w:r>
    </w:p>
    <w:p>
      <w:pPr>
        <w:pStyle w:val="BodyText"/>
        <w:spacing w:line="316" w:lineRule="auto" w:before="19"/>
        <w:ind w:right="1131" w:firstLine="360"/>
        <w:jc w:val="both"/>
      </w:pPr>
      <w:r>
        <w:rPr>
          <w:spacing w:val="-2"/>
        </w:rPr>
        <w:t>本集团聘请北京亚超资产评估有限公司对本公司并购海南易联众所形成的商誉进行减值测试，并出具了“北京亚超评报</w:t>
      </w:r>
      <w:r>
        <w:rPr/>
        <w:t> </w:t>
      </w:r>
      <w:r>
        <w:rPr>
          <w:spacing w:val="-5"/>
        </w:rPr>
        <w:t>字（</w:t>
      </w:r>
      <w:r>
        <w:rPr>
          <w:rFonts w:ascii="宋体" w:hAnsi="宋体" w:cs="宋体" w:eastAsia="宋体" w:hint="default"/>
          <w:spacing w:val="-5"/>
        </w:rPr>
        <w:t>2019</w:t>
      </w:r>
      <w:r>
        <w:rPr>
          <w:spacing w:val="-5"/>
        </w:rPr>
        <w:t>）第</w:t>
      </w:r>
      <w:r>
        <w:rPr>
          <w:spacing w:val="-53"/>
        </w:rPr>
        <w:t> </w:t>
      </w:r>
      <w:r>
        <w:rPr>
          <w:rFonts w:ascii="宋体" w:hAnsi="宋体" w:cs="宋体" w:eastAsia="宋体" w:hint="default"/>
        </w:rPr>
        <w:t>A139</w:t>
      </w:r>
      <w:r>
        <w:rPr>
          <w:rFonts w:ascii="宋体" w:hAnsi="宋体" w:cs="宋体" w:eastAsia="宋体" w:hint="default"/>
          <w:spacing w:val="-51"/>
        </w:rPr>
        <w:t> </w:t>
      </w:r>
      <w:r>
        <w:rPr/>
        <w:t>号”评估报告。根据评估报告结果，海南易联众与商誉相关的资产组组合评估值为</w:t>
      </w:r>
      <w:r>
        <w:rPr>
          <w:spacing w:val="-52"/>
        </w:rPr>
        <w:t> </w:t>
      </w:r>
      <w:r>
        <w:rPr>
          <w:rFonts w:ascii="宋体" w:hAnsi="宋体" w:cs="宋体" w:eastAsia="宋体" w:hint="default"/>
        </w:rPr>
        <w:t>1,716.89</w:t>
      </w:r>
      <w:r>
        <w:rPr>
          <w:rFonts w:ascii="宋体" w:hAnsi="宋体" w:cs="宋体" w:eastAsia="宋体" w:hint="default"/>
          <w:spacing w:val="-51"/>
        </w:rPr>
        <w:t> </w:t>
      </w:r>
      <w:r>
        <w:rPr>
          <w:spacing w:val="-5"/>
        </w:rPr>
        <w:t>万元，与商</w:t>
      </w:r>
      <w:r>
        <w:rPr>
          <w:spacing w:val="-3"/>
        </w:rPr>
        <w:t> </w:t>
      </w:r>
      <w:r>
        <w:rPr/>
        <w:t>誉相关的资产组组合账面价值为</w:t>
      </w:r>
      <w:r>
        <w:rPr>
          <w:spacing w:val="-48"/>
        </w:rPr>
        <w:t> </w:t>
      </w:r>
      <w:r>
        <w:rPr>
          <w:rFonts w:ascii="宋体" w:hAnsi="宋体" w:cs="宋体" w:eastAsia="宋体" w:hint="default"/>
        </w:rPr>
        <w:t>1,700.05</w:t>
      </w:r>
      <w:r>
        <w:rPr>
          <w:rFonts w:ascii="宋体" w:hAnsi="宋体" w:cs="宋体" w:eastAsia="宋体" w:hint="default"/>
          <w:spacing w:val="-46"/>
        </w:rPr>
        <w:t> </w:t>
      </w:r>
      <w:r>
        <w:rPr/>
        <w:t>万元，评估值高于资产组的账面价值，未发生减值情况。</w:t>
      </w:r>
    </w:p>
    <w:p>
      <w:pPr>
        <w:pStyle w:val="BodyText"/>
        <w:spacing w:line="319" w:lineRule="auto" w:before="19"/>
        <w:ind w:right="1128" w:firstLine="360"/>
        <w:jc w:val="both"/>
        <w:rPr>
          <w:rFonts w:ascii="宋体" w:hAnsi="宋体" w:cs="宋体" w:eastAsia="宋体" w:hint="default"/>
        </w:rPr>
      </w:pPr>
      <w:r>
        <w:rPr>
          <w:spacing w:val="-2"/>
        </w:rPr>
        <w:t>本集团采用预计未来现金流量的方式计算资产组的可收回金额。本集团根据管理层批准的财务预算预计未来</w:t>
      </w:r>
      <w:r>
        <w:rPr>
          <w:spacing w:val="-40"/>
        </w:rPr>
        <w:t> </w:t>
      </w:r>
      <w:r>
        <w:rPr>
          <w:rFonts w:ascii="宋体" w:hAnsi="宋体" w:cs="宋体" w:eastAsia="宋体" w:hint="default"/>
        </w:rPr>
        <w:t>5</w:t>
      </w:r>
      <w:r>
        <w:rPr>
          <w:rFonts w:ascii="宋体" w:hAnsi="宋体" w:cs="宋体" w:eastAsia="宋体" w:hint="default"/>
          <w:spacing w:val="-40"/>
        </w:rPr>
        <w:t> </w:t>
      </w:r>
      <w:r>
        <w:rPr/>
        <w:t>年内现金 流量，其后年度采用的现金流量增长率预计为</w:t>
      </w:r>
      <w:r>
        <w:rPr>
          <w:spacing w:val="-44"/>
        </w:rPr>
        <w:t> </w:t>
      </w:r>
      <w:r>
        <w:rPr>
          <w:rFonts w:ascii="宋体" w:hAnsi="宋体" w:cs="宋体" w:eastAsia="宋体" w:hint="default"/>
        </w:rPr>
        <w:t>0%</w:t>
      </w:r>
      <w:r>
        <w:rPr/>
        <w:t>（上期</w:t>
      </w:r>
      <w:r>
        <w:rPr>
          <w:spacing w:val="-47"/>
        </w:rPr>
        <w:t> </w:t>
      </w:r>
      <w:r>
        <w:rPr>
          <w:rFonts w:ascii="宋体" w:hAnsi="宋体" w:cs="宋体" w:eastAsia="宋体" w:hint="default"/>
        </w:rPr>
        <w:t>0%</w:t>
      </w:r>
      <w:r>
        <w:rPr/>
        <w:t>），不会超过资产组经营业务的长期平均增长率。管理层根据过 </w:t>
      </w:r>
      <w:r>
        <w:rPr>
          <w:spacing w:val="-2"/>
        </w:rPr>
        <w:t>往表现极其对市场发展的预期编制上述财务预算。计算未来现金流量现值所采用的税前折现率为</w:t>
      </w:r>
      <w:r>
        <w:rPr>
          <w:spacing w:val="-26"/>
        </w:rPr>
        <w:t> </w:t>
      </w:r>
      <w:r>
        <w:rPr>
          <w:rFonts w:ascii="宋体" w:hAnsi="宋体" w:cs="宋体" w:eastAsia="宋体" w:hint="default"/>
          <w:spacing w:val="-13"/>
        </w:rPr>
        <w:t>15.15%</w:t>
      </w:r>
      <w:r>
        <w:rPr>
          <w:spacing w:val="-13"/>
        </w:rPr>
        <w:t>（厦门纵达）、</w:t>
      </w:r>
      <w:r>
        <w:rPr>
          <w:rFonts w:ascii="宋体" w:hAnsi="宋体" w:cs="宋体" w:eastAsia="宋体" w:hint="default"/>
          <w:spacing w:val="-13"/>
        </w:rPr>
        <w:t>17.12%</w:t>
      </w:r>
    </w:p>
    <w:p>
      <w:pPr>
        <w:pStyle w:val="BodyText"/>
        <w:spacing w:line="316" w:lineRule="auto" w:before="17"/>
        <w:ind w:right="0"/>
        <w:jc w:val="left"/>
      </w:pPr>
      <w:r>
        <w:rPr>
          <w:spacing w:val="-2"/>
        </w:rPr>
        <w:t>（海南易联众），差异系所得税率不同导致，已反映了相对于有关的风险。根据减值测试的结果，厦门纵达、海南易联众期</w:t>
      </w:r>
      <w:r>
        <w:rPr>
          <w:spacing w:val="-66"/>
        </w:rPr>
        <w:t> </w:t>
      </w:r>
      <w:r>
        <w:rPr>
          <w:spacing w:val="-66"/>
        </w:rPr>
      </w:r>
      <w:r>
        <w:rPr/>
        <w:t>末商誉未发生减值（上期期末：无）。 </w:t>
      </w: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60" w:lineRule="auto" w:before="19"/>
        <w:ind w:right="9134"/>
        <w:jc w:val="left"/>
      </w:pPr>
      <w:r>
        <w:rPr/>
        <w:t>无 商誉减值测试的影响 无</w:t>
      </w:r>
    </w:p>
    <w:p>
      <w:pPr>
        <w:pStyle w:val="BodyText"/>
        <w:spacing w:line="357" w:lineRule="auto" w:before="27"/>
        <w:ind w:right="10034"/>
        <w:jc w:val="left"/>
      </w:pPr>
      <w:r>
        <w:rPr/>
        <w:t>其他说明 无</w:t>
      </w:r>
    </w:p>
    <w:p>
      <w:pPr>
        <w:spacing w:after="0" w:line="357"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3,573,948.74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1,519,910.12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1,753,511.15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3,340,347.71</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展厅装修费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2,698,742.81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842,303.88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1,856,438.93</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39,890.27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136,781.82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32,408.60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144,263.49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制卡中心装修费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212,500.00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6,312,581.82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1,881,691.94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2,640,723.63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5,553,550.13</w:t>
            </w:r>
          </w:p>
        </w:tc>
      </w:tr>
    </w:tbl>
    <w:p>
      <w:pPr>
        <w:pStyle w:val="BodyText"/>
        <w:spacing w:line="360" w:lineRule="auto" w:before="52"/>
        <w:ind w:right="100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82,848,855.74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14,348,178.42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72,925,082.56</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12,314,215.95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92,357,869.14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16,866,726.92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36,142,545.47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7,407,279.59</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无形资产摊销年限低于 税法规定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20,705,204.54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3,105,780.68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17,983,436.29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2,697,515.44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预提项目实施费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50,686,512.78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7,770,811.39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45,731,407.81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7,572,174.00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合并抵消的未实现内部 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1,007,752.81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151,162.92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1,825,097.64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273,764.65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247,606,195.01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42,242,660.33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174,607,569.77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30,264,949.63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7" w:right="0"/>
              <w:jc w:val="left"/>
              <w:rPr>
                <w:rFonts w:ascii="Times New Roman" w:hAnsi="Times New Roman" w:cs="Times New Roman" w:eastAsia="Times New Roman" w:hint="default"/>
                <w:sz w:val="18"/>
                <w:szCs w:val="18"/>
              </w:rPr>
            </w:pPr>
            <w:r>
              <w:rPr>
                <w:rFonts w:ascii="Times New Roman"/>
                <w:sz w:val="18"/>
              </w:rPr>
              <w:t>42,242,660.33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7" w:right="0"/>
              <w:jc w:val="left"/>
              <w:rPr>
                <w:rFonts w:ascii="Times New Roman" w:hAnsi="Times New Roman" w:cs="Times New Roman" w:eastAsia="Times New Roman" w:hint="default"/>
                <w:sz w:val="18"/>
                <w:szCs w:val="18"/>
              </w:rPr>
            </w:pPr>
            <w:r>
              <w:rPr>
                <w:rFonts w:ascii="Times New Roman"/>
                <w:sz w:val="18"/>
              </w:rPr>
              <w:t>30,264,949.63</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5,909,194.66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947,149.46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65,359,242.44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53,939,318.17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71,268,437.10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54,886,467.63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4"/>
        <w:gridCol w:w="2392"/>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1,883,558.24</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2,549,300.64</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22,620,401.00</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20,882,801.94</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30,698,769.15</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30,507,215.59</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10,156,514.05</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65,359,242.44</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53,939,318.17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300" w:lineRule="auto" w:before="117"/>
        <w:ind w:right="1124" w:firstLine="360"/>
        <w:jc w:val="left"/>
      </w:pPr>
      <w:r>
        <w:rPr/>
        <w:t>说明</w:t>
      </w:r>
      <w:r>
        <w:rPr>
          <w:rFonts w:ascii="Times New Roman" w:hAnsi="Times New Roman" w:cs="Times New Roman" w:eastAsia="Times New Roman" w:hint="default"/>
        </w:rPr>
        <w:t>1</w:t>
      </w:r>
      <w:r>
        <w:rPr/>
        <w:t>：子公司医疗控股、民生通、广东易联众、易思达预计在未来五年无法取得足够的应纳税所得额以利用可抵扣暂 时性差异及可抵扣亏损，因此未确认递延所得税资产。</w:t>
      </w:r>
    </w:p>
    <w:p>
      <w:pPr>
        <w:pStyle w:val="BodyText"/>
        <w:spacing w:line="300" w:lineRule="auto" w:before="31"/>
        <w:ind w:right="1124" w:firstLine="360"/>
        <w:jc w:val="left"/>
      </w:pPr>
      <w:r>
        <w:rPr/>
        <w:t>说明</w:t>
      </w:r>
      <w:r>
        <w:rPr>
          <w:rFonts w:ascii="Times New Roman" w:hAnsi="Times New Roman" w:cs="Times New Roman" w:eastAsia="Times New Roman" w:hint="default"/>
        </w:rPr>
        <w:t>2</w:t>
      </w:r>
      <w:r>
        <w:rPr/>
        <w:t>：子公司福州易联众预计未来五年无法取得足够的应纳税所得额以利用可抵扣暂时性差异，因此以预计可取得的 应纳税所得额为限确认递延所得税资产。</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保证加质押借款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保证加抵押借款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411,500,000.00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left="513" w:right="0" w:hanging="361"/>
        <w:jc w:val="left"/>
      </w:pPr>
      <w:r>
        <w:rPr/>
        <w:t>短期借款分类的说明： </w:t>
      </w:r>
      <w:r>
        <w:rPr>
          <w:spacing w:val="-2"/>
        </w:rPr>
        <w:t>说明</w:t>
      </w:r>
      <w:r>
        <w:rPr>
          <w:rFonts w:ascii="Times New Roman" w:hAnsi="Times New Roman" w:cs="Times New Roman" w:eastAsia="Times New Roman" w:hint="default"/>
          <w:spacing w:val="-2"/>
        </w:rPr>
        <w:t>1</w:t>
      </w:r>
      <w:r>
        <w:rPr>
          <w:spacing w:val="-2"/>
        </w:rPr>
        <w:t>：子公司融资租赁公司向厦门农村商业银行厦门自贸试验区东渡支行借入的短期借款</w:t>
      </w:r>
      <w:r>
        <w:rPr>
          <w:rFonts w:ascii="Times New Roman" w:hAnsi="Times New Roman" w:cs="Times New Roman" w:eastAsia="Times New Roman" w:hint="default"/>
          <w:spacing w:val="-2"/>
        </w:rPr>
        <w:t>3,950.00</w:t>
      </w:r>
      <w:r>
        <w:rPr>
          <w:spacing w:val="-2"/>
        </w:rPr>
        <w:t>万元，以其持有的厦</w:t>
      </w:r>
    </w:p>
    <w:p>
      <w:pPr>
        <w:pStyle w:val="BodyText"/>
        <w:spacing w:line="212" w:lineRule="exact"/>
        <w:ind w:right="0"/>
        <w:jc w:val="left"/>
      </w:pPr>
      <w:r>
        <w:rPr/>
        <w:t>门农商金融控股集团有限公司</w:t>
      </w:r>
      <w:r>
        <w:rPr>
          <w:rFonts w:ascii="Times New Roman" w:hAnsi="Times New Roman" w:cs="Times New Roman" w:eastAsia="Times New Roman" w:hint="default"/>
        </w:rPr>
        <w:t>2.93%</w:t>
      </w:r>
      <w:r>
        <w:rPr/>
        <w:t>股权作为质押，详见本附注七、</w:t>
      </w:r>
      <w:r>
        <w:rPr>
          <w:rFonts w:ascii="Times New Roman" w:hAnsi="Times New Roman" w:cs="Times New Roman" w:eastAsia="Times New Roman" w:hint="default"/>
        </w:rPr>
        <w:t>70</w:t>
      </w:r>
      <w:r>
        <w:rPr/>
        <w:t>；</w:t>
      </w:r>
    </w:p>
    <w:p>
      <w:pPr>
        <w:pStyle w:val="BodyText"/>
        <w:spacing w:line="300" w:lineRule="auto" w:before="63"/>
        <w:ind w:right="1028" w:firstLine="360"/>
        <w:jc w:val="left"/>
      </w:pPr>
      <w:r>
        <w:rPr>
          <w:spacing w:val="-3"/>
        </w:rPr>
        <w:t>说明</w:t>
      </w:r>
      <w:r>
        <w:rPr>
          <w:rFonts w:ascii="Times New Roman" w:hAnsi="Times New Roman" w:cs="Times New Roman" w:eastAsia="Times New Roman" w:hint="default"/>
          <w:spacing w:val="-3"/>
        </w:rPr>
        <w:t>2</w:t>
      </w:r>
      <w:r>
        <w:rPr>
          <w:spacing w:val="-3"/>
        </w:rPr>
        <w:t>：本公司分别向广发银行福州分行、民生银行厦门分行和厦门国际银行厦门直属支行借入的短期借款</w:t>
      </w:r>
      <w:r>
        <w:rPr>
          <w:rFonts w:ascii="Times New Roman" w:hAnsi="Times New Roman" w:cs="Times New Roman" w:eastAsia="Times New Roman" w:hint="default"/>
          <w:spacing w:val="-3"/>
        </w:rPr>
        <w:t>2,000.00</w:t>
      </w:r>
      <w:r>
        <w:rPr>
          <w:spacing w:val="-3"/>
        </w:rPr>
        <w:t>万元、</w:t>
      </w:r>
      <w:r>
        <w:rPr/>
        <w:t> </w:t>
      </w:r>
      <w:r>
        <w:rPr>
          <w:rFonts w:ascii="Times New Roman" w:hAnsi="Times New Roman" w:cs="Times New Roman" w:eastAsia="Times New Roman" w:hint="default"/>
        </w:rPr>
        <w:t>8,000.00</w:t>
      </w:r>
      <w:r>
        <w:rPr/>
        <w:t>万元、</w:t>
      </w:r>
      <w:r>
        <w:rPr>
          <w:rFonts w:ascii="Times New Roman" w:hAnsi="Times New Roman" w:cs="Times New Roman" w:eastAsia="Times New Roman" w:hint="default"/>
        </w:rPr>
        <w:t>2,400.00</w:t>
      </w:r>
      <w:r>
        <w:rPr/>
        <w:t>万元，由张曦提供连带责任担保；本公司向工商银行厦门东区支行借入的短期借款</w:t>
      </w:r>
      <w:r>
        <w:rPr>
          <w:rFonts w:ascii="Times New Roman" w:hAnsi="Times New Roman" w:cs="Times New Roman" w:eastAsia="Times New Roman" w:hint="default"/>
        </w:rPr>
        <w:t>4,100.00</w:t>
      </w:r>
      <w:r>
        <w:rPr/>
        <w:t>万元，由 张曦、池梅提供连带责任担保；</w:t>
      </w:r>
    </w:p>
    <w:p>
      <w:pPr>
        <w:pStyle w:val="BodyText"/>
        <w:spacing w:line="300" w:lineRule="auto" w:before="31"/>
        <w:ind w:right="1028" w:firstLine="360"/>
        <w:jc w:val="left"/>
      </w:pPr>
      <w:r>
        <w:rPr>
          <w:spacing w:val="-3"/>
        </w:rPr>
        <w:t>说明</w:t>
      </w:r>
      <w:r>
        <w:rPr>
          <w:rFonts w:ascii="Times New Roman" w:hAnsi="Times New Roman" w:cs="Times New Roman" w:eastAsia="Times New Roman" w:hint="default"/>
          <w:spacing w:val="-3"/>
        </w:rPr>
        <w:t>3</w:t>
      </w:r>
      <w:r>
        <w:rPr>
          <w:spacing w:val="-3"/>
        </w:rPr>
        <w:t>：本公司向兴业银行厦门分行借入的短期借款</w:t>
      </w:r>
      <w:r>
        <w:rPr>
          <w:rFonts w:ascii="Times New Roman" w:hAnsi="Times New Roman" w:cs="Times New Roman" w:eastAsia="Times New Roman" w:hint="default"/>
          <w:spacing w:val="-3"/>
        </w:rPr>
        <w:t>8,000.00</w:t>
      </w:r>
      <w:r>
        <w:rPr>
          <w:spacing w:val="-3"/>
        </w:rPr>
        <w:t>万元，由全资子公司福州易联众以及张曦提供连带责任担保，</w:t>
      </w:r>
      <w:r>
        <w:rPr/>
        <w:t> 并以位于思明区观日路</w:t>
      </w:r>
      <w:r>
        <w:rPr>
          <w:rFonts w:ascii="Times New Roman" w:hAnsi="Times New Roman" w:cs="Times New Roman" w:eastAsia="Times New Roman" w:hint="default"/>
        </w:rPr>
        <w:t>18</w:t>
      </w:r>
      <w:r>
        <w:rPr/>
        <w:t>号的房产作为抵押，详见本附注七、</w:t>
      </w:r>
      <w:r>
        <w:rPr>
          <w:rFonts w:ascii="Times New Roman" w:hAnsi="Times New Roman" w:cs="Times New Roman" w:eastAsia="Times New Roman" w:hint="default"/>
        </w:rPr>
        <w:t>70</w:t>
      </w:r>
      <w:r>
        <w:rPr/>
        <w:t>。</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3150"/>
        <w:jc w:val="left"/>
      </w:pPr>
      <w:r>
        <w:rPr/>
        <w:t>本期末已逾期未偿还的短期借款总额为</w:t>
      </w:r>
      <w:r>
        <w:rPr>
          <w:spacing w:val="-46"/>
        </w:rPr>
        <w:t> </w:t>
      </w:r>
      <w:r>
        <w:rPr>
          <w:rFonts w:ascii="Times New Roman" w:hAnsi="Times New Roman" w:cs="Times New Roman" w:eastAsia="Times New Roman" w:hint="default"/>
        </w:rPr>
        <w:t>0.00 </w:t>
      </w:r>
      <w:r>
        <w:rPr/>
        <w:t>元，其中重要的已逾期未偿还的短期借款情况如下： 无</w:t>
      </w:r>
    </w:p>
    <w:p>
      <w:pPr>
        <w:pStyle w:val="BodyText"/>
        <w:spacing w:line="357" w:lineRule="auto" w:before="4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226,126,287.61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208,125,889.09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226,126,287.61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208,125,889.09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1"/>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货款及接受劳务款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225,958,797.61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207,542,684.79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167,490.00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583,204.30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226,126,287.61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208,125,889.09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4"/>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福建医联康护信息技术有限公司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16,619,397.07</w:t>
            </w:r>
          </w:p>
        </w:tc>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结算期未到</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广西博繁科技发展有限公司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3,450,000.00</w:t>
            </w:r>
          </w:p>
        </w:tc>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结算期未到</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上海宏力达信息技术有限公司福建分公 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2,791,661.25</w:t>
            </w:r>
          </w:p>
        </w:tc>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结算期未到</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22,861,058.32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98,462,072.77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98,923,623.29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98,462,072.77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98,923,623.29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中国工商银行股份有限公司漳州分行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2,569,000.00</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项目未执行</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2,569,000.00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40,721,456.65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259,560,940.41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231,519,375.28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68,763,021.78</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29,726.66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12,661,828.19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12,603,297.82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88,257.03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40,751,183.31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272,222,768.60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244,122,673.10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68,851,278.81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36,684,714.93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231,847,939.23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204,614,210.78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63,918,443.38</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594,314.89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8,246,486.92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8,840,801.81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14,023.30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6,954,978.12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6,899,741.69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69,259.73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12,494.10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6,193,816.48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6,142,794.01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63,516.57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517.73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192,469.44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191,187.37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1,799.80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1,011.47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568,692.20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565,760.31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3,943.36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11,249.72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8,894,990.98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8,873,184.10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33,056.60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3,417,153.81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3,616,545.16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2,291,436.90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4,742,262.07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40,721,456.65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259,560,940.41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231,519,375.28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68,763,021.78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16,001.56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12,091,458.64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12,022,478.16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84,982.04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13,725.10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570,369.55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580,819.66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3,274.99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29,726.66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12,661,828.19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12,603,297.82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88,257.03</w:t>
            </w:r>
          </w:p>
        </w:tc>
      </w:tr>
    </w:tbl>
    <w:p>
      <w:pPr>
        <w:pStyle w:val="BodyText"/>
        <w:spacing w:line="357" w:lineRule="auto" w:before="51"/>
        <w:ind w:right="9854"/>
        <w:jc w:val="left"/>
      </w:pPr>
      <w:r>
        <w:rPr/>
        <w:t>其他说明： 无</w:t>
      </w:r>
    </w:p>
    <w:p>
      <w:pPr>
        <w:spacing w:after="0" w:line="357"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20,439,053.59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17,551,573.11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13,118,122.76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8,022,921.08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690,236.55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726,443.11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1,311,456.59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1,639,031.60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915,346.18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1,154,238.81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168,643.22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232,634.48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68,749.79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127,867.39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价调基金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20,971.27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20,971.27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258,834.03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208,102.24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36,991,413.98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29,683,783.09</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20,522,566.54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6,626,266.38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43,759,874.65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40,353,599.26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64,282,441.19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46,979,865.64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522,566.54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1,626,266.38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到期一次性还本付息的长期应付款利息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20,522,566.54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6,626,266.38</w:t>
            </w:r>
          </w:p>
        </w:tc>
      </w:tr>
    </w:tbl>
    <w:p>
      <w:pPr>
        <w:pStyle w:val="BodyText"/>
        <w:spacing w:line="357" w:lineRule="auto" w:before="51"/>
        <w:ind w:right="7874"/>
        <w:jc w:val="left"/>
      </w:pPr>
      <w:r>
        <w:rPr/>
        <w:t>重要的已逾期未支付的利息情况：无 其他说明：</w:t>
      </w:r>
    </w:p>
    <w:p>
      <w:pPr>
        <w:pStyle w:val="BodyText"/>
        <w:spacing w:line="240" w:lineRule="auto" w:before="29"/>
        <w:ind w:right="0"/>
        <w:jc w:val="left"/>
      </w:pP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4"/>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38,331,629.60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39,202,830.45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5,428,245.05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1,150,768.81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43,759,874.65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40,353,599.26</w:t>
            </w:r>
          </w:p>
        </w:tc>
      </w:tr>
    </w:tbl>
    <w:p>
      <w:pPr>
        <w:pStyle w:val="BodyText"/>
        <w:spacing w:line="340" w:lineRule="auto" w:before="51"/>
        <w:ind w:right="8085"/>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r>
        <w:rPr>
          <w:w w:val="99"/>
        </w:rPr>
        <w:t> </w:t>
      </w:r>
      <w:r>
        <w:rPr/>
        <w:t>无</w:t>
      </w:r>
    </w:p>
    <w:p>
      <w:pPr>
        <w:pStyle w:val="BodyText"/>
        <w:spacing w:line="441" w:lineRule="auto" w:before="39"/>
        <w:ind w:right="8234"/>
        <w:jc w:val="left"/>
      </w:pPr>
      <w:r>
        <w:rPr/>
        <w:t>其他说明 年末大额其他应付款列示如下：</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162"/>
        <w:gridCol w:w="3360"/>
        <w:gridCol w:w="2761"/>
      </w:tblGrid>
      <w:tr>
        <w:trPr>
          <w:trHeight w:val="343"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款项内容</w:t>
            </w:r>
            <w:r>
              <w:rPr>
                <w:rFonts w:ascii="宋体" w:hAnsi="宋体" w:cs="宋体" w:eastAsia="宋体" w:hint="default"/>
                <w:sz w:val="18"/>
                <w:szCs w:val="18"/>
              </w:rPr>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41"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百川通信息技术有限公司</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关联资金拆借</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14" w:right="0"/>
              <w:jc w:val="left"/>
              <w:rPr>
                <w:rFonts w:ascii="Times New Roman" w:hAnsi="Times New Roman" w:cs="Times New Roman" w:eastAsia="Times New Roman" w:hint="default"/>
                <w:sz w:val="18"/>
                <w:szCs w:val="18"/>
              </w:rPr>
            </w:pPr>
            <w:r>
              <w:rPr>
                <w:rFonts w:ascii="Times New Roman"/>
                <w:sz w:val="18"/>
              </w:rPr>
              <w:t>36,100,000.00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2,071,379.00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3,998,885.00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2,071,379.00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3,998,885.00</w:t>
            </w:r>
          </w:p>
        </w:tc>
      </w:tr>
    </w:tbl>
    <w:p>
      <w:pPr>
        <w:pStyle w:val="BodyText"/>
        <w:spacing w:line="240" w:lineRule="auto" w:before="51"/>
        <w:ind w:right="0"/>
        <w:jc w:val="left"/>
      </w:pPr>
      <w:r>
        <w:rPr/>
        <w:t>其他说明：</w:t>
      </w:r>
    </w:p>
    <w:p>
      <w:pPr>
        <w:pStyle w:val="BodyText"/>
        <w:spacing w:line="240" w:lineRule="auto" w:before="117"/>
        <w:ind w:left="513" w:right="0"/>
        <w:jc w:val="left"/>
      </w:pPr>
      <w:r>
        <w:rPr/>
        <w:t>一年内到期的长期应付款系一年内到期的融资租赁款，详见本附注七、</w:t>
      </w:r>
      <w:r>
        <w:rPr>
          <w:rFonts w:ascii="Times New Roman" w:hAnsi="Times New Roman" w:cs="Times New Roman" w:eastAsia="Times New Roman" w:hint="default"/>
        </w:rPr>
        <w:t>39</w:t>
      </w:r>
      <w:r>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短期应付债券的增减变动：无 其他说明：</w:t>
      </w:r>
    </w:p>
    <w:p>
      <w:pPr>
        <w:pStyle w:val="BodyText"/>
        <w:spacing w:line="240" w:lineRule="auto" w:before="27"/>
        <w:ind w:right="0"/>
        <w:jc w:val="left"/>
      </w:pP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954"/>
        <w:jc w:val="left"/>
      </w:pPr>
      <w:r>
        <w:rPr/>
        <w:t>长期借款分类的说明： 无</w:t>
      </w:r>
    </w:p>
    <w:p>
      <w:pPr>
        <w:pStyle w:val="BodyText"/>
        <w:spacing w:line="357" w:lineRule="auto" w:before="27"/>
        <w:ind w:right="8594"/>
        <w:jc w:val="left"/>
      </w:pPr>
      <w:r>
        <w:rPr/>
        <w:t>其他说明，包括利率区间：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254"/>
        <w:jc w:val="left"/>
      </w:pPr>
      <w:r>
        <w:rPr/>
        <w:t>期末发行在外的优先股、永续债等其他金融工具基本情况 无</w:t>
      </w:r>
    </w:p>
    <w:p>
      <w:pPr>
        <w:pStyle w:val="BodyText"/>
        <w:spacing w:line="360" w:lineRule="auto" w:before="29"/>
        <w:ind w:right="6434"/>
        <w:jc w:val="left"/>
      </w:pPr>
      <w:r>
        <w:rPr/>
        <w:t>期末发行在外的优先股、永续债等金融工具变动情况表 无</w:t>
      </w:r>
    </w:p>
    <w:p>
      <w:pPr>
        <w:pStyle w:val="BodyText"/>
        <w:spacing w:line="360" w:lineRule="auto" w:before="25"/>
        <w:ind w:right="7514"/>
        <w:jc w:val="left"/>
      </w:pPr>
      <w:r>
        <w:rPr/>
        <w:t>其他金融工具划分为金融负债的依据说明 无</w:t>
      </w:r>
    </w:p>
    <w:p>
      <w:pPr>
        <w:pStyle w:val="BodyText"/>
        <w:spacing w:line="357" w:lineRule="auto" w:before="28"/>
        <w:ind w:right="100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300,221,363.84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302,256,754.88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300,221,363.84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302,256,754.88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2,292,742.84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6,255,639.88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非金融机构长期借款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302,292,742.84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306,255,639.88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2,071,379.00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3,998,885.00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300,221,363.84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302,256,754.88</w:t>
            </w:r>
          </w:p>
        </w:tc>
      </w:tr>
    </w:tbl>
    <w:p>
      <w:pPr>
        <w:pStyle w:val="BodyText"/>
        <w:spacing w:line="240" w:lineRule="auto" w:before="52"/>
        <w:ind w:right="0"/>
        <w:jc w:val="left"/>
      </w:pPr>
      <w:r>
        <w:rPr/>
        <w:t>其他说明：</w:t>
      </w:r>
    </w:p>
    <w:p>
      <w:pPr>
        <w:pStyle w:val="BodyText"/>
        <w:spacing w:line="240" w:lineRule="auto" w:before="117"/>
        <w:ind w:left="513" w:right="0"/>
        <w:jc w:val="left"/>
      </w:pPr>
      <w:r>
        <w:rPr/>
        <w:t>非金融机构长期借款系子公司商业保理公司向非关联方深圳市新资本投资有限公司借入</w:t>
      </w:r>
      <w:r>
        <w:rPr>
          <w:rFonts w:ascii="Times New Roman" w:hAnsi="Times New Roman" w:cs="Times New Roman" w:eastAsia="Times New Roman" w:hint="default"/>
        </w:rPr>
        <w:t>3</w:t>
      </w:r>
      <w:r>
        <w:rPr/>
        <w:t>亿元，借款期限自</w:t>
      </w:r>
      <w:r>
        <w:rPr>
          <w:rFonts w:ascii="Times New Roman" w:hAnsi="Times New Roman" w:cs="Times New Roman" w:eastAsia="Times New Roman" w:hint="default"/>
        </w:rPr>
        <w:t>2017-9-1</w:t>
      </w:r>
      <w:r>
        <w:rPr/>
        <w:t>至</w:t>
      </w:r>
    </w:p>
    <w:p>
      <w:pPr>
        <w:pStyle w:val="BodyText"/>
        <w:spacing w:line="240" w:lineRule="auto" w:before="63"/>
        <w:ind w:right="0"/>
        <w:jc w:val="left"/>
      </w:pPr>
      <w:r>
        <w:rPr>
          <w:rFonts w:ascii="Times New Roman" w:hAnsi="Times New Roman" w:cs="Times New Roman" w:eastAsia="Times New Roman" w:hint="default"/>
        </w:rPr>
        <w:t>2021-8-31</w:t>
      </w:r>
      <w:r>
        <w:rPr/>
        <w:t>，年利率</w:t>
      </w:r>
      <w:r>
        <w:rPr>
          <w:rFonts w:ascii="Times New Roman" w:hAnsi="Times New Roman" w:cs="Times New Roman" w:eastAsia="Times New Roman" w:hint="default"/>
        </w:rPr>
        <w:t>5%</w:t>
      </w:r>
      <w:r>
        <w:rPr/>
        <w:t>，到期一次还本付息。</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234"/>
        <w:jc w:val="left"/>
      </w:pPr>
      <w:r>
        <w:rPr/>
        <w:t>设定受益计划义务现值：无 计划资产：无 设定受益计划净负债（净资产） 无</w:t>
      </w:r>
    </w:p>
    <w:p>
      <w:pPr>
        <w:pStyle w:val="BodyText"/>
        <w:spacing w:line="360" w:lineRule="auto" w:before="25"/>
        <w:ind w:right="3554"/>
        <w:jc w:val="left"/>
      </w:pPr>
      <w:r>
        <w:rPr/>
        <w:t>设定受益计划的内容及与之相关风险、对公司未来现金流量、时间和不确定性的影响说明： 无</w:t>
      </w:r>
    </w:p>
    <w:p>
      <w:pPr>
        <w:pStyle w:val="BodyText"/>
        <w:spacing w:line="357" w:lineRule="auto" w:before="27"/>
        <w:ind w:right="6614"/>
        <w:jc w:val="left"/>
      </w:pPr>
      <w:r>
        <w:rPr/>
        <w:t>设定受益计划重大精算假设及敏感性分析结果说明： 无</w:t>
      </w:r>
    </w:p>
    <w:p>
      <w:pPr>
        <w:pStyle w:val="BodyText"/>
        <w:spacing w:line="360" w:lineRule="auto" w:before="2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6074"/>
        <w:jc w:val="left"/>
      </w:pPr>
      <w:r>
        <w:rPr/>
        <w:t>其他说明，包括重要预计负债的相关重要假设、估计说明： 无</w:t>
      </w:r>
    </w:p>
    <w:p>
      <w:pPr>
        <w:spacing w:after="0" w:line="36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954"/>
        <w:jc w:val="left"/>
      </w:pPr>
      <w:r>
        <w:rPr/>
        <w:t>涉及政府补助的项目： 无</w:t>
      </w:r>
    </w:p>
    <w:p>
      <w:pPr>
        <w:pStyle w:val="BodyText"/>
        <w:spacing w:line="360" w:lineRule="auto" w:before="2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430,000,000.00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430,000,000.00</w:t>
            </w:r>
          </w:p>
        </w:tc>
      </w:tr>
    </w:tbl>
    <w:p>
      <w:pPr>
        <w:pStyle w:val="BodyText"/>
        <w:spacing w:line="357" w:lineRule="auto" w:before="51"/>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4634"/>
        <w:jc w:val="left"/>
      </w:pPr>
      <w:r>
        <w:rPr/>
        <w:t>其他权益工具本期增减变动情况、变动原因说明，以及相关会计处理的依据： 无</w:t>
      </w:r>
    </w:p>
    <w:p>
      <w:pPr>
        <w:pStyle w:val="BodyText"/>
        <w:spacing w:line="360" w:lineRule="auto" w:before="2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32,043,848.81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32,043,848.81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358,064.97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358,064.97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32,401,913.78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32,401,913.78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right="6614"/>
        <w:jc w:val="left"/>
      </w:pPr>
      <w:r>
        <w:rPr/>
        <w:t>其他说明，包括本期增减变动情况、变动原因说明：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614"/>
        <w:jc w:val="left"/>
      </w:pPr>
      <w:r>
        <w:rPr/>
        <w:t>其他说明，包括本期增减变动情况、变动原因说明：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7"/>
        <w:gridCol w:w="936"/>
        <w:gridCol w:w="797"/>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5"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right w:val="single" w:sz="4" w:space="0" w:color="000000"/>
            </w:tcBorders>
            <w:shd w:val="clear" w:color="auto" w:fill="D2D2D2"/>
          </w:tcPr>
          <w:p>
            <w:pP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518"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1,159,187.0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1,159,187.0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1,159,187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r>
      <w:tr>
        <w:trPr>
          <w:trHeight w:val="71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1,159,187.0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1,159,187.0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1,159,187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.06</w:t>
            </w: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1,159,187.0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0.00</w:t>
            </w: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1,159,187.0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1,159,187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r>
      <w:tr>
        <w:trPr>
          <w:trHeight w:val="394"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357" w:lineRule="auto" w:before="51"/>
        <w:ind w:left="513" w:right="0" w:hanging="361"/>
        <w:jc w:val="left"/>
      </w:pPr>
      <w:r>
        <w:rPr/>
        <w:t>其他说明，包括对现金流量套期损益的有效部分转为被套期项目初始确认金额调整： </w:t>
      </w:r>
      <w:r>
        <w:rPr>
          <w:spacing w:val="-2"/>
        </w:rPr>
        <w:t>本公司之联营企业海保人寿保险股份有限公司确认可供出售金融资产公允价值变动损益，本公司根据持股比例相应确认</w:t>
      </w:r>
    </w:p>
    <w:p>
      <w:pPr>
        <w:pStyle w:val="BodyText"/>
        <w:spacing w:line="224" w:lineRule="exact"/>
        <w:ind w:right="0"/>
        <w:jc w:val="left"/>
      </w:pPr>
      <w:r>
        <w:rPr/>
        <w:t>其他综合收益。</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614"/>
        <w:jc w:val="left"/>
      </w:pPr>
      <w:r>
        <w:rPr/>
        <w:t>其他说明，包括本期增减变动情况、变动原因说明：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26,957,333.08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29,910.22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26,927,422.86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26,957,333.08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29,910.22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26,927,422.86</w:t>
            </w:r>
          </w:p>
        </w:tc>
      </w:tr>
    </w:tbl>
    <w:p>
      <w:pPr>
        <w:pStyle w:val="BodyText"/>
        <w:spacing w:line="357" w:lineRule="auto" w:before="51"/>
        <w:ind w:left="513" w:right="6253" w:hanging="361"/>
        <w:jc w:val="left"/>
      </w:pPr>
      <w:r>
        <w:rPr/>
        <w:t>盈余公积说明，包括本期增减变动情况、变动原因说明： 本年减少系收购孙公司民生通公司的少数股权所致。</w:t>
      </w:r>
    </w:p>
    <w:p>
      <w:pPr>
        <w:spacing w:after="0" w:line="357"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237,913,376.76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231,035,561.90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237,913,376.76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231,035,561.90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14,664,775.38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18,121,725.29</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9,037,983.23</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2,150,000.00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2,150,000.00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其他利润分配</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-516.26</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269,192.01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56,443.46</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250,158,960.13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237,913,376.76</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728,710,794.42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343,826,724.42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625,427,852.69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322,164,585.92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1,094,995.82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133,546.98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112,271.58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96,548.77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729,805,790.24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343,960,271.40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625,540,124.27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322,261,134.69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3,532,309.93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2,989,393.61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2,520,312.92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2,355,676.01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479,882.96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41,937.27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42,254.76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28,920.00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36,720.00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384,140.94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579,101.11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1,628,197.31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1,376,267.35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8,135,818.37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7,859,295.80</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各项税金及附加的计缴标准详见附注六、税项。</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46,448,372.23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38,229,382.71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14,142,185.51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15,628,657.99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3,709,843.96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3,099,187.41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2,842,815.65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2,205,295.56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1,144,503.52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1,774,408.44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342,078.32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300,434.59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13,904.60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15,859.74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2,281,391.01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1,837,874.51</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70,925,094.80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63,091,100.95</w:t>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77,165,164.93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62,946,964.29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20,958,341.98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19,247,302.93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管理营运费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17,211,553.90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15,747,173.07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9,504,310.29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11,440,902.27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5,082,643.86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5,275,783.22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3,335,604.79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5,057,124.13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4,030,308.96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3,176,999.51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存货盘亏报废</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2,042,004.26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1,543,259.91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1,388,550.35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138,831,188.62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126,322,804.03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93,251,014.61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78,213,697.38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3,625,628.17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4,878,782.53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3,080,191.69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363,707.47</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2,868,986.05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5,125,948.17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1,175,372.87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580,413.28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489,764.93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1,144,368.43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942,012.07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4,671,607.15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105,432,970.39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94,978,524.41</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20,362,967.80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18,552,161.32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2,494,638.75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2,395,802.34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294,352.50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360,626.91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18,162,681.55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16,516,985.89</w:t>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17,561,297.74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16,932,329.39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4,863,826.75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3,130,459.01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22,425,124.49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20,062,788.40</w:t>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9,145,402.66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3,056,664.62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3,031,900.00</w:t>
            </w:r>
            <w:r>
              <w:rPr>
                <w:rFonts w:ascii="Times New Roman"/>
                <w:sz w:val="18"/>
              </w:rPr>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2,412,700.00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1,954,000.00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高新技术企业补助项目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1,365,614.00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民营经济扶持资金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838,726.00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科技小巨人领军企业奖励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优秀软件信息企业增产增速奖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技术交易奖励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332,768.00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301,940.00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273,660.51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171,726.74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福建名牌产品奖励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思明区质量技术奖品牌奖励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CMMI </w:t>
            </w:r>
            <w:r>
              <w:rPr>
                <w:rFonts w:ascii="宋体" w:hAnsi="宋体" w:cs="宋体" w:eastAsia="宋体" w:hint="default"/>
                <w:sz w:val="18"/>
                <w:szCs w:val="18"/>
              </w:rPr>
              <w:t>认证奖励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184,346.00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互联网企业软件开发项目市外中标（签 约）奖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183,882.00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136,112.83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劳务协作奖励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促进服务业限下企业转型升级奖励资金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厦门市重点产业紧缺人才薪酬津贴补助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街道扶持资金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48,204.00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45,179.40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22,891.00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毕业生补贴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34,288.10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27,649.48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24,017.00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科技补助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8,618.00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厦门市重点产业人才个人所得税奖励金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4,900.00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软件著作权奖励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4,400.00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小微企业知识产权托管费用补贴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纳税大户奖励金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科创红包补贴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4,068.00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版权登记奖励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2,700.00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太原高新技术企业资助项目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425,000.00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1,766.25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20,879,770.75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11,015,953.84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533,655.37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-6,593,166.47</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49,474,682.83</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330,000.00</w:t>
            </w: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2"/>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19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13,334,207.63</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533,655.37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56,545,723.99</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-822,439.50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-29,020.64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无形资产处置利得（损失以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1,597,465.70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-822,439.50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1,568,445.06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11,651.73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无需支付的应付款项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505,839.50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505,839.50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4,243.99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386,036.40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4,243.99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510,083.49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397,688.13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510,083.49</w:t>
            </w:r>
          </w:p>
        </w:tc>
      </w:tr>
    </w:tbl>
    <w:p>
      <w:pPr>
        <w:pStyle w:val="BodyText"/>
        <w:spacing w:line="357" w:lineRule="auto" w:before="51"/>
        <w:ind w:right="8594"/>
        <w:jc w:val="left"/>
      </w:pPr>
      <w:r>
        <w:rPr/>
        <w:t>计入当期损益的政府补助： 其他说明：无</w:t>
      </w:r>
    </w:p>
    <w:p>
      <w:pPr>
        <w:spacing w:after="0" w:line="357"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417,941.33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515,828.06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417,941.33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罚款及滞纳金支出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15,597.83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17,886.18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15,597.83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45,206.57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284,715.36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45,206.57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560,245.73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1,702,429.60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560,245.73</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16,303,249.84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14,057,301.10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-11,961,769.04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999,264.84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4,341,480.80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15,056,565.94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9"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42,473,465.00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6,371,019.75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-4,847,806.35</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-1,188,980.11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6,738,768.47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-551,650.81</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5,484,679.87</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-66,848.29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1,199,412.85</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-6,651,194.27</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-2,145,920.31</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4,341,480.80</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1119" w:firstLine="360"/>
        <w:jc w:val="left"/>
      </w:pPr>
      <w:r>
        <w:rPr>
          <w:spacing w:val="-2"/>
        </w:rPr>
        <w:t>其他事项包括子公司易惠科技、民生科技因本年所得税税率与预计暂时性差异转回期间的适用税率不同导致的对所得税</w:t>
      </w:r>
      <w:r>
        <w:rPr/>
        <w:t> 费用的影响。</w:t>
      </w:r>
    </w:p>
    <w:p>
      <w:pPr>
        <w:spacing w:line="240" w:lineRule="auto" w:before="8"/>
        <w:rPr>
          <w:rFonts w:ascii="宋体" w:hAnsi="宋体" w:cs="宋体" w:eastAsia="宋体" w:hint="default"/>
          <w:sz w:val="22"/>
          <w:szCs w:val="22"/>
        </w:rPr>
      </w:pPr>
    </w:p>
    <w:p>
      <w:pPr>
        <w:spacing w:line="547" w:lineRule="auto" w:before="0"/>
        <w:ind w:left="152" w:right="88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收到财政及产品补助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11,734,368.09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7,534,289.22</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收到员工归还借款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3,394,241.21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4,152,161.21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收到退还的押金、保证金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23,847,604.79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15,025,381.09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2,494,680.20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2,395,802.34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19,561,181.51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5,541,340.20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收到保理款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98,932,075.80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34,648,974.06</w:t>
            </w:r>
          </w:p>
        </w:tc>
      </w:tr>
    </w:tbl>
    <w:p>
      <w:pPr>
        <w:pStyle w:val="BodyText"/>
        <w:spacing w:line="360" w:lineRule="auto" w:before="51"/>
        <w:ind w:left="513" w:right="3058" w:hanging="361"/>
        <w:jc w:val="left"/>
      </w:pPr>
      <w:r>
        <w:rPr/>
        <w:t>收到的其他与经营活动有关的现金说明： 本年收到的往来款主要系收回海保人寿的筹备期借款</w:t>
      </w:r>
      <w:r>
        <w:rPr>
          <w:rFonts w:ascii="Times New Roman" w:hAnsi="Times New Roman" w:cs="Times New Roman" w:eastAsia="Times New Roman" w:hint="default"/>
        </w:rPr>
        <w:t>1,550</w:t>
      </w:r>
      <w:r>
        <w:rPr/>
        <w:t>万元，收到百川通拆借款</w:t>
      </w:r>
      <w:r>
        <w:rPr>
          <w:rFonts w:ascii="Times New Roman" w:hAnsi="Times New Roman" w:cs="Times New Roman" w:eastAsia="Times New Roman" w:hint="default"/>
        </w:rPr>
        <w:t>190</w:t>
      </w:r>
      <w:r>
        <w:rPr/>
        <w:t>万元。</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支付期间费用（不含薪酬税费等）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67,176,499.94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64,480,299.64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支付员工借款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4,328,966.00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9,758,074.88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31,036,502.73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33,140,038.34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支付保理款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7,776,000.00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9,217,556.74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20,309,992.71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5" w:right="0"/>
              <w:jc w:val="left"/>
              <w:rPr>
                <w:rFonts w:ascii="Times New Roman" w:hAnsi="Times New Roman" w:cs="Times New Roman" w:eastAsia="Times New Roman" w:hint="default"/>
                <w:sz w:val="18"/>
                <w:szCs w:val="18"/>
              </w:rPr>
            </w:pPr>
            <w:r>
              <w:rPr>
                <w:rFonts w:ascii="Times New Roman"/>
                <w:sz w:val="18"/>
              </w:rPr>
              <w:t>175,259,525.41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0" w:right="0"/>
              <w:jc w:val="left"/>
              <w:rPr>
                <w:rFonts w:ascii="Times New Roman" w:hAnsi="Times New Roman" w:cs="Times New Roman" w:eastAsia="Times New Roman" w:hint="default"/>
                <w:sz w:val="18"/>
                <w:szCs w:val="18"/>
              </w:rPr>
            </w:pPr>
            <w:r>
              <w:rPr>
                <w:rFonts w:ascii="Times New Roman"/>
                <w:sz w:val="18"/>
              </w:rPr>
              <w:t>168,464,405.57</w:t>
            </w:r>
          </w:p>
        </w:tc>
      </w:tr>
    </w:tbl>
    <w:p>
      <w:pPr>
        <w:pStyle w:val="BodyText"/>
        <w:spacing w:line="357" w:lineRule="auto" w:before="51"/>
        <w:ind w:left="513" w:right="5443" w:hanging="361"/>
        <w:jc w:val="left"/>
      </w:pPr>
      <w:r>
        <w:rPr/>
        <w:t>支付的其他与经营活动有关的现金说明： 本年支付的往来款主要系支付海保人寿的筹备期借款</w:t>
      </w:r>
      <w:r>
        <w:rPr>
          <w:rFonts w:ascii="Times New Roman" w:hAnsi="Times New Roman" w:cs="Times New Roman" w:eastAsia="Times New Roman" w:hint="default"/>
        </w:rPr>
        <w:t>700</w:t>
      </w:r>
      <w:r>
        <w:rPr/>
        <w:t>万元。</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收回非关联方资金拆借款及利息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7514"/>
        <w:jc w:val="left"/>
      </w:pPr>
      <w:r>
        <w:rPr/>
        <w:t>收到的其他与投资活动有关的现金说明：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支付非关联方资金拆借款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7514"/>
        <w:jc w:val="left"/>
      </w:pPr>
      <w:r>
        <w:rPr/>
        <w:t>支付的其他与投资活动有关的现金说明：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收到非关联方资金拆借</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收到合并范围外关联方资金拆借</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定期存单用于借款质押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13,159,250.00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13,159,250.00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475,000,000.00</w:t>
            </w:r>
          </w:p>
        </w:tc>
      </w:tr>
    </w:tbl>
    <w:p>
      <w:pPr>
        <w:pStyle w:val="BodyText"/>
        <w:spacing w:line="360" w:lineRule="auto" w:before="51"/>
        <w:ind w:right="7514"/>
        <w:jc w:val="left"/>
      </w:pPr>
      <w:r>
        <w:rPr/>
        <w:t>收到的其他与筹资活动有关的现金说明：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定期存单用于借款质押</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4,059,250.00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偿还非关联方资金拆借款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r>
        <w:rPr/>
        <w:pict>
          <v:shape style="position:absolute;margin-left:190.100006pt;margin-top:494.709991pt;width:185.6pt;height:19.6pt;mso-position-horizontal-relative:page;mso-position-vertical-relative:page;z-index:-1131736"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偿还合并范围外关联方资金拆借款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214,059,250.00</w:t>
            </w:r>
          </w:p>
        </w:tc>
      </w:tr>
    </w:tbl>
    <w:p>
      <w:pPr>
        <w:pStyle w:val="BodyText"/>
        <w:spacing w:line="357" w:lineRule="auto" w:before="51"/>
        <w:ind w:right="7514"/>
        <w:jc w:val="left"/>
      </w:pPr>
      <w:r>
        <w:rPr/>
        <w:t>支付的其他与筹资活动有关的现金说明：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7"/>
        <w:gridCol w:w="1002"/>
        <w:gridCol w:w="2056"/>
        <w:gridCol w:w="3185"/>
      </w:tblGrid>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38,131,984.20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27,216,305.58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22,425,124.49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20,062,788.40</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13,181,950.85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14,614,698.26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12,405,484.25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11,284,085.17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2,640,723.63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2,025,359.61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822,439.50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-1,568,445.06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417,941.33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504,176.33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38,569,447.70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26,828,141.58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-533,655.37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-56,545,723.99</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02" w:type="dxa"/>
            <w:tcBorders>
              <w:top w:val="single" w:sz="4" w:space="0" w:color="000000"/>
              <w:left w:val="single" w:sz="13" w:space="0" w:color="FFFFFF"/>
              <w:bottom w:val="single" w:sz="4" w:space="0" w:color="000000"/>
              <w:right w:val="nil" w:sz="6" w:space="0" w:color="auto"/>
            </w:tcBorders>
          </w:tcPr>
          <w:p>
            <w:pPr/>
          </w:p>
        </w:tc>
        <w:tc>
          <w:tcPr>
            <w:tcW w:w="2056"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940" w:right="0"/>
              <w:jc w:val="left"/>
              <w:rPr>
                <w:rFonts w:ascii="Times New Roman" w:hAnsi="Times New Roman" w:cs="Times New Roman" w:eastAsia="Times New Roman" w:hint="default"/>
                <w:sz w:val="18"/>
                <w:szCs w:val="18"/>
              </w:rPr>
            </w:pPr>
            <w:r>
              <w:rPr>
                <w:rFonts w:ascii="Times New Roman"/>
                <w:sz w:val="18"/>
              </w:rPr>
              <w:t>-11,977,710.70</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999,264.84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0" w:right="0"/>
              <w:jc w:val="left"/>
              <w:rPr>
                <w:rFonts w:ascii="Times New Roman" w:hAnsi="Times New Roman" w:cs="Times New Roman" w:eastAsia="Times New Roman" w:hint="default"/>
                <w:sz w:val="18"/>
                <w:szCs w:val="18"/>
              </w:rPr>
            </w:pPr>
            <w:r>
              <w:rPr>
                <w:rFonts w:ascii="Times New Roman"/>
                <w:sz w:val="18"/>
              </w:rPr>
              <w:t>-13,128,350.26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-15,069,146.79</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-102,990,930.84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-131,902,356.27</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56,809,917.31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100,614,531.99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56,774,366.09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-936,320.35</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6" w:right="0"/>
              <w:jc w:val="left"/>
              <w:rPr>
                <w:rFonts w:ascii="Times New Roman" w:hAnsi="Times New Roman" w:cs="Times New Roman" w:eastAsia="Times New Roman" w:hint="default"/>
                <w:sz w:val="18"/>
                <w:szCs w:val="18"/>
              </w:rPr>
            </w:pPr>
            <w:r>
              <w:rPr>
                <w:rFonts w:ascii="Times New Roman"/>
                <w:sz w:val="18"/>
              </w:rPr>
              <w:t>325,781,246.11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405,641,701.22</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98" w:right="0"/>
              <w:jc w:val="left"/>
              <w:rPr>
                <w:rFonts w:ascii="Times New Roman" w:hAnsi="Times New Roman" w:cs="Times New Roman" w:eastAsia="Times New Roman" w:hint="default"/>
                <w:sz w:val="18"/>
                <w:szCs w:val="18"/>
              </w:rPr>
            </w:pPr>
            <w:r>
              <w:rPr>
                <w:rFonts w:ascii="Times New Roman"/>
                <w:sz w:val="18"/>
              </w:rPr>
              <w:t>405,641,701.22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345,118,123.31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7" w:right="0"/>
              <w:jc w:val="left"/>
              <w:rPr>
                <w:rFonts w:ascii="Times New Roman" w:hAnsi="Times New Roman" w:cs="Times New Roman" w:eastAsia="Times New Roman" w:hint="default"/>
                <w:sz w:val="18"/>
                <w:szCs w:val="18"/>
              </w:rPr>
            </w:pPr>
            <w:r>
              <w:rPr>
                <w:rFonts w:ascii="Times New Roman"/>
                <w:sz w:val="18"/>
              </w:rPr>
              <w:t>-79,860,455.11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60,523,577.91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325,781,246.11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405,641,701.22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876,148.44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76,219.55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324,905,097.67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405,565,481.67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325,781,246.11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405,641,701.22</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17,722,430.27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29,379,491.12</w:t>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spacing w:line="544" w:lineRule="auto" w:before="118"/>
        <w:ind w:left="152" w:right="51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项目名称及调整金额等事项：无 </w:t>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9"/>
        <w:gridCol w:w="3184"/>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17,722,430.27</w:t>
            </w:r>
          </w:p>
        </w:tc>
        <w:tc>
          <w:tcPr>
            <w:tcW w:w="31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1,514,168.39</w:t>
            </w:r>
          </w:p>
        </w:tc>
        <w:tc>
          <w:tcPr>
            <w:tcW w:w="31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45,000,000.00</w:t>
            </w:r>
          </w:p>
        </w:tc>
        <w:tc>
          <w:tcPr>
            <w:tcW w:w="31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25,485,593.56</w:t>
            </w:r>
          </w:p>
        </w:tc>
        <w:tc>
          <w:tcPr>
            <w:tcW w:w="31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89,722,192.22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240" w:lineRule="auto" w:before="115"/>
        <w:ind w:left="513" w:right="0"/>
        <w:jc w:val="left"/>
      </w:pPr>
      <w:r>
        <w:rPr/>
        <w:t>说明</w:t>
      </w: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日，本集团使用权受到限制的货币资金如下：</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5764"/>
        <w:gridCol w:w="3308"/>
      </w:tblGrid>
      <w:tr>
        <w:trPr>
          <w:trHeight w:val="343" w:hRule="exact"/>
        </w:trPr>
        <w:tc>
          <w:tcPr>
            <w:tcW w:w="5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b/>
                <w:bCs/>
                <w:sz w:val="18"/>
                <w:szCs w:val="18"/>
              </w:rPr>
              <w:t>款  项  内</w:t>
            </w:r>
            <w:r>
              <w:rPr>
                <w:rFonts w:ascii="宋体" w:hAnsi="宋体" w:cs="宋体" w:eastAsia="宋体" w:hint="default"/>
                <w:b/>
                <w:bCs/>
                <w:spacing w:val="5"/>
                <w:sz w:val="18"/>
                <w:szCs w:val="18"/>
              </w:rPr>
              <w:t> </w:t>
            </w:r>
            <w:r>
              <w:rPr>
                <w:rFonts w:ascii="宋体" w:hAnsi="宋体" w:cs="宋体" w:eastAsia="宋体" w:hint="default"/>
                <w:b/>
                <w:bCs/>
                <w:sz w:val="18"/>
                <w:szCs w:val="18"/>
              </w:rPr>
              <w:t>容</w:t>
            </w:r>
            <w:r>
              <w:rPr>
                <w:rFonts w:ascii="宋体" w:hAnsi="宋体" w:cs="宋体" w:eastAsia="宋体" w:hint="default"/>
                <w:sz w:val="18"/>
                <w:szCs w:val="18"/>
              </w:rPr>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41" w:hRule="exact"/>
        </w:trPr>
        <w:tc>
          <w:tcPr>
            <w:tcW w:w="5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根据保监会要求缴存的经营保证金及账户利息</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5,002,000.06</w:t>
            </w:r>
          </w:p>
        </w:tc>
      </w:tr>
      <w:tr>
        <w:trPr>
          <w:trHeight w:val="343" w:hRule="exact"/>
        </w:trPr>
        <w:tc>
          <w:tcPr>
            <w:tcW w:w="5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预收中国银行股份有限公司莆田分行货款</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725,325.08</w:t>
            </w:r>
          </w:p>
        </w:tc>
      </w:tr>
      <w:tr>
        <w:trPr>
          <w:trHeight w:val="341" w:hRule="exact"/>
        </w:trPr>
        <w:tc>
          <w:tcPr>
            <w:tcW w:w="5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预收中国建设股份有限公司宝鸡宝石钢支行货款</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91.71</w:t>
            </w:r>
          </w:p>
        </w:tc>
      </w:tr>
      <w:tr>
        <w:trPr>
          <w:trHeight w:val="343" w:hRule="exact"/>
        </w:trPr>
        <w:tc>
          <w:tcPr>
            <w:tcW w:w="5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开通高速无需停车缴费服务的保证金</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500.00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764"/>
        <w:gridCol w:w="3308"/>
      </w:tblGrid>
      <w:tr>
        <w:trPr>
          <w:trHeight w:val="341" w:hRule="exact"/>
        </w:trPr>
        <w:tc>
          <w:tcPr>
            <w:tcW w:w="5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11,994,513.42</w:t>
            </w:r>
          </w:p>
        </w:tc>
      </w:tr>
      <w:tr>
        <w:trPr>
          <w:trHeight w:val="343" w:hRule="exact"/>
        </w:trPr>
        <w:tc>
          <w:tcPr>
            <w:tcW w:w="5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17,722,430.27</w:t>
            </w:r>
            <w:r>
              <w:rPr>
                <w:rFonts w:ascii="Times New Roman"/>
                <w:spacing w:val="-1"/>
                <w:sz w:val="18"/>
              </w:rPr>
            </w:r>
          </w:p>
        </w:tc>
      </w:tr>
    </w:tbl>
    <w:p>
      <w:pPr>
        <w:pStyle w:val="BodyText"/>
        <w:spacing w:line="300" w:lineRule="auto" w:before="10"/>
        <w:ind w:right="0" w:firstLine="360"/>
        <w:jc w:val="left"/>
      </w:pPr>
      <w:r>
        <w:rPr/>
        <w:t>说明</w:t>
      </w:r>
      <w:r>
        <w:rPr>
          <w:rFonts w:ascii="Times New Roman" w:hAnsi="Times New Roman" w:cs="Times New Roman" w:eastAsia="Times New Roman" w:hint="default"/>
        </w:rPr>
        <w:t>2</w:t>
      </w:r>
      <w:r>
        <w:rPr/>
        <w:t>：子公司融资租赁公司以其持有的厦门农商金融控股集团有限公司</w:t>
      </w:r>
      <w:r>
        <w:rPr>
          <w:rFonts w:ascii="Times New Roman" w:hAnsi="Times New Roman" w:cs="Times New Roman" w:eastAsia="Times New Roman" w:hint="default"/>
        </w:rPr>
        <w:t>2.93%</w:t>
      </w:r>
      <w:r>
        <w:rPr/>
        <w:t>股权（出资额</w:t>
      </w:r>
      <w:r>
        <w:rPr>
          <w:rFonts w:ascii="Times New Roman" w:hAnsi="Times New Roman" w:cs="Times New Roman" w:eastAsia="Times New Roman" w:hint="default"/>
        </w:rPr>
        <w:t>4,500</w:t>
      </w:r>
      <w:r>
        <w:rPr/>
        <w:t>万元）作为质押，向 厦门农村商业银行厦门自贸试验区东渡支行借入短期借款</w:t>
      </w:r>
      <w:r>
        <w:rPr>
          <w:rFonts w:ascii="Times New Roman" w:hAnsi="Times New Roman" w:cs="Times New Roman" w:eastAsia="Times New Roman" w:hint="default"/>
        </w:rPr>
        <w:t>3,950</w:t>
      </w:r>
      <w:r>
        <w:rPr/>
        <w:t>万元；</w:t>
      </w:r>
    </w:p>
    <w:p>
      <w:pPr>
        <w:spacing w:line="240" w:lineRule="auto" w:before="11"/>
        <w:rPr>
          <w:rFonts w:ascii="宋体" w:hAnsi="宋体" w:cs="宋体" w:eastAsia="宋体" w:hint="default"/>
          <w:sz w:val="24"/>
          <w:szCs w:val="24"/>
        </w:rPr>
      </w:pPr>
    </w:p>
    <w:p>
      <w:pPr>
        <w:pStyle w:val="BodyText"/>
        <w:spacing w:line="300" w:lineRule="auto"/>
        <w:ind w:right="1124" w:firstLine="360"/>
        <w:jc w:val="left"/>
      </w:pPr>
      <w:r>
        <w:rPr/>
        <w:t>说明</w:t>
      </w:r>
      <w:r>
        <w:rPr>
          <w:rFonts w:ascii="Times New Roman" w:hAnsi="Times New Roman" w:cs="Times New Roman" w:eastAsia="Times New Roman" w:hint="default"/>
        </w:rPr>
        <w:t>3</w:t>
      </w:r>
      <w:r>
        <w:rPr/>
        <w:t>：本公司与厦门弘信博格融资租赁有限公司签订《融资租赁合同》，通过售后回租的方式取得融资款，抵押的固 定资产年末账面价值为</w:t>
      </w:r>
      <w:r>
        <w:rPr>
          <w:rFonts w:ascii="Times New Roman" w:hAnsi="Times New Roman" w:cs="Times New Roman" w:eastAsia="Times New Roman" w:hint="default"/>
        </w:rPr>
        <w:t>1,514,168.39</w:t>
      </w:r>
      <w:r>
        <w:rPr/>
        <w:t>元；</w:t>
      </w:r>
    </w:p>
    <w:p>
      <w:pPr>
        <w:spacing w:line="240" w:lineRule="auto" w:before="11"/>
        <w:rPr>
          <w:rFonts w:ascii="宋体" w:hAnsi="宋体" w:cs="宋体" w:eastAsia="宋体" w:hint="default"/>
          <w:sz w:val="24"/>
          <w:szCs w:val="24"/>
        </w:rPr>
      </w:pPr>
    </w:p>
    <w:p>
      <w:pPr>
        <w:pStyle w:val="BodyText"/>
        <w:spacing w:line="300" w:lineRule="auto"/>
        <w:ind w:right="0" w:firstLine="360"/>
        <w:jc w:val="left"/>
      </w:pPr>
      <w:r>
        <w:rPr/>
        <w:t>说明</w:t>
      </w:r>
      <w:r>
        <w:rPr>
          <w:rFonts w:ascii="Times New Roman" w:hAnsi="Times New Roman" w:cs="Times New Roman" w:eastAsia="Times New Roman" w:hint="default"/>
        </w:rPr>
        <w:t>4</w:t>
      </w:r>
      <w:r>
        <w:rPr/>
        <w:t>：本公司以位于思明区观日路</w:t>
      </w:r>
      <w:r>
        <w:rPr>
          <w:rFonts w:ascii="Times New Roman" w:hAnsi="Times New Roman" w:cs="Times New Roman" w:eastAsia="Times New Roman" w:hint="default"/>
        </w:rPr>
        <w:t>18</w:t>
      </w:r>
      <w:r>
        <w:rPr/>
        <w:t>号的房产（年末净值为</w:t>
      </w:r>
      <w:r>
        <w:rPr>
          <w:rFonts w:ascii="Times New Roman" w:hAnsi="Times New Roman" w:cs="Times New Roman" w:eastAsia="Times New Roman" w:hint="default"/>
        </w:rPr>
        <w:t>25,485,593.56</w:t>
      </w:r>
      <w:r>
        <w:rPr/>
        <w:t>元）作为抵押物，向兴业银行厦门分行借入 短期借款</w:t>
      </w:r>
      <w:r>
        <w:rPr>
          <w:rFonts w:ascii="Times New Roman" w:hAnsi="Times New Roman" w:cs="Times New Roman" w:eastAsia="Times New Roman" w:hint="default"/>
        </w:rPr>
        <w:t>8,000</w:t>
      </w:r>
      <w:r>
        <w:rPr/>
        <w:t>万元。</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9854"/>
        <w:jc w:val="left"/>
      </w:pPr>
      <w:r>
        <w:rPr/>
        <w:t>其他说明： 无</w:t>
      </w:r>
    </w:p>
    <w:p>
      <w:pPr>
        <w:spacing w:line="240" w:lineRule="auto" w:before="2"/>
        <w:rPr>
          <w:rFonts w:ascii="宋体" w:hAnsi="宋体" w:cs="宋体" w:eastAsia="宋体" w:hint="default"/>
          <w:sz w:val="20"/>
          <w:szCs w:val="20"/>
        </w:rPr>
      </w:pPr>
    </w:p>
    <w:p>
      <w:pPr>
        <w:pStyle w:val="Heading3"/>
        <w:spacing w:line="256"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4634"/>
        <w:jc w:val="left"/>
      </w:pPr>
      <w:r>
        <w:rPr/>
        <w:t>按照套期类别披露套期项目及相关套期工具、被套期风险的定性和定量信息：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9,145,402.66</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9,145,402.66</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5,145,400.00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5,145,400.00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2,412,700.00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197"/>
              <w:jc w:val="left"/>
              <w:rPr>
                <w:rFonts w:ascii="宋体" w:hAnsi="宋体" w:cs="宋体" w:eastAsia="宋体" w:hint="default"/>
                <w:sz w:val="18"/>
                <w:szCs w:val="18"/>
              </w:rPr>
            </w:pPr>
            <w:r>
              <w:rPr>
                <w:rFonts w:ascii="宋体" w:hAnsi="宋体" w:cs="宋体" w:eastAsia="宋体" w:hint="default"/>
                <w:sz w:val="18"/>
                <w:szCs w:val="18"/>
              </w:rPr>
              <w:t>软件和信息技术服务业专项 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2,412,700.00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838,726.00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民营经济扶持资金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838,726.00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765,000.00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科技小巨人领军企业奖励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765,000.00</w:t>
            </w: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优秀软件信息企业增产增速 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332,768.00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技术交易奖励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332,768.00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273,660.51</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273,660.51</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福建名牌产品奖励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184,346.00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184,346.00</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183,882.00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互联网企业软件开发项目市 外中标（签约）奖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183,882.00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136,112.83</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136,112.83</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劳务协作奖励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121,000.00</w:t>
            </w: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197"/>
              <w:jc w:val="left"/>
              <w:rPr>
                <w:rFonts w:ascii="宋体" w:hAnsi="宋体" w:cs="宋体" w:eastAsia="宋体" w:hint="default"/>
                <w:sz w:val="18"/>
                <w:szCs w:val="18"/>
              </w:rPr>
            </w:pPr>
            <w:r>
              <w:rPr>
                <w:rFonts w:ascii="宋体" w:hAnsi="宋体" w:cs="宋体" w:eastAsia="宋体" w:hint="default"/>
                <w:sz w:val="18"/>
                <w:szCs w:val="18"/>
              </w:rPr>
              <w:t>促进服务业限下企业转型升 级奖励资金的通知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厦门市重点产业紧缺人才薪 酬津贴补助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48,204.00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街道扶持资金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48,204.00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45,179.40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45,179.40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34,288.10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毕业生补贴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34,288.10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高新技术企业补助项目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24,017.00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税费扶持资金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24,017.00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8,618.00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8,618.00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197"/>
              <w:jc w:val="left"/>
              <w:rPr>
                <w:rFonts w:ascii="宋体" w:hAnsi="宋体" w:cs="宋体" w:eastAsia="宋体" w:hint="default"/>
                <w:sz w:val="18"/>
                <w:szCs w:val="18"/>
              </w:rPr>
            </w:pPr>
            <w:r>
              <w:rPr>
                <w:rFonts w:ascii="宋体" w:hAnsi="宋体" w:cs="宋体" w:eastAsia="宋体" w:hint="default"/>
                <w:sz w:val="18"/>
                <w:szCs w:val="18"/>
              </w:rPr>
              <w:t>厦门市重点产业人才个人所 得税奖励金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4,400.00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4,400.00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w w:val="95"/>
                <w:sz w:val="18"/>
              </w:rPr>
              <w:t>3,500.00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3,500.00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1,766.25</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1,766.25</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197"/>
              <w:jc w:val="left"/>
              <w:rPr>
                <w:rFonts w:ascii="宋体" w:hAnsi="宋体" w:cs="宋体" w:eastAsia="宋体" w:hint="default"/>
                <w:sz w:val="18"/>
                <w:szCs w:val="18"/>
              </w:rPr>
            </w:pPr>
            <w:r>
              <w:rPr>
                <w:rFonts w:ascii="宋体" w:hAnsi="宋体" w:cs="宋体" w:eastAsia="宋体" w:hint="default"/>
                <w:sz w:val="18"/>
                <w:szCs w:val="18"/>
              </w:rPr>
              <w:t>小微企业知识产权托管费用 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BodyText"/>
        <w:spacing w:line="240" w:lineRule="auto" w:before="43"/>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074"/>
        <w:jc w:val="left"/>
      </w:pPr>
      <w:r>
        <w:rPr/>
        <w:t>合并成本公允价值的确定方法、或有对价及其变动的说明： 无</w:t>
      </w:r>
    </w:p>
    <w:p>
      <w:pPr>
        <w:pStyle w:val="BodyText"/>
        <w:spacing w:line="360" w:lineRule="auto" w:before="29"/>
        <w:ind w:right="8594"/>
        <w:jc w:val="left"/>
      </w:pPr>
      <w:r>
        <w:rPr/>
        <w:t>大额商誉形成的主要原因： 无</w:t>
      </w:r>
    </w:p>
    <w:p>
      <w:pPr>
        <w:pStyle w:val="BodyText"/>
        <w:spacing w:line="357" w:lineRule="auto" w:before="27"/>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514"/>
        <w:jc w:val="left"/>
      </w:pPr>
      <w:r>
        <w:rPr/>
        <w:t>可辨认资产、负债公允价值的确定方法： 无 企业合并中承担的被购买方的或有负债： 无</w:t>
      </w:r>
    </w:p>
    <w:p>
      <w:pPr>
        <w:pStyle w:val="BodyText"/>
        <w:spacing w:line="357" w:lineRule="auto" w:before="29"/>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或有对价及其变动的说明： 无</w:t>
      </w:r>
    </w:p>
    <w:p>
      <w:pPr>
        <w:pStyle w:val="BodyText"/>
        <w:spacing w:line="357" w:lineRule="auto" w:before="28"/>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514"/>
        <w:jc w:val="left"/>
      </w:pPr>
      <w:r>
        <w:rPr/>
        <w:t>企业合并中承担的被合并方的或有负债： 无</w:t>
      </w:r>
    </w:p>
    <w:p>
      <w:pPr>
        <w:pStyle w:val="BodyText"/>
        <w:spacing w:line="360" w:lineRule="auto" w:before="29"/>
        <w:ind w:right="9854"/>
        <w:jc w:val="left"/>
      </w:pPr>
      <w:r>
        <w:rPr/>
        <w:t>其他说明： 无</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pStyle w:val="BodyText"/>
        <w:spacing w:line="240" w:lineRule="auto" w:before="59"/>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40" w:lineRule="auto" w:before="115"/>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3" w:right="0" w:hanging="361"/>
        <w:jc w:val="left"/>
      </w:pPr>
      <w:r>
        <w:rPr/>
        <w:t>说明其他原因导致的合并范围变动（如，新设子公司、清算子公司等）及其相关情况： 本报告期内新设子公司及二级子公司</w:t>
      </w:r>
      <w:r>
        <w:rPr>
          <w:rFonts w:ascii="Times New Roman" w:hAnsi="Times New Roman" w:cs="Times New Roman" w:eastAsia="Times New Roman" w:hint="default"/>
        </w:rPr>
        <w:t>12</w:t>
      </w:r>
      <w:r>
        <w:rPr/>
        <w:t>家，参见本附注九、在其他主体中的权益。</w:t>
      </w:r>
    </w:p>
    <w:p>
      <w:pPr>
        <w:pStyle w:val="BodyText"/>
        <w:spacing w:line="300" w:lineRule="auto" w:before="83"/>
        <w:ind w:right="0" w:firstLine="360"/>
        <w:jc w:val="left"/>
      </w:pPr>
      <w:r>
        <w:rPr/>
        <w:t>由全资子公司安徽易联众于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日注册成立的全资孙公司宿州易联众信息技术有限公司，注册资本</w:t>
      </w:r>
      <w:r>
        <w:rPr>
          <w:rFonts w:ascii="Times New Roman" w:hAnsi="Times New Roman" w:cs="Times New Roman" w:eastAsia="Times New Roman" w:hint="default"/>
        </w:rPr>
        <w:t>50</w:t>
      </w:r>
      <w:r>
        <w:rPr/>
        <w:t>万元。截 </w:t>
      </w:r>
      <w:r>
        <w:rPr>
          <w:spacing w:val="-2"/>
        </w:rPr>
        <w:t>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日，本集团尚未支付投资款，宿州易联众信息技术有限公司也尚未开展生产经营活动，已于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月注销。</w:t>
      </w:r>
    </w:p>
    <w:p>
      <w:pPr>
        <w:spacing w:line="240" w:lineRule="auto" w:before="7"/>
        <w:rPr>
          <w:rFonts w:ascii="宋体" w:hAnsi="宋体" w:cs="宋体" w:eastAsia="宋体" w:hint="default"/>
          <w:sz w:val="17"/>
          <w:szCs w:val="17"/>
        </w:rPr>
      </w:pPr>
    </w:p>
    <w:p>
      <w:pPr>
        <w:pStyle w:val="BodyText"/>
        <w:spacing w:line="240" w:lineRule="auto"/>
        <w:ind w:left="513" w:right="0"/>
        <w:jc w:val="left"/>
      </w:pPr>
      <w:r>
        <w:rPr/>
        <w:t>由控股子公司民生科技于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日注册成立的控股孙公司北京易联众民生科技有限公司，注册资本</w:t>
      </w:r>
      <w:r>
        <w:rPr>
          <w:rFonts w:ascii="Times New Roman" w:hAnsi="Times New Roman" w:cs="Times New Roman" w:eastAsia="Times New Roman" w:hint="default"/>
        </w:rPr>
        <w:t>500</w:t>
      </w:r>
      <w:r>
        <w:rPr/>
        <w:t>万元。截止</w:t>
      </w:r>
    </w:p>
    <w:p>
      <w:pPr>
        <w:pStyle w:val="BodyText"/>
        <w:spacing w:line="240" w:lineRule="auto" w:before="63"/>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日，本集团尚未支付投资款，北京易联众民生科技有限公司也尚未开展生产经营活动。</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0"/>
        <w:jc w:val="left"/>
      </w:pPr>
      <w:r>
        <w:rPr/>
        <w:t>由控股子公司医疗信息于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日注册成立的全资孙公司三明易就医信息技术有限公司，注册资本</w:t>
      </w:r>
      <w:r>
        <w:rPr>
          <w:rFonts w:ascii="Times New Roman" w:hAnsi="Times New Roman" w:cs="Times New Roman" w:eastAsia="Times New Roman" w:hint="default"/>
        </w:rPr>
        <w:t>50</w:t>
      </w:r>
      <w:r>
        <w:rPr/>
        <w:t>万元。截止</w:t>
      </w:r>
    </w:p>
    <w:p>
      <w:pPr>
        <w:pStyle w:val="BodyText"/>
        <w:spacing w:line="240" w:lineRule="auto" w:before="63"/>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日，本集团尚未支付投资款，三明易就医信息技术有限公司也尚未开展生产经营活动。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九、在其他主体中的权益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福建软件开发</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电子科技</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6" w:right="70"/>
              <w:jc w:val="both"/>
              <w:rPr>
                <w:rFonts w:ascii="宋体" w:hAnsi="宋体" w:cs="宋体" w:eastAsia="宋体" w:hint="default"/>
                <w:sz w:val="18"/>
                <w:szCs w:val="18"/>
              </w:rPr>
            </w:pPr>
            <w:r>
              <w:rPr>
                <w:rFonts w:ascii="宋体" w:hAnsi="宋体" w:cs="宋体" w:eastAsia="宋体" w:hint="default"/>
                <w:sz w:val="18"/>
                <w:szCs w:val="18"/>
              </w:rPr>
              <w:t>智能卡、银行卡 研发生产、软件 开发及应用系统 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民生通</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互联网销售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0" w:right="0"/>
              <w:jc w:val="left"/>
              <w:rPr>
                <w:rFonts w:ascii="Times New Roman" w:hAnsi="Times New Roman" w:cs="Times New Roman" w:eastAsia="Times New Roman" w:hint="default"/>
                <w:sz w:val="18"/>
                <w:szCs w:val="18"/>
              </w:rPr>
            </w:pPr>
            <w:r>
              <w:rPr>
                <w:rFonts w:ascii="Times New Roman"/>
                <w:sz w:val="18"/>
              </w:rPr>
              <w:t>62.00%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厦门纵达</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易思达</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金融控股</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银川</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银川</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商业保理、投资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医疗控股</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易康吉</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保险经纪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易惠科技</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易方科技</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三明易联众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三明</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三明</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人力资源</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人才中介、职业 中介、劳务派遣</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海南易联众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智能卡、银行卡 研发生产、软件 开发及应用系统 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医疗信息</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64.25%</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广州睿图</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应用系统集成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山西民生</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百路源</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投资管理、资产 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102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北京智康</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技术开发推广、 销售计算机软件 及辅助设备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安徽民生</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保睿通</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医卫信息</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67.50%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长青科技</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易达迅</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通达易</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安徽易惠</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山西无感付</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欣贝康</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医学研究和试 验、医疗器械销 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pStyle w:val="BodyText"/>
        <w:spacing w:line="357" w:lineRule="auto" w:before="51"/>
        <w:ind w:right="6974"/>
        <w:jc w:val="left"/>
      </w:pPr>
      <w:r>
        <w:rPr/>
        <w:t>在子公司的持股比例不同于表决权比例的说明： 无</w:t>
      </w:r>
    </w:p>
    <w:p>
      <w:pPr>
        <w:pStyle w:val="BodyText"/>
        <w:spacing w:line="360" w:lineRule="auto" w:before="29"/>
        <w:ind w:right="2834"/>
        <w:jc w:val="left"/>
      </w:pPr>
      <w:r>
        <w:rPr/>
        <w:t>持有半数或以下表决权但仍控制被投资单位、以及持有半数以上表决权但不控制被投资单位的依据： 无</w:t>
      </w:r>
    </w:p>
    <w:p>
      <w:pPr>
        <w:pStyle w:val="BodyText"/>
        <w:spacing w:line="357" w:lineRule="auto" w:before="27"/>
        <w:ind w:right="6434"/>
        <w:jc w:val="left"/>
      </w:pPr>
      <w:r>
        <w:rPr/>
        <w:t>对于纳入合并范围的重要的结构化主体，控制的依据： 无</w:t>
      </w:r>
    </w:p>
    <w:p>
      <w:pPr>
        <w:pStyle w:val="BodyText"/>
        <w:spacing w:line="357" w:lineRule="auto" w:before="29"/>
        <w:ind w:right="7694"/>
        <w:jc w:val="left"/>
      </w:pPr>
      <w:r>
        <w:rPr/>
        <w:t>确定公司是代理人还是委托人的依据： 无</w:t>
      </w:r>
    </w:p>
    <w:p>
      <w:pPr>
        <w:pStyle w:val="BodyText"/>
        <w:spacing w:line="360" w:lineRule="auto" w:before="2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电子科技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70" w:right="0"/>
              <w:jc w:val="left"/>
              <w:rPr>
                <w:rFonts w:ascii="Times New Roman" w:hAnsi="Times New Roman" w:cs="Times New Roman" w:eastAsia="Times New Roman" w:hint="default"/>
                <w:sz w:val="18"/>
                <w:szCs w:val="18"/>
              </w:rPr>
            </w:pPr>
            <w:r>
              <w:rPr>
                <w:rFonts w:ascii="Times New Roman"/>
                <w:sz w:val="18"/>
              </w:rPr>
              <w:t>242,455.87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7,085,146.23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广东易联众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858,903.23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3,228,488.31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民生通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-478,805.89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101,817.87</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厦门纵达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84,702.04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3,746,415.38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吉林易联众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-193,046.65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2,359,405.00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1,772,632.42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6,056,196.82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327,840.73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1,427,272.68</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4,442,490.47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9,887,766.54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易惠科技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4,922,312.58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14,620,432.39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易方科技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-939,426.43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1,817,008.29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海南易联众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-192,257.63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734,725.37</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医疗信息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3,816,260.62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11,490,309.72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广州睿图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2,303,582.10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4,316,847.19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山西民生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146,967.51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1,168,958.04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北京智康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-290,347.01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409,652.99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安徽民生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-4,485.42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-4,485.42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保睿通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6,697,780.72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12,997,780.72</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医卫信息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532,502.86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3,782,502.86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长青科技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-139,595.43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560,404.57</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易达迅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-98,367.44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951,632.56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通达易</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138,969.35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2,138,969.35</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安徽易惠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-397,012.97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582,987.03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山西无感付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14,818.88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2,464,818.88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欣贝康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-101,665.69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878,334.31</w:t>
            </w:r>
          </w:p>
        </w:tc>
      </w:tr>
    </w:tbl>
    <w:p>
      <w:pPr>
        <w:pStyle w:val="BodyText"/>
        <w:spacing w:line="357" w:lineRule="auto" w:before="51"/>
        <w:ind w:right="6434"/>
        <w:jc w:val="left"/>
      </w:pPr>
      <w:r>
        <w:rPr/>
        <w:t>子公司少数股东的持股比例不同于表决权比例的说明： 无</w:t>
      </w:r>
    </w:p>
    <w:p>
      <w:pPr>
        <w:pStyle w:val="BodyText"/>
        <w:spacing w:line="357" w:lineRule="auto" w:before="29"/>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37"/>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电子科 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16,540,9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71.68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1,921,44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18,462,4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14.24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4,002,93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 w:right="0"/>
              <w:jc w:val="left"/>
              <w:rPr>
                <w:rFonts w:ascii="Times New Roman" w:hAnsi="Times New Roman" w:cs="Times New Roman" w:eastAsia="Times New Roman" w:hint="default"/>
                <w:sz w:val="18"/>
                <w:szCs w:val="18"/>
              </w:rPr>
            </w:pPr>
            <w:r>
              <w:rPr>
                <w:rFonts w:ascii="Times New Roman"/>
                <w:sz w:val="18"/>
              </w:rPr>
              <w:t>4,002,93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2.14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 w:right="0"/>
              <w:jc w:val="left"/>
              <w:rPr>
                <w:rFonts w:ascii="Times New Roman" w:hAnsi="Times New Roman" w:cs="Times New Roman" w:eastAsia="Times New Roman" w:hint="default"/>
                <w:sz w:val="18"/>
                <w:szCs w:val="18"/>
              </w:rPr>
            </w:pPr>
            <w:r>
              <w:rPr>
                <w:rFonts w:ascii="Times New Roman"/>
                <w:sz w:val="18"/>
              </w:rPr>
              <w:t>19,628,8</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18.70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1,772,00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21,400,8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26.23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4" w:right="0"/>
              <w:jc w:val="left"/>
              <w:rPr>
                <w:rFonts w:ascii="Times New Roman" w:hAnsi="Times New Roman" w:cs="Times New Roman" w:eastAsia="Times New Roman" w:hint="default"/>
                <w:sz w:val="18"/>
                <w:szCs w:val="18"/>
              </w:rPr>
            </w:pPr>
            <w:r>
              <w:rPr>
                <w:rFonts w:ascii="Times New Roman"/>
                <w:sz w:val="18"/>
              </w:rPr>
              <w:t>7,436,15</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2.03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 w:right="0"/>
              <w:jc w:val="left"/>
              <w:rPr>
                <w:rFonts w:ascii="Times New Roman" w:hAnsi="Times New Roman" w:cs="Times New Roman" w:eastAsia="Times New Roman" w:hint="default"/>
                <w:sz w:val="18"/>
                <w:szCs w:val="18"/>
              </w:rPr>
            </w:pPr>
            <w:r>
              <w:rPr>
                <w:rFonts w:ascii="Times New Roman"/>
                <w:sz w:val="18"/>
              </w:rPr>
              <w:t>7,436,15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2.03</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37"/>
      </w:tblGrid>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广东易 联众</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9,145,80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50,066.9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9,195,87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1,124,65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 w:right="0"/>
              <w:jc w:val="left"/>
              <w:rPr>
                <w:rFonts w:ascii="Times New Roman" w:hAnsi="Times New Roman" w:cs="Times New Roman" w:eastAsia="Times New Roman" w:hint="default"/>
                <w:sz w:val="18"/>
                <w:szCs w:val="18"/>
              </w:rPr>
            </w:pPr>
            <w:r>
              <w:rPr>
                <w:rFonts w:ascii="Times New Roman"/>
                <w:sz w:val="18"/>
              </w:rPr>
              <w:t>1,124,65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 w:right="0"/>
              <w:jc w:val="left"/>
              <w:rPr>
                <w:rFonts w:ascii="Times New Roman" w:hAnsi="Times New Roman" w:cs="Times New Roman" w:eastAsia="Times New Roman" w:hint="default"/>
                <w:sz w:val="18"/>
                <w:szCs w:val="18"/>
              </w:rPr>
            </w:pPr>
            <w:r>
              <w:rPr>
                <w:rFonts w:ascii="Times New Roman"/>
                <w:sz w:val="18"/>
              </w:rPr>
              <w:t>10,102,1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65.83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98,651.5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10,200,8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4" w:right="0"/>
              <w:jc w:val="left"/>
              <w:rPr>
                <w:rFonts w:ascii="Times New Roman" w:hAnsi="Times New Roman" w:cs="Times New Roman" w:eastAsia="Times New Roman" w:hint="default"/>
                <w:sz w:val="18"/>
                <w:szCs w:val="18"/>
              </w:rPr>
            </w:pPr>
            <w:r>
              <w:rPr>
                <w:rFonts w:ascii="Times New Roman"/>
                <w:sz w:val="18"/>
              </w:rPr>
              <w:t>4,276,85</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4.68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 w:right="0"/>
              <w:jc w:val="left"/>
              <w:rPr>
                <w:rFonts w:ascii="Times New Roman" w:hAnsi="Times New Roman" w:cs="Times New Roman" w:eastAsia="Times New Roman" w:hint="default"/>
                <w:sz w:val="18"/>
                <w:szCs w:val="18"/>
              </w:rPr>
            </w:pPr>
            <w:r>
              <w:rPr>
                <w:rFonts w:ascii="Times New Roman"/>
                <w:sz w:val="18"/>
              </w:rPr>
              <w:t>4,276,85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4.68</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161"/>
              <w:jc w:val="left"/>
              <w:rPr>
                <w:rFonts w:ascii="宋体" w:hAnsi="宋体" w:cs="宋体" w:eastAsia="宋体" w:hint="default"/>
                <w:sz w:val="18"/>
                <w:szCs w:val="18"/>
              </w:rPr>
            </w:pPr>
            <w:r>
              <w:rPr>
                <w:rFonts w:ascii="宋体" w:hAnsi="宋体" w:cs="宋体" w:eastAsia="宋体" w:hint="default"/>
                <w:sz w:val="18"/>
                <w:szCs w:val="18"/>
              </w:rPr>
              <w:t>厦门纵 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8,624,93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1,581,90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10,206,8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48.76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840,810.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840,810.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8,087,81</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7.63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1,684,25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9,772,07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617,788.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617,788.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94</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吉林易 联众</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15,952,7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83.32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515,012.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16,467,7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8,603,11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2.18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8,603,11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2.18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12,370,3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82.35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396,547.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12,766,9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4,258,75</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7.35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4,258,75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7.35</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161"/>
              <w:jc w:val="left"/>
              <w:rPr>
                <w:rFonts w:ascii="宋体" w:hAnsi="宋体" w:cs="宋体" w:eastAsia="宋体" w:hint="default"/>
                <w:sz w:val="18"/>
                <w:szCs w:val="18"/>
              </w:rPr>
            </w:pPr>
            <w:r>
              <w:rPr>
                <w:rFonts w:ascii="宋体" w:hAnsi="宋体" w:cs="宋体" w:eastAsia="宋体" w:hint="default"/>
                <w:sz w:val="18"/>
                <w:szCs w:val="18"/>
              </w:rPr>
              <w:t>智能科 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38,278,9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25.15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244,140.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38,523,0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65.84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21,219,6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46.36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21,219,6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46.36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28,441,1</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45.13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66,058.2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28,507,2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03.35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 w:right="0"/>
              <w:jc w:val="left"/>
              <w:rPr>
                <w:rFonts w:ascii="Times New Roman" w:hAnsi="Times New Roman" w:cs="Times New Roman" w:eastAsia="Times New Roman" w:hint="default"/>
                <w:sz w:val="18"/>
                <w:szCs w:val="18"/>
              </w:rPr>
            </w:pPr>
            <w:r>
              <w:rPr>
                <w:rFonts w:ascii="Times New Roman"/>
                <w:sz w:val="18"/>
              </w:rPr>
              <w:t>16,268,4</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47.92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16,268,4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47.92</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10,269,7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3,318,64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13,588,4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6,452,04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6,452,04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5,404,20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1,640,05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7,044,25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1,547,09</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7.37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1,547,09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7.37</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161"/>
              <w:jc w:val="left"/>
              <w:rPr>
                <w:rFonts w:ascii="宋体" w:hAnsi="宋体" w:cs="宋体" w:eastAsia="宋体" w:hint="default"/>
                <w:sz w:val="18"/>
                <w:szCs w:val="18"/>
              </w:rPr>
            </w:pPr>
            <w:r>
              <w:rPr>
                <w:rFonts w:ascii="宋体" w:hAnsi="宋体" w:cs="宋体" w:eastAsia="宋体" w:hint="default"/>
                <w:sz w:val="18"/>
                <w:szCs w:val="18"/>
              </w:rPr>
              <w:t>海南易 联众</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1,799,13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298,269.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2,097,40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260,595.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260,595.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left"/>
              <w:rPr>
                <w:rFonts w:ascii="Times New Roman" w:hAnsi="Times New Roman" w:cs="Times New Roman" w:eastAsia="Times New Roman" w:hint="default"/>
                <w:sz w:val="18"/>
                <w:szCs w:val="18"/>
              </w:rPr>
            </w:pPr>
            <w:r>
              <w:rPr>
                <w:rFonts w:ascii="Times New Roman"/>
                <w:sz w:val="18"/>
              </w:rPr>
              <w:t>2,756,11</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8.72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22,205.8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2,778,32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460,867.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460,867.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08</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医疗信 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45,832,3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1,994,48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47,826,8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16,069,5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16,069,5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12,176,1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62.58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79,556.8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12,255,7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6,919,70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3.31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6,919,70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3.31</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161"/>
              <w:jc w:val="left"/>
              <w:rPr>
                <w:rFonts w:ascii="宋体" w:hAnsi="宋体" w:cs="宋体" w:eastAsia="宋体" w:hint="default"/>
                <w:sz w:val="18"/>
                <w:szCs w:val="18"/>
              </w:rPr>
            </w:pPr>
            <w:r>
              <w:rPr>
                <w:rFonts w:ascii="宋体" w:hAnsi="宋体" w:cs="宋体" w:eastAsia="宋体" w:hint="default"/>
                <w:sz w:val="18"/>
                <w:szCs w:val="18"/>
              </w:rPr>
              <w:t>广州睿 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left"/>
              <w:rPr>
                <w:rFonts w:ascii="Times New Roman" w:hAnsi="Times New Roman" w:cs="Times New Roman" w:eastAsia="Times New Roman" w:hint="default"/>
                <w:sz w:val="18"/>
                <w:szCs w:val="18"/>
              </w:rPr>
            </w:pPr>
            <w:r>
              <w:rPr>
                <w:rFonts w:ascii="Times New Roman"/>
                <w:sz w:val="18"/>
              </w:rPr>
              <w:t>20,511,3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07.03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1,498,07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22,009,3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80.49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9,675,53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9,675,53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1.39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6,283,80</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3.08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284,181.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6,567,98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 w:right="0"/>
              <w:jc w:val="left"/>
              <w:rPr>
                <w:rFonts w:ascii="Times New Roman" w:hAnsi="Times New Roman" w:cs="Times New Roman" w:eastAsia="Times New Roman" w:hint="default"/>
                <w:sz w:val="18"/>
                <w:szCs w:val="18"/>
              </w:rPr>
            </w:pPr>
            <w:r>
              <w:rPr>
                <w:rFonts w:ascii="Times New Roman"/>
                <w:sz w:val="18"/>
              </w:rPr>
              <w:t>2,815,79</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9.09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2,815,79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9.09</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保睿通</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57,040,0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5,055,87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62,095,9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24,959,3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97.65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24,959,3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97.65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161"/>
              <w:jc w:val="left"/>
              <w:rPr>
                <w:rFonts w:ascii="宋体" w:hAnsi="宋体" w:cs="宋体" w:eastAsia="宋体" w:hint="default"/>
                <w:sz w:val="18"/>
                <w:szCs w:val="18"/>
              </w:rPr>
            </w:pPr>
            <w:r>
              <w:rPr>
                <w:rFonts w:ascii="宋体" w:hAnsi="宋体" w:cs="宋体" w:eastAsia="宋体" w:hint="default"/>
                <w:sz w:val="18"/>
                <w:szCs w:val="18"/>
              </w:rPr>
              <w:t>医卫信 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13,224,2</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59.69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1,738,40</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0.27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14,962,6</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59.96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3,424,96</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7.61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3,424,96</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7.61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长青科 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1,316,53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593,371.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1,909,90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308,750.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308,750.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易达迅</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2,668,58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104,228.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2,772,81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3.92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53,863.7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53,863.7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通达易</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6,468,02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138,122.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6,606,14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1,258,72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1,258,72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161"/>
              <w:jc w:val="left"/>
              <w:rPr>
                <w:rFonts w:ascii="宋体" w:hAnsi="宋体" w:cs="宋体" w:eastAsia="宋体" w:hint="default"/>
                <w:sz w:val="18"/>
                <w:szCs w:val="18"/>
              </w:rPr>
            </w:pPr>
            <w:r>
              <w:rPr>
                <w:rFonts w:ascii="宋体" w:hAnsi="宋体" w:cs="宋体" w:eastAsia="宋体" w:hint="default"/>
                <w:sz w:val="18"/>
                <w:szCs w:val="18"/>
              </w:rPr>
              <w:t>北京智 康</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302,946.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276,520.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579,467.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709,030.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709,030.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民生科 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50,118,7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5,643,06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55,761,7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26,346,5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54.29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26,346,5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32,486,8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25.47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1,632,38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34,119,2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17,539,2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84.48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17,539,2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84.48</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161"/>
              <w:jc w:val="left"/>
              <w:rPr>
                <w:rFonts w:ascii="宋体" w:hAnsi="宋体" w:cs="宋体" w:eastAsia="宋体" w:hint="default"/>
                <w:sz w:val="18"/>
                <w:szCs w:val="18"/>
              </w:rPr>
            </w:pPr>
            <w:r>
              <w:rPr>
                <w:rFonts w:ascii="宋体" w:hAnsi="宋体" w:cs="宋体" w:eastAsia="宋体" w:hint="default"/>
                <w:sz w:val="18"/>
                <w:szCs w:val="18"/>
              </w:rPr>
              <w:t>易惠科 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89,000,3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02.30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3,865,16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92,865,4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63.54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50,076,6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77.70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50,076,6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77.70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37,362,9</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54.97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37,462,9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54.97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 w:right="0"/>
              <w:jc w:val="left"/>
              <w:rPr>
                <w:rFonts w:ascii="Times New Roman" w:hAnsi="Times New Roman" w:cs="Times New Roman" w:eastAsia="Times New Roman" w:hint="default"/>
                <w:sz w:val="18"/>
                <w:szCs w:val="18"/>
              </w:rPr>
            </w:pPr>
            <w:r>
              <w:rPr>
                <w:rFonts w:ascii="Times New Roman"/>
                <w:sz w:val="18"/>
              </w:rPr>
              <w:t>16,793,8</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83.93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16,793,8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83.93</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易方科 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4,706,32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2,576,59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7,282,92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1,213,14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1,213,14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3,600,47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1,137,91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4,738,39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862,866.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862,866.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r>
    </w:tbl>
    <w:p>
      <w:pPr>
        <w:pStyle w:val="BodyText"/>
        <w:spacing w:line="240" w:lineRule="auto" w:before="51"/>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66"/>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66"/>
      </w:tblGrid>
      <w:tr>
        <w:trPr>
          <w:trHeight w:val="713"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18,916,441.5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494,807.90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 w:right="0"/>
              <w:jc w:val="center"/>
              <w:rPr>
                <w:rFonts w:ascii="Times New Roman" w:hAnsi="Times New Roman" w:cs="Times New Roman" w:eastAsia="Times New Roman" w:hint="default"/>
                <w:sz w:val="18"/>
                <w:szCs w:val="18"/>
              </w:rPr>
            </w:pPr>
            <w:r>
              <w:rPr>
                <w:rFonts w:ascii="Times New Roman"/>
                <w:sz w:val="18"/>
              </w:rPr>
              <w:t>494,807.90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-379,056.68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12,193,841.5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2,220,091.86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2,220,091.86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4,977,953.78</w:t>
            </w:r>
          </w:p>
        </w:tc>
      </w:tr>
      <w:tr>
        <w:trPr>
          <w:trHeight w:val="403"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广东易联众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5,142,762.95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2,147,258.07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center"/>
              <w:rPr>
                <w:rFonts w:ascii="Times New Roman" w:hAnsi="Times New Roman" w:cs="Times New Roman" w:eastAsia="Times New Roman" w:hint="default"/>
                <w:sz w:val="18"/>
                <w:szCs w:val="18"/>
              </w:rPr>
            </w:pPr>
            <w:r>
              <w:rPr>
                <w:rFonts w:ascii="Times New Roman"/>
                <w:sz w:val="18"/>
              </w:rPr>
              <w:t>2,147,258.07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2,203,182.82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4,765,539.70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1,491,958.90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1,491,958.90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-236,748.36</w:t>
            </w:r>
          </w:p>
        </w:tc>
      </w:tr>
      <w:tr>
        <w:trPr>
          <w:trHeight w:val="401"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厦门纵达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1,788,065.28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211,755.11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 w:right="0"/>
              <w:jc w:val="center"/>
              <w:rPr>
                <w:rFonts w:ascii="Times New Roman" w:hAnsi="Times New Roman" w:cs="Times New Roman" w:eastAsia="Times New Roman" w:hint="default"/>
                <w:sz w:val="18"/>
                <w:szCs w:val="18"/>
              </w:rPr>
            </w:pPr>
            <w:r>
              <w:rPr>
                <w:rFonts w:ascii="Times New Roman"/>
                <w:sz w:val="18"/>
              </w:rPr>
              <w:t>211,755.11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-143,495.35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1,799,706.16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354,712.75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354,712.75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-495,001.08</w:t>
            </w:r>
          </w:p>
        </w:tc>
      </w:tr>
      <w:tr>
        <w:trPr>
          <w:trHeight w:val="715"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吉林易联众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12,438,700.6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-643,488.83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-643,488.83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-1,765,172.34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6,339,710.38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-72,983.98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-72,983.98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-3,917,411.41</w:t>
            </w:r>
          </w:p>
        </w:tc>
      </w:tr>
      <w:tr>
        <w:trPr>
          <w:trHeight w:val="713"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42,689,986.1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5,064,664.05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5,064,664.05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2,442,030.73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26,663,641.6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2,247,406.66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2,247,406.66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2,574,827.99</w:t>
            </w:r>
          </w:p>
        </w:tc>
      </w:tr>
      <w:tr>
        <w:trPr>
          <w:trHeight w:val="716"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12,155,190.0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1,639,203.66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1,639,203.66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1,222,968.19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3,838,348.19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497,234.73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497,234.73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-581,525.71</w:t>
            </w:r>
          </w:p>
        </w:tc>
      </w:tr>
      <w:tr>
        <w:trPr>
          <w:trHeight w:val="401"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海南易联众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1,146,275.62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-480,644.08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center"/>
              <w:rPr>
                <w:rFonts w:ascii="Times New Roman" w:hAnsi="Times New Roman" w:cs="Times New Roman" w:eastAsia="Times New Roman" w:hint="default"/>
                <w:sz w:val="18"/>
                <w:szCs w:val="18"/>
              </w:rPr>
            </w:pPr>
            <w:r>
              <w:rPr>
                <w:rFonts w:ascii="Times New Roman"/>
                <w:sz w:val="18"/>
              </w:rPr>
              <w:t>-480,644.08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-156,941.82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1,646,200.39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289,899.12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289,899.12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-1,253,862.21</w:t>
            </w:r>
          </w:p>
        </w:tc>
      </w:tr>
      <w:tr>
        <w:trPr>
          <w:trHeight w:val="715"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医疗信息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42,759,423.6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10,421,246.9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10,421,246.9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56,493.11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10,461,851.7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1,336,016.12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1,336,016.12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-1,190,699.24</w:t>
            </w:r>
          </w:p>
        </w:tc>
      </w:tr>
      <w:tr>
        <w:trPr>
          <w:trHeight w:val="713"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广州睿图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28,375,512.8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6,581,663.13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6,581,663.13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1,265,234.48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5,323,779.06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752,185.97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752,185.97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-1,141,270.78</w:t>
            </w:r>
          </w:p>
        </w:tc>
      </w:tr>
      <w:tr>
        <w:trPr>
          <w:trHeight w:val="715"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保睿通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54,420,212.5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19,136,516.3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19,136,516.3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-4,729,977.33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医卫信息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14,541,243.1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1,537,692.35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1,537,692.35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-749,462.72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长青科技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726,220.77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-398,844.09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center"/>
              <w:rPr>
                <w:rFonts w:ascii="Times New Roman" w:hAnsi="Times New Roman" w:cs="Times New Roman" w:eastAsia="Times New Roman" w:hint="default"/>
                <w:sz w:val="18"/>
                <w:szCs w:val="18"/>
              </w:rPr>
            </w:pPr>
            <w:r>
              <w:rPr>
                <w:rFonts w:ascii="Times New Roman"/>
                <w:sz w:val="18"/>
              </w:rPr>
              <w:t>-398,844.09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-1,029,654.75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易达迅</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-281,049.83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center"/>
              <w:rPr>
                <w:rFonts w:ascii="Times New Roman" w:hAnsi="Times New Roman" w:cs="Times New Roman" w:eastAsia="Times New Roman" w:hint="default"/>
                <w:sz w:val="18"/>
                <w:szCs w:val="18"/>
              </w:rPr>
            </w:pPr>
            <w:r>
              <w:rPr>
                <w:rFonts w:ascii="Times New Roman"/>
                <w:sz w:val="18"/>
              </w:rPr>
              <w:t>-281,049.83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-864,901.43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通达易</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2,902,976.58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347,423.38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9" w:right="0"/>
              <w:jc w:val="center"/>
              <w:rPr>
                <w:rFonts w:ascii="Times New Roman" w:hAnsi="Times New Roman" w:cs="Times New Roman" w:eastAsia="Times New Roman" w:hint="default"/>
                <w:sz w:val="18"/>
                <w:szCs w:val="18"/>
              </w:rPr>
            </w:pPr>
            <w:r>
              <w:rPr>
                <w:rFonts w:ascii="Times New Roman"/>
                <w:sz w:val="18"/>
              </w:rPr>
              <w:t>347,423.38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-1,161,777.88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北京智康</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-829,562.89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center"/>
              <w:rPr>
                <w:rFonts w:ascii="Times New Roman" w:hAnsi="Times New Roman" w:cs="Times New Roman" w:eastAsia="Times New Roman" w:hint="default"/>
                <w:sz w:val="18"/>
                <w:szCs w:val="18"/>
              </w:rPr>
            </w:pPr>
            <w:r>
              <w:rPr>
                <w:rFonts w:ascii="Times New Roman"/>
                <w:sz w:val="18"/>
              </w:rPr>
              <w:t>-829,562.89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-660,269.76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68,410,697.4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12,835,312.0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12,835,312.0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5,770,495.48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31,360,402.8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5,529,997.16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5,529,997.16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3,043,629.21</w:t>
            </w:r>
          </w:p>
        </w:tc>
      </w:tr>
      <w:tr>
        <w:trPr>
          <w:trHeight w:val="713"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易惠科技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89,680,974.1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15,458,405.6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15,458,405.6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20,203,620.0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33,990,896.5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5,681,213.52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5,681,213.52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1,581,488.25</w:t>
            </w:r>
          </w:p>
        </w:tc>
      </w:tr>
      <w:tr>
        <w:trPr>
          <w:trHeight w:val="404"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易方科技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973,220.32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-2,785,741.19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-2,785,741.19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-4,122,998.84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684,795.34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-2,123,452.50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-2,123,452.50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-2,563,250.18</w:t>
            </w:r>
          </w:p>
        </w:tc>
      </w:tr>
    </w:tbl>
    <w:p>
      <w:pPr>
        <w:pStyle w:val="BodyText"/>
        <w:spacing w:line="240" w:lineRule="auto" w:before="51"/>
        <w:ind w:right="0"/>
        <w:jc w:val="left"/>
      </w:pPr>
      <w:r>
        <w:rPr/>
        <w:t>其他说明：</w:t>
      </w:r>
    </w:p>
    <w:p>
      <w:pPr>
        <w:pStyle w:val="BodyText"/>
        <w:spacing w:line="300" w:lineRule="auto" w:before="115"/>
        <w:ind w:left="513" w:right="1483"/>
        <w:jc w:val="left"/>
      </w:pPr>
      <w:r>
        <w:rPr/>
        <w:t>说明</w:t>
      </w:r>
      <w:r>
        <w:rPr>
          <w:rFonts w:ascii="Times New Roman" w:hAnsi="Times New Roman" w:cs="Times New Roman" w:eastAsia="Times New Roman" w:hint="default"/>
        </w:rPr>
        <w:t>1</w:t>
      </w:r>
      <w:r>
        <w:rPr/>
        <w:t>：厦门纵达财务数据以合并日子公司可辨认资产和负债的公允价值为基础进行调整； 说明</w:t>
      </w:r>
      <w:r>
        <w:rPr>
          <w:rFonts w:ascii="Times New Roman" w:hAnsi="Times New Roman" w:cs="Times New Roman" w:eastAsia="Times New Roman" w:hint="default"/>
        </w:rPr>
        <w:t>2</w:t>
      </w:r>
      <w:r>
        <w:rPr/>
        <w:t>：民生科技的主要财务信息来自其合并报表，包含孙公司人力资源公司、安徽民生公司以及山西民生公司； 说明</w:t>
      </w:r>
      <w:r>
        <w:rPr>
          <w:rFonts w:ascii="Times New Roman" w:hAnsi="Times New Roman" w:cs="Times New Roman" w:eastAsia="Times New Roman" w:hint="default"/>
        </w:rPr>
        <w:t>3</w:t>
      </w:r>
      <w:r>
        <w:rPr/>
        <w:t>：易惠科技的主要财务信息来自其合并报表，包含孙公司民生通公司、安徽易惠公司以及山西无感付公司； 说明</w:t>
      </w:r>
      <w:r>
        <w:rPr>
          <w:rFonts w:ascii="Times New Roman" w:hAnsi="Times New Roman" w:cs="Times New Roman" w:eastAsia="Times New Roman" w:hint="default"/>
        </w:rPr>
        <w:t>4</w:t>
      </w:r>
      <w:r>
        <w:rPr/>
        <w:t>：易方科技的主要财务信息来自其合并报表，包含孙公司欣贝康公司； 说明</w:t>
      </w:r>
      <w:r>
        <w:rPr>
          <w:rFonts w:ascii="Times New Roman" w:hAnsi="Times New Roman" w:cs="Times New Roman" w:eastAsia="Times New Roman" w:hint="default"/>
        </w:rPr>
        <w:t>5</w:t>
      </w:r>
      <w:r>
        <w:rPr/>
        <w:t>：民生通公司原为本公司的控股子公司，本年由易惠科技的管理团队接管，转为控股孙公司。</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9854"/>
        <w:jc w:val="left"/>
      </w:pPr>
      <w:r>
        <w:rPr/>
        <w:t>无 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00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4"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北京尚洋易捷信 息技术股份有限 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软件研发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黑龙江易联众信 息工程技术有限 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百川通信息技术 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互联网支付、电 子商务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厦门易联众金融 技术服务股份有 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金融信息技术外 包、金融业务流 程外包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23.00%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福建易联众基因 检测分析技术有 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基因检测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广州桔叶信息科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1"/>
              <w:ind w:left="22" w:right="75"/>
              <w:jc w:val="left"/>
              <w:rPr>
                <w:rFonts w:ascii="宋体" w:hAnsi="宋体" w:cs="宋体" w:eastAsia="宋体" w:hint="default"/>
                <w:sz w:val="18"/>
                <w:szCs w:val="18"/>
              </w:rPr>
            </w:pPr>
            <w:r>
              <w:rPr>
                <w:rFonts w:ascii="宋体" w:hAnsi="宋体" w:cs="宋体" w:eastAsia="宋体" w:hint="default"/>
                <w:sz w:val="18"/>
                <w:szCs w:val="18"/>
              </w:rPr>
              <w:t>广东易联众民生 信息技术有限公</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36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海保人寿保险股 份有限公司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保险业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福建省星民易付 多卡融合信息科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福建医联康护信 息技术有限公司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厦门麟腾网络科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商务服务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45.00%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t>在合营企业或联营企业的持股比例不同于表决权比例的说明：</w:t>
      </w:r>
    </w:p>
    <w:p>
      <w:pPr>
        <w:pStyle w:val="BodyText"/>
        <w:spacing w:line="316" w:lineRule="auto" w:before="115"/>
        <w:ind w:right="1133" w:firstLine="360"/>
        <w:jc w:val="both"/>
      </w:pPr>
      <w:r>
        <w:rPr/>
        <w:t>说明</w:t>
      </w:r>
      <w:r>
        <w:rPr>
          <w:spacing w:val="13"/>
        </w:rPr>
        <w:t> </w:t>
      </w:r>
      <w:r>
        <w:rPr>
          <w:rFonts w:ascii="宋体" w:hAnsi="宋体" w:cs="宋体" w:eastAsia="宋体" w:hint="default"/>
          <w:spacing w:val="-2"/>
        </w:rPr>
        <w:t>1</w:t>
      </w:r>
      <w:r>
        <w:rPr>
          <w:spacing w:val="-2"/>
        </w:rPr>
        <w:t>：根据广州桔叶信息科技有限公司（以下简称“广州桔叶”）的章程规定，被投资单位的重大事项（包括修改公</w:t>
      </w:r>
      <w:r>
        <w:rPr/>
        <w:t> 司章程、合并分立解散清算、增资或减资等）需征得本公司的书面同意，董事会</w:t>
      </w:r>
      <w:r>
        <w:rPr>
          <w:spacing w:val="-66"/>
        </w:rPr>
        <w:t> </w:t>
      </w:r>
      <w:r>
        <w:rPr>
          <w:rFonts w:ascii="宋体" w:hAnsi="宋体" w:cs="宋体" w:eastAsia="宋体" w:hint="default"/>
        </w:rPr>
        <w:t>9</w:t>
      </w:r>
      <w:r>
        <w:rPr>
          <w:rFonts w:ascii="宋体" w:hAnsi="宋体" w:cs="宋体" w:eastAsia="宋体" w:hint="default"/>
          <w:spacing w:val="-66"/>
        </w:rPr>
        <w:t> </w:t>
      </w:r>
      <w:r>
        <w:rPr/>
        <w:t>席中本公司占有</w:t>
      </w:r>
      <w:r>
        <w:rPr>
          <w:spacing w:val="-66"/>
        </w:rPr>
        <w:t> </w:t>
      </w:r>
      <w:r>
        <w:rPr>
          <w:rFonts w:ascii="宋体" w:hAnsi="宋体" w:cs="宋体" w:eastAsia="宋体" w:hint="default"/>
        </w:rPr>
        <w:t>1</w:t>
      </w:r>
      <w:r>
        <w:rPr>
          <w:rFonts w:ascii="宋体" w:hAnsi="宋体" w:cs="宋体" w:eastAsia="宋体" w:hint="default"/>
          <w:spacing w:val="-65"/>
        </w:rPr>
        <w:t> </w:t>
      </w:r>
      <w:r>
        <w:rPr/>
        <w:t>席。本公司判断可以对 广州桔叶施加重大影响，因此采用权益法核算。</w:t>
      </w:r>
    </w:p>
    <w:p>
      <w:pPr>
        <w:pStyle w:val="BodyText"/>
        <w:spacing w:line="319" w:lineRule="auto" w:before="19"/>
        <w:ind w:right="1120" w:firstLine="360"/>
        <w:jc w:val="left"/>
      </w:pPr>
      <w:r>
        <w:rPr/>
        <w:t>说明</w:t>
      </w:r>
      <w:r>
        <w:rPr>
          <w:spacing w:val="-50"/>
        </w:rPr>
        <w:t> </w:t>
      </w:r>
      <w:r>
        <w:rPr>
          <w:rFonts w:ascii="Times New Roman" w:hAnsi="Times New Roman" w:cs="Times New Roman" w:eastAsia="Times New Roman" w:hint="default"/>
        </w:rPr>
        <w:t>2</w:t>
      </w:r>
      <w:r>
        <w:rPr/>
        <w:t>：根据广东易联众民生信息技术有限公司（以下简称</w:t>
      </w:r>
      <w:r>
        <w:rPr>
          <w:rFonts w:ascii="Times New Roman" w:hAnsi="Times New Roman" w:cs="Times New Roman" w:eastAsia="Times New Roman" w:hint="default"/>
        </w:rPr>
        <w:t>“</w:t>
      </w:r>
      <w:r>
        <w:rPr/>
        <w:t>广东民生</w:t>
      </w:r>
      <w:r>
        <w:rPr>
          <w:rFonts w:ascii="Times New Roman" w:hAnsi="Times New Roman" w:cs="Times New Roman" w:eastAsia="Times New Roman" w:hint="default"/>
        </w:rPr>
        <w:t>”</w:t>
      </w:r>
      <w:r>
        <w:rPr/>
        <w:t>）公司章程规定，公司设董事会，由</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名董事组 </w:t>
      </w:r>
      <w:r>
        <w:rPr>
          <w:spacing w:val="-2"/>
        </w:rPr>
        <w:t>成，其中本公司委派三名董事及董事长人选，合作方广东妙联网信息科技服务有限公司委派两名董事及副董事长人选。董事</w:t>
      </w:r>
      <w:r>
        <w:rPr>
          <w:spacing w:val="-63"/>
        </w:rPr>
        <w:t> </w:t>
      </w:r>
      <w:r>
        <w:rPr>
          <w:spacing w:val="-63"/>
        </w:rPr>
      </w:r>
      <w:r>
        <w:rPr/>
        <w:t>会议事方式：决议经</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以上董事通过。本公司判断无法控制广东民生，因此采用权益法核算，不纳入合并报表范围。 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pStyle w:val="BodyText"/>
        <w:spacing w:line="240" w:lineRule="auto" w:before="38"/>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00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380,972,704.91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378,360,476.85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533,655.37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-6,593,166.47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1,159,187.06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1,692,842.43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-6,593,166.47</w:t>
            </w:r>
          </w:p>
        </w:tc>
      </w:tr>
    </w:tbl>
    <w:p>
      <w:pPr>
        <w:pStyle w:val="BodyText"/>
        <w:spacing w:line="360" w:lineRule="auto" w:before="51"/>
        <w:ind w:right="100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00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534"/>
        <w:jc w:val="left"/>
      </w:pPr>
      <w:r>
        <w:rPr/>
        <w:t>在共同经营中的持股比例或享有的份额不同于表决权比例的说明： 无</w:t>
      </w:r>
    </w:p>
    <w:p>
      <w:pPr>
        <w:pStyle w:val="BodyText"/>
        <w:spacing w:line="357" w:lineRule="auto" w:before="27"/>
        <w:ind w:right="6794"/>
        <w:jc w:val="left"/>
      </w:pPr>
      <w:r>
        <w:rPr/>
        <w:t>共同经营为单独主体的，分类为共同经营的依据： 无</w:t>
      </w:r>
    </w:p>
    <w:p>
      <w:pPr>
        <w:pStyle w:val="BodyText"/>
        <w:spacing w:line="360" w:lineRule="auto" w:before="29"/>
        <w:ind w:right="100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614"/>
        <w:jc w:val="left"/>
      </w:pPr>
      <w:r>
        <w:rPr/>
        <w:t>未纳入合并财务报表范围的结构化主体的相关说明：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本集团的各项金融工具的详细情况已于相关附注内披露。与这些金融工具有关的风险，以及本集团为降低这些风险所采</w:t>
      </w:r>
      <w:r>
        <w:rPr/>
        <w:t> 取的风险管理政策如下所述。本集团管理层对这些风险敞口进行管理和监控以确保将上述风险控制在限定的范围之内。</w:t>
      </w:r>
    </w:p>
    <w:p>
      <w:pPr>
        <w:pStyle w:val="BodyText"/>
        <w:spacing w:line="300" w:lineRule="auto" w:before="19"/>
        <w:ind w:left="513" w:right="0"/>
        <w:jc w:val="left"/>
      </w:pPr>
      <w:r>
        <w:rPr>
          <w:rFonts w:ascii="Times New Roman" w:hAnsi="Times New Roman" w:cs="Times New Roman" w:eastAsia="Times New Roman" w:hint="default"/>
        </w:rPr>
        <w:t>1</w:t>
      </w:r>
      <w:r>
        <w:rPr/>
        <w:t>、风险管理目标和政策 </w:t>
      </w:r>
      <w:r>
        <w:rPr>
          <w:spacing w:val="-2"/>
        </w:rPr>
        <w:t>本集团从事风险管理的目标是在风险和收益之间取得适当的平衡，力求降低金融风险对本集团财务业绩的不利影响。基</w:t>
      </w:r>
    </w:p>
    <w:p>
      <w:pPr>
        <w:pStyle w:val="BodyText"/>
        <w:spacing w:line="240" w:lineRule="auto" w:before="31"/>
        <w:ind w:right="0"/>
        <w:jc w:val="left"/>
      </w:pPr>
      <w:r>
        <w:rPr/>
        <w:t>于该风险管理目标，本集团已制定风险管理政策以辨别和分析本集团所面临的风险，设定适当的风险可接受水平并设计相应</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的内部控制程序，以监控本集团的风险水平。本集团会审阅这些风险管理政策及有关内部控制系统，以适应市场情况或本集</w:t>
      </w:r>
      <w:r>
        <w:rPr>
          <w:spacing w:val="-63"/>
        </w:rPr>
        <w:t> </w:t>
      </w:r>
      <w:r>
        <w:rPr>
          <w:spacing w:val="-63"/>
        </w:rPr>
      </w:r>
      <w:r>
        <w:rPr/>
        <w:t>团经营活动的改变。本集团的内部审计部门也定期或随机检查内部控制系统的执行是否符合风险管理政策。</w:t>
      </w:r>
    </w:p>
    <w:p>
      <w:pPr>
        <w:pStyle w:val="BodyText"/>
        <w:spacing w:line="240" w:lineRule="auto" w:before="19"/>
        <w:ind w:left="513" w:right="0"/>
        <w:jc w:val="left"/>
      </w:pPr>
      <w:r>
        <w:rPr/>
        <w:t>本集团的金融工具导致的主要风险是信用风险、流动性风险及市场风险。</w:t>
      </w:r>
    </w:p>
    <w:p>
      <w:pPr>
        <w:pStyle w:val="BodyText"/>
        <w:spacing w:line="309" w:lineRule="auto" w:before="76"/>
        <w:ind w:left="513" w:right="3553"/>
        <w:jc w:val="left"/>
      </w:pPr>
      <w:r>
        <w:rPr/>
        <w:t>（</w:t>
      </w:r>
      <w:r>
        <w:rPr>
          <w:rFonts w:ascii="Times New Roman" w:hAnsi="Times New Roman" w:cs="Times New Roman" w:eastAsia="Times New Roman" w:hint="default"/>
        </w:rPr>
        <w:t>1</w:t>
      </w:r>
      <w:r>
        <w:rPr/>
        <w:t>）信用风险 信用风险，是指交易对手方未能履行合同义务而导致本集团产生财务损失的风险。 本集团对信用风险按组合分类进行管理。信用风险主要产生于银行存款和应收款项等。</w:t>
      </w:r>
    </w:p>
    <w:p>
      <w:pPr>
        <w:pStyle w:val="BodyText"/>
        <w:spacing w:line="316" w:lineRule="auto" w:before="24"/>
        <w:ind w:left="513" w:right="0"/>
        <w:jc w:val="left"/>
      </w:pPr>
      <w:r>
        <w:rPr/>
        <w:t>本集团银行存款主要存放于国有银行和其它大中型上市银行，本集团预期银行存款不存在重大的信用风险。 </w:t>
      </w:r>
      <w:r>
        <w:rPr>
          <w:spacing w:val="-2"/>
        </w:rPr>
        <w:t>对于应收款项，本集团设定相关政策以控制信用风险敞口。本集团基于对债务人的财务状况、外部评级、从第三方获取</w:t>
      </w:r>
    </w:p>
    <w:p>
      <w:pPr>
        <w:pStyle w:val="BodyText"/>
        <w:spacing w:line="316" w:lineRule="auto" w:before="19"/>
        <w:ind w:right="1034"/>
        <w:jc w:val="left"/>
      </w:pPr>
      <w:r>
        <w:rPr>
          <w:spacing w:val="-2"/>
        </w:rPr>
        <w:t>担保的可能性、信用记录及其它因素诸如目前市场状况等评估债务人的信用资质并设置相应欠款额度与信用期限。本集团会</w:t>
      </w:r>
      <w:r>
        <w:rPr>
          <w:spacing w:val="-62"/>
        </w:rPr>
        <w:t> </w:t>
      </w:r>
      <w:r>
        <w:rPr>
          <w:spacing w:val="-62"/>
        </w:rPr>
      </w:r>
      <w:r>
        <w:rPr/>
        <w:t>定期对债务人信用记录进行监控，对于信用记录不良的债务人，本集团会采用书面催款、缩短信用期或取消信用期等方式， 以确保本集团的整体信用风险在可控的范围内。</w:t>
      </w:r>
    </w:p>
    <w:p>
      <w:pPr>
        <w:pStyle w:val="BodyText"/>
        <w:spacing w:line="300" w:lineRule="auto" w:before="19"/>
        <w:ind w:right="0" w:firstLine="360"/>
        <w:jc w:val="left"/>
      </w:pPr>
      <w:r>
        <w:rPr/>
        <w:t>本集团应收账款中，欠款金额前五大客户的应收账款占本集团应收账款总额的</w:t>
      </w:r>
      <w:r>
        <w:rPr>
          <w:rFonts w:ascii="Times New Roman" w:hAnsi="Times New Roman" w:cs="Times New Roman" w:eastAsia="Times New Roman" w:hint="default"/>
        </w:rPr>
        <w:t>39.19%</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42.68%</w:t>
      </w:r>
      <w:r>
        <w:rPr/>
        <w:t>）；本集团其 他应收款中，欠款金额前五大公司的其他应收款占本集团其他应收款总额的</w:t>
      </w:r>
      <w:r>
        <w:rPr>
          <w:rFonts w:ascii="Times New Roman" w:hAnsi="Times New Roman" w:cs="Times New Roman" w:eastAsia="Times New Roman" w:hint="default"/>
        </w:rPr>
        <w:t>28.51%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41.97 %</w:t>
      </w:r>
      <w:r>
        <w:rPr/>
        <w:t>）。</w:t>
      </w:r>
    </w:p>
    <w:p>
      <w:pPr>
        <w:pStyle w:val="BodyText"/>
        <w:spacing w:line="309" w:lineRule="auto" w:before="13"/>
        <w:ind w:left="513" w:right="1119"/>
        <w:jc w:val="left"/>
      </w:pPr>
      <w:r>
        <w:rPr/>
        <w:t>（</w:t>
      </w:r>
      <w:r>
        <w:rPr>
          <w:rFonts w:ascii="Times New Roman" w:hAnsi="Times New Roman" w:cs="Times New Roman" w:eastAsia="Times New Roman" w:hint="default"/>
        </w:rPr>
        <w:t>2</w:t>
      </w:r>
      <w:r>
        <w:rPr/>
        <w:t>）流动性风险 流动性风险，是指本集团在履行以交付现金或其他金融资产的方式结算的义务时发生资金短缺的风险。 </w:t>
      </w:r>
      <w:r>
        <w:rPr>
          <w:spacing w:val="-2"/>
        </w:rPr>
        <w:t>管理流动风险时，本集团保持管理层认为充分的现金及现金等价物并对其进行监控，以满足本集团经营需要，并降低现</w:t>
      </w:r>
    </w:p>
    <w:p>
      <w:pPr>
        <w:pStyle w:val="BodyText"/>
        <w:spacing w:line="316" w:lineRule="auto" w:before="24"/>
        <w:ind w:right="0"/>
        <w:jc w:val="left"/>
      </w:pPr>
      <w:r>
        <w:rPr>
          <w:spacing w:val="-2"/>
        </w:rPr>
        <w:t>金流量波动的影响。本集团管理层对银行借款的使用情况进行监控并确保遵守借款协议。同时从主要金融机构获得提供足够</w:t>
      </w:r>
      <w:r>
        <w:rPr>
          <w:spacing w:val="-64"/>
        </w:rPr>
        <w:t> </w:t>
      </w:r>
      <w:r>
        <w:rPr>
          <w:spacing w:val="-64"/>
        </w:rPr>
      </w:r>
      <w:r>
        <w:rPr/>
        <w:t>备用资金的承诺，以满足短期和长期的资金需求。</w:t>
      </w:r>
    </w:p>
    <w:p>
      <w:pPr>
        <w:pStyle w:val="BodyText"/>
        <w:spacing w:line="240" w:lineRule="auto" w:before="19"/>
        <w:ind w:left="513" w:right="0"/>
        <w:jc w:val="left"/>
      </w:pPr>
      <w:r>
        <w:rPr/>
        <w:t>本集团通过经营业务产生的资金及银行借款来筹措营运资金。于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日，本集团尚未使用的银行借款额度为</w:t>
      </w:r>
    </w:p>
    <w:p>
      <w:pPr>
        <w:pStyle w:val="BodyText"/>
        <w:spacing w:line="300" w:lineRule="auto" w:before="63"/>
        <w:ind w:left="513" w:right="2293" w:hanging="361"/>
        <w:jc w:val="left"/>
      </w:pPr>
      <w:r>
        <w:rPr>
          <w:rFonts w:ascii="Times New Roman" w:hAnsi="Times New Roman" w:cs="Times New Roman" w:eastAsia="Times New Roman" w:hint="default"/>
        </w:rPr>
        <w:t>31,900</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25,900</w:t>
      </w:r>
      <w:r>
        <w:rPr/>
        <w:t>万元）。 年末，本集团持有的金融负债按未折现剩余合同现金流量的到期期限分析如下（单位：人民币万元）：</w:t>
      </w:r>
    </w:p>
    <w:tbl>
      <w:tblPr>
        <w:tblW w:w="0" w:type="auto"/>
        <w:jc w:val="left"/>
        <w:tblInd w:w="431" w:type="dxa"/>
        <w:tblLayout w:type="fixed"/>
        <w:tblCellMar>
          <w:top w:w="0" w:type="dxa"/>
          <w:left w:w="0" w:type="dxa"/>
          <w:bottom w:w="0" w:type="dxa"/>
          <w:right w:w="0" w:type="dxa"/>
        </w:tblCellMar>
        <w:tblLook w:val="01E0"/>
      </w:tblPr>
      <w:tblGrid>
        <w:gridCol w:w="1565"/>
        <w:gridCol w:w="1558"/>
        <w:gridCol w:w="1138"/>
        <w:gridCol w:w="1556"/>
        <w:gridCol w:w="1135"/>
        <w:gridCol w:w="994"/>
        <w:gridCol w:w="1128"/>
      </w:tblGrid>
      <w:tr>
        <w:trPr>
          <w:trHeight w:val="341" w:hRule="exact"/>
        </w:trPr>
        <w:tc>
          <w:tcPr>
            <w:tcW w:w="1565"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750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r>
      <w:tr>
        <w:trPr>
          <w:trHeight w:val="655" w:hRule="exact"/>
        </w:trPr>
        <w:tc>
          <w:tcPr>
            <w:tcW w:w="1565"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b/>
                <w:bCs/>
                <w:w w:val="95"/>
                <w:sz w:val="18"/>
                <w:szCs w:val="18"/>
              </w:rPr>
              <w:t>一个月至六个月以</w:t>
            </w:r>
            <w:r>
              <w:rPr>
                <w:rFonts w:ascii="宋体" w:hAnsi="宋体" w:cs="宋体" w:eastAsia="宋体" w:hint="default"/>
                <w:sz w:val="18"/>
                <w:szCs w:val="18"/>
              </w:rPr>
            </w:r>
          </w:p>
          <w:p>
            <w:pPr>
              <w:pStyle w:val="TableParagraph"/>
              <w:spacing w:line="240" w:lineRule="auto" w:before="76"/>
              <w:ind w:right="0"/>
              <w:jc w:val="right"/>
              <w:rPr>
                <w:rFonts w:ascii="宋体" w:hAnsi="宋体" w:cs="宋体" w:eastAsia="宋体" w:hint="default"/>
                <w:sz w:val="18"/>
                <w:szCs w:val="18"/>
              </w:rPr>
            </w:pPr>
            <w:r>
              <w:rPr>
                <w:rFonts w:ascii="宋体" w:hAnsi="宋体" w:cs="宋体" w:eastAsia="宋体" w:hint="default"/>
                <w:b/>
                <w:bCs/>
                <w:w w:val="99"/>
                <w:sz w:val="18"/>
                <w:szCs w:val="18"/>
              </w:rPr>
              <w:t>内</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hAnsi="宋体" w:cs="宋体" w:eastAsia="宋体" w:hint="default"/>
                <w:b/>
                <w:bCs/>
                <w:w w:val="95"/>
                <w:sz w:val="18"/>
                <w:szCs w:val="18"/>
              </w:rPr>
              <w:t>六个月至一年</w:t>
            </w:r>
            <w:r>
              <w:rPr>
                <w:rFonts w:ascii="宋体" w:hAnsi="宋体" w:cs="宋体" w:eastAsia="宋体" w:hint="default"/>
                <w:sz w:val="18"/>
                <w:szCs w:val="18"/>
              </w:rPr>
            </w:r>
          </w:p>
          <w:p>
            <w:pPr>
              <w:pStyle w:val="TableParagraph"/>
              <w:spacing w:line="240" w:lineRule="auto" w:before="76"/>
              <w:ind w:right="0"/>
              <w:jc w:val="right"/>
              <w:rPr>
                <w:rFonts w:ascii="宋体" w:hAnsi="宋体" w:cs="宋体" w:eastAsia="宋体" w:hint="default"/>
                <w:sz w:val="18"/>
                <w:szCs w:val="18"/>
              </w:rPr>
            </w:pPr>
            <w:r>
              <w:rPr>
                <w:rFonts w:ascii="宋体" w:hAnsi="宋体" w:cs="宋体" w:eastAsia="宋体" w:hint="default"/>
                <w:b/>
                <w:bCs/>
                <w:sz w:val="18"/>
                <w:szCs w:val="18"/>
              </w:rPr>
              <w:t>以内</w:t>
            </w:r>
            <w:r>
              <w:rPr>
                <w:rFonts w:ascii="宋体" w:hAnsi="宋体" w:cs="宋体" w:eastAsia="宋体" w:hint="default"/>
                <w:sz w:val="18"/>
                <w:szCs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hAnsi="宋体" w:cs="宋体" w:eastAsia="宋体" w:hint="default"/>
                <w:b/>
                <w:bCs/>
                <w:w w:val="95"/>
                <w:sz w:val="18"/>
                <w:szCs w:val="18"/>
              </w:rPr>
              <w:t>一年至三年以内</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4" w:right="34"/>
              <w:jc w:val="left"/>
              <w:rPr>
                <w:rFonts w:ascii="宋体" w:hAnsi="宋体" w:cs="宋体" w:eastAsia="宋体" w:hint="default"/>
                <w:sz w:val="18"/>
                <w:szCs w:val="18"/>
              </w:rPr>
            </w:pPr>
            <w:r>
              <w:rPr>
                <w:rFonts w:ascii="宋体" w:hAnsi="宋体" w:cs="宋体" w:eastAsia="宋体" w:hint="default"/>
                <w:b/>
                <w:bCs/>
                <w:sz w:val="18"/>
                <w:szCs w:val="18"/>
              </w:rPr>
              <w:t>三年至五年以</w:t>
            </w:r>
            <w:r>
              <w:rPr>
                <w:rFonts w:ascii="宋体" w:hAnsi="宋体" w:cs="宋体" w:eastAsia="宋体" w:hint="default"/>
                <w:b/>
                <w:bCs/>
                <w:w w:val="99"/>
                <w:sz w:val="18"/>
                <w:szCs w:val="18"/>
              </w:rPr>
              <w:t> </w:t>
            </w:r>
            <w:r>
              <w:rPr>
                <w:rFonts w:ascii="宋体" w:hAnsi="宋体" w:cs="宋体" w:eastAsia="宋体" w:hint="default"/>
                <w:b/>
                <w:bCs/>
                <w:sz w:val="18"/>
                <w:szCs w:val="18"/>
              </w:rPr>
              <w:t>内</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b/>
                <w:bCs/>
                <w:sz w:val="18"/>
                <w:szCs w:val="18"/>
              </w:rPr>
              <w:t>五年以上</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1"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w w:val="95"/>
                <w:sz w:val="18"/>
              </w:rPr>
              <w:t>7,693.10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14,919.53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22,612.63</w:t>
            </w:r>
          </w:p>
        </w:tc>
      </w:tr>
      <w:tr>
        <w:trPr>
          <w:trHeight w:val="341"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52.26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2,052.26</w:t>
            </w:r>
          </w:p>
        </w:tc>
      </w:tr>
      <w:tr>
        <w:trPr>
          <w:trHeight w:val="343"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w w:val="95"/>
                <w:sz w:val="18"/>
              </w:rPr>
              <w:t>1,732.04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2,643.95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4,375.99</w:t>
            </w:r>
          </w:p>
        </w:tc>
      </w:tr>
      <w:tr>
        <w:trPr>
          <w:trHeight w:val="653"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05"/>
              <w:jc w:val="left"/>
              <w:rPr>
                <w:rFonts w:ascii="宋体" w:hAnsi="宋体" w:cs="宋体" w:eastAsia="宋体" w:hint="default"/>
                <w:sz w:val="18"/>
                <w:szCs w:val="18"/>
              </w:rPr>
            </w:pPr>
            <w:r>
              <w:rPr>
                <w:rFonts w:ascii="宋体" w:hAnsi="宋体" w:cs="宋体" w:eastAsia="宋体" w:hint="default"/>
                <w:sz w:val="18"/>
                <w:szCs w:val="18"/>
              </w:rPr>
              <w:t>一年内到期的非流 动负债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207.14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207.14</w:t>
            </w:r>
          </w:p>
        </w:tc>
      </w:tr>
      <w:tr>
        <w:trPr>
          <w:trHeight w:val="343"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22.14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30,022.14</w:t>
            </w:r>
          </w:p>
        </w:tc>
      </w:tr>
      <w:tr>
        <w:trPr>
          <w:trHeight w:val="344"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b/>
                <w:w w:val="95"/>
                <w:sz w:val="18"/>
              </w:rPr>
              <w:t>9,684.54</w:t>
            </w:r>
            <w:r>
              <w:rPr>
                <w:rFonts w:ascii="Times New Roman"/>
                <w:w w:val="95"/>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pacing w:val="-1"/>
                <w:sz w:val="18"/>
              </w:rPr>
              <w:t>17,585.62</w:t>
            </w:r>
            <w:r>
              <w:rPr>
                <w:rFonts w:ascii="Times New Roman"/>
                <w:spacing w:val="-1"/>
                <w:sz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pacing w:val="-1"/>
                <w:sz w:val="18"/>
              </w:rPr>
              <w:t>32,000.00</w:t>
            </w:r>
            <w:r>
              <w:rPr>
                <w:rFonts w:ascii="Times New Roman"/>
                <w:spacing w:val="-1"/>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pacing w:val="-1"/>
                <w:sz w:val="18"/>
              </w:rPr>
              <w:t>59,270.16</w:t>
            </w:r>
            <w:r>
              <w:rPr>
                <w:rFonts w:ascii="Times New Roman"/>
                <w:spacing w:val="-1"/>
                <w:sz w:val="18"/>
              </w:rPr>
            </w:r>
          </w:p>
        </w:tc>
      </w:tr>
    </w:tbl>
    <w:p>
      <w:pPr>
        <w:pStyle w:val="BodyText"/>
        <w:spacing w:line="240" w:lineRule="auto" w:before="31"/>
        <w:ind w:left="513" w:right="0"/>
        <w:jc w:val="left"/>
      </w:pPr>
      <w:r>
        <w:rPr/>
        <w:t>年初，本集团持有的金融负债按未折现剩余合同现金流量的到期期限分析如下（单位：人民币万元）：</w:t>
      </w:r>
    </w:p>
    <w:p>
      <w:pPr>
        <w:spacing w:line="240" w:lineRule="auto" w:before="0"/>
        <w:rPr>
          <w:rFonts w:ascii="宋体" w:hAnsi="宋体" w:cs="宋体" w:eastAsia="宋体" w:hint="default"/>
          <w:sz w:val="5"/>
          <w:szCs w:val="5"/>
        </w:rPr>
      </w:pPr>
    </w:p>
    <w:tbl>
      <w:tblPr>
        <w:tblW w:w="0" w:type="auto"/>
        <w:jc w:val="left"/>
        <w:tblInd w:w="405" w:type="dxa"/>
        <w:tblLayout w:type="fixed"/>
        <w:tblCellMar>
          <w:top w:w="0" w:type="dxa"/>
          <w:left w:w="0" w:type="dxa"/>
          <w:bottom w:w="0" w:type="dxa"/>
          <w:right w:w="0" w:type="dxa"/>
        </w:tblCellMar>
        <w:tblLook w:val="01E0"/>
      </w:tblPr>
      <w:tblGrid>
        <w:gridCol w:w="1447"/>
        <w:gridCol w:w="1417"/>
        <w:gridCol w:w="1277"/>
        <w:gridCol w:w="1277"/>
        <w:gridCol w:w="1133"/>
        <w:gridCol w:w="1136"/>
        <w:gridCol w:w="1440"/>
      </w:tblGrid>
      <w:tr>
        <w:trPr>
          <w:trHeight w:val="341"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6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655" w:hRule="exact"/>
        </w:trPr>
        <w:tc>
          <w:tcPr>
            <w:tcW w:w="1447"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23" w:right="68" w:hanging="452"/>
              <w:jc w:val="left"/>
              <w:rPr>
                <w:rFonts w:ascii="宋体" w:hAnsi="宋体" w:cs="宋体" w:eastAsia="宋体" w:hint="default"/>
                <w:sz w:val="18"/>
                <w:szCs w:val="18"/>
              </w:rPr>
            </w:pPr>
            <w:r>
              <w:rPr>
                <w:rFonts w:ascii="宋体" w:hAnsi="宋体" w:cs="宋体" w:eastAsia="宋体" w:hint="default"/>
                <w:b/>
                <w:bCs/>
                <w:sz w:val="18"/>
                <w:szCs w:val="18"/>
              </w:rPr>
              <w:t>一个月至六个月</w:t>
            </w:r>
            <w:r>
              <w:rPr>
                <w:rFonts w:ascii="宋体" w:hAnsi="宋体" w:cs="宋体" w:eastAsia="宋体" w:hint="default"/>
                <w:b/>
                <w:bCs/>
                <w:w w:val="99"/>
                <w:sz w:val="18"/>
                <w:szCs w:val="18"/>
              </w:rPr>
              <w:t> </w:t>
            </w:r>
            <w:r>
              <w:rPr>
                <w:rFonts w:ascii="宋体" w:hAnsi="宋体" w:cs="宋体" w:eastAsia="宋体" w:hint="default"/>
                <w:b/>
                <w:bCs/>
                <w:sz w:val="18"/>
                <w:szCs w:val="18"/>
              </w:rPr>
              <w:t>以内</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53" w:right="89" w:hanging="363"/>
              <w:jc w:val="left"/>
              <w:rPr>
                <w:rFonts w:ascii="宋体" w:hAnsi="宋体" w:cs="宋体" w:eastAsia="宋体" w:hint="default"/>
                <w:sz w:val="18"/>
                <w:szCs w:val="18"/>
              </w:rPr>
            </w:pPr>
            <w:r>
              <w:rPr>
                <w:rFonts w:ascii="宋体" w:hAnsi="宋体" w:cs="宋体" w:eastAsia="宋体" w:hint="default"/>
                <w:b/>
                <w:bCs/>
                <w:sz w:val="18"/>
                <w:szCs w:val="18"/>
              </w:rPr>
              <w:t>六个月至一年</w:t>
            </w:r>
            <w:r>
              <w:rPr>
                <w:rFonts w:ascii="宋体" w:hAnsi="宋体" w:cs="宋体" w:eastAsia="宋体" w:hint="default"/>
                <w:b/>
                <w:bCs/>
                <w:w w:val="99"/>
                <w:sz w:val="18"/>
                <w:szCs w:val="18"/>
              </w:rPr>
              <w:t> </w:t>
            </w:r>
            <w:r>
              <w:rPr>
                <w:rFonts w:ascii="宋体" w:hAnsi="宋体" w:cs="宋体" w:eastAsia="宋体" w:hint="default"/>
                <w:b/>
                <w:bCs/>
                <w:sz w:val="18"/>
                <w:szCs w:val="18"/>
              </w:rPr>
              <w:t>以内</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44" w:right="90" w:hanging="454"/>
              <w:jc w:val="left"/>
              <w:rPr>
                <w:rFonts w:ascii="宋体" w:hAnsi="宋体" w:cs="宋体" w:eastAsia="宋体" w:hint="default"/>
                <w:sz w:val="18"/>
                <w:szCs w:val="18"/>
              </w:rPr>
            </w:pPr>
            <w:r>
              <w:rPr>
                <w:rFonts w:ascii="宋体" w:hAnsi="宋体" w:cs="宋体" w:eastAsia="宋体" w:hint="default"/>
                <w:b/>
                <w:bCs/>
                <w:sz w:val="18"/>
                <w:szCs w:val="18"/>
              </w:rPr>
              <w:t>一年至三年以</w:t>
            </w:r>
            <w:r>
              <w:rPr>
                <w:rFonts w:ascii="宋体" w:hAnsi="宋体" w:cs="宋体" w:eastAsia="宋体" w:hint="default"/>
                <w:b/>
                <w:bCs/>
                <w:w w:val="99"/>
                <w:sz w:val="18"/>
                <w:szCs w:val="18"/>
              </w:rPr>
              <w:t> </w:t>
            </w:r>
            <w:r>
              <w:rPr>
                <w:rFonts w:ascii="宋体" w:hAnsi="宋体" w:cs="宋体" w:eastAsia="宋体" w:hint="default"/>
                <w:b/>
                <w:bCs/>
                <w:sz w:val="18"/>
                <w:szCs w:val="18"/>
              </w:rPr>
              <w:t>内</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70" w:right="17" w:hanging="452"/>
              <w:jc w:val="left"/>
              <w:rPr>
                <w:rFonts w:ascii="宋体" w:hAnsi="宋体" w:cs="宋体" w:eastAsia="宋体" w:hint="default"/>
                <w:sz w:val="18"/>
                <w:szCs w:val="18"/>
              </w:rPr>
            </w:pPr>
            <w:r>
              <w:rPr>
                <w:rFonts w:ascii="宋体" w:hAnsi="宋体" w:cs="宋体" w:eastAsia="宋体" w:hint="default"/>
                <w:b/>
                <w:bCs/>
                <w:sz w:val="18"/>
                <w:szCs w:val="18"/>
              </w:rPr>
              <w:t>三年至五年以</w:t>
            </w:r>
            <w:r>
              <w:rPr>
                <w:rFonts w:ascii="宋体" w:hAnsi="宋体" w:cs="宋体" w:eastAsia="宋体" w:hint="default"/>
                <w:b/>
                <w:bCs/>
                <w:w w:val="99"/>
                <w:sz w:val="18"/>
                <w:szCs w:val="18"/>
              </w:rPr>
              <w:t> </w:t>
            </w:r>
            <w:r>
              <w:rPr>
                <w:rFonts w:ascii="宋体" w:hAnsi="宋体" w:cs="宋体" w:eastAsia="宋体" w:hint="default"/>
                <w:b/>
                <w:bCs/>
                <w:sz w:val="18"/>
                <w:szCs w:val="18"/>
              </w:rPr>
              <w:t>内</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b/>
                <w:bCs/>
                <w:sz w:val="18"/>
                <w:szCs w:val="18"/>
              </w:rPr>
              <w:t>五年以上</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13,248.48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7,564.11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20,812.59</w:t>
            </w:r>
          </w:p>
        </w:tc>
      </w:tr>
      <w:tr>
        <w:trPr>
          <w:trHeight w:val="34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102.74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59.89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662.63</w:t>
            </w:r>
          </w:p>
        </w:tc>
      </w:tr>
      <w:tr>
        <w:trPr>
          <w:trHeight w:val="34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2,351.84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1,683.52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4,035.36</w:t>
            </w:r>
          </w:p>
        </w:tc>
      </w:tr>
      <w:tr>
        <w:trPr>
          <w:trHeight w:val="65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内</w:t>
            </w:r>
            <w:r>
              <w:rPr>
                <w:rFonts w:ascii="宋体" w:hAnsi="宋体" w:cs="宋体" w:eastAsia="宋体" w:hint="default"/>
                <w:spacing w:val="-62"/>
                <w:sz w:val="18"/>
                <w:szCs w:val="18"/>
              </w:rPr>
              <w:t> </w:t>
            </w:r>
            <w:r>
              <w:rPr>
                <w:rFonts w:ascii="宋体" w:hAnsi="宋体" w:cs="宋体" w:eastAsia="宋体" w:hint="default"/>
                <w:sz w:val="18"/>
                <w:szCs w:val="18"/>
              </w:rPr>
              <w:t>到</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非</w:t>
            </w:r>
            <w:r>
              <w:rPr>
                <w:rFonts w:ascii="宋体" w:hAnsi="宋体" w:cs="宋体" w:eastAsia="宋体" w:hint="default"/>
                <w:sz w:val="18"/>
                <w:szCs w:val="18"/>
              </w:rPr>
              <w:t> 流动负债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210.83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189.05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399.88</w:t>
            </w:r>
          </w:p>
        </w:tc>
      </w:tr>
      <w:tr>
        <w:trPr>
          <w:trHeight w:val="34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50.95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320.07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29,854.66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30,225.68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405" w:type="dxa"/>
        <w:tblLayout w:type="fixed"/>
        <w:tblCellMar>
          <w:top w:w="0" w:type="dxa"/>
          <w:left w:w="0" w:type="dxa"/>
          <w:bottom w:w="0" w:type="dxa"/>
          <w:right w:w="0" w:type="dxa"/>
        </w:tblCellMar>
        <w:tblLook w:val="01E0"/>
      </w:tblPr>
      <w:tblGrid>
        <w:gridCol w:w="1447"/>
        <w:gridCol w:w="1417"/>
        <w:gridCol w:w="1277"/>
        <w:gridCol w:w="1277"/>
        <w:gridCol w:w="1133"/>
        <w:gridCol w:w="1136"/>
        <w:gridCol w:w="1440"/>
      </w:tblGrid>
      <w:tr>
        <w:trPr>
          <w:trHeight w:val="34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3" w:right="0"/>
              <w:jc w:val="left"/>
              <w:rPr>
                <w:rFonts w:ascii="Times New Roman" w:hAnsi="Times New Roman" w:cs="Times New Roman" w:eastAsia="Times New Roman" w:hint="default"/>
                <w:sz w:val="18"/>
                <w:szCs w:val="18"/>
              </w:rPr>
            </w:pPr>
            <w:r>
              <w:rPr>
                <w:rFonts w:ascii="Times New Roman"/>
                <w:b/>
                <w:sz w:val="18"/>
              </w:rPr>
              <w:t>15,913.89</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31" w:right="0"/>
              <w:jc w:val="left"/>
              <w:rPr>
                <w:rFonts w:ascii="Times New Roman" w:hAnsi="Times New Roman" w:cs="Times New Roman" w:eastAsia="Times New Roman" w:hint="default"/>
                <w:sz w:val="18"/>
                <w:szCs w:val="18"/>
              </w:rPr>
            </w:pPr>
            <w:r>
              <w:rPr>
                <w:rFonts w:ascii="Times New Roman"/>
                <w:b/>
                <w:sz w:val="18"/>
              </w:rPr>
              <w:t>9,547.52</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67" w:right="0"/>
              <w:jc w:val="left"/>
              <w:rPr>
                <w:rFonts w:ascii="Times New Roman" w:hAnsi="Times New Roman" w:cs="Times New Roman" w:eastAsia="Times New Roman" w:hint="default"/>
                <w:sz w:val="18"/>
                <w:szCs w:val="18"/>
              </w:rPr>
            </w:pPr>
            <w:r>
              <w:rPr>
                <w:rFonts w:ascii="Times New Roman"/>
                <w:b/>
                <w:sz w:val="18"/>
              </w:rPr>
              <w:t>320.07</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98" w:right="0"/>
              <w:jc w:val="left"/>
              <w:rPr>
                <w:rFonts w:ascii="Times New Roman" w:hAnsi="Times New Roman" w:cs="Times New Roman" w:eastAsia="Times New Roman" w:hint="default"/>
                <w:sz w:val="18"/>
                <w:szCs w:val="18"/>
              </w:rPr>
            </w:pPr>
            <w:r>
              <w:rPr>
                <w:rFonts w:ascii="Times New Roman"/>
                <w:b/>
                <w:sz w:val="18"/>
              </w:rPr>
              <w:t>30,354.66</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05" w:right="0"/>
              <w:jc w:val="left"/>
              <w:rPr>
                <w:rFonts w:ascii="Times New Roman" w:hAnsi="Times New Roman" w:cs="Times New Roman" w:eastAsia="Times New Roman" w:hint="default"/>
                <w:sz w:val="18"/>
                <w:szCs w:val="18"/>
              </w:rPr>
            </w:pPr>
            <w:r>
              <w:rPr>
                <w:rFonts w:ascii="Times New Roman"/>
                <w:b/>
                <w:sz w:val="18"/>
              </w:rPr>
              <w:t>56,136.14</w:t>
            </w:r>
            <w:r>
              <w:rPr>
                <w:rFonts w:ascii="Times New Roman"/>
                <w:sz w:val="18"/>
              </w:rPr>
            </w:r>
          </w:p>
        </w:tc>
      </w:tr>
    </w:tbl>
    <w:p>
      <w:pPr>
        <w:pStyle w:val="BodyText"/>
        <w:spacing w:line="240" w:lineRule="auto" w:before="10"/>
        <w:ind w:left="513" w:right="0"/>
        <w:jc w:val="left"/>
      </w:pPr>
      <w:r>
        <w:rPr/>
        <w:t>上表中披露的金融负债金额为未经折现的合同现金流量，因而可能与资产负债表中的账面金额有所不同。</w:t>
      </w:r>
    </w:p>
    <w:p>
      <w:pPr>
        <w:pStyle w:val="BodyText"/>
        <w:spacing w:line="309" w:lineRule="auto" w:before="76"/>
        <w:ind w:left="513" w:right="1033"/>
        <w:jc w:val="left"/>
      </w:pPr>
      <w:r>
        <w:rPr/>
        <w:t>（</w:t>
      </w:r>
      <w:r>
        <w:rPr>
          <w:rFonts w:ascii="Times New Roman" w:hAnsi="Times New Roman" w:cs="Times New Roman" w:eastAsia="Times New Roman" w:hint="default"/>
        </w:rPr>
        <w:t>3</w:t>
      </w:r>
      <w:r>
        <w:rPr/>
        <w:t>）市场风险 金融工具的市场风险，是指金融工具的公允价值或未来现金流量因市场价格变动而发生波动的风险，主要是利率风险。 </w:t>
      </w:r>
      <w:r>
        <w:rPr>
          <w:spacing w:val="-2"/>
        </w:rPr>
        <w:t>利率风险，是指金融工具的公允价值或未来现金流量因市场利率变动而发生波动的风险。利率风险可源于已确认的计息</w:t>
      </w:r>
    </w:p>
    <w:p>
      <w:pPr>
        <w:pStyle w:val="BodyText"/>
        <w:spacing w:line="316" w:lineRule="auto" w:before="24"/>
        <w:ind w:left="513" w:right="0" w:hanging="361"/>
        <w:jc w:val="left"/>
      </w:pPr>
      <w:r>
        <w:rPr/>
        <w:t>金融工具和未确认的金融工具（如某些贷款承诺）。 </w:t>
      </w:r>
      <w:r>
        <w:rPr>
          <w:spacing w:val="-2"/>
        </w:rPr>
        <w:t>本集团的利率风险主要产生于短期银行借款。浮动利率的金融负债使本集团面临现金流量利率风险，固定利率的金融负</w:t>
      </w:r>
    </w:p>
    <w:p>
      <w:pPr>
        <w:pStyle w:val="BodyText"/>
        <w:spacing w:line="316" w:lineRule="auto" w:before="19"/>
        <w:ind w:right="0"/>
        <w:jc w:val="left"/>
      </w:pPr>
      <w:r>
        <w:rPr>
          <w:spacing w:val="-2"/>
        </w:rPr>
        <w:t>债使本集团面临公允价值利率风险。本集团根据当时的市场环境来决定固定利率及浮动利率合同的相对比例，并通过定期审</w:t>
      </w:r>
      <w:r>
        <w:rPr>
          <w:spacing w:val="-64"/>
        </w:rPr>
        <w:t> </w:t>
      </w:r>
      <w:r>
        <w:rPr>
          <w:spacing w:val="-64"/>
        </w:rPr>
      </w:r>
      <w:r>
        <w:rPr/>
        <w:t>阅与监察维持适当的固定和浮动利率工具组合。</w:t>
      </w:r>
    </w:p>
    <w:p>
      <w:pPr>
        <w:pStyle w:val="BodyText"/>
        <w:spacing w:line="316" w:lineRule="auto" w:before="19"/>
        <w:ind w:right="1034" w:firstLine="360"/>
        <w:jc w:val="left"/>
      </w:pPr>
      <w:r>
        <w:rPr/>
        <w:t>本集团密切关注利率变动对本集团利率风险的影响。本集团目前并未采取利率对冲政策。但管理层负责监控利率风险， 并将于需要时考虑对冲重大利率风险。由于定期存款为短期存款，故银行存款的公允价值利率风险并不重大。</w:t>
      </w:r>
    </w:p>
    <w:p>
      <w:pPr>
        <w:pStyle w:val="BodyText"/>
        <w:spacing w:line="300" w:lineRule="auto" w:before="19"/>
        <w:ind w:left="513" w:right="1119"/>
        <w:jc w:val="left"/>
      </w:pPr>
      <w:r>
        <w:rPr>
          <w:rFonts w:ascii="Times New Roman" w:hAnsi="Times New Roman" w:cs="Times New Roman" w:eastAsia="Times New Roman" w:hint="default"/>
        </w:rPr>
        <w:t>2</w:t>
      </w:r>
      <w:r>
        <w:rPr/>
        <w:t>、资本管理 </w:t>
      </w:r>
      <w:r>
        <w:rPr>
          <w:spacing w:val="-2"/>
        </w:rPr>
        <w:t>本集团资本管理政策的目标是为了保障本集团能够持续经营，从而为股东提供回报，并使其他利益相关者获益，同时维</w:t>
      </w:r>
    </w:p>
    <w:p>
      <w:pPr>
        <w:pStyle w:val="BodyText"/>
        <w:spacing w:line="316" w:lineRule="auto" w:before="31"/>
        <w:ind w:left="513" w:right="0" w:hanging="361"/>
        <w:jc w:val="left"/>
      </w:pPr>
      <w:r>
        <w:rPr/>
        <w:t>持最佳的资本结构以降低资本成本。 </w:t>
      </w:r>
      <w:r>
        <w:rPr>
          <w:spacing w:val="-2"/>
        </w:rPr>
        <w:t>为了维持或调整资本结构，本集团可能会调整支付给股东的股利金额、向股东返还资本、发行新股或出售资产以减低债</w:t>
      </w:r>
    </w:p>
    <w:p>
      <w:pPr>
        <w:pStyle w:val="BodyText"/>
        <w:spacing w:line="240" w:lineRule="auto" w:before="19"/>
        <w:ind w:right="0"/>
        <w:jc w:val="left"/>
      </w:pPr>
      <w:r>
        <w:rPr/>
        <w:t>务。</w:t>
      </w:r>
    </w:p>
    <w:p>
      <w:pPr>
        <w:pStyle w:val="BodyText"/>
        <w:spacing w:line="240" w:lineRule="auto" w:before="76"/>
        <w:ind w:left="513" w:right="0"/>
        <w:jc w:val="left"/>
      </w:pPr>
      <w:r>
        <w:rPr/>
        <w:t>本集团以资产负债率（即总负债除以总资产）为基础对资本结构进行监控。于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日，本集团的资产负债率为</w:t>
      </w:r>
    </w:p>
    <w:p>
      <w:pPr>
        <w:pStyle w:val="BodyText"/>
        <w:spacing w:line="240" w:lineRule="auto" w:before="63"/>
        <w:ind w:right="0"/>
        <w:jc w:val="left"/>
      </w:pPr>
      <w:r>
        <w:rPr>
          <w:rFonts w:ascii="Times New Roman" w:hAnsi="Times New Roman" w:cs="Times New Roman" w:eastAsia="Times New Roman" w:hint="default"/>
        </w:rPr>
        <w:t>56.48%</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59.79%</w:t>
      </w:r>
      <w:r>
        <w:rPr/>
        <w:t>）。</w:t>
      </w:r>
    </w:p>
    <w:p>
      <w:pPr>
        <w:spacing w:line="240" w:lineRule="auto" w:before="3"/>
        <w:rPr>
          <w:rFonts w:ascii="宋体" w:hAnsi="宋体" w:cs="宋体" w:eastAsia="宋体" w:hint="default"/>
          <w:sz w:val="24"/>
          <w:szCs w:val="24"/>
        </w:rPr>
      </w:pPr>
    </w:p>
    <w:p>
      <w:pPr>
        <w:spacing w:line="506" w:lineRule="auto" w:before="0"/>
        <w:ind w:left="152" w:right="6163" w:firstLine="0"/>
        <w:jc w:val="left"/>
        <w:rPr>
          <w:rFonts w:ascii="宋体" w:hAnsi="宋体" w:cs="宋体" w:eastAsia="宋体" w:hint="default"/>
          <w:sz w:val="18"/>
          <w:szCs w:val="18"/>
        </w:rPr>
      </w:pP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、以公允价值计量的资产和负债的期末公允价值</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18"/>
          <w:szCs w:val="18"/>
        </w:rPr>
        <w:t>无</w:t>
      </w:r>
    </w:p>
    <w:p>
      <w:pPr>
        <w:pStyle w:val="Heading3"/>
        <w:spacing w:line="240" w:lineRule="auto" w:before="151"/>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4"/>
        <w:rPr>
          <w:rFonts w:ascii="宋体" w:hAnsi="宋体" w:cs="宋体" w:eastAsia="宋体" w:hint="default"/>
          <w:sz w:val="25"/>
          <w:szCs w:val="25"/>
        </w:rPr>
      </w:pPr>
    </w:p>
    <w:p>
      <w:pPr>
        <w:spacing w:line="506" w:lineRule="auto" w:before="0"/>
        <w:ind w:left="152" w:right="8104" w:firstLine="0"/>
        <w:jc w:val="left"/>
        <w:rPr>
          <w:rFonts w:ascii="宋体" w:hAnsi="宋体" w:cs="宋体" w:eastAsia="宋体" w:hint="default"/>
          <w:sz w:val="18"/>
          <w:szCs w:val="18"/>
        </w:rPr>
      </w:pP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100"/>
          <w:sz w:val="21"/>
          <w:szCs w:val="21"/>
        </w:rPr>
        <w:t> </w:t>
      </w:r>
      <w:r>
        <w:rPr>
          <w:rFonts w:ascii="宋体" w:hAnsi="宋体" w:cs="宋体" w:eastAsia="宋体" w:hint="default"/>
          <w:sz w:val="18"/>
          <w:szCs w:val="18"/>
        </w:rPr>
        <w:t>本企业的母公司情况的说明</w:t>
      </w:r>
    </w:p>
    <w:p>
      <w:pPr>
        <w:spacing w:line="240" w:lineRule="auto" w:before="9"/>
        <w:rPr>
          <w:rFonts w:ascii="宋体" w:hAnsi="宋体" w:cs="宋体" w:eastAsia="宋体" w:hint="default"/>
          <w:sz w:val="19"/>
          <w:szCs w:val="19"/>
        </w:rPr>
      </w:pPr>
    </w:p>
    <w:tbl>
      <w:tblPr>
        <w:tblW w:w="0" w:type="auto"/>
        <w:jc w:val="left"/>
        <w:tblInd w:w="148" w:type="dxa"/>
        <w:tblLayout w:type="fixed"/>
        <w:tblCellMar>
          <w:top w:w="0" w:type="dxa"/>
          <w:left w:w="0" w:type="dxa"/>
          <w:bottom w:w="0" w:type="dxa"/>
          <w:right w:w="0" w:type="dxa"/>
        </w:tblCellMar>
        <w:tblLook w:val="01E0"/>
      </w:tblPr>
      <w:tblGrid>
        <w:gridCol w:w="2554"/>
        <w:gridCol w:w="4962"/>
        <w:gridCol w:w="1700"/>
      </w:tblGrid>
      <w:tr>
        <w:trPr>
          <w:trHeight w:val="34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r>
      <w:tr>
        <w:trPr>
          <w:trHeight w:val="65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67"/>
              <w:jc w:val="left"/>
              <w:rPr>
                <w:rFonts w:ascii="宋体" w:hAnsi="宋体" w:cs="宋体" w:eastAsia="宋体" w:hint="default"/>
                <w:sz w:val="18"/>
                <w:szCs w:val="18"/>
              </w:rPr>
            </w:pPr>
            <w:r>
              <w:rPr>
                <w:rFonts w:ascii="宋体" w:hAnsi="宋体" w:cs="宋体" w:eastAsia="宋体" w:hint="default"/>
                <w:sz w:val="18"/>
                <w:szCs w:val="18"/>
              </w:rPr>
              <w:t>本公司第一大股东、实际控制人董事长，持有本公司</w:t>
            </w:r>
            <w:r>
              <w:rPr>
                <w:rFonts w:ascii="Times New Roman" w:hAnsi="Times New Roman" w:cs="Times New Roman" w:eastAsia="Times New Roman" w:hint="default"/>
                <w:sz w:val="18"/>
                <w:szCs w:val="18"/>
              </w:rPr>
              <w:t>16.21%</w:t>
            </w:r>
            <w:r>
              <w:rPr>
                <w:rFonts w:ascii="宋体" w:hAnsi="宋体" w:cs="宋体" w:eastAsia="宋体" w:hint="default"/>
                <w:sz w:val="18"/>
                <w:szCs w:val="18"/>
              </w:rPr>
              <w:t>股 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自然人</w:t>
            </w:r>
          </w:p>
        </w:tc>
      </w:tr>
      <w:tr>
        <w:trPr>
          <w:trHeight w:val="968"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43"/>
              <w:jc w:val="left"/>
              <w:rPr>
                <w:rFonts w:ascii="宋体" w:hAnsi="宋体" w:cs="宋体" w:eastAsia="宋体" w:hint="default"/>
                <w:sz w:val="18"/>
                <w:szCs w:val="18"/>
              </w:rPr>
            </w:pPr>
            <w:r>
              <w:rPr>
                <w:rFonts w:ascii="宋体" w:hAnsi="宋体" w:cs="宋体" w:eastAsia="宋体" w:hint="default"/>
                <w:sz w:val="18"/>
                <w:szCs w:val="18"/>
              </w:rPr>
              <w:t>兴业国际信托有限公司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兴业信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兴运扶摇</w:t>
            </w:r>
            <w:r>
              <w:rPr>
                <w:rFonts w:ascii="Times New Roman" w:hAnsi="Times New Roman" w:cs="Times New Roman" w:eastAsia="Times New Roman" w:hint="default"/>
                <w:sz w:val="18"/>
                <w:szCs w:val="18"/>
              </w:rPr>
              <w:t>6</w:t>
            </w:r>
            <w:r>
              <w:rPr>
                <w:rFonts w:ascii="宋体" w:hAnsi="宋体" w:cs="宋体" w:eastAsia="宋体" w:hint="default"/>
                <w:sz w:val="18"/>
                <w:szCs w:val="18"/>
              </w:rPr>
              <w:t>号集合资金信托计 划</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84"/>
              <w:jc w:val="left"/>
              <w:rPr>
                <w:rFonts w:ascii="宋体" w:hAnsi="宋体" w:cs="宋体" w:eastAsia="宋体" w:hint="default"/>
                <w:sz w:val="18"/>
                <w:szCs w:val="18"/>
              </w:rPr>
            </w:pPr>
            <w:r>
              <w:rPr>
                <w:rFonts w:ascii="宋体" w:hAnsi="宋体" w:cs="宋体" w:eastAsia="宋体" w:hint="default"/>
                <w:sz w:val="18"/>
                <w:szCs w:val="18"/>
              </w:rPr>
              <w:t>张曦委托兴业国际信托有限公司设立的信托计划，为张曦一致 行动人，持有本公司</w:t>
            </w:r>
            <w:r>
              <w:rPr>
                <w:rFonts w:ascii="Times New Roman" w:hAnsi="Times New Roman" w:cs="Times New Roman" w:eastAsia="Times New Roman" w:hint="default"/>
                <w:sz w:val="18"/>
                <w:szCs w:val="18"/>
              </w:rPr>
              <w:t>8.55%</w:t>
            </w:r>
            <w:r>
              <w:rPr>
                <w:rFonts w:ascii="宋体" w:hAnsi="宋体" w:cs="宋体" w:eastAsia="宋体" w:hint="default"/>
                <w:sz w:val="18"/>
                <w:szCs w:val="18"/>
              </w:rPr>
              <w:t>股权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65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厦门麟真贸易有限公司</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21"/>
              <w:jc w:val="left"/>
              <w:rPr>
                <w:rFonts w:ascii="宋体" w:hAnsi="宋体" w:cs="宋体" w:eastAsia="宋体" w:hint="default"/>
                <w:sz w:val="18"/>
                <w:szCs w:val="18"/>
              </w:rPr>
            </w:pPr>
            <w:r>
              <w:rPr>
                <w:rFonts w:ascii="宋体" w:hAnsi="宋体" w:cs="宋体" w:eastAsia="宋体" w:hint="default"/>
                <w:sz w:val="18"/>
                <w:szCs w:val="18"/>
              </w:rPr>
              <w:t>张曦为该公司实际控制人并持股</w:t>
            </w:r>
            <w:r>
              <w:rPr>
                <w:rFonts w:ascii="Times New Roman" w:hAnsi="Times New Roman" w:cs="Times New Roman" w:eastAsia="Times New Roman" w:hint="default"/>
                <w:sz w:val="18"/>
                <w:szCs w:val="18"/>
              </w:rPr>
              <w:t>100%</w:t>
            </w:r>
            <w:r>
              <w:rPr>
                <w:rFonts w:ascii="宋体" w:hAnsi="宋体" w:cs="宋体" w:eastAsia="宋体" w:hint="default"/>
                <w:sz w:val="18"/>
                <w:szCs w:val="18"/>
              </w:rPr>
              <w:t>，为张曦一致行动人，持 有本公司</w:t>
            </w:r>
            <w:r>
              <w:rPr>
                <w:rFonts w:ascii="Times New Roman" w:hAnsi="Times New Roman" w:cs="Times New Roman" w:eastAsia="Times New Roman" w:hint="default"/>
                <w:sz w:val="18"/>
                <w:szCs w:val="18"/>
              </w:rPr>
              <w:t>5.21%</w:t>
            </w:r>
            <w:r>
              <w:rPr>
                <w:rFonts w:ascii="宋体" w:hAnsi="宋体" w:cs="宋体" w:eastAsia="宋体" w:hint="default"/>
                <w:sz w:val="18"/>
                <w:szCs w:val="18"/>
              </w:rPr>
              <w:t>股权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境内非国有法人</w:t>
            </w:r>
          </w:p>
        </w:tc>
      </w:tr>
    </w:tbl>
    <w:p>
      <w:pPr>
        <w:spacing w:line="240" w:lineRule="auto" w:before="5"/>
        <w:rPr>
          <w:rFonts w:ascii="宋体" w:hAnsi="宋体" w:cs="宋体" w:eastAsia="宋体" w:hint="default"/>
          <w:sz w:val="24"/>
          <w:szCs w:val="24"/>
        </w:rPr>
      </w:pPr>
    </w:p>
    <w:p>
      <w:pPr>
        <w:pStyle w:val="BodyText"/>
        <w:spacing w:line="360" w:lineRule="auto" w:before="44"/>
        <w:ind w:right="8594"/>
        <w:jc w:val="left"/>
      </w:pPr>
      <w:r>
        <w:rPr/>
        <w:t>本企业最终控制方是张曦。 其他说明：</w:t>
      </w:r>
    </w:p>
    <w:p>
      <w:pPr>
        <w:pStyle w:val="BodyText"/>
        <w:spacing w:line="240" w:lineRule="auto" w:before="25"/>
        <w:ind w:right="0"/>
        <w:jc w:val="left"/>
      </w:pPr>
      <w:r>
        <w:rPr/>
        <w:t>无</w:t>
      </w:r>
    </w:p>
    <w:p>
      <w:pPr>
        <w:spacing w:line="240" w:lineRule="auto" w:before="0"/>
        <w:rPr>
          <w:rFonts w:ascii="宋体" w:hAnsi="宋体" w:cs="宋体" w:eastAsia="宋体" w:hint="default"/>
          <w:sz w:val="18"/>
          <w:szCs w:val="18"/>
        </w:rPr>
      </w:pPr>
    </w:p>
    <w:p>
      <w:pPr>
        <w:spacing w:line="544" w:lineRule="auto" w:before="118"/>
        <w:ind w:left="152" w:right="67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50" w:lineRule="auto" w:before="51"/>
        <w:ind w:right="2294"/>
        <w:jc w:val="left"/>
      </w:pPr>
      <w:r>
        <w:rPr/>
        <w:t>本企业重要的合营或联营企业详见附注九、</w:t>
      </w:r>
      <w:r>
        <w:rPr>
          <w:rFonts w:ascii="Times New Roman" w:hAnsi="Times New Roman" w:cs="Times New Roman" w:eastAsia="Times New Roman" w:hint="default"/>
        </w:rPr>
        <w:t>3</w:t>
      </w:r>
      <w:r>
        <w:rPr/>
        <w:t>。 本期与本公司发生关联方交易，或前期与本公司发生关联方交易形成余额的其他合营或联营企业情况如下： 无</w:t>
      </w:r>
    </w:p>
    <w:p>
      <w:pPr>
        <w:pStyle w:val="BodyText"/>
        <w:spacing w:line="360" w:lineRule="auto" w:before="32"/>
        <w:ind w:right="10034"/>
        <w:jc w:val="left"/>
      </w:pPr>
      <w:r>
        <w:rPr/>
        <w:t>其他说明 无</w:t>
      </w:r>
    </w:p>
    <w:p>
      <w:pPr>
        <w:spacing w:after="0" w:line="36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池梅</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公司实际控制人张曦的配偶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厦门骏豪酒店管理有限公司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实际控制人亲属控股的企业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厦门银据空间地理信息有限公司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实际控制人亲属控股的企业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福建实邑科技信息股份有限公司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实际控制人亲属控股的企业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北京京发置业有限公司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实际控制人控股的企业</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北京乐图物业服务有限公司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实际控制人控股的企业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北京喜盟资产管理有限公司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实际控制人控股的企业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山西医联康护科技有限公司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本公司联营企业医联信息控股的企业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易联众（厦门）医生集团有限公司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原全资子公司，</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年转为持股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易联众（福州）医疗服务有限公司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原全资子公司医生集团的控股子公司</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易联众（福州）医疗管理有限公司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原全资子公司医生集团的控股子公司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厦门一元生物工程有限公司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实际控制人亲属原控股的企业</w:t>
            </w:r>
          </w:p>
        </w:tc>
      </w:tr>
    </w:tbl>
    <w:p>
      <w:pPr>
        <w:pStyle w:val="BodyText"/>
        <w:spacing w:line="357" w:lineRule="auto" w:before="51"/>
        <w:ind w:right="100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北京乐图物业服务 有限公司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办公物业费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300,910.67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148,754.00</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65"/>
              <w:jc w:val="left"/>
              <w:rPr>
                <w:rFonts w:ascii="宋体" w:hAnsi="宋体" w:cs="宋体" w:eastAsia="宋体" w:hint="default"/>
                <w:sz w:val="18"/>
                <w:szCs w:val="18"/>
              </w:rPr>
            </w:pPr>
            <w:r>
              <w:rPr>
                <w:rFonts w:ascii="宋体" w:hAnsi="宋体" w:cs="宋体" w:eastAsia="宋体" w:hint="default"/>
                <w:sz w:val="18"/>
                <w:szCs w:val="18"/>
              </w:rPr>
              <w:t>北京尚洋易捷信息 技术股份有限公司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377,358.48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北京喜盟资产管理 有限公司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办公物业费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120,885.06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65"/>
              <w:jc w:val="left"/>
              <w:rPr>
                <w:rFonts w:ascii="宋体" w:hAnsi="宋体" w:cs="宋体" w:eastAsia="宋体" w:hint="default"/>
                <w:sz w:val="18"/>
                <w:szCs w:val="18"/>
              </w:rPr>
            </w:pPr>
            <w:r>
              <w:rPr>
                <w:rFonts w:ascii="宋体" w:hAnsi="宋体" w:cs="宋体" w:eastAsia="宋体" w:hint="default"/>
                <w:sz w:val="18"/>
                <w:szCs w:val="18"/>
              </w:rPr>
              <w:t>福建实邑科技信息 股份有限公司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260,538.80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福建易联众基因检 测分析技术有限公 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53,962.28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3"/>
              <w:ind w:right="42"/>
              <w:jc w:val="center"/>
              <w:rPr>
                <w:rFonts w:ascii="宋体" w:hAnsi="宋体" w:cs="宋体" w:eastAsia="宋体" w:hint="default"/>
                <w:sz w:val="18"/>
                <w:szCs w:val="18"/>
              </w:rPr>
            </w:pPr>
            <w:r>
              <w:rPr>
                <w:rFonts w:ascii="宋体" w:hAnsi="宋体" w:cs="宋体" w:eastAsia="宋体" w:hint="default"/>
                <w:sz w:val="18"/>
                <w:szCs w:val="18"/>
              </w:rPr>
              <w:t>福建医联康护信息</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5,660.38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363"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福建医联康护信息 技术有限公司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12,449,165.45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广东易联众民生信 息技术有限公司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4,634,436.01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3,955,921.17</w:t>
            </w:r>
          </w:p>
        </w:tc>
      </w:tr>
      <w:tr>
        <w:trPr>
          <w:trHeight w:val="713"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广州桔叶信息科技 有限公司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9,525.02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2,221.58</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厦门骏豪酒店管理 有限公司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酒店服务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717,530.01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1,676,386.62</w:t>
            </w:r>
          </w:p>
        </w:tc>
      </w:tr>
      <w:tr>
        <w:trPr>
          <w:trHeight w:val="1025"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福建省星民易付多 卡融合信息科技有 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6,040,944.44</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59"/>
        <w:gridCol w:w="2259"/>
        <w:gridCol w:w="2655"/>
      </w:tblGrid>
      <w:tr>
        <w:trPr>
          <w:trHeight w:val="397"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9"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22"/>
              <w:jc w:val="left"/>
              <w:rPr>
                <w:rFonts w:ascii="宋体" w:hAnsi="宋体" w:cs="宋体" w:eastAsia="宋体" w:hint="default"/>
                <w:sz w:val="18"/>
                <w:szCs w:val="18"/>
              </w:rPr>
            </w:pPr>
            <w:r>
              <w:rPr>
                <w:rFonts w:ascii="宋体" w:hAnsi="宋体" w:cs="宋体" w:eastAsia="宋体" w:hint="default"/>
                <w:sz w:val="18"/>
                <w:szCs w:val="18"/>
              </w:rPr>
              <w:t>福建实邑科技信息股份有限公 司</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福建易联众基因检测分析技术 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19,516.20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63,675.22</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福建医联康护信息技术有限公 司</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5,415,543.56</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厦门易联众金融技术服务股份 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353,989.71</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易联众（福州）医疗管理有限 公司</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6,153.84</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广东易联众民生信息技术有限 公司</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94,339.62</w:t>
            </w:r>
          </w:p>
        </w:tc>
      </w:tr>
      <w:tr>
        <w:trPr>
          <w:trHeight w:val="716"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易联众（福州）医疗服务有限 公司</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9,333.33</w:t>
            </w:r>
          </w:p>
        </w:tc>
      </w:tr>
    </w:tbl>
    <w:p>
      <w:pPr>
        <w:pStyle w:val="BodyText"/>
        <w:spacing w:line="357" w:lineRule="auto" w:before="51"/>
        <w:ind w:right="7334"/>
        <w:jc w:val="left"/>
      </w:pPr>
      <w:r>
        <w:rPr/>
        <w:t>购销商品、提供和接受劳务的关联交易说明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364"/>
        <w:jc w:val="left"/>
      </w:pPr>
      <w:r>
        <w:rPr/>
        <w:t>本公司受托管理</w:t>
      </w:r>
      <w:r>
        <w:rPr>
          <w:rFonts w:ascii="Times New Roman" w:hAnsi="Times New Roman" w:cs="Times New Roman" w:eastAsia="Times New Roman" w:hint="default"/>
        </w:rPr>
        <w:t>/</w:t>
      </w:r>
      <w:r>
        <w:rPr/>
        <w:t>承包情况表： 无</w:t>
      </w:r>
    </w:p>
    <w:p>
      <w:pPr>
        <w:pStyle w:val="BodyText"/>
        <w:spacing w:line="338" w:lineRule="auto" w:before="43"/>
        <w:ind w:right="8904"/>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3"/>
        <w:ind w:right="0"/>
        <w:jc w:val="left"/>
      </w:pPr>
      <w:r>
        <w:rPr/>
        <w:t>本公司委托管理</w:t>
      </w:r>
      <w:r>
        <w:rPr>
          <w:rFonts w:ascii="Times New Roman" w:hAnsi="Times New Roman" w:cs="Times New Roman" w:eastAsia="Times New Roman" w:hint="default"/>
        </w:rPr>
        <w:t>/</w:t>
      </w:r>
      <w:r>
        <w:rPr/>
        <w:t>出包情况表：</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48" w:lineRule="auto" w:before="44"/>
        <w:ind w:right="8904"/>
        <w:jc w:val="left"/>
      </w:pPr>
      <w:r>
        <w:rPr/>
        <w:t>无 关联管理</w:t>
      </w:r>
      <w:r>
        <w:rPr>
          <w:rFonts w:ascii="Times New Roman" w:hAnsi="Times New Roman" w:cs="Times New Roman" w:eastAsia="Times New Roman" w:hint="default"/>
        </w:rPr>
        <w:t>/</w:t>
      </w:r>
      <w:r>
        <w:rPr/>
        <w:t>出包情况说明 无</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8"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6"/>
              <w:ind w:left="22" w:right="192"/>
              <w:jc w:val="left"/>
              <w:rPr>
                <w:rFonts w:ascii="宋体" w:hAnsi="宋体" w:cs="宋体" w:eastAsia="宋体" w:hint="default"/>
                <w:sz w:val="18"/>
                <w:szCs w:val="18"/>
              </w:rPr>
            </w:pPr>
            <w:r>
              <w:rPr>
                <w:rFonts w:ascii="宋体" w:hAnsi="宋体" w:cs="宋体" w:eastAsia="宋体" w:hint="default"/>
                <w:sz w:val="18"/>
                <w:szCs w:val="18"/>
              </w:rPr>
              <w:t>福建医联康护信息技术有限 公司</w:t>
            </w:r>
          </w:p>
        </w:tc>
        <w:tc>
          <w:tcPr>
            <w:tcW w:w="23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242,746.97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易联众（福州）医疗服务有限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23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209,984.92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易联众（福州）医疗管理有限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23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16,296.68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易联众（厦门）医生集团有限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23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16,712.23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福建医联康护信息技术有限 公司</w:t>
            </w:r>
          </w:p>
        </w:tc>
        <w:tc>
          <w:tcPr>
            <w:tcW w:w="23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车辆租赁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4,415.09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本公司作为承租方：</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北京京发置业有限公司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车位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11,657.15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北京喜盟资产管理有限公司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2,782,019.85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923,417.12</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厦门银据空间地理信息有限 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724,317.33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372,510.00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厦门一元生物工程有限公司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生产场地</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975,348.00</w:t>
            </w:r>
          </w:p>
        </w:tc>
      </w:tr>
    </w:tbl>
    <w:p>
      <w:pPr>
        <w:pStyle w:val="BodyText"/>
        <w:spacing w:line="240" w:lineRule="auto" w:before="51"/>
        <w:ind w:right="0"/>
        <w:jc w:val="left"/>
      </w:pPr>
      <w:r>
        <w:rPr/>
        <w:t>关联租赁情况说明</w:t>
      </w:r>
    </w:p>
    <w:p>
      <w:pPr>
        <w:pStyle w:val="BodyText"/>
        <w:spacing w:line="240" w:lineRule="auto" w:before="115"/>
        <w:ind w:left="424" w:right="0"/>
        <w:jc w:val="left"/>
      </w:pPr>
      <w:r>
        <w:rPr/>
        <w:t>说明</w:t>
      </w:r>
      <w:r>
        <w:rPr>
          <w:spacing w:val="-47"/>
        </w:rPr>
        <w:t> </w:t>
      </w:r>
      <w:r>
        <w:rPr>
          <w:rFonts w:ascii="Times New Roman" w:hAnsi="Times New Roman" w:cs="Times New Roman" w:eastAsia="Times New Roman" w:hint="default"/>
        </w:rPr>
        <w:t>1</w:t>
      </w:r>
      <w:r>
        <w:rPr/>
        <w:t>：租赁定价根据市价确定。</w:t>
      </w:r>
    </w:p>
    <w:p>
      <w:pPr>
        <w:pStyle w:val="BodyText"/>
        <w:spacing w:line="300" w:lineRule="auto" w:before="103"/>
        <w:ind w:right="1116" w:firstLine="271"/>
        <w:jc w:val="left"/>
      </w:pPr>
      <w:r>
        <w:rPr/>
        <w:t>说明</w:t>
      </w:r>
      <w:r>
        <w:rPr>
          <w:spacing w:val="-55"/>
        </w:rPr>
        <w:t> </w:t>
      </w:r>
      <w:r>
        <w:rPr>
          <w:rFonts w:ascii="宋体" w:hAnsi="宋体" w:cs="宋体" w:eastAsia="宋体" w:hint="default"/>
        </w:rPr>
        <w:t>2</w:t>
      </w:r>
      <w:r>
        <w:rPr/>
        <w:t>：厦门一元生物工程有限公司系实际控制人张曦亲属原控股的企业，</w:t>
      </w:r>
      <w:r>
        <w:rPr>
          <w:rFonts w:ascii="Times New Roman" w:hAnsi="Times New Roman" w:cs="Times New Roman" w:eastAsia="Times New Roman" w:hint="default"/>
        </w:rPr>
        <w:t>2016</w:t>
      </w:r>
      <w:r>
        <w:rPr>
          <w:rFonts w:ascii="Times New Roman" w:hAnsi="Times New Roman" w:cs="Times New Roman" w:eastAsia="Times New Roman" w:hint="default"/>
          <w:spacing w:val="-19"/>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月</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t>日已转让全部股权且不再担任 任何职务。</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357" w:lineRule="auto" w:before="44"/>
        <w:ind w:right="160"/>
        <w:jc w:val="left"/>
      </w:pPr>
      <w:r>
        <w:rPr/>
        <w:t>本公司作为担保方 无</w:t>
      </w:r>
    </w:p>
    <w:p>
      <w:pPr>
        <w:pStyle w:val="BodyText"/>
        <w:spacing w:line="240" w:lineRule="auto" w:before="29"/>
        <w:ind w:right="-20"/>
        <w:jc w:val="left"/>
      </w:pPr>
      <w:r>
        <w:rPr/>
        <w:t>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773" w:space="7056"/>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福州易联众、张曦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张曦、池梅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51"/>
        <w:ind w:right="9314"/>
        <w:jc w:val="left"/>
      </w:pPr>
      <w:r>
        <w:rPr/>
        <w:t>关联担保情况说明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4"/>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百川通信息技术有限公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不计息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百川通信息技术有限公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不计息</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海保人寿保险股份有限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不计息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海保人寿保险股份有限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不计息</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福建医联康护信息技术有限 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处置固定资产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1,004,220.16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9,166,461.67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7,406,897.22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北京尚洋易捷信息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3,700.00</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福建医联康护信息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5,556,011.50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311,995.88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5,619,007.00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375,950.35</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广东易联众民生信 息技术有限公司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r>
      <w:tr>
        <w:trPr>
          <w:trHeight w:val="102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厦门易联众金融技 术服务股份有限公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375,228.85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18,761.44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北京乐图物业服务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3,080.00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3,601.50</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北京喜盟资产管理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832,486.14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83,248.61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833,614.17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41,680.71</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福建医联康护信息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724,938.05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36,246.90</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黑龙江易联众信息 工程技术有限公司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1,049.88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52.49</w:t>
            </w:r>
          </w:p>
        </w:tc>
      </w:tr>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海保人寿保险股份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425,000.00</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山西医联康护科技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66,801.50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3,340.08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易联众（福州）医疗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220,484.16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11,024.21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易联众（福州）医疗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17,111.52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易联众（厦门）医生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22,341.86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1,117.09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广东易联众民生信 息技术有限公司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974" w:header="748"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北京乐图物业服务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50,534.88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36,441.04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北京喜盟资产管理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232,637.73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253,386.47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福建易联众基因检 测分析技术有限公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471,698.00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福建医联康护信息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180,491.68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112,809.59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北京京发置业有限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6,480.00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厦门银据空间地理 信息有限公司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23,036.19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福建省星民易付多卡融合信 息科技有限公司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2,120,371.50</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福建医联康护信息技术有限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16,619,397.07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20,250,008.90</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广东易联众民生信息技术有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2,147,183.66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1,966,678.91</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厦门银据空间地理信息有限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137,640.67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79,707.00</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北京尚洋易捷信息技术股份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3" w:right="197"/>
              <w:jc w:val="left"/>
              <w:rPr>
                <w:rFonts w:ascii="宋体" w:hAnsi="宋体" w:cs="宋体" w:eastAsia="宋体" w:hint="default"/>
                <w:sz w:val="18"/>
                <w:szCs w:val="18"/>
              </w:rPr>
            </w:pPr>
            <w:r>
              <w:rPr>
                <w:rFonts w:ascii="宋体" w:hAnsi="宋体" w:cs="宋体" w:eastAsia="宋体" w:hint="default"/>
                <w:sz w:val="18"/>
                <w:szCs w:val="18"/>
              </w:rPr>
              <w:t>福建省星民易付多卡融合信 息科技有限公司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2,120,371.50</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福建易联众基因检测分析技 术有限公司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百川通信息技术有限公司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34,200,000.00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广州桔叶信息科技有限公司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福建医联康护信息技术有限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3"/>
          <w:pgSz w:w="11910" w:h="16840"/>
          <w:pgMar w:footer="974" w:header="748" w:top="1060" w:bottom="1160" w:left="980" w:right="0"/>
          <w:pgNumType w:start="201"/>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spacing w:line="547"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pStyle w:val="Heading3"/>
        <w:spacing w:line="240" w:lineRule="auto" w:before="123"/>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spacing w:line="506" w:lineRule="auto" w:before="0"/>
        <w:ind w:left="152" w:right="8345" w:firstLine="0"/>
        <w:jc w:val="left"/>
        <w:rPr>
          <w:rFonts w:ascii="宋体" w:hAnsi="宋体" w:cs="宋体" w:eastAsia="宋体" w:hint="default"/>
          <w:sz w:val="18"/>
          <w:szCs w:val="18"/>
        </w:rPr>
      </w:pP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BodyText"/>
        <w:spacing w:line="506" w:lineRule="auto"/>
        <w:ind w:right="3014"/>
        <w:jc w:val="left"/>
      </w:pPr>
      <w:r>
        <w:rPr/>
        <w:t>（</w:t>
      </w:r>
      <w:r>
        <w:rPr>
          <w:rFonts w:ascii="Times New Roman" w:hAnsi="Times New Roman" w:cs="Times New Roman" w:eastAsia="Times New Roman" w:hint="default"/>
        </w:rPr>
        <w:t>1</w:t>
      </w:r>
      <w:r>
        <w:rPr/>
        <w:t>）经营租赁承诺 至资产负债表日止，本集团对外签订的不可撤销的经营租赁合约情况如下：（单位：人民币万元）</w:t>
      </w:r>
    </w:p>
    <w:p>
      <w:pPr>
        <w:spacing w:line="240" w:lineRule="auto" w:before="4"/>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247"/>
        <w:gridCol w:w="2463"/>
        <w:gridCol w:w="2465"/>
      </w:tblGrid>
      <w:tr>
        <w:trPr>
          <w:trHeight w:val="343" w:hRule="exact"/>
        </w:trPr>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b/>
                <w:bCs/>
                <w:sz w:val="18"/>
                <w:szCs w:val="18"/>
              </w:rPr>
              <w:t>不可撤销经营租赁的最低租赁付款额</w:t>
            </w:r>
            <w:r>
              <w:rPr>
                <w:rFonts w:ascii="宋体" w:hAnsi="宋体" w:cs="宋体" w:eastAsia="宋体" w:hint="default"/>
                <w:sz w:val="18"/>
                <w:szCs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hAnsi="宋体" w:cs="宋体" w:eastAsia="宋体" w:hint="default"/>
                <w:b/>
                <w:bCs/>
                <w:w w:val="95"/>
                <w:sz w:val="18"/>
                <w:szCs w:val="18"/>
              </w:rPr>
              <w:t>年末数</w:t>
            </w:r>
            <w:r>
              <w:rPr>
                <w:rFonts w:ascii="宋体" w:hAnsi="宋体" w:cs="宋体" w:eastAsia="宋体" w:hint="default"/>
                <w:sz w:val="18"/>
                <w:szCs w:val="18"/>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hAnsi="宋体" w:cs="宋体" w:eastAsia="宋体" w:hint="default"/>
                <w:b/>
                <w:bCs/>
                <w:w w:val="95"/>
                <w:sz w:val="18"/>
                <w:szCs w:val="18"/>
              </w:rPr>
              <w:t>年初数</w:t>
            </w:r>
            <w:r>
              <w:rPr>
                <w:rFonts w:ascii="宋体" w:hAnsi="宋体" w:cs="宋体" w:eastAsia="宋体" w:hint="default"/>
                <w:sz w:val="18"/>
                <w:szCs w:val="18"/>
              </w:rPr>
            </w:r>
          </w:p>
        </w:tc>
      </w:tr>
      <w:tr>
        <w:trPr>
          <w:trHeight w:val="341" w:hRule="exact"/>
        </w:trPr>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855.33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574.53</w:t>
            </w:r>
          </w:p>
        </w:tc>
      </w:tr>
      <w:tr>
        <w:trPr>
          <w:trHeight w:val="343" w:hRule="exact"/>
        </w:trPr>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784.11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458.80</w:t>
            </w:r>
          </w:p>
        </w:tc>
      </w:tr>
      <w:tr>
        <w:trPr>
          <w:trHeight w:val="341" w:hRule="exact"/>
        </w:trPr>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522.71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435.96</w:t>
            </w:r>
          </w:p>
        </w:tc>
      </w:tr>
      <w:tr>
        <w:trPr>
          <w:trHeight w:val="343" w:hRule="exact"/>
        </w:trPr>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30.66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442.31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247"/>
        <w:gridCol w:w="2463"/>
        <w:gridCol w:w="2465"/>
      </w:tblGrid>
      <w:tr>
        <w:trPr>
          <w:trHeight w:val="344" w:hRule="exact"/>
        </w:trPr>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b/>
                <w:w w:val="95"/>
                <w:sz w:val="18"/>
              </w:rPr>
              <w:t>2,192.81</w:t>
            </w:r>
            <w:r>
              <w:rPr>
                <w:rFonts w:ascii="Times New Roman"/>
                <w:w w:val="95"/>
                <w:sz w:val="18"/>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b/>
                <w:w w:val="95"/>
                <w:sz w:val="18"/>
              </w:rPr>
              <w:t>1,911.60</w:t>
            </w:r>
            <w:r>
              <w:rPr>
                <w:rFonts w:ascii="Times New Roman"/>
                <w:w w:val="95"/>
                <w:sz w:val="18"/>
              </w:rPr>
            </w:r>
          </w:p>
        </w:tc>
      </w:tr>
    </w:tbl>
    <w:p>
      <w:pPr>
        <w:spacing w:line="240" w:lineRule="auto" w:before="8"/>
        <w:rPr>
          <w:rFonts w:ascii="宋体" w:hAnsi="宋体" w:cs="宋体" w:eastAsia="宋体" w:hint="default"/>
          <w:sz w:val="6"/>
          <w:szCs w:val="6"/>
        </w:rPr>
      </w:pPr>
    </w:p>
    <w:p>
      <w:pPr>
        <w:pStyle w:val="BodyText"/>
        <w:spacing w:line="240" w:lineRule="auto" w:before="44"/>
        <w:ind w:right="0"/>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日，本集团不存在其他应披露的承诺事项。</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）开具保函</w:t>
      </w:r>
    </w:p>
    <w:p>
      <w:pPr>
        <w:spacing w:line="240" w:lineRule="auto" w:before="7"/>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577"/>
        <w:gridCol w:w="854"/>
        <w:gridCol w:w="1909"/>
        <w:gridCol w:w="835"/>
        <w:gridCol w:w="1008"/>
        <w:gridCol w:w="850"/>
        <w:gridCol w:w="1064"/>
        <w:gridCol w:w="974"/>
      </w:tblGrid>
      <w:tr>
        <w:trPr>
          <w:trHeight w:val="96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出具保函银行</w:t>
            </w:r>
            <w:r>
              <w:rPr>
                <w:rFonts w:ascii="宋体" w:hAnsi="宋体" w:cs="宋体" w:eastAsia="宋体" w:hint="default"/>
                <w:sz w:val="18"/>
                <w:szCs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被担保人</w:t>
            </w:r>
            <w:r>
              <w:rPr>
                <w:rFonts w:ascii="宋体" w:hAnsi="宋体" w:cs="宋体" w:eastAsia="宋体" w:hint="default"/>
                <w:sz w:val="18"/>
                <w:szCs w:val="18"/>
              </w:rPr>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受益人</w:t>
            </w:r>
            <w:r>
              <w:rPr>
                <w:rFonts w:ascii="宋体" w:hAnsi="宋体" w:cs="宋体" w:eastAsia="宋体" w:hint="default"/>
                <w:sz w:val="18"/>
                <w:szCs w:val="18"/>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b/>
                <w:bCs/>
                <w:sz w:val="18"/>
                <w:szCs w:val="18"/>
              </w:rPr>
              <w:t>保函金额</w:t>
            </w:r>
            <w:r>
              <w:rPr>
                <w:rFonts w:ascii="宋体" w:hAnsi="宋体" w:cs="宋体" w:eastAsia="宋体" w:hint="default"/>
                <w:sz w:val="18"/>
                <w:szCs w:val="18"/>
              </w:rPr>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有效期起</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0" w:firstLine="108"/>
              <w:jc w:val="left"/>
              <w:rPr>
                <w:rFonts w:ascii="宋体" w:hAnsi="宋体" w:cs="宋体" w:eastAsia="宋体" w:hint="default"/>
                <w:sz w:val="18"/>
                <w:szCs w:val="18"/>
              </w:rPr>
            </w:pPr>
            <w:r>
              <w:rPr>
                <w:rFonts w:ascii="宋体" w:hAnsi="宋体" w:cs="宋体" w:eastAsia="宋体" w:hint="default"/>
                <w:b/>
                <w:bCs/>
                <w:sz w:val="18"/>
                <w:szCs w:val="18"/>
              </w:rPr>
              <w:t>保函保证</w:t>
            </w:r>
            <w:r>
              <w:rPr>
                <w:rFonts w:ascii="宋体" w:hAnsi="宋体" w:cs="宋体" w:eastAsia="宋体" w:hint="default"/>
                <w:b/>
                <w:bCs/>
                <w:w w:val="99"/>
                <w:sz w:val="18"/>
                <w:szCs w:val="18"/>
              </w:rPr>
              <w:t> </w:t>
            </w:r>
            <w:r>
              <w:rPr>
                <w:rFonts w:ascii="宋体" w:hAnsi="宋体" w:cs="宋体" w:eastAsia="宋体" w:hint="default"/>
                <w:b/>
                <w:bCs/>
                <w:spacing w:val="-15"/>
                <w:w w:val="99"/>
                <w:sz w:val="18"/>
                <w:szCs w:val="18"/>
              </w:rPr>
              <w:t>金金额（万</w:t>
            </w:r>
            <w:r>
              <w:rPr>
                <w:rFonts w:ascii="宋体" w:hAnsi="宋体" w:cs="宋体" w:eastAsia="宋体" w:hint="default"/>
                <w:spacing w:val="-15"/>
                <w:sz w:val="18"/>
                <w:szCs w:val="18"/>
              </w:rPr>
            </w:r>
          </w:p>
          <w:p>
            <w:pPr>
              <w:pStyle w:val="TableParagraph"/>
              <w:spacing w:line="240" w:lineRule="auto" w:before="19"/>
              <w:ind w:left="475" w:right="-1"/>
              <w:jc w:val="left"/>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有效期止</w:t>
            </w:r>
            <w:r>
              <w:rPr>
                <w:rFonts w:ascii="宋体" w:hAnsi="宋体" w:cs="宋体" w:eastAsia="宋体" w:hint="default"/>
                <w:sz w:val="18"/>
                <w:szCs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保证类型</w:t>
            </w:r>
            <w:r>
              <w:rPr>
                <w:rFonts w:ascii="宋体" w:hAnsi="宋体" w:cs="宋体" w:eastAsia="宋体" w:hint="default"/>
                <w:sz w:val="18"/>
                <w:szCs w:val="18"/>
              </w:rPr>
            </w:r>
          </w:p>
        </w:tc>
      </w:tr>
      <w:tr>
        <w:trPr>
          <w:trHeight w:val="6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8"/>
              <w:jc w:val="left"/>
              <w:rPr>
                <w:rFonts w:ascii="宋体" w:hAnsi="宋体" w:cs="宋体" w:eastAsia="宋体" w:hint="default"/>
                <w:sz w:val="18"/>
                <w:szCs w:val="18"/>
              </w:rPr>
            </w:pPr>
            <w:r>
              <w:rPr>
                <w:rFonts w:ascii="宋体" w:hAnsi="宋体" w:cs="宋体" w:eastAsia="宋体" w:hint="default"/>
                <w:sz w:val="18"/>
                <w:szCs w:val="18"/>
              </w:rPr>
              <w:t>招商银行股份有限 公司厦门分行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89"/>
              <w:jc w:val="left"/>
              <w:rPr>
                <w:rFonts w:ascii="宋体" w:hAnsi="宋体" w:cs="宋体" w:eastAsia="宋体" w:hint="default"/>
                <w:sz w:val="18"/>
                <w:szCs w:val="18"/>
              </w:rPr>
            </w:pPr>
            <w:r>
              <w:rPr>
                <w:rFonts w:ascii="宋体" w:hAnsi="宋体" w:cs="宋体" w:eastAsia="宋体" w:hint="default"/>
                <w:sz w:val="18"/>
                <w:szCs w:val="18"/>
              </w:rPr>
              <w:t>海南省人事劳动保障信 息中心</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9.42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Times New Roman"/>
                <w:sz w:val="18"/>
              </w:rPr>
              <w:t>2016/11/29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0.94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left"/>
              <w:rPr>
                <w:rFonts w:ascii="Times New Roman" w:hAnsi="Times New Roman" w:cs="Times New Roman" w:eastAsia="Times New Roman" w:hint="default"/>
                <w:sz w:val="18"/>
                <w:szCs w:val="18"/>
              </w:rPr>
            </w:pPr>
            <w:r>
              <w:rPr>
                <w:rFonts w:ascii="Times New Roman"/>
                <w:sz w:val="18"/>
              </w:rPr>
              <w:t>2019/11/28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8"/>
              <w:jc w:val="left"/>
              <w:rPr>
                <w:rFonts w:ascii="宋体" w:hAnsi="宋体" w:cs="宋体" w:eastAsia="宋体" w:hint="default"/>
                <w:sz w:val="18"/>
                <w:szCs w:val="18"/>
              </w:rPr>
            </w:pPr>
            <w:r>
              <w:rPr>
                <w:rFonts w:ascii="宋体" w:hAnsi="宋体" w:cs="宋体" w:eastAsia="宋体" w:hint="default"/>
                <w:sz w:val="18"/>
                <w:szCs w:val="18"/>
              </w:rPr>
              <w:t>招商银行股份有限 公司厦门分行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89"/>
              <w:jc w:val="left"/>
              <w:rPr>
                <w:rFonts w:ascii="宋体" w:hAnsi="宋体" w:cs="宋体" w:eastAsia="宋体" w:hint="default"/>
                <w:sz w:val="18"/>
                <w:szCs w:val="18"/>
              </w:rPr>
            </w:pPr>
            <w:r>
              <w:rPr>
                <w:rFonts w:ascii="宋体" w:hAnsi="宋体" w:cs="宋体" w:eastAsia="宋体" w:hint="default"/>
                <w:sz w:val="18"/>
                <w:szCs w:val="18"/>
              </w:rPr>
              <w:t>厦门市卫生和计划生育 委员会</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39.88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2017/3/13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2020/3/13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7"/>
              <w:jc w:val="left"/>
              <w:rPr>
                <w:rFonts w:ascii="宋体" w:hAnsi="宋体" w:cs="宋体" w:eastAsia="宋体" w:hint="default"/>
                <w:sz w:val="18"/>
                <w:szCs w:val="18"/>
              </w:rPr>
            </w:pPr>
            <w:r>
              <w:rPr>
                <w:rFonts w:ascii="宋体" w:hAnsi="宋体" w:cs="宋体" w:eastAsia="宋体" w:hint="default"/>
                <w:sz w:val="18"/>
                <w:szCs w:val="18"/>
              </w:rPr>
              <w:t>招商银行股份有限 公司厦门分行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89"/>
              <w:jc w:val="left"/>
              <w:rPr>
                <w:rFonts w:ascii="宋体" w:hAnsi="宋体" w:cs="宋体" w:eastAsia="宋体" w:hint="default"/>
                <w:sz w:val="18"/>
                <w:szCs w:val="18"/>
              </w:rPr>
            </w:pPr>
            <w:r>
              <w:rPr>
                <w:rFonts w:ascii="宋体" w:hAnsi="宋体" w:cs="宋体" w:eastAsia="宋体" w:hint="default"/>
                <w:sz w:val="18"/>
                <w:szCs w:val="18"/>
              </w:rPr>
              <w:t>厦门市卫生和计划生育 委员会</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2.90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Times New Roman"/>
                <w:sz w:val="18"/>
              </w:rPr>
              <w:t>2017/3/16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0.29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left"/>
              <w:rPr>
                <w:rFonts w:ascii="Times New Roman" w:hAnsi="Times New Roman" w:cs="Times New Roman" w:eastAsia="Times New Roman" w:hint="default"/>
                <w:sz w:val="18"/>
                <w:szCs w:val="18"/>
              </w:rPr>
            </w:pPr>
            <w:r>
              <w:rPr>
                <w:rFonts w:ascii="Times New Roman"/>
                <w:sz w:val="18"/>
              </w:rPr>
              <w:t>2019/9/16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96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8"/>
              <w:jc w:val="both"/>
              <w:rPr>
                <w:rFonts w:ascii="宋体" w:hAnsi="宋体" w:cs="宋体" w:eastAsia="宋体" w:hint="default"/>
                <w:sz w:val="18"/>
                <w:szCs w:val="18"/>
              </w:rPr>
            </w:pPr>
            <w:r>
              <w:rPr>
                <w:rFonts w:ascii="宋体" w:hAnsi="宋体" w:cs="宋体" w:eastAsia="宋体" w:hint="default"/>
                <w:sz w:val="18"/>
                <w:szCs w:val="18"/>
              </w:rPr>
              <w:t>中国工商银行股份 有限公司厦门东区 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89"/>
              <w:jc w:val="left"/>
              <w:rPr>
                <w:rFonts w:ascii="宋体" w:hAnsi="宋体" w:cs="宋体" w:eastAsia="宋体" w:hint="default"/>
                <w:sz w:val="18"/>
                <w:szCs w:val="18"/>
              </w:rPr>
            </w:pPr>
            <w:r>
              <w:rPr>
                <w:rFonts w:ascii="宋体" w:hAnsi="宋体" w:cs="宋体" w:eastAsia="宋体" w:hint="default"/>
                <w:sz w:val="18"/>
                <w:szCs w:val="18"/>
              </w:rPr>
              <w:t>广西医大开元埌东医院 有限责任公司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245.25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2017/10/24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245.25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2019/4/24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967"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8"/>
              <w:jc w:val="both"/>
              <w:rPr>
                <w:rFonts w:ascii="宋体" w:hAnsi="宋体" w:cs="宋体" w:eastAsia="宋体" w:hint="default"/>
                <w:sz w:val="18"/>
                <w:szCs w:val="18"/>
              </w:rPr>
            </w:pPr>
            <w:r>
              <w:rPr>
                <w:rFonts w:ascii="宋体" w:hAnsi="宋体" w:cs="宋体" w:eastAsia="宋体" w:hint="default"/>
                <w:sz w:val="18"/>
                <w:szCs w:val="18"/>
              </w:rPr>
              <w:t>中国工商银行股份 有限公司厦门东区 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89"/>
              <w:jc w:val="left"/>
              <w:rPr>
                <w:rFonts w:ascii="宋体" w:hAnsi="宋体" w:cs="宋体" w:eastAsia="宋体" w:hint="default"/>
                <w:sz w:val="18"/>
                <w:szCs w:val="18"/>
              </w:rPr>
            </w:pPr>
            <w:r>
              <w:rPr>
                <w:rFonts w:ascii="宋体" w:hAnsi="宋体" w:cs="宋体" w:eastAsia="宋体" w:hint="default"/>
                <w:sz w:val="18"/>
                <w:szCs w:val="18"/>
              </w:rPr>
              <w:t>广西医大开元埌东医院 有限责任公司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245.25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Times New Roman"/>
                <w:sz w:val="18"/>
              </w:rPr>
              <w:t>2017/10/24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245.25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left"/>
              <w:rPr>
                <w:rFonts w:ascii="Times New Roman" w:hAnsi="Times New Roman" w:cs="Times New Roman" w:eastAsia="Times New Roman" w:hint="default"/>
                <w:sz w:val="18"/>
                <w:szCs w:val="18"/>
              </w:rPr>
            </w:pPr>
            <w:r>
              <w:rPr>
                <w:rFonts w:ascii="Times New Roman"/>
                <w:sz w:val="18"/>
              </w:rPr>
              <w:t>2020/10/24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8"/>
              <w:jc w:val="left"/>
              <w:rPr>
                <w:rFonts w:ascii="宋体" w:hAnsi="宋体" w:cs="宋体" w:eastAsia="宋体" w:hint="default"/>
                <w:sz w:val="18"/>
                <w:szCs w:val="18"/>
              </w:rPr>
            </w:pPr>
            <w:r>
              <w:rPr>
                <w:rFonts w:ascii="宋体" w:hAnsi="宋体" w:cs="宋体" w:eastAsia="宋体" w:hint="default"/>
                <w:sz w:val="18"/>
                <w:szCs w:val="18"/>
              </w:rPr>
              <w:t>招商银行股份有限 公司厦门分行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吉林大学第一医院</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378.00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2017/12/18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378.00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2019/1/4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8"/>
              <w:jc w:val="left"/>
              <w:rPr>
                <w:rFonts w:ascii="宋体" w:hAnsi="宋体" w:cs="宋体" w:eastAsia="宋体" w:hint="default"/>
                <w:sz w:val="18"/>
                <w:szCs w:val="18"/>
              </w:rPr>
            </w:pPr>
            <w:r>
              <w:rPr>
                <w:rFonts w:ascii="宋体" w:hAnsi="宋体" w:cs="宋体" w:eastAsia="宋体" w:hint="default"/>
                <w:sz w:val="18"/>
                <w:szCs w:val="18"/>
              </w:rPr>
              <w:t>招商银行股份有限 公司厦门分行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89"/>
              <w:jc w:val="left"/>
              <w:rPr>
                <w:rFonts w:ascii="宋体" w:hAnsi="宋体" w:cs="宋体" w:eastAsia="宋体" w:hint="default"/>
                <w:sz w:val="18"/>
                <w:szCs w:val="18"/>
              </w:rPr>
            </w:pPr>
            <w:r>
              <w:rPr>
                <w:rFonts w:ascii="宋体" w:hAnsi="宋体" w:cs="宋体" w:eastAsia="宋体" w:hint="default"/>
                <w:sz w:val="18"/>
                <w:szCs w:val="18"/>
              </w:rPr>
              <w:t>厦门市卫生和计划生育 委员会</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14.53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Times New Roman"/>
                <w:sz w:val="18"/>
              </w:rPr>
              <w:t>2017/12/22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14.53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left"/>
              <w:rPr>
                <w:rFonts w:ascii="Times New Roman" w:hAnsi="Times New Roman" w:cs="Times New Roman" w:eastAsia="Times New Roman" w:hint="default"/>
                <w:sz w:val="18"/>
                <w:szCs w:val="18"/>
              </w:rPr>
            </w:pPr>
            <w:r>
              <w:rPr>
                <w:rFonts w:ascii="Times New Roman"/>
                <w:sz w:val="18"/>
              </w:rPr>
              <w:t>2021/1/4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8"/>
              <w:jc w:val="left"/>
              <w:rPr>
                <w:rFonts w:ascii="宋体" w:hAnsi="宋体" w:cs="宋体" w:eastAsia="宋体" w:hint="default"/>
                <w:sz w:val="18"/>
                <w:szCs w:val="18"/>
              </w:rPr>
            </w:pPr>
            <w:r>
              <w:rPr>
                <w:rFonts w:ascii="宋体" w:hAnsi="宋体" w:cs="宋体" w:eastAsia="宋体" w:hint="default"/>
                <w:sz w:val="18"/>
                <w:szCs w:val="18"/>
              </w:rPr>
              <w:t>招商银行股份有限 公司厦门分行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89"/>
              <w:jc w:val="left"/>
              <w:rPr>
                <w:rFonts w:ascii="宋体" w:hAnsi="宋体" w:cs="宋体" w:eastAsia="宋体" w:hint="default"/>
                <w:sz w:val="18"/>
                <w:szCs w:val="18"/>
              </w:rPr>
            </w:pPr>
            <w:r>
              <w:rPr>
                <w:rFonts w:ascii="宋体" w:hAnsi="宋体" w:cs="宋体" w:eastAsia="宋体" w:hint="default"/>
                <w:sz w:val="18"/>
                <w:szCs w:val="18"/>
              </w:rPr>
              <w:t>吉林省人力资源社会保 障厅</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61.40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2017/12/25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61.40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2019/1/4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6"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2"/>
              <w:ind w:left="7" w:right="118"/>
              <w:jc w:val="left"/>
              <w:rPr>
                <w:rFonts w:ascii="宋体" w:hAnsi="宋体" w:cs="宋体" w:eastAsia="宋体" w:hint="default"/>
                <w:sz w:val="18"/>
                <w:szCs w:val="18"/>
              </w:rPr>
            </w:pPr>
            <w:r>
              <w:rPr>
                <w:rFonts w:ascii="宋体" w:hAnsi="宋体" w:cs="宋体" w:eastAsia="宋体" w:hint="default"/>
                <w:sz w:val="18"/>
                <w:szCs w:val="18"/>
              </w:rPr>
              <w:t>招商银行股份有限 公司厦门分行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2"/>
              <w:ind w:left="7" w:right="89"/>
              <w:jc w:val="left"/>
              <w:rPr>
                <w:rFonts w:ascii="宋体" w:hAnsi="宋体" w:cs="宋体" w:eastAsia="宋体" w:hint="default"/>
                <w:sz w:val="18"/>
                <w:szCs w:val="18"/>
              </w:rPr>
            </w:pPr>
            <w:r>
              <w:rPr>
                <w:rFonts w:ascii="宋体" w:hAnsi="宋体" w:cs="宋体" w:eastAsia="宋体" w:hint="default"/>
                <w:sz w:val="18"/>
                <w:szCs w:val="18"/>
              </w:rPr>
              <w:t>广东省人力资源和社会 保障厅</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1.62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Times New Roman"/>
                <w:sz w:val="18"/>
              </w:rPr>
              <w:t>2017/12/26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left"/>
              <w:rPr>
                <w:rFonts w:ascii="Times New Roman" w:hAnsi="Times New Roman" w:cs="Times New Roman" w:eastAsia="Times New Roman" w:hint="default"/>
                <w:sz w:val="18"/>
                <w:szCs w:val="18"/>
              </w:rPr>
            </w:pPr>
            <w:r>
              <w:rPr>
                <w:rFonts w:ascii="Times New Roman"/>
                <w:sz w:val="18"/>
              </w:rPr>
              <w:t>2019/1/4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9"/>
              <w:jc w:val="left"/>
              <w:rPr>
                <w:rFonts w:ascii="宋体" w:hAnsi="宋体" w:cs="宋体" w:eastAsia="宋体" w:hint="default"/>
                <w:sz w:val="18"/>
                <w:szCs w:val="18"/>
              </w:rPr>
            </w:pPr>
            <w:r>
              <w:rPr>
                <w:rFonts w:ascii="宋体" w:hAnsi="宋体" w:cs="宋体" w:eastAsia="宋体" w:hint="default"/>
                <w:sz w:val="18"/>
                <w:szCs w:val="18"/>
              </w:rPr>
              <w:t>招商银行股份有限 公司厦门分行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89"/>
              <w:jc w:val="left"/>
              <w:rPr>
                <w:rFonts w:ascii="宋体" w:hAnsi="宋体" w:cs="宋体" w:eastAsia="宋体" w:hint="default"/>
                <w:sz w:val="18"/>
                <w:szCs w:val="18"/>
              </w:rPr>
            </w:pPr>
            <w:r>
              <w:rPr>
                <w:rFonts w:ascii="宋体" w:hAnsi="宋体" w:cs="宋体" w:eastAsia="宋体" w:hint="default"/>
                <w:sz w:val="18"/>
                <w:szCs w:val="18"/>
              </w:rPr>
              <w:t>福建省星云大数据应用 服务有限公司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116.55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2018/9/20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116.55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2021/9/30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8"/>
              <w:jc w:val="left"/>
              <w:rPr>
                <w:rFonts w:ascii="宋体" w:hAnsi="宋体" w:cs="宋体" w:eastAsia="宋体" w:hint="default"/>
                <w:sz w:val="18"/>
                <w:szCs w:val="18"/>
              </w:rPr>
            </w:pPr>
            <w:r>
              <w:rPr>
                <w:rFonts w:ascii="宋体" w:hAnsi="宋体" w:cs="宋体" w:eastAsia="宋体" w:hint="default"/>
                <w:sz w:val="18"/>
                <w:szCs w:val="18"/>
              </w:rPr>
              <w:t>招商银行股份有限 公司厦门分行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人力资源和社会保障部</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13.80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Times New Roman"/>
                <w:sz w:val="18"/>
              </w:rPr>
              <w:t>2018/11/28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13.80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left"/>
              <w:rPr>
                <w:rFonts w:ascii="Times New Roman" w:hAnsi="Times New Roman" w:cs="Times New Roman" w:eastAsia="Times New Roman" w:hint="default"/>
                <w:sz w:val="18"/>
                <w:szCs w:val="18"/>
              </w:rPr>
            </w:pPr>
            <w:r>
              <w:rPr>
                <w:rFonts w:ascii="Times New Roman"/>
                <w:sz w:val="18"/>
              </w:rPr>
              <w:t>2022/12/30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8"/>
              <w:jc w:val="left"/>
              <w:rPr>
                <w:rFonts w:ascii="宋体" w:hAnsi="宋体" w:cs="宋体" w:eastAsia="宋体" w:hint="default"/>
                <w:sz w:val="18"/>
                <w:szCs w:val="18"/>
              </w:rPr>
            </w:pPr>
            <w:r>
              <w:rPr>
                <w:rFonts w:ascii="宋体" w:hAnsi="宋体" w:cs="宋体" w:eastAsia="宋体" w:hint="default"/>
                <w:sz w:val="18"/>
                <w:szCs w:val="18"/>
              </w:rPr>
              <w:t>招商银行股份有限 公司厦门分行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89"/>
              <w:jc w:val="left"/>
              <w:rPr>
                <w:rFonts w:ascii="宋体" w:hAnsi="宋体" w:cs="宋体" w:eastAsia="宋体" w:hint="default"/>
                <w:sz w:val="18"/>
                <w:szCs w:val="18"/>
              </w:rPr>
            </w:pPr>
            <w:r>
              <w:rPr>
                <w:rFonts w:ascii="宋体" w:hAnsi="宋体" w:cs="宋体" w:eastAsia="宋体" w:hint="default"/>
                <w:sz w:val="18"/>
                <w:szCs w:val="18"/>
              </w:rPr>
              <w:t>厦门市健康医疗大数据 管理中心</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15.83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2018/11/27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15.83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2020/10/31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8"/>
              <w:jc w:val="left"/>
              <w:rPr>
                <w:rFonts w:ascii="宋体" w:hAnsi="宋体" w:cs="宋体" w:eastAsia="宋体" w:hint="default"/>
                <w:sz w:val="18"/>
                <w:szCs w:val="18"/>
              </w:rPr>
            </w:pPr>
            <w:r>
              <w:rPr>
                <w:rFonts w:ascii="宋体" w:hAnsi="宋体" w:cs="宋体" w:eastAsia="宋体" w:hint="default"/>
                <w:sz w:val="18"/>
                <w:szCs w:val="18"/>
              </w:rPr>
              <w:t>兴业银行股份有限 公司厦门分行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89"/>
              <w:jc w:val="left"/>
              <w:rPr>
                <w:rFonts w:ascii="宋体" w:hAnsi="宋体" w:cs="宋体" w:eastAsia="宋体" w:hint="default"/>
                <w:sz w:val="18"/>
                <w:szCs w:val="18"/>
              </w:rPr>
            </w:pPr>
            <w:r>
              <w:rPr>
                <w:rFonts w:ascii="宋体" w:hAnsi="宋体" w:cs="宋体" w:eastAsia="宋体" w:hint="default"/>
                <w:sz w:val="18"/>
                <w:szCs w:val="18"/>
              </w:rPr>
              <w:t>人力资源和社会保障部 信息中心</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Times New Roman"/>
                <w:sz w:val="18"/>
              </w:rPr>
              <w:t>2017/12/4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left"/>
              <w:rPr>
                <w:rFonts w:ascii="Times New Roman" w:hAnsi="Times New Roman" w:cs="Times New Roman" w:eastAsia="Times New Roman" w:hint="default"/>
                <w:sz w:val="18"/>
                <w:szCs w:val="18"/>
              </w:rPr>
            </w:pPr>
            <w:r>
              <w:rPr>
                <w:rFonts w:ascii="Times New Roman"/>
                <w:sz w:val="18"/>
              </w:rPr>
              <w:t>2019/4/30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118"/>
              <w:jc w:val="left"/>
              <w:rPr>
                <w:rFonts w:ascii="宋体" w:hAnsi="宋体" w:cs="宋体" w:eastAsia="宋体" w:hint="default"/>
                <w:sz w:val="18"/>
                <w:szCs w:val="18"/>
              </w:rPr>
            </w:pPr>
            <w:r>
              <w:rPr>
                <w:rFonts w:ascii="宋体" w:hAnsi="宋体" w:cs="宋体" w:eastAsia="宋体" w:hint="default"/>
                <w:sz w:val="18"/>
                <w:szCs w:val="18"/>
              </w:rPr>
              <w:t>兴业银行股份有限 公司厦门分行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89"/>
              <w:jc w:val="left"/>
              <w:rPr>
                <w:rFonts w:ascii="宋体" w:hAnsi="宋体" w:cs="宋体" w:eastAsia="宋体" w:hint="default"/>
                <w:sz w:val="18"/>
                <w:szCs w:val="18"/>
              </w:rPr>
            </w:pPr>
            <w:r>
              <w:rPr>
                <w:rFonts w:ascii="宋体" w:hAnsi="宋体" w:cs="宋体" w:eastAsia="宋体" w:hint="default"/>
                <w:sz w:val="18"/>
                <w:szCs w:val="18"/>
              </w:rPr>
              <w:t>人力资源和社会保障部 信息中心</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2017/12/26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2020/3/31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34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招商银行股份有限</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人力资源和社会保障部</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1.50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Times New Roman"/>
                <w:sz w:val="18"/>
              </w:rPr>
              <w:t>2018/7/31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left"/>
              <w:rPr>
                <w:rFonts w:ascii="Times New Roman" w:hAnsi="Times New Roman" w:cs="Times New Roman" w:eastAsia="Times New Roman" w:hint="default"/>
                <w:sz w:val="18"/>
                <w:szCs w:val="18"/>
              </w:rPr>
            </w:pPr>
            <w:r>
              <w:rPr>
                <w:rFonts w:ascii="Times New Roman"/>
                <w:sz w:val="18"/>
              </w:rPr>
              <w:t>2019/8/31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77"/>
        <w:gridCol w:w="854"/>
        <w:gridCol w:w="1909"/>
        <w:gridCol w:w="835"/>
        <w:gridCol w:w="1008"/>
        <w:gridCol w:w="850"/>
        <w:gridCol w:w="1064"/>
        <w:gridCol w:w="974"/>
      </w:tblGrid>
      <w:tr>
        <w:trPr>
          <w:trHeight w:val="34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公司厦门分行</w:t>
            </w:r>
          </w:p>
        </w:tc>
        <w:tc>
          <w:tcPr>
            <w:tcW w:w="854"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信息中心</w:t>
            </w:r>
          </w:p>
        </w:tc>
        <w:tc>
          <w:tcPr>
            <w:tcW w:w="835"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967"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8"/>
              <w:jc w:val="both"/>
              <w:rPr>
                <w:rFonts w:ascii="宋体" w:hAnsi="宋体" w:cs="宋体" w:eastAsia="宋体" w:hint="default"/>
                <w:sz w:val="18"/>
                <w:szCs w:val="18"/>
              </w:rPr>
            </w:pPr>
            <w:r>
              <w:rPr>
                <w:rFonts w:ascii="宋体" w:hAnsi="宋体" w:cs="宋体" w:eastAsia="宋体" w:hint="default"/>
                <w:sz w:val="18"/>
                <w:szCs w:val="18"/>
              </w:rPr>
              <w:t>中国农业银行股份 有限公司厦门市分 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厦门纵达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89"/>
              <w:jc w:val="left"/>
              <w:rPr>
                <w:rFonts w:ascii="宋体" w:hAnsi="宋体" w:cs="宋体" w:eastAsia="宋体" w:hint="default"/>
                <w:sz w:val="18"/>
                <w:szCs w:val="18"/>
              </w:rPr>
            </w:pPr>
            <w:r>
              <w:rPr>
                <w:rFonts w:ascii="宋体" w:hAnsi="宋体" w:cs="宋体" w:eastAsia="宋体" w:hint="default"/>
                <w:sz w:val="18"/>
                <w:szCs w:val="18"/>
              </w:rPr>
              <w:t>厦门市卫生和计划生育 委员会</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3.36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Times New Roman"/>
                <w:sz w:val="18"/>
              </w:rPr>
              <w:t>2017/9/1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left"/>
              <w:rPr>
                <w:rFonts w:ascii="Times New Roman" w:hAnsi="Times New Roman" w:cs="Times New Roman" w:eastAsia="Times New Roman" w:hint="default"/>
                <w:sz w:val="18"/>
                <w:szCs w:val="18"/>
              </w:rPr>
            </w:pPr>
            <w:r>
              <w:rPr>
                <w:rFonts w:ascii="Times New Roman"/>
                <w:sz w:val="18"/>
              </w:rPr>
              <w:t>2019/7/27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8"/>
              <w:jc w:val="left"/>
              <w:rPr>
                <w:rFonts w:ascii="宋体" w:hAnsi="宋体" w:cs="宋体" w:eastAsia="宋体" w:hint="default"/>
                <w:sz w:val="18"/>
                <w:szCs w:val="18"/>
              </w:rPr>
            </w:pPr>
            <w:r>
              <w:rPr>
                <w:rFonts w:ascii="宋体" w:hAnsi="宋体" w:cs="宋体" w:eastAsia="宋体" w:hint="default"/>
                <w:sz w:val="18"/>
                <w:szCs w:val="18"/>
              </w:rPr>
              <w:t>招商银行股份有限 公司厦门分行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89"/>
              <w:jc w:val="left"/>
              <w:rPr>
                <w:rFonts w:ascii="宋体" w:hAnsi="宋体" w:cs="宋体" w:eastAsia="宋体" w:hint="default"/>
                <w:sz w:val="18"/>
                <w:szCs w:val="18"/>
              </w:rPr>
            </w:pPr>
            <w:r>
              <w:rPr>
                <w:rFonts w:ascii="宋体" w:hAnsi="宋体" w:cs="宋体" w:eastAsia="宋体" w:hint="default"/>
                <w:sz w:val="18"/>
                <w:szCs w:val="18"/>
              </w:rPr>
              <w:t>海南省人事劳动保障信 息中心</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84.82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2017/12/22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84.82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2018/11/27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8"/>
              <w:jc w:val="left"/>
              <w:rPr>
                <w:rFonts w:ascii="宋体" w:hAnsi="宋体" w:cs="宋体" w:eastAsia="宋体" w:hint="default"/>
                <w:sz w:val="18"/>
                <w:szCs w:val="18"/>
              </w:rPr>
            </w:pPr>
            <w:r>
              <w:rPr>
                <w:rFonts w:ascii="宋体" w:hAnsi="宋体" w:cs="宋体" w:eastAsia="宋体" w:hint="default"/>
                <w:sz w:val="18"/>
                <w:szCs w:val="18"/>
              </w:rPr>
              <w:t>招商银行股份有限 公司厦门分行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89"/>
              <w:jc w:val="left"/>
              <w:rPr>
                <w:rFonts w:ascii="宋体" w:hAnsi="宋体" w:cs="宋体" w:eastAsia="宋体" w:hint="default"/>
                <w:sz w:val="18"/>
                <w:szCs w:val="18"/>
              </w:rPr>
            </w:pPr>
            <w:r>
              <w:rPr>
                <w:rFonts w:ascii="宋体" w:hAnsi="宋体" w:cs="宋体" w:eastAsia="宋体" w:hint="default"/>
                <w:sz w:val="18"/>
                <w:szCs w:val="18"/>
              </w:rPr>
              <w:t>人力资源和社会保障部 劳动关系司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4.5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Times New Roman"/>
                <w:sz w:val="18"/>
              </w:rPr>
              <w:t>2017/12/25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left"/>
              <w:rPr>
                <w:rFonts w:ascii="Times New Roman" w:hAnsi="Times New Roman" w:cs="Times New Roman" w:eastAsia="Times New Roman" w:hint="default"/>
                <w:sz w:val="18"/>
                <w:szCs w:val="18"/>
              </w:rPr>
            </w:pPr>
            <w:r>
              <w:rPr>
                <w:rFonts w:ascii="Times New Roman"/>
                <w:sz w:val="18"/>
              </w:rPr>
              <w:t>2018/5/18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34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b/>
                <w:w w:val="95"/>
                <w:sz w:val="18"/>
              </w:rPr>
              <w:t>1,246.06</w:t>
            </w:r>
            <w:r>
              <w:rPr>
                <w:rFonts w:ascii="Times New Roman"/>
                <w:w w:val="95"/>
                <w:sz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b/>
                <w:w w:val="95"/>
                <w:sz w:val="18"/>
              </w:rPr>
              <w:t>1,199.09</w:t>
            </w:r>
            <w:r>
              <w:rPr>
                <w:rFonts w:ascii="Times New Roman"/>
                <w:w w:val="95"/>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8"/>
        <w:rPr>
          <w:rFonts w:ascii="宋体" w:hAnsi="宋体" w:cs="宋体" w:eastAsia="宋体" w:hint="default"/>
          <w:sz w:val="6"/>
          <w:szCs w:val="6"/>
        </w:rPr>
      </w:pPr>
    </w:p>
    <w:p>
      <w:pPr>
        <w:pStyle w:val="BodyText"/>
        <w:spacing w:line="300" w:lineRule="auto" w:before="44"/>
        <w:ind w:right="1124"/>
        <w:jc w:val="left"/>
      </w:pPr>
      <w:r>
        <w:rPr/>
        <w:t>说明： 上表列示的保函保证金与本附注七、</w:t>
      </w:r>
      <w:r>
        <w:rPr>
          <w:rFonts w:ascii="Times New Roman" w:hAnsi="Times New Roman" w:cs="Times New Roman" w:eastAsia="Times New Roman" w:hint="default"/>
        </w:rPr>
        <w:t>70</w:t>
      </w:r>
      <w:r>
        <w:rPr/>
        <w:t>所披露的受限资金中的保函保证金存在差异，系尚未提取的已解除保函的保</w:t>
      </w:r>
      <w:r>
        <w:rPr>
          <w:spacing w:val="-84"/>
        </w:rPr>
        <w:t> </w:t>
      </w:r>
      <w:r>
        <w:rPr>
          <w:spacing w:val="-84"/>
        </w:rPr>
      </w:r>
      <w:r>
        <w:rPr/>
        <w:t>证金。</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日，本集团不存在其他应披露的或有事项。</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十五、资产负债表日后事项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2,150,000.00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w:t>
      </w:r>
      <w:r>
        <w:rPr>
          <w:rFonts w:ascii="Times New Roman" w:hAnsi="Times New Roman" w:cs="Times New Roman" w:eastAsia="Times New Roman" w:hint="default"/>
        </w:rPr>
        <w:t>1</w:t>
      </w:r>
      <w:r>
        <w:rPr/>
        <w:t>）资产负债表日后利润分配情况</w:t>
      </w:r>
    </w:p>
    <w:p>
      <w:pPr>
        <w:pStyle w:val="BodyText"/>
        <w:spacing w:line="240" w:lineRule="auto" w:before="101"/>
        <w:ind w:left="513" w:right="0"/>
        <w:jc w:val="left"/>
        <w:rPr>
          <w:rFonts w:ascii="Times New Roman" w:hAnsi="Times New Roman" w:cs="Times New Roman" w:eastAsia="Times New Roman" w:hint="default"/>
        </w:rPr>
      </w:pPr>
      <w:r>
        <w:rPr/>
        <w:t>本公司于</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日召开第四届董事会第九次会议，审议通过</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年度权益分派预案如下：以</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p>
    <w:p>
      <w:pPr>
        <w:pStyle w:val="BodyText"/>
        <w:spacing w:line="300" w:lineRule="auto" w:before="63"/>
        <w:ind w:right="1129"/>
        <w:jc w:val="left"/>
      </w:pPr>
      <w:r>
        <w:rPr/>
        <w:t>日总股本</w:t>
      </w:r>
      <w:r>
        <w:rPr>
          <w:spacing w:val="-47"/>
        </w:rPr>
        <w:t> </w:t>
      </w:r>
      <w:r>
        <w:rPr>
          <w:rFonts w:ascii="Times New Roman" w:hAnsi="Times New Roman" w:cs="Times New Roman" w:eastAsia="Times New Roman" w:hint="default"/>
        </w:rPr>
        <w:t>43,000</w:t>
      </w:r>
      <w:r>
        <w:rPr>
          <w:rFonts w:ascii="Times New Roman" w:hAnsi="Times New Roman" w:cs="Times New Roman" w:eastAsia="Times New Roman" w:hint="default"/>
          <w:spacing w:val="-1"/>
        </w:rPr>
        <w:t> </w:t>
      </w:r>
      <w:r>
        <w:rPr/>
        <w:t>万股为基数，向全体股东实施每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股派发现金红利</w:t>
      </w:r>
      <w:r>
        <w:rPr>
          <w:spacing w:val="-48"/>
        </w:rPr>
        <w:t> </w:t>
      </w:r>
      <w:r>
        <w:rPr>
          <w:rFonts w:ascii="Times New Roman" w:hAnsi="Times New Roman" w:cs="Times New Roman" w:eastAsia="Times New Roman" w:hint="default"/>
        </w:rPr>
        <w:t>0.05</w:t>
      </w:r>
      <w:r>
        <w:rPr>
          <w:rFonts w:ascii="Times New Roman" w:hAnsi="Times New Roman" w:cs="Times New Roman" w:eastAsia="Times New Roman" w:hint="default"/>
          <w:spacing w:val="-1"/>
        </w:rPr>
        <w:t> </w:t>
      </w:r>
      <w:r>
        <w:rPr>
          <w:spacing w:val="-4"/>
        </w:rPr>
        <w:t>元（含税），合计派发现金红利</w:t>
      </w:r>
      <w:r>
        <w:rPr>
          <w:spacing w:val="-47"/>
        </w:rPr>
        <w:t> </w:t>
      </w:r>
      <w:r>
        <w:rPr>
          <w:rFonts w:ascii="Times New Roman" w:hAnsi="Times New Roman" w:cs="Times New Roman" w:eastAsia="Times New Roman" w:hint="default"/>
        </w:rPr>
        <w:t>215</w:t>
      </w:r>
      <w:r>
        <w:rPr>
          <w:rFonts w:ascii="Times New Roman" w:hAnsi="Times New Roman" w:cs="Times New Roman" w:eastAsia="Times New Roman" w:hint="default"/>
          <w:spacing w:val="-2"/>
        </w:rPr>
        <w:t> </w:t>
      </w:r>
      <w:r>
        <w:rPr>
          <w:spacing w:val="-4"/>
        </w:rPr>
        <w:t>万元，剩余未</w:t>
      </w:r>
      <w:r>
        <w:rPr/>
        <w:t> 分配利润结转至下一年度。上述预案尚须经本公司股东大会审议批准后实施。</w:t>
      </w:r>
    </w:p>
    <w:p>
      <w:pPr>
        <w:pStyle w:val="BodyText"/>
        <w:spacing w:line="240" w:lineRule="auto" w:before="72"/>
        <w:ind w:left="513" w:right="0"/>
        <w:jc w:val="left"/>
      </w:pPr>
      <w:r>
        <w:rPr/>
        <w:t>（</w:t>
      </w:r>
      <w:r>
        <w:rPr>
          <w:rFonts w:ascii="Times New Roman" w:hAnsi="Times New Roman" w:cs="Times New Roman" w:eastAsia="Times New Roman" w:hint="default"/>
        </w:rPr>
        <w:t>2</w:t>
      </w:r>
      <w:r>
        <w:rPr/>
        <w:t>）期后设立子公司</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0"/>
        <w:jc w:val="left"/>
      </w:pPr>
      <w:r>
        <w:rPr/>
        <w:t>本公司于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日设立控股子公司湖南易联众鑫卫信息技术有限公司，注册资本</w:t>
      </w:r>
      <w:r>
        <w:rPr>
          <w:spacing w:val="-50"/>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万元，本公司认缴出资</w:t>
      </w:r>
    </w:p>
    <w:p>
      <w:pPr>
        <w:pStyle w:val="BodyText"/>
        <w:spacing w:line="240" w:lineRule="auto" w:before="63"/>
        <w:ind w:right="0"/>
        <w:jc w:val="left"/>
      </w:pP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万元，持股</w:t>
      </w:r>
      <w:r>
        <w:rPr>
          <w:spacing w:val="-45"/>
        </w:rPr>
        <w:t> </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
        </w:rPr>
        <w:t>%</w:t>
      </w:r>
      <w:r>
        <w:rPr/>
        <w:t>。本公司在董事会中占</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席（总</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席</w:t>
      </w:r>
      <w:r>
        <w:rPr>
          <w:spacing w:val="-92"/>
        </w:rPr>
        <w:t>）</w:t>
      </w:r>
      <w:r>
        <w:rPr/>
        <w:t>，可以达到控制效果。</w:t>
      </w:r>
    </w:p>
    <w:p>
      <w:pPr>
        <w:pStyle w:val="BodyText"/>
        <w:spacing w:line="240" w:lineRule="auto" w:before="103"/>
        <w:ind w:left="513" w:right="0"/>
        <w:jc w:val="left"/>
        <w:rPr>
          <w:rFonts w:ascii="Times New Roman" w:hAnsi="Times New Roman" w:cs="Times New Roman" w:eastAsia="Times New Roman" w:hint="default"/>
        </w:rPr>
      </w:pPr>
      <w:r>
        <w:rPr/>
        <w:t>本公司于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27 </w:t>
      </w:r>
      <w:r>
        <w:rPr/>
        <w:t>日设立控股子公司吉林易联旭信息技术有限公司，注册资本</w:t>
      </w:r>
      <w:r>
        <w:rPr>
          <w:spacing w:val="-45"/>
        </w:rPr>
        <w:t> </w:t>
      </w:r>
      <w:r>
        <w:rPr>
          <w:rFonts w:ascii="Times New Roman" w:hAnsi="Times New Roman" w:cs="Times New Roman" w:eastAsia="Times New Roman" w:hint="default"/>
        </w:rPr>
        <w:t>2,000 </w:t>
      </w:r>
      <w:r>
        <w:rPr/>
        <w:t>万元，本公司认缴出资</w:t>
      </w:r>
      <w:r>
        <w:rPr>
          <w:spacing w:val="-45"/>
        </w:rPr>
        <w:t> </w:t>
      </w:r>
      <w:r>
        <w:rPr>
          <w:rFonts w:ascii="Times New Roman" w:hAnsi="Times New Roman" w:cs="Times New Roman" w:eastAsia="Times New Roman" w:hint="default"/>
        </w:rPr>
        <w:t>920</w:t>
      </w:r>
    </w:p>
    <w:p>
      <w:pPr>
        <w:pStyle w:val="BodyText"/>
        <w:spacing w:line="240" w:lineRule="auto" w:before="63"/>
        <w:ind w:right="0"/>
        <w:jc w:val="left"/>
      </w:pPr>
      <w:r>
        <w:rPr/>
        <w:t>万元，持股</w:t>
      </w:r>
      <w:r>
        <w:rPr>
          <w:spacing w:val="-44"/>
        </w:rPr>
        <w:t> </w:t>
      </w:r>
      <w:r>
        <w:rPr>
          <w:rFonts w:ascii="Times New Roman" w:hAnsi="Times New Roman" w:cs="Times New Roman" w:eastAsia="Times New Roman" w:hint="default"/>
          <w:spacing w:val="1"/>
        </w:rPr>
        <w:t>46</w:t>
      </w:r>
      <w:r>
        <w:rPr>
          <w:rFonts w:ascii="Times New Roman" w:hAnsi="Times New Roman" w:cs="Times New Roman" w:eastAsia="Times New Roman" w:hint="default"/>
          <w:spacing w:val="-2"/>
        </w:rPr>
        <w:t>%</w:t>
      </w:r>
      <w:r>
        <w:rPr/>
        <w:t>。本公司在</w:t>
      </w:r>
      <w:r>
        <w:rPr>
          <w:spacing w:val="-3"/>
        </w:rPr>
        <w:t>董</w:t>
      </w:r>
      <w:r>
        <w:rPr/>
        <w:t>事会中占</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席（总</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席</w:t>
      </w:r>
      <w:r>
        <w:rPr>
          <w:spacing w:val="-92"/>
        </w:rPr>
        <w:t>）</w:t>
      </w:r>
      <w:r>
        <w:rPr/>
        <w:t>，可以达到控制效果。</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t>（</w:t>
      </w:r>
      <w:r>
        <w:rPr>
          <w:rFonts w:ascii="宋体" w:hAnsi="宋体" w:cs="宋体" w:eastAsia="宋体" w:hint="default"/>
        </w:rPr>
        <w:t>3</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日（董事会批准报告日），本集团不存在其他应披露未披露的重大资产负债表日后事项。</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十六、其他重要事项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0034"/>
        <w:jc w:val="left"/>
      </w:pPr>
      <w:r>
        <w:rPr/>
        <w:t>其他说明 无</w:t>
      </w:r>
    </w:p>
    <w:p>
      <w:pPr>
        <w:spacing w:after="0" w:line="36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1" w:firstLine="360"/>
        <w:jc w:val="both"/>
      </w:pPr>
      <w:r>
        <w:rPr/>
        <w:t>根据本集团的内部组织结构、管理要求及内部报告制度，本集团的经营业务按地区、产品</w:t>
      </w:r>
      <w:r>
        <w:rPr>
          <w:rFonts w:ascii="Times New Roman" w:hAnsi="Times New Roman" w:cs="Times New Roman" w:eastAsia="Times New Roman" w:hint="default"/>
        </w:rPr>
        <w:t>/</w:t>
      </w:r>
      <w:r>
        <w:rPr/>
        <w:t>服务类别划分。这些报告分 </w:t>
      </w:r>
      <w:r>
        <w:rPr>
          <w:spacing w:val="-2"/>
        </w:rPr>
        <w:t>部是以公司日常内部管理要求的财务信息为基础确定的。集团的管理层定期评价这些报告分部的经营成果，以决定向其分配</w:t>
      </w:r>
      <w:r>
        <w:rPr>
          <w:spacing w:val="-63"/>
        </w:rPr>
        <w:t> </w:t>
      </w:r>
      <w:r>
        <w:rPr>
          <w:spacing w:val="-63"/>
        </w:rPr>
      </w:r>
      <w:r>
        <w:rPr/>
        <w:t>资源及评价其业绩。</w:t>
      </w:r>
    </w:p>
    <w:p>
      <w:pPr>
        <w:pStyle w:val="BodyText"/>
        <w:spacing w:line="316" w:lineRule="auto" w:before="144"/>
        <w:ind w:right="1130" w:firstLine="360"/>
        <w:jc w:val="both"/>
      </w:pPr>
      <w:r>
        <w:rPr>
          <w:spacing w:val="-2"/>
        </w:rPr>
        <w:t>由于本集团仅于一个地域内经营业务，收入主要来自中国境内，其主要资产亦位于中国境内，由本集团管理层统一管理</w:t>
      </w:r>
      <w:r>
        <w:rPr/>
        <w:t> 和调配，本集团主要业务和产品存在一定同质性，且基于管理团队的统一性，本集团无需披露分部数据。</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日，本集团不存在其他应披露的重要事项。</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205,643,969.26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198,321,143.70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205,643,969.26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198,321,143.70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9164"/>
        <w:jc w:val="left"/>
      </w:pPr>
      <w:r>
        <w:rPr>
          <w:rFonts w:ascii="Times New Roman" w:hAnsi="Times New Roman" w:cs="Times New Roman" w:eastAsia="Times New Roman" w:hint="default"/>
        </w:rPr>
        <w:t>1)</w:t>
      </w:r>
      <w:r>
        <w:rPr/>
        <w:t>应收票据分类列示</w:t>
      </w:r>
      <w:r>
        <w:rPr>
          <w:w w:val="99"/>
        </w:rPr>
        <w:t> </w:t>
      </w:r>
      <w:r>
        <w:rPr/>
        <w:t>无</w:t>
      </w:r>
    </w:p>
    <w:p>
      <w:pPr>
        <w:spacing w:after="0" w:line="338"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40" w:lineRule="auto" w:before="44"/>
        <w:ind w:right="8444"/>
        <w:jc w:val="left"/>
      </w:pPr>
      <w:r>
        <w:rPr>
          <w:rFonts w:ascii="Times New Roman" w:hAnsi="Times New Roman" w:cs="Times New Roman" w:eastAsia="Times New Roman" w:hint="default"/>
        </w:rPr>
        <w:t>2)</w:t>
      </w:r>
      <w:r>
        <w:rPr/>
        <w:t>期末公司已质押的应收票据</w:t>
      </w:r>
      <w:r>
        <w:rPr>
          <w:w w:val="99"/>
        </w:rPr>
        <w:t> </w:t>
      </w:r>
      <w:r>
        <w:rPr/>
        <w:t>无</w:t>
      </w:r>
    </w:p>
    <w:p>
      <w:pPr>
        <w:pStyle w:val="BodyText"/>
        <w:spacing w:line="340" w:lineRule="auto" w:before="39"/>
        <w:ind w:right="5744"/>
        <w:jc w:val="left"/>
      </w:pPr>
      <w:r>
        <w:rPr>
          <w:rFonts w:ascii="Times New Roman" w:hAnsi="Times New Roman" w:cs="Times New Roman" w:eastAsia="Times New Roman" w:hint="default"/>
        </w:rPr>
        <w:t>3)</w:t>
      </w:r>
      <w:r>
        <w:rPr/>
        <w:t>期末公司已背书或贴现且在资产负债表日尚未到期的应收票据</w:t>
      </w:r>
      <w:r>
        <w:rPr>
          <w:w w:val="99"/>
        </w:rPr>
        <w:t> </w:t>
      </w:r>
      <w:r>
        <w:rPr/>
        <w:t>无</w:t>
      </w:r>
    </w:p>
    <w:p>
      <w:pPr>
        <w:pStyle w:val="BodyText"/>
        <w:spacing w:line="610" w:lineRule="exact" w:before="25"/>
        <w:ind w:right="6644"/>
        <w:jc w:val="left"/>
      </w:pPr>
      <w:r>
        <w:rPr>
          <w:rFonts w:ascii="Times New Roman" w:hAnsi="Times New Roman" w:cs="Times New Roman" w:eastAsia="Times New Roman" w:hint="default"/>
        </w:rPr>
        <w:t>4)</w:t>
      </w:r>
      <w:r>
        <w:rPr/>
        <w:t>期末公司因出票人未履约而将其转应收账款的票据</w:t>
      </w:r>
      <w:r>
        <w:rPr>
          <w:w w:val="99"/>
        </w:rPr>
        <w:t> </w:t>
      </w:r>
      <w:r>
        <w:rPr/>
        <w:t>无</w:t>
      </w:r>
    </w:p>
    <w:p>
      <w:pPr>
        <w:pStyle w:val="BodyText"/>
        <w:spacing w:line="357" w:lineRule="auto" w:before="20"/>
        <w:ind w:right="1003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238,935,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536.32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33,291,5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67.06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205,643,9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69.26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232,102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,068.64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33,780,92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4.94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14.55%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198,321,14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3.70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238,935,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536.32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33,291,5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67.06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205,643,9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69.26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232,102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,068.64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33,780,92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4.94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14.55%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198,321,14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3.70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3"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153,291,257.88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7,664,562.90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153,291,257.88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7,664,562.90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17,848,724.40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1,784,872.44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9,666,016.43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1,933,203.29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8,698,166.41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4,349,083.21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6,328,662.06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6,328,662.06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11,231,183.16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11,231,183.16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207,064,010.34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33,291,567.06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16.08%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357" w:lineRule="auto" w:before="51"/>
        <w:ind w:right="1967"/>
        <w:jc w:val="left"/>
      </w:pPr>
      <w:r>
        <w:rPr/>
        <w:t>确定该组合依据的说明： 组合中，采用余额百分比法计提坏账准备的应收账款：</w:t>
      </w:r>
    </w:p>
    <w:p>
      <w:pPr>
        <w:pStyle w:val="BodyText"/>
        <w:spacing w:line="348" w:lineRule="auto" w:before="29"/>
        <w:ind w:right="23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14"/>
        <w:ind w:right="-11"/>
        <w:jc w:val="left"/>
      </w:pPr>
      <w:r>
        <w:rPr/>
        <w:t>本期计提坏账准备金额</w:t>
      </w:r>
      <w:r>
        <w:rPr>
          <w:spacing w:val="-46"/>
        </w:rPr>
        <w:t> </w:t>
      </w:r>
      <w:r>
        <w:rPr>
          <w:rFonts w:ascii="Times New Roman" w:hAnsi="Times New Roman" w:cs="Times New Roman" w:eastAsia="Times New Roman" w:hint="default"/>
        </w:rPr>
        <w:t>4,478,273.63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pStyle w:val="BodyText"/>
        <w:spacing w:line="240" w:lineRule="auto" w:before="40"/>
        <w:ind w:right="1967"/>
        <w:jc w:val="left"/>
      </w:pPr>
      <w:r>
        <w:rPr/>
        <w:t>无</w:t>
      </w:r>
    </w:p>
    <w:p>
      <w:pPr>
        <w:pStyle w:val="BodyText"/>
        <w:spacing w:line="240" w:lineRule="auto" w:before="117"/>
        <w:ind w:right="1967"/>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460" w:space="2370"/>
            <w:col w:w="2100"/>
          </w:cols>
        </w:sectPr>
      </w:pP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397"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8" w:hRule="exact"/>
        </w:trPr>
        <w:tc>
          <w:tcPr>
            <w:tcW w:w="49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4,967,631.51</w:t>
            </w:r>
          </w:p>
        </w:tc>
      </w:tr>
    </w:tbl>
    <w:p>
      <w:pPr>
        <w:pStyle w:val="BodyText"/>
        <w:spacing w:line="240" w:lineRule="auto" w:before="51"/>
        <w:ind w:right="0"/>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08"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20"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29"/>
              <w:jc w:val="left"/>
              <w:rPr>
                <w:rFonts w:ascii="宋体" w:hAnsi="宋体" w:cs="宋体" w:eastAsia="宋体" w:hint="default"/>
                <w:sz w:val="18"/>
                <w:szCs w:val="18"/>
              </w:rPr>
            </w:pPr>
            <w:r>
              <w:rPr>
                <w:rFonts w:ascii="宋体" w:hAnsi="宋体" w:cs="宋体" w:eastAsia="宋体" w:hint="default"/>
                <w:sz w:val="18"/>
                <w:szCs w:val="18"/>
              </w:rPr>
              <w:t>中国工商银行股份有 限公司泉州市分行</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755,000.00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35"/>
              <w:jc w:val="right"/>
              <w:rPr>
                <w:rFonts w:ascii="宋体" w:hAnsi="宋体" w:cs="宋体" w:eastAsia="宋体" w:hint="default"/>
                <w:sz w:val="18"/>
                <w:szCs w:val="18"/>
              </w:rPr>
            </w:pPr>
            <w:r>
              <w:rPr>
                <w:rFonts w:ascii="宋体" w:hAnsi="宋体" w:cs="宋体" w:eastAsia="宋体" w:hint="default"/>
                <w:sz w:val="18"/>
                <w:szCs w:val="18"/>
              </w:rPr>
              <w:t>款项无法收回</w:t>
            </w:r>
          </w:p>
        </w:tc>
        <w:tc>
          <w:tcPr>
            <w:tcW w:w="16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7"/>
                <w:sz w:val="18"/>
                <w:szCs w:val="18"/>
              </w:rPr>
              <w:t>董事会、监事会审批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厦门市职业介绍服务 中心</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108,000.00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5"/>
              <w:jc w:val="right"/>
              <w:rPr>
                <w:rFonts w:ascii="宋体" w:hAnsi="宋体" w:cs="宋体" w:eastAsia="宋体" w:hint="default"/>
                <w:sz w:val="18"/>
                <w:szCs w:val="18"/>
              </w:rPr>
            </w:pPr>
            <w:r>
              <w:rPr>
                <w:rFonts w:ascii="宋体" w:hAnsi="宋体" w:cs="宋体" w:eastAsia="宋体" w:hint="default"/>
                <w:sz w:val="18"/>
                <w:szCs w:val="18"/>
              </w:rPr>
              <w:t>款项无法收回</w:t>
            </w:r>
          </w:p>
        </w:tc>
        <w:tc>
          <w:tcPr>
            <w:tcW w:w="16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7"/>
                <w:sz w:val="18"/>
                <w:szCs w:val="18"/>
              </w:rPr>
              <w:t>董事会、监事会审批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福建莆田农村商业银 行股份有限公司</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3,804,646.51</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5"/>
              <w:jc w:val="right"/>
              <w:rPr>
                <w:rFonts w:ascii="宋体" w:hAnsi="宋体" w:cs="宋体" w:eastAsia="宋体" w:hint="default"/>
                <w:sz w:val="18"/>
                <w:szCs w:val="18"/>
              </w:rPr>
            </w:pPr>
            <w:r>
              <w:rPr>
                <w:rFonts w:ascii="宋体" w:hAnsi="宋体" w:cs="宋体" w:eastAsia="宋体" w:hint="default"/>
                <w:sz w:val="18"/>
                <w:szCs w:val="18"/>
              </w:rPr>
              <w:t>款项无法收回</w:t>
            </w:r>
          </w:p>
        </w:tc>
        <w:tc>
          <w:tcPr>
            <w:tcW w:w="16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7"/>
                <w:sz w:val="18"/>
                <w:szCs w:val="18"/>
              </w:rPr>
              <w:t>董事会、监事会审批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4,667,646.51</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right="9134"/>
        <w:jc w:val="left"/>
      </w:pPr>
      <w:r>
        <w:rPr/>
        <w:t>应收账款核销说明： 无</w:t>
      </w:r>
    </w:p>
    <w:p>
      <w:pPr>
        <w:pStyle w:val="BodyText"/>
        <w:spacing w:line="240" w:lineRule="auto" w:before="25"/>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2129"/>
        <w:gridCol w:w="2129"/>
        <w:gridCol w:w="1976"/>
      </w:tblGrid>
      <w:tr>
        <w:trPr>
          <w:trHeight w:val="65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b/>
                <w:bCs/>
                <w:w w:val="95"/>
                <w:sz w:val="18"/>
                <w:szCs w:val="18"/>
              </w:rPr>
              <w:t>应收账款年末余额</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07" w:right="65" w:hanging="54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占应收账款年末余额合计</w:t>
            </w:r>
            <w:r>
              <w:rPr>
                <w:rFonts w:ascii="宋体" w:hAnsi="宋体" w:cs="宋体" w:eastAsia="宋体" w:hint="default"/>
                <w:b/>
                <w:bCs/>
                <w:w w:val="99"/>
                <w:sz w:val="18"/>
                <w:szCs w:val="18"/>
              </w:rPr>
              <w:t> </w:t>
            </w:r>
            <w:r>
              <w:rPr>
                <w:rFonts w:ascii="宋体" w:hAnsi="宋体" w:cs="宋体" w:eastAsia="宋体" w:hint="default"/>
                <w:b/>
                <w:bCs/>
                <w:sz w:val="18"/>
                <w:szCs w:val="18"/>
              </w:rPr>
              <w:t>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b/>
                <w:bCs/>
                <w:w w:val="95"/>
                <w:sz w:val="18"/>
                <w:szCs w:val="18"/>
              </w:rPr>
              <w:t>坏账准备年末余额</w:t>
            </w:r>
            <w:r>
              <w:rPr>
                <w:rFonts w:ascii="宋体" w:hAnsi="宋体" w:cs="宋体" w:eastAsia="宋体" w:hint="default"/>
                <w:sz w:val="18"/>
                <w:szCs w:val="18"/>
              </w:rPr>
            </w:r>
          </w:p>
        </w:tc>
      </w:tr>
      <w:tr>
        <w:trPr>
          <w:trHeight w:val="655"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20"/>
              <w:jc w:val="left"/>
              <w:rPr>
                <w:rFonts w:ascii="宋体" w:hAnsi="宋体" w:cs="宋体" w:eastAsia="宋体" w:hint="default"/>
                <w:sz w:val="18"/>
                <w:szCs w:val="18"/>
              </w:rPr>
            </w:pPr>
            <w:r>
              <w:rPr>
                <w:rFonts w:ascii="宋体" w:hAnsi="宋体" w:cs="宋体" w:eastAsia="宋体" w:hint="default"/>
                <w:sz w:val="18"/>
                <w:szCs w:val="18"/>
              </w:rPr>
              <w:t>广西医大开元埌东医院有限责任公 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16,811,140.00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7.04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1,011,599.00</w:t>
            </w:r>
          </w:p>
        </w:tc>
      </w:tr>
      <w:tr>
        <w:trPr>
          <w:trHeight w:val="341"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广西壮族自治区农村信用社联合社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13,715,504.63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5.74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919,093.83</w:t>
            </w:r>
          </w:p>
        </w:tc>
      </w:tr>
      <w:tr>
        <w:trPr>
          <w:trHeight w:val="34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12,323,529.50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5.16</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1"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兴业银行股份有限公司莆田分行</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9,020,000.00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3.78</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451,000.00</w:t>
            </w:r>
          </w:p>
        </w:tc>
      </w:tr>
      <w:tr>
        <w:trPr>
          <w:trHeight w:val="656"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20"/>
              <w:jc w:val="left"/>
              <w:rPr>
                <w:rFonts w:ascii="宋体" w:hAnsi="宋体" w:cs="宋体" w:eastAsia="宋体" w:hint="default"/>
                <w:sz w:val="18"/>
                <w:szCs w:val="18"/>
              </w:rPr>
            </w:pPr>
            <w:r>
              <w:rPr>
                <w:rFonts w:ascii="宋体" w:hAnsi="宋体" w:cs="宋体" w:eastAsia="宋体" w:hint="default"/>
                <w:sz w:val="18"/>
                <w:szCs w:val="18"/>
              </w:rPr>
              <w:t>中国农业银行股份有限公司三明分 行</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8,799,678.90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3.68</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469,558.95</w:t>
            </w:r>
          </w:p>
        </w:tc>
      </w:tr>
      <w:tr>
        <w:trPr>
          <w:trHeight w:val="34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b/>
                <w:spacing w:val="-1"/>
                <w:sz w:val="18"/>
              </w:rPr>
              <w:t>60,669,853.03</w:t>
            </w:r>
            <w:r>
              <w:rPr>
                <w:rFonts w:ascii="Times New Roman"/>
                <w:spacing w:val="-1"/>
                <w:sz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b/>
                <w:sz w:val="18"/>
              </w:rPr>
              <w:t>25.39</w:t>
            </w:r>
            <w:r>
              <w:rPr>
                <w:rFonts w:ascii="Times New Roman"/>
                <w:sz w:val="18"/>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b/>
                <w:spacing w:val="-1"/>
                <w:sz w:val="18"/>
              </w:rPr>
              <w:t>2,851,251.78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348" w:lineRule="auto" w:before="44"/>
        <w:ind w:right="5714"/>
        <w:jc w:val="left"/>
      </w:pPr>
      <w:r>
        <w:rPr>
          <w:rFonts w:ascii="Times New Roman" w:hAnsi="Times New Roman" w:cs="Times New Roman" w:eastAsia="Times New Roman" w:hint="default"/>
        </w:rPr>
        <w:t>5)</w:t>
      </w:r>
      <w:r>
        <w:rPr/>
        <w:t>因金融资产转移而终止确认的应收账款</w:t>
      </w:r>
      <w:r>
        <w:rPr>
          <w:w w:val="99"/>
        </w:rPr>
        <w:t> </w:t>
      </w:r>
      <w:r>
        <w:rPr/>
        <w:t>本年本公司无因金融资产转移而终止确认的应收账款情况。</w:t>
      </w:r>
      <w:r>
        <w:rPr>
          <w:w w:val="99"/>
        </w:rPr>
        <w:t> </w:t>
      </w:r>
      <w:r>
        <w:rPr>
          <w:rFonts w:ascii="Times New Roman" w:hAnsi="Times New Roman" w:cs="Times New Roman" w:eastAsia="Times New Roman" w:hint="default"/>
        </w:rPr>
        <w:t>6)</w:t>
      </w:r>
      <w:r>
        <w:rPr/>
        <w:t>转移应收账款且继续涉入形成的资产、负债金额</w:t>
      </w:r>
      <w:r>
        <w:rPr>
          <w:w w:val="99"/>
        </w:rPr>
        <w:t> </w:t>
      </w:r>
      <w:r>
        <w:rPr/>
        <w:t>本年本公司无转移应收账款且继续涉入形成的资产、负债金额。</w:t>
      </w:r>
      <w:r>
        <w:rPr>
          <w:w w:val="99"/>
        </w:rPr>
        <w:t> </w:t>
      </w:r>
      <w:r>
        <w:rPr/>
        <w:t>其他说明：</w:t>
      </w:r>
    </w:p>
    <w:p>
      <w:pPr>
        <w:pStyle w:val="BodyText"/>
        <w:spacing w:line="240" w:lineRule="auto" w:before="34"/>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456,704.09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383,796.66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37,958,840.05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71,832,801.25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38,415,544.14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72,216,597.91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合并范围内关联资金拆借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456,704.09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383,796.66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456,704.09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383,796.66</w:t>
            </w:r>
          </w:p>
        </w:tc>
      </w:tr>
    </w:tbl>
    <w:p>
      <w:pPr>
        <w:pStyle w:val="BodyText"/>
        <w:spacing w:line="348" w:lineRule="auto" w:before="51"/>
        <w:ind w:right="9524"/>
        <w:jc w:val="left"/>
      </w:pPr>
      <w:r>
        <w:rPr>
          <w:rFonts w:ascii="Times New Roman" w:hAnsi="Times New Roman" w:cs="Times New Roman" w:eastAsia="Times New Roman" w:hint="default"/>
        </w:rPr>
        <w:t>2)</w:t>
      </w:r>
      <w:r>
        <w:rPr/>
        <w:t>重要逾期利息</w:t>
      </w:r>
      <w:r>
        <w:rPr>
          <w:w w:val="99"/>
        </w:rPr>
        <w:t> </w:t>
      </w:r>
      <w:r>
        <w:rPr/>
        <w:t>无</w:t>
      </w:r>
      <w:r>
        <w:rPr>
          <w:w w:val="99"/>
        </w:rPr>
        <w:t> </w:t>
      </w:r>
      <w:r>
        <w:rPr/>
        <w:t>其他说明：无</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9884"/>
        <w:jc w:val="left"/>
      </w:pPr>
      <w:r>
        <w:rPr>
          <w:rFonts w:ascii="Times New Roman" w:hAnsi="Times New Roman" w:cs="Times New Roman" w:eastAsia="Times New Roman" w:hint="default"/>
        </w:rPr>
        <w:t>1)</w:t>
      </w:r>
      <w:r>
        <w:rPr/>
        <w:t>应收股利</w:t>
      </w:r>
      <w:r>
        <w:rPr>
          <w:w w:val="99"/>
        </w:rPr>
        <w:t> </w:t>
      </w:r>
      <w:r>
        <w:rPr/>
        <w:t>无</w:t>
      </w:r>
    </w:p>
    <w:p>
      <w:pPr>
        <w:pStyle w:val="BodyText"/>
        <w:spacing w:line="340" w:lineRule="auto" w:before="43"/>
        <w:ind w:right="8085"/>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 </w:t>
      </w:r>
      <w:r>
        <w:rPr/>
        <w:t>年的应收股利</w:t>
      </w:r>
      <w:r>
        <w:rPr>
          <w:w w:val="99"/>
        </w:rPr>
        <w:t> </w:t>
      </w:r>
      <w:r>
        <w:rPr/>
        <w:t>无</w:t>
      </w:r>
    </w:p>
    <w:p>
      <w:pPr>
        <w:pStyle w:val="BodyText"/>
        <w:spacing w:line="240" w:lineRule="auto" w:before="3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1525"/>
        <w:gridCol w:w="1526"/>
        <w:gridCol w:w="788"/>
        <w:gridCol w:w="1416"/>
        <w:gridCol w:w="1748"/>
        <w:gridCol w:w="931"/>
      </w:tblGrid>
      <w:tr>
        <w:trPr>
          <w:trHeight w:val="404"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42,101,5</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88.26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4,142,74</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8.21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37,958,84</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0.05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76,160,</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705.89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4,327,904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71,832,801.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25</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42,101,5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88.26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4,142,74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8.21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37,958,84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76,160,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705.89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4,327,904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71,832,801.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1"/>
        <w:ind w:right="-19"/>
        <w:jc w:val="left"/>
      </w:pPr>
      <w:r>
        <w:rPr/>
        <w:t>期末单项金额重大并单项计提坏账准备的其他应收款：</w:t>
      </w:r>
    </w:p>
    <w:p>
      <w:pPr>
        <w:pStyle w:val="BodyText"/>
        <w:spacing w:line="340" w:lineRule="auto" w:before="115"/>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0"/>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4" w:space="435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6,869,117.48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343,455.87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6,869,117.48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343,455.87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2,384,459.96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238,446.00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712,869.20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142,573.84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419,682.00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209,841.00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406,685.00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406,685.00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2,801,746.50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2,801,746.50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13,594,560.14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4,142,748.21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30.47%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0" w:lineRule="auto" w:before="51"/>
        <w:ind w:right="1667"/>
        <w:jc w:val="left"/>
      </w:pPr>
      <w:r>
        <w:rPr/>
        <w:t>确定该组合依据的说明： 组合中，采用余额百分比法计提坏账准备的其他应收款：</w:t>
      </w:r>
    </w:p>
    <w:p>
      <w:pPr>
        <w:pStyle w:val="BodyText"/>
        <w:spacing w:line="340" w:lineRule="auto" w:before="25"/>
        <w:ind w:right="20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16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01"/>
        <w:ind w:right="1667"/>
        <w:jc w:val="left"/>
      </w:pPr>
      <w:r>
        <w:rPr>
          <w:rFonts w:ascii="Times New Roman" w:hAnsi="Times New Roman" w:cs="Times New Roman" w:eastAsia="Times New Roman" w:hint="default"/>
        </w:rPr>
        <w:t>2)</w:t>
      </w:r>
      <w:r>
        <w:rPr/>
        <w:t>本期计提、收回或转回的坏账准备情况</w:t>
      </w:r>
    </w:p>
    <w:p>
      <w:pPr>
        <w:pStyle w:val="BodyText"/>
        <w:spacing w:line="348" w:lineRule="auto" w:before="103"/>
        <w:ind w:right="-12"/>
        <w:jc w:val="left"/>
      </w:pPr>
      <w:r>
        <w:rPr/>
        <w:t>本期计提坏账准备金额</w:t>
      </w:r>
      <w:r>
        <w:rPr>
          <w:rFonts w:ascii="Times New Roman" w:hAnsi="Times New Roman" w:cs="Times New Roman" w:eastAsia="Times New Roman" w:hint="default"/>
        </w:rPr>
        <w:t>-185,156.43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其中本期坏账准备转回或收回金额重要的：无 </w:t>
      </w:r>
      <w:r>
        <w:rPr>
          <w:rFonts w:ascii="Times New Roman" w:hAnsi="Times New Roman" w:cs="Times New Roman" w:eastAsia="Times New Roman" w:hint="default"/>
        </w:rPr>
        <w:t>3)</w:t>
      </w:r>
      <w:r>
        <w:rPr/>
        <w:t>本期实际核销的其他应收款情况</w:t>
      </w:r>
    </w:p>
    <w:p>
      <w:pPr>
        <w:pStyle w:val="BodyText"/>
        <w:spacing w:line="357" w:lineRule="auto" w:before="14"/>
        <w:ind w:right="3287"/>
        <w:jc w:val="left"/>
      </w:pPr>
      <w:r>
        <w:rPr/>
        <w:t>其中重要的其他应收款核销情况：无 其他应收款核销说明：无 </w:t>
      </w: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340" w:space="2490"/>
            <w:col w:w="210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20,647.05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22,753.52</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12,731,786.08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10,620,712.50</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28,507,028.12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54,954,706.87</w:t>
            </w:r>
            <w:r>
              <w:rPr>
                <w:rFonts w:ascii="Times New Roman"/>
                <w:sz w:val="18"/>
              </w:rPr>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842,127.01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10,562,533.00</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42,101,588.26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76,160,705.89</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09"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20"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易康吉</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4" w:right="75"/>
              <w:jc w:val="left"/>
              <w:rPr>
                <w:rFonts w:ascii="宋体" w:hAnsi="宋体" w:cs="宋体" w:eastAsia="宋体" w:hint="default"/>
                <w:sz w:val="18"/>
                <w:szCs w:val="18"/>
              </w:rPr>
            </w:pPr>
            <w:r>
              <w:rPr>
                <w:rFonts w:ascii="宋体" w:hAnsi="宋体" w:cs="宋体" w:eastAsia="宋体" w:hint="default"/>
                <w:sz w:val="18"/>
                <w:szCs w:val="18"/>
              </w:rPr>
              <w:t>合并范围内关联往 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11,700,000.00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27.79%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医疗控股</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合并范围内关联往 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11,007,990.34</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26.15%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安徽合肥公共资源交 易中心</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3,030,900.00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151,545.00</w:t>
            </w:r>
          </w:p>
        </w:tc>
      </w:tr>
      <w:tr>
        <w:trPr>
          <w:trHeight w:val="1025"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广西易联众</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合并范围内关联往 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1,995,527.61</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68,945.54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北京易联众</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合并范围内关联往 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1,726,533.79</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29,460,951.74</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69.98%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151,545.00</w:t>
            </w:r>
          </w:p>
        </w:tc>
      </w:tr>
    </w:tbl>
    <w:p>
      <w:pPr>
        <w:pStyle w:val="BodyText"/>
        <w:spacing w:line="340" w:lineRule="auto" w:before="51"/>
        <w:ind w:right="8624"/>
        <w:jc w:val="left"/>
      </w:pPr>
      <w:r>
        <w:rPr>
          <w:rFonts w:ascii="Times New Roman" w:hAnsi="Times New Roman" w:cs="Times New Roman" w:eastAsia="Times New Roman" w:hint="default"/>
        </w:rPr>
        <w:t>6)</w:t>
      </w:r>
      <w:r>
        <w:rPr/>
        <w:t>涉及政府补助的应收款项</w:t>
      </w:r>
      <w:r>
        <w:rPr>
          <w:w w:val="99"/>
        </w:rPr>
        <w:t> </w:t>
      </w:r>
      <w:r>
        <w:rPr/>
        <w:t>无</w:t>
      </w:r>
    </w:p>
    <w:p>
      <w:pPr>
        <w:pStyle w:val="BodyText"/>
        <w:spacing w:line="300" w:lineRule="auto" w:before="1"/>
        <w:ind w:right="5894"/>
        <w:jc w:val="left"/>
      </w:pPr>
      <w:r>
        <w:rPr>
          <w:rFonts w:ascii="Times New Roman" w:hAnsi="Times New Roman" w:cs="Times New Roman" w:eastAsia="Times New Roman" w:hint="default"/>
        </w:rPr>
        <w:t>7)</w:t>
      </w:r>
      <w:r>
        <w:rPr/>
        <w:t>因金融资产转移而终止确认的其他应收款</w:t>
      </w:r>
      <w:r>
        <w:rPr>
          <w:w w:val="99"/>
        </w:rPr>
        <w:t> </w:t>
      </w:r>
      <w:r>
        <w:rPr/>
        <w:t>本年本公司无因金融资产转移而终止确认的其他应收款情况。</w:t>
      </w:r>
    </w:p>
    <w:p>
      <w:pPr>
        <w:pStyle w:val="BodyText"/>
        <w:spacing w:line="348" w:lineRule="auto" w:before="72"/>
        <w:ind w:right="5534"/>
        <w:jc w:val="left"/>
      </w:pPr>
      <w:r>
        <w:rPr>
          <w:rFonts w:ascii="Times New Roman" w:hAnsi="Times New Roman" w:cs="Times New Roman" w:eastAsia="Times New Roman" w:hint="default"/>
        </w:rPr>
        <w:t>8)</w:t>
      </w:r>
      <w:r>
        <w:rPr/>
        <w:t>转移其他应收款且继续涉入形成的资产、负债金额</w:t>
      </w:r>
      <w:r>
        <w:rPr>
          <w:w w:val="99"/>
        </w:rPr>
        <w:t> </w:t>
      </w:r>
      <w:r>
        <w:rPr/>
        <w:t>本年本公司无转移其他应收款且继续涉入形成的资产、负债金额。</w:t>
      </w:r>
      <w:r>
        <w:rPr>
          <w:w w:val="99"/>
        </w:rPr>
        <w:t> </w:t>
      </w:r>
      <w:r>
        <w:rPr/>
        <w:t>其他说明：</w:t>
      </w:r>
    </w:p>
    <w:p>
      <w:pPr>
        <w:pStyle w:val="BodyText"/>
        <w:spacing w:line="240" w:lineRule="auto" w:before="34"/>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608,851,800.00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608,851,800.00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604,126,800.00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604,126,800.00</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366,141,426.71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366,141,426.71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363,451,679.57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363,451,679.57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1" w:right="0"/>
              <w:jc w:val="left"/>
              <w:rPr>
                <w:rFonts w:ascii="Times New Roman" w:hAnsi="Times New Roman" w:cs="Times New Roman" w:eastAsia="Times New Roman" w:hint="default"/>
                <w:sz w:val="18"/>
                <w:szCs w:val="18"/>
              </w:rPr>
            </w:pPr>
            <w:r>
              <w:rPr>
                <w:rFonts w:ascii="Times New Roman"/>
                <w:sz w:val="18"/>
              </w:rPr>
              <w:t>974,993,226.71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8" w:right="0"/>
              <w:jc w:val="left"/>
              <w:rPr>
                <w:rFonts w:ascii="Times New Roman" w:hAnsi="Times New Roman" w:cs="Times New Roman" w:eastAsia="Times New Roman" w:hint="default"/>
                <w:sz w:val="18"/>
                <w:szCs w:val="18"/>
              </w:rPr>
            </w:pPr>
            <w:r>
              <w:rPr>
                <w:rFonts w:ascii="Times New Roman"/>
                <w:sz w:val="18"/>
              </w:rPr>
              <w:t>974,993,226.71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8" w:right="0"/>
              <w:jc w:val="left"/>
              <w:rPr>
                <w:rFonts w:ascii="Times New Roman" w:hAnsi="Times New Roman" w:cs="Times New Roman" w:eastAsia="Times New Roman" w:hint="default"/>
                <w:sz w:val="18"/>
                <w:szCs w:val="18"/>
              </w:rPr>
            </w:pPr>
            <w:r>
              <w:rPr>
                <w:rFonts w:ascii="Times New Roman"/>
                <w:sz w:val="18"/>
              </w:rPr>
              <w:t>967,578,479.57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8" w:right="0"/>
              <w:jc w:val="left"/>
              <w:rPr>
                <w:rFonts w:ascii="Times New Roman" w:hAnsi="Times New Roman" w:cs="Times New Roman" w:eastAsia="Times New Roman" w:hint="default"/>
                <w:sz w:val="18"/>
                <w:szCs w:val="18"/>
              </w:rPr>
            </w:pPr>
            <w:r>
              <w:rPr>
                <w:rFonts w:ascii="Times New Roman"/>
                <w:sz w:val="18"/>
              </w:rPr>
              <w:t>967,578,479.57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6"/>
        <w:gridCol w:w="1337"/>
        <w:gridCol w:w="1334"/>
        <w:gridCol w:w="1335"/>
        <w:gridCol w:w="1334"/>
        <w:gridCol w:w="1390"/>
        <w:gridCol w:w="1390"/>
      </w:tblGrid>
      <w:tr>
        <w:trPr>
          <w:trHeight w:val="713"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山西易联众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10,545,600.00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10,545,600.00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10,048,000.00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10,048,000.00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福建软件开发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27,160,000.00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27,160,000.00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广西易联众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29,973,200.00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29,973,200.00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广东易联众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民生通</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厦门纵达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金融控股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医疗控股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易康吉</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易惠科技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4,875,000.00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14,625,000.00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易达迅</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通达易</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604,126,800.00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9,825,000.00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608,851,800.00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北京尚洋 易捷信息 技术股份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11,368,56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6,296,639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1,441,614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16,223,58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41"/>
              <w:jc w:val="both"/>
              <w:rPr>
                <w:rFonts w:ascii="宋体" w:hAnsi="宋体" w:cs="宋体" w:eastAsia="宋体" w:hint="default"/>
                <w:sz w:val="18"/>
                <w:szCs w:val="18"/>
              </w:rPr>
            </w:pPr>
            <w:r>
              <w:rPr>
                <w:rFonts w:ascii="宋体" w:hAnsi="宋体" w:cs="宋体" w:eastAsia="宋体" w:hint="default"/>
                <w:sz w:val="18"/>
                <w:szCs w:val="18"/>
              </w:rPr>
              <w:t>黑龙江易 联众信息 工程技术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749,859.3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-147,631.</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602,228.2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百川通信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36,929,45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-127,046.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36,802,40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41"/>
              <w:jc w:val="both"/>
              <w:rPr>
                <w:rFonts w:ascii="宋体" w:hAnsi="宋体" w:cs="宋体" w:eastAsia="宋体" w:hint="default"/>
                <w:sz w:val="18"/>
                <w:szCs w:val="18"/>
              </w:rPr>
            </w:pPr>
            <w:r>
              <w:rPr>
                <w:rFonts w:ascii="宋体" w:hAnsi="宋体" w:cs="宋体" w:eastAsia="宋体" w:hint="default"/>
                <w:sz w:val="18"/>
                <w:szCs w:val="18"/>
              </w:rPr>
              <w:t>福建易联 众基因检 测分析技 术有限公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1,005,900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pacing w:val="-1"/>
                <w:sz w:val="18"/>
              </w:rPr>
              <w:t>-724,468.</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281,431.4</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广州桔叶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6,904,209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-285,301.</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6,618,908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41"/>
              <w:jc w:val="both"/>
              <w:rPr>
                <w:rFonts w:ascii="宋体" w:hAnsi="宋体" w:cs="宋体" w:eastAsia="宋体" w:hint="default"/>
                <w:sz w:val="18"/>
                <w:szCs w:val="18"/>
              </w:rPr>
            </w:pPr>
            <w:r>
              <w:rPr>
                <w:rFonts w:ascii="宋体" w:hAnsi="宋体" w:cs="宋体" w:eastAsia="宋体" w:hint="default"/>
                <w:sz w:val="18"/>
                <w:szCs w:val="18"/>
              </w:rPr>
              <w:t>广东易联 众民生信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991,382.2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-1,346,29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0.25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206,091.9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海保人寿 保险股份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294,392,6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04.80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-5,821,70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1,159,187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289,730,0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41"/>
              <w:jc w:val="both"/>
              <w:rPr>
                <w:rFonts w:ascii="宋体" w:hAnsi="宋体" w:cs="宋体" w:eastAsia="宋体" w:hint="default"/>
                <w:sz w:val="18"/>
                <w:szCs w:val="18"/>
              </w:rPr>
            </w:pPr>
            <w:r>
              <w:rPr>
                <w:rFonts w:ascii="宋体" w:hAnsi="宋体" w:cs="宋体" w:eastAsia="宋体" w:hint="default"/>
                <w:sz w:val="18"/>
                <w:szCs w:val="18"/>
              </w:rPr>
              <w:t>福建省星 民易付多 卡融合信 息科技有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5,396,334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76" w:right="0"/>
              <w:jc w:val="left"/>
              <w:rPr>
                <w:rFonts w:ascii="Times New Roman" w:hAnsi="Times New Roman" w:cs="Times New Roman" w:eastAsia="Times New Roman" w:hint="default"/>
                <w:sz w:val="18"/>
                <w:szCs w:val="18"/>
              </w:rPr>
            </w:pPr>
            <w:r>
              <w:rPr>
                <w:rFonts w:ascii="Times New Roman"/>
                <w:sz w:val="18"/>
              </w:rPr>
              <w:t>-1,728,52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3"/>
              <w:jc w:val="right"/>
              <w:rPr>
                <w:rFonts w:ascii="Times New Roman" w:hAnsi="Times New Roman" w:cs="Times New Roman" w:eastAsia="Times New Roman" w:hint="default"/>
                <w:sz w:val="18"/>
                <w:szCs w:val="18"/>
              </w:rPr>
            </w:pPr>
            <w:r>
              <w:rPr>
                <w:rFonts w:ascii="Times New Roman"/>
                <w:spacing w:val="-1"/>
                <w:sz w:val="18"/>
              </w:rPr>
              <w:t>3,667,808</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福建医联 康护信息 技术有限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6,719,272</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5,289,600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12,008,87</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3.31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363"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363,451,6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79.57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1,566,900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1,405,274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1,159,187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1,441,614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366,141,4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26.71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363,451,6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79.57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1,566,900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1,405,274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1,159,187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1,441,614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366,141,4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26.71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340,651,646.40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319,748,538.70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289,382,831.67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262,464,606.24</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4,260,057.55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1,495,077.44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2,078,262.33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1,092,265.48</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344,911,703.95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321,243,616.14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291,461,094.00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263,556,871.72</w:t>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1,405,274.45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-3,698,336.89</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-2,492,000.00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44,417,811.99</w:t>
            </w: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成本法核算的长期股权投资收益（子公司 分红）</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-1,086,725.55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135,719,475.10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-822,439.50</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102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11,598,255.26</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-50,162.24</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1,593,135.11</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886,529.37</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8,245,989.04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9,145,402.66</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退税政策为经常性发生的补助</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136,112.83</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个税手续费返还为经常性发生的补助</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0.0340</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0.015</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9"/>
        <w:rPr>
          <w:rFonts w:ascii="宋体" w:hAnsi="宋体" w:cs="宋体" w:eastAsia="宋体" w:hint="default"/>
          <w:b/>
          <w:bCs/>
          <w:sz w:val="42"/>
          <w:szCs w:val="42"/>
        </w:rPr>
      </w:pPr>
    </w:p>
    <w:p>
      <w:pPr>
        <w:pStyle w:val="BodyText"/>
        <w:spacing w:line="316" w:lineRule="auto"/>
        <w:ind w:right="1934"/>
        <w:jc w:val="left"/>
      </w:pPr>
      <w:r>
        <w:rPr/>
        <w:t>一、载有公司法定代表人、主管会计工作的负责人、会计机构负责人（会计主管人员）签名并盖章的财务报表。 二、载有会计师事务所盖章、注册会计师签名并盖章的审计报告原价。 三、报告期内在中国证监会指定网站上公开披露过的所有公司文件的正本及公告的原稿。 四、经公司法定代表人签名并加盖公司公章的</w:t>
      </w:r>
      <w:r>
        <w:rPr>
          <w:rFonts w:ascii="Times New Roman" w:hAnsi="Times New Roman" w:cs="Times New Roman" w:eastAsia="Times New Roman" w:hint="default"/>
        </w:rPr>
        <w:t>2018</w:t>
      </w:r>
      <w:r>
        <w:rPr/>
        <w:t>年年度报告文本原件。</w:t>
      </w:r>
    </w:p>
    <w:p>
      <w:pPr>
        <w:pStyle w:val="BodyText"/>
        <w:spacing w:line="316" w:lineRule="auto"/>
        <w:ind w:right="6974"/>
        <w:jc w:val="left"/>
      </w:pPr>
      <w:r>
        <w:rPr/>
        <w:t>五、其他相关资料。 以上备查文件的备置地点：公司董事会办公室。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spacing w:line="240" w:lineRule="auto"/>
        <w:ind w:left="0" w:right="1131"/>
        <w:jc w:val="right"/>
      </w:pPr>
      <w:r>
        <w:rPr/>
        <w:t>易联众信息技术股份有限公司</w:t>
      </w:r>
    </w:p>
    <w:p>
      <w:pPr>
        <w:spacing w:line="240" w:lineRule="auto" w:before="0"/>
        <w:rPr>
          <w:rFonts w:ascii="宋体" w:hAnsi="宋体" w:cs="宋体" w:eastAsia="宋体" w:hint="default"/>
          <w:sz w:val="18"/>
          <w:szCs w:val="18"/>
        </w:rPr>
      </w:pPr>
    </w:p>
    <w:p>
      <w:pPr>
        <w:pStyle w:val="BodyText"/>
        <w:spacing w:line="240" w:lineRule="auto" w:before="153"/>
        <w:ind w:left="0" w:right="1131"/>
        <w:jc w:val="right"/>
      </w:pPr>
      <w:r>
        <w:rPr/>
        <w:t>法定代表人：张曦</w:t>
      </w:r>
    </w:p>
    <w:p>
      <w:pPr>
        <w:spacing w:line="240" w:lineRule="auto" w:before="0"/>
        <w:rPr>
          <w:rFonts w:ascii="宋体" w:hAnsi="宋体" w:cs="宋体" w:eastAsia="宋体" w:hint="default"/>
          <w:sz w:val="18"/>
          <w:szCs w:val="18"/>
        </w:rPr>
      </w:pPr>
    </w:p>
    <w:p>
      <w:pPr>
        <w:pStyle w:val="BodyText"/>
        <w:spacing w:line="240" w:lineRule="auto" w:before="153"/>
        <w:ind w:left="0" w:right="1128"/>
        <w:jc w:val="righ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w:t>
      </w:r>
    </w:p>
    <w:sectPr>
      <w:pgSz w:w="11910" w:h="16840"/>
      <w:pgMar w:header="748" w:footer="974"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2264" type="#_x0000_t75" stroked="false">
          <v:imagedata r:id="rId1" o:title=""/>
        </v:shape>
      </w:pict>
    </w:r>
    <w:r>
      <w:rPr/>
      <w:pict>
        <v:shape style="position:absolute;margin-left:533.099976pt;margin-top:795.87793pt;width:6.5pt;height:11pt;mso-position-horizontal-relative:page;mso-position-vertical-relative:page;z-index:-11322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2216" type="#_x0000_t75" stroked="false">
          <v:imagedata r:id="rId1" o:title=""/>
        </v:shape>
      </w:pict>
    </w:r>
    <w:r>
      <w:rPr/>
      <w:pict>
        <v:shape style="position:absolute;margin-left:527.659973pt;margin-top:782.197937pt;width:13.15pt;height:11pt;mso-position-horizontal-relative:page;mso-position-vertical-relative:page;z-index:-1132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2168" type="#_x0000_t75" stroked="false">
          <v:imagedata r:id="rId1" o:title=""/>
        </v:shape>
      </w:pict>
    </w:r>
    <w:r>
      <w:rPr/>
      <w:pict>
        <v:shape style="position:absolute;margin-left:524.099976pt;margin-top:782.197937pt;width:15.7pt;height:11pt;mso-position-horizontal-relative:page;mso-position-vertical-relative:page;z-index:-11321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2120" type="#_x0000_t75" stroked="false">
          <v:imagedata r:id="rId1" o:title=""/>
        </v:shape>
      </w:pict>
    </w:r>
    <w:r>
      <w:rPr/>
      <w:pict>
        <v:shape style="position:absolute;margin-left:523.099976pt;margin-top:782.197937pt;width:17.7pt;height:11pt;mso-position-horizontal-relative:page;mso-position-vertical-relative:page;z-index:-1132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2072" type="#_x0000_t75" stroked="false">
          <v:imagedata r:id="rId1" o:title=""/>
        </v:shape>
      </w:pict>
    </w:r>
    <w:r>
      <w:rPr/>
      <w:pict>
        <v:shape style="position:absolute;margin-left:523.460022pt;margin-top:782.197937pt;width:17.3pt;height:11pt;mso-position-horizontal-relative:page;mso-position-vertical-relative:page;z-index:-1132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2024" type="#_x0000_t75" stroked="false">
          <v:imagedata r:id="rId1" o:title=""/>
        </v:shape>
      </w:pict>
    </w:r>
    <w:r>
      <w:rPr/>
      <w:pict>
        <v:shape style="position:absolute;margin-left:523.099976pt;margin-top:782.197937pt;width:17.7pt;height:11pt;mso-position-horizontal-relative:page;mso-position-vertical-relative:page;z-index:-1132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1976" type="#_x0000_t75" stroked="false">
          <v:imagedata r:id="rId1" o:title=""/>
        </v:shape>
      </w:pict>
    </w:r>
    <w:r>
      <w:rPr/>
      <w:pict>
        <v:shape style="position:absolute;margin-left:523.099976pt;margin-top:782.197937pt;width:17.7pt;height:11pt;mso-position-horizontal-relative:page;mso-position-vertical-relative:page;z-index:-1131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124</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1928" type="#_x0000_t75" stroked="false">
          <v:imagedata r:id="rId1" o:title=""/>
        </v:shape>
      </w:pict>
    </w:r>
    <w:r>
      <w:rPr/>
      <w:pict>
        <v:shape style="position:absolute;margin-left:524.099976pt;margin-top:782.197937pt;width:15.7pt;height:11pt;mso-position-horizontal-relative:page;mso-position-vertical-relative:page;z-index:-11319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1880" type="#_x0000_t75" stroked="false">
          <v:imagedata r:id="rId1" o:title=""/>
        </v:shape>
      </w:pict>
    </w:r>
    <w:r>
      <w:rPr/>
      <w:pict>
        <v:shape style="position:absolute;margin-left:523.099976pt;margin-top:782.197937pt;width:17.7pt;height:11pt;mso-position-horizontal-relative:page;mso-position-vertical-relative:page;z-index:-1131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385609pt;width:204.75pt;height:11.5pt;mso-position-horizontal-relative:page;mso-position-vertical-relative:page;z-index:-1132288" type="#_x0000_t202" filled="false" stroked="false">
          <v:textbox inset="0,0,0,0">
            <w:txbxContent>
              <w:p>
                <w:pPr>
                  <w:pStyle w:val="BodyText"/>
                  <w:spacing w:line="214" w:lineRule="exact"/>
                  <w:ind w:left="20" w:right="0"/>
                  <w:jc w:val="left"/>
                </w:pPr>
                <w:r>
                  <w:rPr/>
                  <w:t>易联众信息技术股份有限公司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60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19"/>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ylzinfo.com/" TargetMode="External"/><Relationship Id="rId10" Type="http://schemas.openxmlformats.org/officeDocument/2006/relationships/hyperlink" Target="mailto:YLZ@ylzinfo.com" TargetMode="External"/><Relationship Id="rId11" Type="http://schemas.openxmlformats.org/officeDocument/2006/relationships/hyperlink" Target="mailto:tylee173@163.com" TargetMode="External"/><Relationship Id="rId12" Type="http://schemas.openxmlformats.org/officeDocument/2006/relationships/hyperlink" Target="mailto:gyj_rabbit@126.com" TargetMode="External"/><Relationship Id="rId13" Type="http://schemas.openxmlformats.org/officeDocument/2006/relationships/hyperlink" Target="http://www.cninfo.com.cn/" TargetMode="External"/><Relationship Id="rId14" Type="http://schemas.openxmlformats.org/officeDocument/2006/relationships/hyperlink" Target="http://irm.p5w.net/ssgs/S300096/)" TargetMode="External"/><Relationship Id="rId15" Type="http://schemas.openxmlformats.org/officeDocument/2006/relationships/image" Target="media/image3.jpeg"/><Relationship Id="rId16" Type="http://schemas.openxmlformats.org/officeDocument/2006/relationships/hyperlink" Target="http://www.cninfo.co/" TargetMode="Externa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易联众信息技术股份有限公司</dc:creator>
  <dc:title>易联众信息技术股份有限公司2018年年度报告全文</dc:title>
  <dcterms:created xsi:type="dcterms:W3CDTF">2020-05-05T01:12:25Z</dcterms:created>
  <dcterms:modified xsi:type="dcterms:W3CDTF">2020-05-05T01:12:25Z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Microsoft® Word 适用于 Office 365</vt:lpwstr>
  </property>
  <property fmtid="{D5CDD505-2E9C-101B-9397-08002B2CF9AE}" pid="4" name="LastSaved">
    <vt:filetime>2020-05-04T00:00:00Z</vt:filetime>
  </property>
</Properties>
</file>